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079FFC">
      <w:pPr>
        <w:ind w:right="470" w:rightChars="224"/>
        <w:jc w:val="center"/>
        <w:rPr>
          <w:rFonts w:hint="eastAsia" w:ascii="仿宋_GB2312" w:hAnsi="仿宋_GB2312" w:eastAsia="仿宋_GB2312" w:cs="仿宋_GB2312"/>
          <w:b/>
          <w:bCs/>
          <w:color w:val="auto"/>
          <w:spacing w:val="120"/>
          <w:sz w:val="24"/>
          <w:highlight w:val="none"/>
        </w:rPr>
      </w:pPr>
      <w:r>
        <w:rPr>
          <w:rFonts w:hint="eastAsia" w:ascii="仿宋_GB2312" w:hAnsi="仿宋_GB2312" w:eastAsia="仿宋_GB2312" w:cs="仿宋_GB2312"/>
          <w:b/>
          <w:bCs/>
          <w:color w:val="auto"/>
          <w:spacing w:val="120"/>
          <w:sz w:val="24"/>
          <w:highlight w:val="none"/>
        </w:rPr>
        <w:t xml:space="preserve">    </w:t>
      </w:r>
    </w:p>
    <w:p w14:paraId="343D7B2B">
      <w:pPr>
        <w:jc w:val="center"/>
        <w:rPr>
          <w:rFonts w:hint="eastAsia" w:ascii="仿宋_GB2312" w:hAnsi="仿宋_GB2312" w:eastAsia="仿宋_GB2312" w:cs="仿宋_GB2312"/>
          <w:b/>
          <w:bCs/>
          <w:color w:val="auto"/>
          <w:spacing w:val="10"/>
          <w:sz w:val="52"/>
          <w:szCs w:val="52"/>
          <w:highlight w:val="none"/>
        </w:rPr>
      </w:pPr>
      <w:r>
        <w:rPr>
          <w:rFonts w:hint="eastAsia" w:ascii="仿宋_GB2312" w:hAnsi="仿宋_GB2312" w:eastAsia="仿宋_GB2312" w:cs="仿宋_GB2312"/>
          <w:b/>
          <w:bCs/>
          <w:color w:val="auto"/>
          <w:spacing w:val="10"/>
          <w:sz w:val="52"/>
          <w:szCs w:val="52"/>
          <w:highlight w:val="none"/>
        </w:rPr>
        <w:t>温州市政府（分散）采购</w:t>
      </w:r>
    </w:p>
    <w:p w14:paraId="0C3B8146">
      <w:pPr>
        <w:ind w:firstLine="564" w:firstLineChars="235"/>
        <w:jc w:val="center"/>
        <w:rPr>
          <w:rFonts w:hint="eastAsia" w:ascii="仿宋_GB2312" w:hAnsi="仿宋_GB2312" w:eastAsia="仿宋_GB2312" w:cs="仿宋_GB2312"/>
          <w:color w:val="auto"/>
          <w:sz w:val="24"/>
          <w:highlight w:val="none"/>
        </w:rPr>
      </w:pPr>
    </w:p>
    <w:p w14:paraId="0FBB0357">
      <w:pPr>
        <w:jc w:val="center"/>
        <w:rPr>
          <w:rFonts w:hint="eastAsia" w:ascii="仿宋_GB2312" w:hAnsi="仿宋_GB2312" w:eastAsia="仿宋_GB2312" w:cs="仿宋_GB2312"/>
          <w:color w:val="auto"/>
          <w:sz w:val="24"/>
          <w:highlight w:val="none"/>
        </w:rPr>
      </w:pPr>
    </w:p>
    <w:p w14:paraId="3C32EDFD">
      <w:pPr>
        <w:pStyle w:val="11"/>
        <w:ind w:firstLine="240"/>
        <w:rPr>
          <w:rFonts w:hint="eastAsia" w:ascii="仿宋_GB2312" w:hAnsi="仿宋_GB2312" w:eastAsia="仿宋_GB2312" w:cs="仿宋_GB2312"/>
          <w:color w:val="auto"/>
          <w:sz w:val="24"/>
          <w:highlight w:val="none"/>
        </w:rPr>
      </w:pPr>
    </w:p>
    <w:p w14:paraId="79F49ADA">
      <w:pPr>
        <w:pStyle w:val="13"/>
        <w:rPr>
          <w:rFonts w:hint="eastAsia" w:ascii="仿宋_GB2312" w:hAnsi="仿宋_GB2312" w:eastAsia="仿宋_GB2312" w:cs="仿宋_GB2312"/>
          <w:color w:val="auto"/>
          <w:sz w:val="24"/>
          <w:szCs w:val="24"/>
          <w:highlight w:val="none"/>
        </w:rPr>
      </w:pPr>
    </w:p>
    <w:p w14:paraId="6A5C1ED4">
      <w:pPr>
        <w:rPr>
          <w:rFonts w:hint="eastAsia" w:ascii="仿宋_GB2312" w:hAnsi="仿宋_GB2312" w:eastAsia="仿宋_GB2312" w:cs="仿宋_GB2312"/>
          <w:color w:val="auto"/>
          <w:sz w:val="24"/>
          <w:highlight w:val="none"/>
        </w:rPr>
      </w:pPr>
    </w:p>
    <w:p w14:paraId="32AB0FC7">
      <w:pPr>
        <w:pStyle w:val="11"/>
        <w:ind w:firstLine="240"/>
        <w:rPr>
          <w:rFonts w:hint="eastAsia" w:ascii="仿宋_GB2312" w:hAnsi="仿宋_GB2312" w:eastAsia="仿宋_GB2312" w:cs="仿宋_GB2312"/>
          <w:color w:val="auto"/>
          <w:sz w:val="24"/>
          <w:highlight w:val="none"/>
        </w:rPr>
      </w:pPr>
    </w:p>
    <w:p w14:paraId="4DF588A2">
      <w:pPr>
        <w:pStyle w:val="13"/>
        <w:rPr>
          <w:rFonts w:hint="eastAsia" w:ascii="仿宋_GB2312" w:hAnsi="仿宋_GB2312" w:eastAsia="仿宋_GB2312" w:cs="仿宋_GB2312"/>
          <w:color w:val="auto"/>
          <w:sz w:val="24"/>
          <w:szCs w:val="24"/>
          <w:highlight w:val="none"/>
        </w:rPr>
      </w:pPr>
    </w:p>
    <w:p w14:paraId="1CEF963A">
      <w:pPr>
        <w:rPr>
          <w:rFonts w:hint="eastAsia" w:ascii="仿宋_GB2312" w:hAnsi="仿宋_GB2312" w:eastAsia="仿宋_GB2312" w:cs="仿宋_GB2312"/>
          <w:color w:val="auto"/>
          <w:sz w:val="24"/>
          <w:highlight w:val="none"/>
        </w:rPr>
      </w:pPr>
    </w:p>
    <w:p w14:paraId="349668A8">
      <w:pPr>
        <w:pStyle w:val="9"/>
        <w:rPr>
          <w:rFonts w:hint="eastAsia" w:ascii="仿宋_GB2312" w:hAnsi="仿宋_GB2312" w:eastAsia="仿宋_GB2312" w:cs="仿宋_GB2312"/>
          <w:color w:val="auto"/>
          <w:sz w:val="24"/>
          <w:szCs w:val="24"/>
          <w:highlight w:val="none"/>
        </w:rPr>
      </w:pPr>
    </w:p>
    <w:p w14:paraId="521988CE">
      <w:pPr>
        <w:spacing w:line="900" w:lineRule="exact"/>
        <w:jc w:val="center"/>
        <w:rPr>
          <w:rFonts w:hint="eastAsia" w:ascii="仿宋_GB2312" w:hAnsi="仿宋_GB2312" w:eastAsia="仿宋_GB2312" w:cs="仿宋_GB2312"/>
          <w:b/>
          <w:bCs/>
          <w:color w:val="auto"/>
          <w:spacing w:val="140"/>
          <w:sz w:val="52"/>
          <w:szCs w:val="52"/>
          <w:highlight w:val="none"/>
        </w:rPr>
      </w:pPr>
      <w:r>
        <w:rPr>
          <w:rFonts w:hint="eastAsia" w:ascii="仿宋_GB2312" w:hAnsi="仿宋_GB2312" w:eastAsia="仿宋_GB2312" w:cs="仿宋_GB2312"/>
          <w:b/>
          <w:bCs/>
          <w:color w:val="auto"/>
          <w:spacing w:val="140"/>
          <w:sz w:val="52"/>
          <w:szCs w:val="52"/>
          <w:highlight w:val="none"/>
        </w:rPr>
        <w:t>招标文件</w:t>
      </w:r>
    </w:p>
    <w:p w14:paraId="141D2B73">
      <w:pPr>
        <w:spacing w:line="400" w:lineRule="exact"/>
        <w:jc w:val="center"/>
        <w:rPr>
          <w:rFonts w:hint="eastAsia" w:ascii="仿宋_GB2312" w:hAnsi="仿宋_GB2312" w:eastAsia="仿宋_GB2312" w:cs="仿宋_GB2312"/>
          <w:b/>
          <w:bCs/>
          <w:color w:val="auto"/>
          <w:sz w:val="24"/>
          <w:highlight w:val="none"/>
        </w:rPr>
      </w:pPr>
    </w:p>
    <w:p w14:paraId="4346000E">
      <w:pPr>
        <w:spacing w:line="400" w:lineRule="exact"/>
        <w:jc w:val="center"/>
        <w:rPr>
          <w:rFonts w:hint="eastAsia" w:ascii="仿宋_GB2312" w:hAnsi="仿宋_GB2312" w:eastAsia="仿宋_GB2312" w:cs="仿宋_GB2312"/>
          <w:b/>
          <w:bCs/>
          <w:color w:val="auto"/>
          <w:sz w:val="24"/>
          <w:highlight w:val="none"/>
        </w:rPr>
      </w:pPr>
    </w:p>
    <w:p w14:paraId="0D1D85B1">
      <w:pPr>
        <w:pStyle w:val="13"/>
        <w:rPr>
          <w:rFonts w:hint="eastAsia" w:ascii="仿宋_GB2312" w:hAnsi="仿宋_GB2312" w:eastAsia="仿宋_GB2312" w:cs="仿宋_GB2312"/>
          <w:color w:val="auto"/>
          <w:sz w:val="24"/>
          <w:szCs w:val="24"/>
          <w:highlight w:val="none"/>
        </w:rPr>
      </w:pPr>
    </w:p>
    <w:p w14:paraId="7B679B6F">
      <w:pPr>
        <w:rPr>
          <w:rFonts w:hint="eastAsia" w:ascii="仿宋_GB2312" w:hAnsi="仿宋_GB2312" w:eastAsia="仿宋_GB2312" w:cs="仿宋_GB2312"/>
          <w:color w:val="auto"/>
          <w:sz w:val="24"/>
          <w:highlight w:val="none"/>
        </w:rPr>
      </w:pPr>
    </w:p>
    <w:p w14:paraId="6EEEEA94">
      <w:pPr>
        <w:pStyle w:val="11"/>
        <w:ind w:firstLine="240"/>
        <w:rPr>
          <w:rFonts w:hint="eastAsia" w:ascii="仿宋_GB2312" w:hAnsi="仿宋_GB2312" w:eastAsia="仿宋_GB2312" w:cs="仿宋_GB2312"/>
          <w:color w:val="auto"/>
          <w:sz w:val="24"/>
          <w:highlight w:val="none"/>
        </w:rPr>
      </w:pPr>
    </w:p>
    <w:p w14:paraId="4A5E807D">
      <w:pPr>
        <w:pStyle w:val="13"/>
        <w:rPr>
          <w:rFonts w:hint="eastAsia" w:ascii="仿宋_GB2312" w:hAnsi="仿宋_GB2312" w:eastAsia="仿宋_GB2312" w:cs="仿宋_GB2312"/>
          <w:color w:val="auto"/>
          <w:sz w:val="24"/>
          <w:szCs w:val="24"/>
          <w:highlight w:val="none"/>
        </w:rPr>
      </w:pPr>
    </w:p>
    <w:p w14:paraId="466C563F">
      <w:pPr>
        <w:rPr>
          <w:rFonts w:hint="eastAsia" w:ascii="仿宋_GB2312" w:hAnsi="仿宋_GB2312" w:eastAsia="仿宋_GB2312" w:cs="仿宋_GB2312"/>
          <w:b/>
          <w:bCs/>
          <w:color w:val="auto"/>
          <w:sz w:val="24"/>
          <w:highlight w:val="none"/>
        </w:rPr>
      </w:pPr>
    </w:p>
    <w:p w14:paraId="60391867">
      <w:pPr>
        <w:rPr>
          <w:rFonts w:hint="eastAsia" w:ascii="仿宋_GB2312" w:hAnsi="仿宋_GB2312" w:eastAsia="仿宋_GB2312" w:cs="仿宋_GB2312"/>
          <w:b/>
          <w:bCs/>
          <w:color w:val="auto"/>
          <w:sz w:val="24"/>
          <w:highlight w:val="none"/>
        </w:rPr>
      </w:pPr>
    </w:p>
    <w:tbl>
      <w:tblPr>
        <w:tblStyle w:val="65"/>
        <w:tblW w:w="0" w:type="auto"/>
        <w:jc w:val="center"/>
        <w:tblLayout w:type="fixed"/>
        <w:tblCellMar>
          <w:top w:w="0" w:type="dxa"/>
          <w:left w:w="108" w:type="dxa"/>
          <w:bottom w:w="0" w:type="dxa"/>
          <w:right w:w="108" w:type="dxa"/>
        </w:tblCellMar>
      </w:tblPr>
      <w:tblGrid>
        <w:gridCol w:w="1647"/>
        <w:gridCol w:w="3778"/>
      </w:tblGrid>
      <w:tr w14:paraId="3625F39F">
        <w:tblPrEx>
          <w:tblCellMar>
            <w:top w:w="0" w:type="dxa"/>
            <w:left w:w="108" w:type="dxa"/>
            <w:bottom w:w="0" w:type="dxa"/>
            <w:right w:w="108" w:type="dxa"/>
          </w:tblCellMar>
        </w:tblPrEx>
        <w:trPr>
          <w:trHeight w:val="510" w:hRule="atLeast"/>
          <w:jc w:val="center"/>
        </w:trPr>
        <w:tc>
          <w:tcPr>
            <w:tcW w:w="1647" w:type="dxa"/>
            <w:noWrap w:val="0"/>
            <w:vAlign w:val="center"/>
          </w:tcPr>
          <w:p w14:paraId="0AB00F34">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项目编号：</w:t>
            </w:r>
          </w:p>
        </w:tc>
        <w:tc>
          <w:tcPr>
            <w:tcW w:w="3778" w:type="dxa"/>
            <w:noWrap w:val="0"/>
            <w:vAlign w:val="center"/>
          </w:tcPr>
          <w:p w14:paraId="72B3879B">
            <w:pP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lang w:eastAsia="zh-CN"/>
              </w:rPr>
              <w:t>WZJHCG-20240817</w:t>
            </w:r>
          </w:p>
        </w:tc>
      </w:tr>
      <w:tr w14:paraId="49E5B4B6">
        <w:tblPrEx>
          <w:tblCellMar>
            <w:top w:w="0" w:type="dxa"/>
            <w:left w:w="108" w:type="dxa"/>
            <w:bottom w:w="0" w:type="dxa"/>
            <w:right w:w="108" w:type="dxa"/>
          </w:tblCellMar>
        </w:tblPrEx>
        <w:trPr>
          <w:trHeight w:val="886" w:hRule="atLeast"/>
          <w:jc w:val="center"/>
        </w:trPr>
        <w:tc>
          <w:tcPr>
            <w:tcW w:w="1647" w:type="dxa"/>
            <w:noWrap w:val="0"/>
            <w:vAlign w:val="center"/>
          </w:tcPr>
          <w:p w14:paraId="086025D8">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项目名称：</w:t>
            </w:r>
          </w:p>
        </w:tc>
        <w:tc>
          <w:tcPr>
            <w:tcW w:w="3778" w:type="dxa"/>
            <w:noWrap w:val="0"/>
            <w:vAlign w:val="center"/>
          </w:tcPr>
          <w:p w14:paraId="48DC2190">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温州市沿海视频监控系统升级改造项目</w:t>
            </w:r>
          </w:p>
        </w:tc>
      </w:tr>
      <w:tr w14:paraId="171327E2">
        <w:tblPrEx>
          <w:tblCellMar>
            <w:top w:w="0" w:type="dxa"/>
            <w:left w:w="108" w:type="dxa"/>
            <w:bottom w:w="0" w:type="dxa"/>
            <w:right w:w="108" w:type="dxa"/>
          </w:tblCellMar>
        </w:tblPrEx>
        <w:trPr>
          <w:trHeight w:val="510" w:hRule="atLeast"/>
          <w:jc w:val="center"/>
        </w:trPr>
        <w:tc>
          <w:tcPr>
            <w:tcW w:w="1647" w:type="dxa"/>
            <w:noWrap w:val="0"/>
            <w:vAlign w:val="center"/>
          </w:tcPr>
          <w:p w14:paraId="5FB7C7FB">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招标方式：</w:t>
            </w:r>
          </w:p>
        </w:tc>
        <w:tc>
          <w:tcPr>
            <w:tcW w:w="3778" w:type="dxa"/>
            <w:noWrap w:val="0"/>
            <w:vAlign w:val="center"/>
          </w:tcPr>
          <w:p w14:paraId="45130901">
            <w:pP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公开招标</w:t>
            </w:r>
          </w:p>
        </w:tc>
      </w:tr>
    </w:tbl>
    <w:p w14:paraId="1A7FDD5F">
      <w:pPr>
        <w:spacing w:line="360" w:lineRule="auto"/>
        <w:ind w:firstLine="1350" w:firstLineChars="450"/>
        <w:rPr>
          <w:rFonts w:hint="eastAsia" w:ascii="仿宋_GB2312" w:hAnsi="仿宋_GB2312" w:eastAsia="仿宋_GB2312" w:cs="仿宋_GB2312"/>
          <w:color w:val="auto"/>
          <w:spacing w:val="30"/>
          <w:sz w:val="24"/>
          <w:highlight w:val="none"/>
        </w:rPr>
      </w:pPr>
    </w:p>
    <w:p w14:paraId="598EF083">
      <w:pPr>
        <w:tabs>
          <w:tab w:val="center" w:pos="4153"/>
          <w:tab w:val="right" w:pos="8306"/>
        </w:tabs>
        <w:snapToGrid w:val="0"/>
        <w:spacing w:line="600" w:lineRule="exact"/>
        <w:jc w:val="center"/>
        <w:rPr>
          <w:rFonts w:hint="eastAsia" w:ascii="仿宋_GB2312" w:hAnsi="仿宋_GB2312" w:eastAsia="仿宋_GB2312" w:cs="仿宋_GB2312"/>
          <w:color w:val="auto"/>
          <w:w w:val="80"/>
          <w:sz w:val="24"/>
          <w:highlight w:val="none"/>
        </w:rPr>
      </w:pPr>
    </w:p>
    <w:p w14:paraId="3B95A0EF">
      <w:pPr>
        <w:tabs>
          <w:tab w:val="center" w:pos="4153"/>
          <w:tab w:val="right" w:pos="8306"/>
        </w:tabs>
        <w:snapToGrid w:val="0"/>
        <w:spacing w:line="600" w:lineRule="exact"/>
        <w:jc w:val="center"/>
        <w:rPr>
          <w:rFonts w:hint="eastAsia" w:ascii="仿宋_GB2312" w:hAnsi="仿宋_GB2312" w:eastAsia="仿宋_GB2312" w:cs="仿宋_GB2312"/>
          <w:color w:val="auto"/>
          <w:w w:val="80"/>
          <w:sz w:val="24"/>
          <w:highlight w:val="none"/>
        </w:rPr>
      </w:pPr>
    </w:p>
    <w:p w14:paraId="1455E647">
      <w:pPr>
        <w:spacing w:line="240" w:lineRule="atLeast"/>
        <w:ind w:firstLine="1152" w:firstLineChars="478"/>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 购 人：温州市渔业应急处置指挥中心</w:t>
      </w:r>
    </w:p>
    <w:p w14:paraId="4A24A55A">
      <w:pPr>
        <w:spacing w:line="240" w:lineRule="atLeast"/>
        <w:ind w:firstLine="1152" w:firstLineChars="478"/>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代理机构：浙江巨合建设项目管理有限公司</w:t>
      </w:r>
    </w:p>
    <w:p w14:paraId="702B4B46">
      <w:pPr>
        <w:spacing w:line="6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二〇二四年</w:t>
      </w:r>
      <w:r>
        <w:rPr>
          <w:rFonts w:hint="eastAsia" w:ascii="仿宋_GB2312" w:hAnsi="仿宋_GB2312" w:eastAsia="仿宋_GB2312" w:cs="仿宋_GB2312"/>
          <w:b/>
          <w:color w:val="auto"/>
          <w:sz w:val="24"/>
          <w:highlight w:val="none"/>
          <w:lang w:val="en-US" w:eastAsia="zh-CN"/>
        </w:rPr>
        <w:t>八</w:t>
      </w:r>
      <w:r>
        <w:rPr>
          <w:rFonts w:hint="eastAsia" w:ascii="仿宋_GB2312" w:hAnsi="仿宋_GB2312" w:eastAsia="仿宋_GB2312" w:cs="仿宋_GB2312"/>
          <w:b/>
          <w:color w:val="auto"/>
          <w:sz w:val="24"/>
          <w:highlight w:val="none"/>
        </w:rPr>
        <w:t>月</w:t>
      </w:r>
    </w:p>
    <w:p w14:paraId="5AF06E3F">
      <w:pPr>
        <w:spacing w:line="360" w:lineRule="auto"/>
        <w:rPr>
          <w:rFonts w:hint="eastAsia" w:ascii="仿宋_GB2312" w:hAnsi="仿宋_GB2312" w:eastAsia="仿宋_GB2312" w:cs="仿宋_GB2312"/>
          <w:b/>
          <w:color w:val="auto"/>
          <w:sz w:val="24"/>
          <w:highlight w:val="none"/>
        </w:rPr>
      </w:pPr>
    </w:p>
    <w:p w14:paraId="760C61B8">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br w:type="page"/>
      </w:r>
      <w:r>
        <w:rPr>
          <w:rFonts w:hint="eastAsia" w:ascii="仿宋_GB2312" w:hAnsi="仿宋_GB2312" w:eastAsia="仿宋_GB2312" w:cs="仿宋_GB2312"/>
          <w:b/>
          <w:bCs/>
          <w:color w:val="auto"/>
          <w:sz w:val="24"/>
          <w:highlight w:val="none"/>
        </w:rPr>
        <w:t>目    录</w:t>
      </w:r>
    </w:p>
    <w:p w14:paraId="09466B68">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aps w:val="0"/>
          <w:color w:val="auto"/>
          <w:highlight w:val="none"/>
        </w:rPr>
        <w:fldChar w:fldCharType="begin"/>
      </w:r>
      <w:r>
        <w:rPr>
          <w:rFonts w:hint="eastAsia" w:ascii="仿宋_GB2312" w:hAnsi="仿宋_GB2312" w:eastAsia="仿宋_GB2312" w:cs="仿宋_GB2312"/>
          <w:b w:val="0"/>
          <w:bCs w:val="0"/>
          <w:caps w:val="0"/>
          <w:color w:val="auto"/>
          <w:highlight w:val="none"/>
        </w:rPr>
        <w:instrText xml:space="preserve"> TOC \o "1-3" \h \z \u </w:instrText>
      </w:r>
      <w:r>
        <w:rPr>
          <w:rFonts w:hint="eastAsia" w:ascii="仿宋_GB2312" w:hAnsi="仿宋_GB2312" w:eastAsia="仿宋_GB2312" w:cs="仿宋_GB2312"/>
          <w:b w:val="0"/>
          <w:bCs w:val="0"/>
          <w:caps w:val="0"/>
          <w:color w:val="auto"/>
          <w:highlight w:val="none"/>
        </w:rPr>
        <w:fldChar w:fldCharType="separate"/>
      </w: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_Toc10608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邀 请 函</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_Toc10608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4C9A572F">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_Toc26724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投标须知前附表</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_Toc26724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7</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69A6EB50">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_Toc17921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第一部分    投标人须知</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_Toc17921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10</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5A24DC2D">
      <w:pPr>
        <w:pStyle w:val="48"/>
        <w:tabs>
          <w:tab w:val="right" w:leader="dot" w:pos="9070"/>
        </w:tabs>
        <w:ind w:left="638" w:leftChars="304"/>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_Toc3818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一、 说明</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_Toc3818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10</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02A849CA">
      <w:pPr>
        <w:pStyle w:val="48"/>
        <w:tabs>
          <w:tab w:val="right" w:leader="dot" w:pos="9070"/>
        </w:tabs>
        <w:ind w:left="638" w:leftChars="304"/>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_Toc15200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二、 招标文件</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_Toc15200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10</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1E47AB60">
      <w:pPr>
        <w:pStyle w:val="48"/>
        <w:tabs>
          <w:tab w:val="right" w:leader="dot" w:pos="9070"/>
        </w:tabs>
        <w:ind w:left="638" w:leftChars="304"/>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_Toc23329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三、 投标文件的编制</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_Toc23329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11</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660FDEC5">
      <w:pPr>
        <w:pStyle w:val="48"/>
        <w:tabs>
          <w:tab w:val="right" w:leader="dot" w:pos="9070"/>
        </w:tabs>
        <w:ind w:left="638" w:leftChars="304"/>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_Toc7268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四、 投标文件的递交</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_Toc7268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15</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77555B91">
      <w:pPr>
        <w:pStyle w:val="48"/>
        <w:tabs>
          <w:tab w:val="right" w:leader="dot" w:pos="9070"/>
        </w:tabs>
        <w:ind w:left="638" w:leftChars="304"/>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_Toc1847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五、 开标和评标</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_Toc1847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16</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11541BD3">
      <w:pPr>
        <w:pStyle w:val="48"/>
        <w:tabs>
          <w:tab w:val="right" w:leader="dot" w:pos="9070"/>
        </w:tabs>
        <w:ind w:left="638" w:leftChars="304"/>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_Toc19031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六、 授予合同</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_Toc19031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19</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32009BBB">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_Toc2013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 xml:space="preserve">第二部分   </w:t>
      </w:r>
      <w:bookmarkStart w:id="0" w:name="_Hlt147757683"/>
      <w:bookmarkStart w:id="1" w:name="_Hlt148017768"/>
      <w:bookmarkStart w:id="2" w:name="_Hlt147757682"/>
      <w:bookmarkStart w:id="3" w:name="_Hlt148017767"/>
      <w:r>
        <w:rPr>
          <w:rFonts w:hint="eastAsia" w:ascii="仿宋_GB2312" w:hAnsi="仿宋_GB2312" w:eastAsia="仿宋_GB2312" w:cs="仿宋_GB2312"/>
          <w:color w:val="auto"/>
          <w:highlight w:val="none"/>
        </w:rPr>
        <w:t>温州市沿海视频监控</w:t>
      </w:r>
      <w:bookmarkStart w:id="4" w:name="_Hlt170138629"/>
      <w:r>
        <w:rPr>
          <w:rFonts w:hint="eastAsia" w:ascii="仿宋_GB2312" w:hAnsi="仿宋_GB2312" w:eastAsia="仿宋_GB2312" w:cs="仿宋_GB2312"/>
          <w:color w:val="auto"/>
          <w:highlight w:val="none"/>
        </w:rPr>
        <w:t>系</w:t>
      </w:r>
      <w:bookmarkEnd w:id="4"/>
      <w:r>
        <w:rPr>
          <w:rFonts w:hint="eastAsia" w:ascii="仿宋_GB2312" w:hAnsi="仿宋_GB2312" w:eastAsia="仿宋_GB2312" w:cs="仿宋_GB2312"/>
          <w:color w:val="auto"/>
          <w:highlight w:val="none"/>
        </w:rPr>
        <w:t>统</w:t>
      </w:r>
      <w:bookmarkStart w:id="5" w:name="_Hlt170138858"/>
      <w:r>
        <w:rPr>
          <w:rFonts w:hint="eastAsia" w:ascii="仿宋_GB2312" w:hAnsi="仿宋_GB2312" w:eastAsia="仿宋_GB2312" w:cs="仿宋_GB2312"/>
          <w:color w:val="auto"/>
          <w:highlight w:val="none"/>
        </w:rPr>
        <w:t>升</w:t>
      </w:r>
      <w:bookmarkEnd w:id="5"/>
      <w:r>
        <w:rPr>
          <w:rFonts w:hint="eastAsia" w:ascii="仿宋_GB2312" w:hAnsi="仿宋_GB2312" w:eastAsia="仿宋_GB2312" w:cs="仿宋_GB2312"/>
          <w:color w:val="auto"/>
          <w:highlight w:val="none"/>
        </w:rPr>
        <w:t>级改造</w:t>
      </w:r>
      <w:bookmarkStart w:id="6" w:name="_Hlt170139015"/>
      <w:r>
        <w:rPr>
          <w:rFonts w:hint="eastAsia" w:ascii="仿宋_GB2312" w:hAnsi="仿宋_GB2312" w:eastAsia="仿宋_GB2312" w:cs="仿宋_GB2312"/>
          <w:color w:val="auto"/>
          <w:highlight w:val="none"/>
        </w:rPr>
        <w:t>项</w:t>
      </w:r>
      <w:bookmarkEnd w:id="6"/>
      <w:r>
        <w:rPr>
          <w:rFonts w:hint="eastAsia" w:ascii="仿宋_GB2312" w:hAnsi="仿宋_GB2312" w:eastAsia="仿宋_GB2312" w:cs="仿宋_GB2312"/>
          <w:color w:val="auto"/>
          <w:highlight w:val="none"/>
        </w:rPr>
        <w:t>目合同</w:t>
      </w:r>
      <w:r>
        <w:rPr>
          <w:rFonts w:hint="eastAsia" w:ascii="仿宋_GB2312" w:hAnsi="仿宋_GB2312" w:eastAsia="仿宋_GB2312" w:cs="仿宋_GB2312"/>
          <w:color w:val="auto"/>
          <w:highlight w:val="none"/>
        </w:rPr>
        <w:tab/>
      </w:r>
      <w:bookmarkEnd w:id="0"/>
      <w:bookmarkEnd w:id="1"/>
      <w:bookmarkEnd w:id="2"/>
      <w:bookmarkEnd w:id="3"/>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_Toc2013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22</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45373616">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_Toc17802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第三部分   附件</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_Toc17802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29</w:t>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Cs w:val="0"/>
          <w:caps w:val="0"/>
          <w:color w:val="auto"/>
          <w:highlight w:val="none"/>
        </w:rPr>
        <w:fldChar w:fldCharType="end"/>
      </w:r>
    </w:p>
    <w:p w14:paraId="66F64690">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_Toc9048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第四部分   采购内容及要求</w:t>
      </w:r>
      <w:bookmarkStart w:id="7" w:name="_Hlt142991212"/>
      <w:bookmarkStart w:id="8" w:name="_Hlt142991213"/>
      <w:r>
        <w:rPr>
          <w:rFonts w:hint="eastAsia" w:ascii="仿宋_GB2312" w:hAnsi="仿宋_GB2312" w:eastAsia="仿宋_GB2312" w:cs="仿宋_GB2312"/>
          <w:color w:val="auto"/>
          <w:highlight w:val="none"/>
        </w:rPr>
        <w:tab/>
      </w:r>
      <w:bookmarkEnd w:id="7"/>
      <w:bookmarkEnd w:id="8"/>
      <w:bookmarkStart w:id="9" w:name="_Hlt170145152"/>
      <w:bookmarkStart w:id="10" w:name="_Hlt170145174"/>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_Toc9048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41</w:t>
      </w:r>
      <w:r>
        <w:rPr>
          <w:rFonts w:hint="eastAsia" w:ascii="仿宋_GB2312" w:hAnsi="仿宋_GB2312" w:eastAsia="仿宋_GB2312" w:cs="仿宋_GB2312"/>
          <w:color w:val="auto"/>
          <w:highlight w:val="none"/>
        </w:rPr>
        <w:fldChar w:fldCharType="end"/>
      </w:r>
      <w:bookmarkEnd w:id="9"/>
      <w:bookmarkEnd w:id="10"/>
      <w:r>
        <w:rPr>
          <w:rFonts w:hint="eastAsia" w:ascii="仿宋_GB2312" w:hAnsi="仿宋_GB2312" w:eastAsia="仿宋_GB2312" w:cs="仿宋_GB2312"/>
          <w:bCs w:val="0"/>
          <w:caps w:val="0"/>
          <w:color w:val="auto"/>
          <w:highlight w:val="none"/>
        </w:rPr>
        <w:fldChar w:fldCharType="end"/>
      </w:r>
    </w:p>
    <w:p w14:paraId="7AD49CCD">
      <w:pPr>
        <w:pStyle w:val="48"/>
        <w:tabs>
          <w:tab w:val="right" w:leader="dot" w:pos="9070"/>
        </w:tabs>
        <w:rPr>
          <w:rFonts w:hint="eastAsia" w:ascii="仿宋_GB2312" w:hAnsi="仿宋_GB2312" w:eastAsia="仿宋_GB2312" w:cs="仿宋_GB2312"/>
          <w:color w:val="auto"/>
          <w:highlight w:val="none"/>
        </w:rPr>
      </w:pPr>
      <w:r>
        <w:rPr>
          <w:rFonts w:hint="eastAsia" w:ascii="仿宋_GB2312" w:hAnsi="仿宋_GB2312" w:eastAsia="仿宋_GB2312" w:cs="仿宋_GB2312"/>
          <w:bCs w:val="0"/>
          <w:caps w:val="0"/>
          <w:color w:val="auto"/>
          <w:highlight w:val="none"/>
        </w:rPr>
        <w:fldChar w:fldCharType="begin"/>
      </w:r>
      <w:r>
        <w:rPr>
          <w:rFonts w:hint="eastAsia" w:ascii="仿宋_GB2312" w:hAnsi="仿宋_GB2312" w:eastAsia="仿宋_GB2312" w:cs="仿宋_GB2312"/>
          <w:bCs w:val="0"/>
          <w:caps w:val="0"/>
          <w:color w:val="auto"/>
          <w:highlight w:val="none"/>
        </w:rPr>
        <w:instrText xml:space="preserve"> HYPERLINK \l _Toc4253 </w:instrText>
      </w:r>
      <w:r>
        <w:rPr>
          <w:rFonts w:hint="eastAsia" w:ascii="仿宋_GB2312" w:hAnsi="仿宋_GB2312" w:eastAsia="仿宋_GB2312" w:cs="仿宋_GB2312"/>
          <w:bCs w:val="0"/>
          <w:caps w:val="0"/>
          <w:color w:val="auto"/>
          <w:highlight w:val="none"/>
        </w:rPr>
        <w:fldChar w:fldCharType="separate"/>
      </w:r>
      <w:r>
        <w:rPr>
          <w:rFonts w:hint="eastAsia" w:ascii="仿宋_GB2312" w:hAnsi="仿宋_GB2312" w:eastAsia="仿宋_GB2312" w:cs="仿宋_GB2312"/>
          <w:color w:val="auto"/>
          <w:highlight w:val="none"/>
        </w:rPr>
        <w:t>第五部分  评标定标办法</w:t>
      </w:r>
      <w:bookmarkStart w:id="11" w:name="_Hlt170137253"/>
      <w:r>
        <w:rPr>
          <w:rFonts w:hint="eastAsia" w:ascii="仿宋_GB2312" w:hAnsi="仿宋_GB2312" w:eastAsia="仿宋_GB2312" w:cs="仿宋_GB2312"/>
          <w:color w:val="auto"/>
          <w:highlight w:val="none"/>
        </w:rPr>
        <w:tab/>
      </w:r>
      <w:bookmarkEnd w:id="11"/>
      <w:bookmarkStart w:id="12" w:name="_Hlt170145135"/>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PAGEREF _Toc4253 \h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highlight w:val="none"/>
        </w:rPr>
        <w:t>99</w:t>
      </w:r>
      <w:r>
        <w:rPr>
          <w:rFonts w:hint="eastAsia" w:ascii="仿宋_GB2312" w:hAnsi="仿宋_GB2312" w:eastAsia="仿宋_GB2312" w:cs="仿宋_GB2312"/>
          <w:color w:val="auto"/>
          <w:highlight w:val="none"/>
        </w:rPr>
        <w:fldChar w:fldCharType="end"/>
      </w:r>
      <w:bookmarkEnd w:id="12"/>
      <w:r>
        <w:rPr>
          <w:rFonts w:hint="eastAsia" w:ascii="仿宋_GB2312" w:hAnsi="仿宋_GB2312" w:eastAsia="仿宋_GB2312" w:cs="仿宋_GB2312"/>
          <w:bCs w:val="0"/>
          <w:caps w:val="0"/>
          <w:color w:val="auto"/>
          <w:highlight w:val="none"/>
        </w:rPr>
        <w:fldChar w:fldCharType="end"/>
      </w:r>
    </w:p>
    <w:p w14:paraId="15E068CE">
      <w:pPr>
        <w:spacing w:before="120" w:beforeLines="50"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Cs/>
          <w:caps/>
          <w:color w:val="auto"/>
          <w:sz w:val="24"/>
          <w:highlight w:val="none"/>
        </w:rPr>
        <w:fldChar w:fldCharType="end"/>
      </w:r>
    </w:p>
    <w:p w14:paraId="11F9F94D">
      <w:pPr>
        <w:spacing w:before="120" w:beforeLines="50" w:line="360" w:lineRule="auto"/>
        <w:rPr>
          <w:rFonts w:hint="eastAsia" w:ascii="仿宋_GB2312" w:hAnsi="仿宋_GB2312" w:eastAsia="仿宋_GB2312" w:cs="仿宋_GB2312"/>
          <w:b/>
          <w:color w:val="auto"/>
          <w:sz w:val="24"/>
          <w:highlight w:val="none"/>
        </w:rPr>
      </w:pPr>
    </w:p>
    <w:p w14:paraId="2AACDDBC">
      <w:pPr>
        <w:spacing w:before="120" w:beforeLines="50"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注：本招标文件中部分加“▲”且加下划线的条款，为招标的实质性要求和条件，着重提醒各投标人注意，并认真查看招标文件中的每一个条款及要求，因误读招标文件而造成的后果，招标人概不负责</w:t>
      </w:r>
      <w:bookmarkStart w:id="13" w:name="_Toc391972464"/>
    </w:p>
    <w:bookmarkEnd w:id="13"/>
    <w:p w14:paraId="18189466">
      <w:pPr>
        <w:pStyle w:val="6"/>
        <w:spacing w:line="240" w:lineRule="auto"/>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bCs/>
          <w:color w:val="auto"/>
          <w:szCs w:val="24"/>
          <w:highlight w:val="none"/>
        </w:rPr>
        <w:br w:type="page"/>
      </w:r>
      <w:bookmarkStart w:id="14" w:name="_Toc48574585"/>
      <w:bookmarkStart w:id="15" w:name="_Toc10608"/>
      <w:bookmarkStart w:id="16" w:name="_Toc511982636"/>
      <w:bookmarkStart w:id="17" w:name="_Toc435995093"/>
      <w:bookmarkStart w:id="18" w:name="_Toc15028"/>
      <w:bookmarkStart w:id="19" w:name="_Toc434310670"/>
      <w:bookmarkStart w:id="20" w:name="_Toc361035134"/>
      <w:r>
        <w:rPr>
          <w:rFonts w:hint="eastAsia" w:ascii="仿宋_GB2312" w:hAnsi="仿宋_GB2312" w:eastAsia="仿宋_GB2312" w:cs="仿宋_GB2312"/>
          <w:color w:val="auto"/>
          <w:szCs w:val="24"/>
          <w:highlight w:val="none"/>
        </w:rPr>
        <w:t>邀 请 函</w:t>
      </w:r>
      <w:bookmarkEnd w:id="14"/>
      <w:bookmarkEnd w:id="15"/>
    </w:p>
    <w:p w14:paraId="1B84DA8D">
      <w:pPr>
        <w:spacing w:line="312"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w:t>
      </w:r>
    </w:p>
    <w:bookmarkEnd w:id="16"/>
    <w:bookmarkEnd w:id="17"/>
    <w:bookmarkEnd w:id="18"/>
    <w:bookmarkEnd w:id="19"/>
    <w:p w14:paraId="3ED323DA">
      <w:pPr>
        <w:widowControl/>
        <w:spacing w:line="400" w:lineRule="exact"/>
        <w:ind w:left="61" w:leftChars="29" w:right="6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中华人民共和国政府采购法》等有关规定，经政府采购管理部门批准，浙江巨合建设项目管理有限公司受温州市渔业应急处置指挥中心委托，就温州市沿海视频监控系统升级改造项目以公开招标方式进行政府采购，欢迎国内合格的投标人前来投标。</w:t>
      </w:r>
    </w:p>
    <w:p w14:paraId="487929A0">
      <w:pPr>
        <w:widowControl/>
        <w:spacing w:line="400" w:lineRule="exact"/>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一、招标项目编号：</w:t>
      </w:r>
      <w:r>
        <w:rPr>
          <w:rFonts w:hint="eastAsia" w:ascii="仿宋_GB2312" w:hAnsi="仿宋_GB2312" w:eastAsia="仿宋_GB2312" w:cs="仿宋_GB2312"/>
          <w:color w:val="auto"/>
          <w:kern w:val="0"/>
          <w:sz w:val="24"/>
          <w:highlight w:val="none"/>
          <w:lang w:eastAsia="zh-CN"/>
        </w:rPr>
        <w:t>WZJHCG-20240817</w:t>
      </w:r>
    </w:p>
    <w:p w14:paraId="02C2AE64">
      <w:pPr>
        <w:widowControl/>
        <w:spacing w:line="40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二、采购组织类型：分散委托采购</w:t>
      </w:r>
    </w:p>
    <w:p w14:paraId="6E69A49E">
      <w:pPr>
        <w:widowControl/>
        <w:spacing w:line="40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三、招标项目概况（内容、用途、数量、简要技术要求等）：</w:t>
      </w:r>
    </w:p>
    <w:bookmarkEnd w:id="20"/>
    <w:tbl>
      <w:tblPr>
        <w:tblStyle w:val="65"/>
        <w:tblW w:w="9760" w:type="dxa"/>
        <w:jc w:val="center"/>
        <w:tblLayout w:type="fixed"/>
        <w:tblCellMar>
          <w:top w:w="0" w:type="dxa"/>
          <w:left w:w="108" w:type="dxa"/>
          <w:bottom w:w="0" w:type="dxa"/>
          <w:right w:w="108" w:type="dxa"/>
        </w:tblCellMar>
      </w:tblPr>
      <w:tblGrid>
        <w:gridCol w:w="768"/>
        <w:gridCol w:w="1641"/>
        <w:gridCol w:w="710"/>
        <w:gridCol w:w="1189"/>
        <w:gridCol w:w="1200"/>
        <w:gridCol w:w="1177"/>
        <w:gridCol w:w="3075"/>
      </w:tblGrid>
      <w:tr w14:paraId="1C5305D9">
        <w:tblPrEx>
          <w:tblCellMar>
            <w:top w:w="0" w:type="dxa"/>
            <w:left w:w="108" w:type="dxa"/>
            <w:bottom w:w="0" w:type="dxa"/>
            <w:right w:w="108" w:type="dxa"/>
          </w:tblCellMar>
        </w:tblPrEx>
        <w:trPr>
          <w:trHeight w:val="591"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5AA447">
            <w:pPr>
              <w:spacing w:line="360" w:lineRule="auto"/>
              <w:jc w:val="center"/>
              <w:rPr>
                <w:rFonts w:hint="eastAsia" w:ascii="仿宋_GB2312" w:hAnsi="仿宋_GB2312" w:eastAsia="仿宋_GB2312" w:cs="仿宋_GB2312"/>
                <w:color w:val="auto"/>
                <w:sz w:val="24"/>
                <w:highlight w:val="none"/>
              </w:rPr>
            </w:pPr>
            <w:bookmarkStart w:id="21" w:name="B09_招标内容"/>
            <w:bookmarkEnd w:id="21"/>
            <w:r>
              <w:rPr>
                <w:rFonts w:hint="eastAsia" w:ascii="仿宋_GB2312" w:hAnsi="仿宋_GB2312" w:eastAsia="仿宋_GB2312" w:cs="仿宋_GB2312"/>
                <w:color w:val="auto"/>
                <w:sz w:val="24"/>
                <w:highlight w:val="none"/>
              </w:rPr>
              <w:t>序号</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E5680A">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采购内容</w:t>
            </w:r>
          </w:p>
        </w:tc>
        <w:tc>
          <w:tcPr>
            <w:tcW w:w="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C7854">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w:t>
            </w:r>
          </w:p>
        </w:tc>
        <w:tc>
          <w:tcPr>
            <w:tcW w:w="118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51C3636">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预算金额</w:t>
            </w:r>
          </w:p>
          <w:p w14:paraId="3098C247">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0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E7AB117">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最高限价（</w:t>
            </w:r>
            <w:r>
              <w:rPr>
                <w:rFonts w:hint="eastAsia" w:ascii="仿宋_GB2312" w:hAnsi="仿宋_GB2312" w:eastAsia="仿宋_GB2312" w:cs="仿宋_GB2312"/>
                <w:color w:val="auto"/>
                <w:sz w:val="24"/>
                <w:highlight w:val="none"/>
              </w:rPr>
              <w:t>万元</w:t>
            </w:r>
            <w:r>
              <w:rPr>
                <w:rFonts w:hint="eastAsia" w:ascii="仿宋_GB2312" w:hAnsi="仿宋_GB2312" w:eastAsia="仿宋_GB2312" w:cs="仿宋_GB2312"/>
                <w:color w:val="auto"/>
                <w:sz w:val="24"/>
                <w:highlight w:val="none"/>
                <w:lang w:val="en-US" w:eastAsia="zh-CN"/>
              </w:rPr>
              <w:t>）</w:t>
            </w:r>
          </w:p>
        </w:tc>
        <w:tc>
          <w:tcPr>
            <w:tcW w:w="117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FAF9F73">
            <w:pPr>
              <w:autoSpaceDE w:val="0"/>
              <w:autoSpaceDN w:val="0"/>
              <w:adjustRightInd w:val="0"/>
              <w:spacing w:line="360" w:lineRule="auto"/>
              <w:ind w:right="62"/>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是否允许进口</w:t>
            </w:r>
          </w:p>
        </w:tc>
        <w:tc>
          <w:tcPr>
            <w:tcW w:w="30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B6AB99A">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用途及要求</w:t>
            </w:r>
          </w:p>
        </w:tc>
      </w:tr>
      <w:tr w14:paraId="084708A6">
        <w:tblPrEx>
          <w:tblCellMar>
            <w:top w:w="0" w:type="dxa"/>
            <w:left w:w="108" w:type="dxa"/>
            <w:bottom w:w="0" w:type="dxa"/>
            <w:right w:w="108" w:type="dxa"/>
          </w:tblCellMar>
        </w:tblPrEx>
        <w:trPr>
          <w:trHeight w:val="433"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272FA">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76E09">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温州市沿海视频监控系统升级改造项目</w:t>
            </w:r>
          </w:p>
        </w:tc>
        <w:tc>
          <w:tcPr>
            <w:tcW w:w="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E522F7">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18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691A7980">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1409.05</w:t>
            </w:r>
          </w:p>
        </w:tc>
        <w:tc>
          <w:tcPr>
            <w:tcW w:w="120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FE7891C">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1399.52</w:t>
            </w:r>
          </w:p>
        </w:tc>
        <w:tc>
          <w:tcPr>
            <w:tcW w:w="1177"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17D7271B">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否</w:t>
            </w:r>
          </w:p>
        </w:tc>
        <w:tc>
          <w:tcPr>
            <w:tcW w:w="30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5E5E038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主要包括</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个沿海县（市、区）的前端监控点位新建与升级、网络系统建设、沿海视频监控AI系统开发等内容；详见采购内容及要求</w:t>
            </w:r>
          </w:p>
        </w:tc>
      </w:tr>
    </w:tbl>
    <w:p w14:paraId="4E8F8912">
      <w:pPr>
        <w:widowControl/>
        <w:spacing w:line="40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四、合格投标人资格要求：</w:t>
      </w:r>
    </w:p>
    <w:p w14:paraId="131B90C6">
      <w:pPr>
        <w:widowControl/>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1.符合《中华人民共和国政府采购法》第二十二条规定的投标人参加政府采购活动应当具备的条件。</w:t>
      </w:r>
    </w:p>
    <w:p w14:paraId="3E15BED6">
      <w:pPr>
        <w:widowControl/>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2.未被列入失信被执行人名单、重大税收违法案件当事人名单、政府采购严重违法失信行为记录名单，信用信息以投标截止日信用中国网站（</w:t>
      </w:r>
      <w:bookmarkStart w:id="126" w:name="_GoBack"/>
      <w:bookmarkEnd w:id="126"/>
      <w:r>
        <w:rPr>
          <w:rFonts w:hint="eastAsia" w:ascii="仿宋_GB2312" w:hAnsi="仿宋_GB2312" w:eastAsia="仿宋_GB2312" w:cs="仿宋_GB2312"/>
          <w:color w:val="auto"/>
          <w:kern w:val="0"/>
          <w:sz w:val="24"/>
          <w:highlight w:val="none"/>
        </w:rPr>
        <w:t>www.creditchina.gov.cn）、中国政府采购网（www.ccgp.gov.cn）公布为准。</w:t>
      </w:r>
    </w:p>
    <w:p w14:paraId="1DFA9DED">
      <w:pPr>
        <w:widowControl/>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3.落实政府采购政策需满足的资格要求：无。</w:t>
      </w:r>
    </w:p>
    <w:p w14:paraId="34D1A6EC">
      <w:pPr>
        <w:widowControl/>
        <w:spacing w:line="400" w:lineRule="exact"/>
        <w:ind w:firstLine="480" w:firstLineChars="200"/>
        <w:jc w:val="left"/>
        <w:rPr>
          <w:rFonts w:hint="eastAsia" w:ascii="仿宋_GB2312" w:hAnsi="仿宋_GB2312" w:eastAsia="仿宋_GB2312" w:cs="仿宋_GB2312"/>
          <w:color w:val="auto"/>
          <w:kern w:val="0"/>
          <w:sz w:val="24"/>
          <w:highlight w:val="none"/>
          <w:lang w:val="en"/>
        </w:rPr>
      </w:pPr>
      <w:r>
        <w:rPr>
          <w:rFonts w:hint="eastAsia" w:ascii="仿宋_GB2312" w:hAnsi="仿宋_GB2312" w:eastAsia="仿宋_GB2312" w:cs="仿宋_GB2312"/>
          <w:color w:val="auto"/>
          <w:kern w:val="0"/>
          <w:sz w:val="24"/>
          <w:highlight w:val="none"/>
        </w:rPr>
        <w:t>4.本项目的特定资格要求：无。</w:t>
      </w:r>
    </w:p>
    <w:p w14:paraId="47A012D1">
      <w:pPr>
        <w:widowControl/>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5.本项目不接受联合体投标。</w:t>
      </w:r>
    </w:p>
    <w:p w14:paraId="1074AAFC">
      <w:pPr>
        <w:widowControl/>
        <w:spacing w:line="40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五、招标文件的获取时间及方式等</w:t>
      </w:r>
    </w:p>
    <w:p w14:paraId="060BE37C">
      <w:pPr>
        <w:widowControl/>
        <w:spacing w:line="400" w:lineRule="exact"/>
        <w:ind w:firstLine="426"/>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1.获取时间：即日起至投标文件递交截止时间止。</w:t>
      </w:r>
    </w:p>
    <w:p w14:paraId="7F8EB1C1">
      <w:pPr>
        <w:widowControl/>
        <w:spacing w:line="400" w:lineRule="exact"/>
        <w:ind w:firstLine="426"/>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获取地址：在浙江省政府采购网上已注册供应商,可登录浙江政府采购网（https://zfcg.czt.zj.gov.cn/）进入政采云系统“项目采购”模块“获取采购文件”菜单，进行网上获取采购文件。未在浙江省政府采购网上注册的供应商可以在本项目公告或附件中浏览采购文件。</w:t>
      </w:r>
    </w:p>
    <w:p w14:paraId="4FCCA575">
      <w:pPr>
        <w:widowControl/>
        <w:spacing w:line="400" w:lineRule="exact"/>
        <w:ind w:firstLine="426"/>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3.获取方式：网上获取,本项目不接受现场获取投标文件。</w:t>
      </w:r>
    </w:p>
    <w:p w14:paraId="43170066">
      <w:pPr>
        <w:widowControl/>
        <w:spacing w:line="40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六、投标文件递交截止时间</w:t>
      </w:r>
      <w:r>
        <w:rPr>
          <w:rFonts w:hint="eastAsia" w:ascii="仿宋_GB2312" w:hAnsi="仿宋_GB2312" w:eastAsia="仿宋_GB2312" w:cs="仿宋_GB2312"/>
          <w:color w:val="auto"/>
          <w:kern w:val="0"/>
          <w:sz w:val="24"/>
          <w:highlight w:val="none"/>
        </w:rPr>
        <w:t>：2024年</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月</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日上</w:t>
      </w:r>
      <w:r>
        <w:rPr>
          <w:rFonts w:hint="eastAsia" w:ascii="仿宋_GB2312" w:hAnsi="仿宋_GB2312" w:eastAsia="仿宋_GB2312" w:cs="仿宋_GB2312"/>
          <w:color w:val="auto"/>
          <w:kern w:val="0"/>
          <w:sz w:val="24"/>
          <w:highlight w:val="none"/>
        </w:rPr>
        <w:t>午09:30整（北京时间）</w:t>
      </w:r>
    </w:p>
    <w:p w14:paraId="3379DAB5">
      <w:pPr>
        <w:spacing w:line="400" w:lineRule="exact"/>
        <w:rPr>
          <w:rFonts w:hint="eastAsia" w:ascii="仿宋_GB2312" w:hAnsi="仿宋_GB2312" w:eastAsia="仿宋_GB2312" w:cs="仿宋_GB2312"/>
          <w:b/>
          <w:bCs/>
          <w:color w:val="auto"/>
          <w:sz w:val="24"/>
          <w:highlight w:val="none"/>
        </w:rPr>
      </w:pPr>
      <w:bookmarkStart w:id="22" w:name="_Toc302983079"/>
      <w:bookmarkStart w:id="23" w:name="_Toc255459627"/>
      <w:bookmarkStart w:id="24" w:name="_Toc238443291"/>
      <w:bookmarkStart w:id="25" w:name="_Toc306901432"/>
      <w:bookmarkStart w:id="26" w:name="_Toc261001142"/>
      <w:bookmarkStart w:id="27" w:name="_Toc290043097"/>
      <w:bookmarkStart w:id="28" w:name="_Toc292375883"/>
      <w:bookmarkStart w:id="29" w:name="_Toc239128662"/>
      <w:bookmarkStart w:id="30" w:name="_Toc217998404"/>
      <w:bookmarkStart w:id="31" w:name="_Toc218007233"/>
      <w:bookmarkStart w:id="32" w:name="_Toc261001050"/>
      <w:bookmarkStart w:id="33" w:name="_Toc255819811"/>
      <w:bookmarkStart w:id="34" w:name="_Toc240724370"/>
      <w:bookmarkStart w:id="35" w:name="_Toc248896030"/>
      <w:bookmarkStart w:id="36" w:name="_Toc218007964"/>
      <w:bookmarkStart w:id="37" w:name="_Toc301444175"/>
      <w:bookmarkStart w:id="38" w:name="_Toc237079655"/>
      <w:bookmarkStart w:id="39" w:name="_Toc248896178"/>
      <w:bookmarkStart w:id="40" w:name="_Toc248896337"/>
      <w:bookmarkStart w:id="41" w:name="_Toc255821805"/>
      <w:bookmarkStart w:id="42" w:name="_Toc240724035"/>
      <w:bookmarkStart w:id="43" w:name="_Toc237138379"/>
      <w:bookmarkStart w:id="44" w:name="_Toc277078927"/>
      <w:bookmarkStart w:id="45" w:name="_Toc283973062"/>
      <w:bookmarkStart w:id="46" w:name="_Toc237656256"/>
      <w:r>
        <w:rPr>
          <w:rFonts w:hint="eastAsia" w:ascii="仿宋_GB2312" w:hAnsi="仿宋_GB2312" w:eastAsia="仿宋_GB2312" w:cs="仿宋_GB2312"/>
          <w:b/>
          <w:bCs/>
          <w:color w:val="auto"/>
          <w:sz w:val="24"/>
          <w:highlight w:val="none"/>
        </w:rPr>
        <w:t>七、投标文件提交：</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6454121">
      <w:pPr>
        <w:adjustRightInd w:val="0"/>
        <w:snapToGri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投标文件形式：通过政采云平台电子投标工具（政采云电子投标客户端）生成的，一份为加密标书（用于供应商投标上传），其中加密标书文件后缀格式为.jmbs；以及一份为备份标书（用于开标解密时异常处理使用，采用介质存储的U盘），备份标书文件后缀格式为.bfbs。</w:t>
      </w:r>
    </w:p>
    <w:p w14:paraId="62CD3636">
      <w:pPr>
        <w:adjustRightInd w:val="0"/>
        <w:snapToGri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2.投标文件提交</w:t>
      </w:r>
    </w:p>
    <w:p w14:paraId="57811BE4">
      <w:pPr>
        <w:adjustRightInd w:val="0"/>
        <w:snapToGri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（1）电子投标文件：投标截止时间前在政采云平台完成电子投标文件的传输提交；</w:t>
      </w:r>
    </w:p>
    <w:p w14:paraId="5C339F3E">
      <w:pPr>
        <w:adjustRightInd w:val="0"/>
        <w:snapToGri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备份电子投标文件：以介质存储的数据电文形式的备份电子投标文件（U盘，下同）。投标截止时间前将介质存储的数据电文形式的备份电子投标文件密封后送至采购代理机构（采用邮寄方式的建议在投标截止时间前1天送达，邮寄地址、收件人及电话详见代理机构联系方式）。逾期送达或未密封的投标文件将被采购人及采购代理机构拒收。</w:t>
      </w:r>
    </w:p>
    <w:p w14:paraId="474FA296">
      <w:pPr>
        <w:adjustRightInd w:val="0"/>
        <w:snapToGri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（3）标书解密时间：在采购代理机构发布标书解密指令后30分钟内完成解密，解密异常可以由采购代理使用备份电子投标文件上传处理。所有响应文件解密失败的视作无效标。</w:t>
      </w:r>
    </w:p>
    <w:p w14:paraId="513B1353">
      <w:p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八、开标时间：</w:t>
      </w:r>
      <w:bookmarkStart w:id="47" w:name="B25_谈判时间日期"/>
      <w:bookmarkEnd w:id="47"/>
      <w:r>
        <w:rPr>
          <w:rFonts w:hint="eastAsia" w:ascii="仿宋_GB2312" w:hAnsi="仿宋_GB2312" w:eastAsia="仿宋_GB2312" w:cs="仿宋_GB2312"/>
          <w:b/>
          <w:bCs/>
          <w:color w:val="auto"/>
          <w:sz w:val="24"/>
          <w:highlight w:val="none"/>
        </w:rPr>
        <w:t>20</w:t>
      </w:r>
      <w:r>
        <w:rPr>
          <w:rFonts w:hint="eastAsia" w:ascii="仿宋_GB2312" w:hAnsi="仿宋_GB2312" w:eastAsia="仿宋_GB2312" w:cs="仿宋_GB2312"/>
          <w:b/>
          <w:bCs/>
          <w:color w:val="auto"/>
          <w:sz w:val="24"/>
          <w:highlight w:val="none"/>
        </w:rPr>
        <w:t>24年</w:t>
      </w:r>
      <w:r>
        <w:rPr>
          <w:rFonts w:hint="eastAsia" w:ascii="仿宋_GB2312" w:hAnsi="仿宋_GB2312" w:eastAsia="仿宋_GB2312" w:cs="仿宋_GB2312"/>
          <w:b/>
          <w:bCs/>
          <w:color w:val="auto"/>
          <w:sz w:val="24"/>
          <w:highlight w:val="none"/>
          <w:lang w:val="en-US" w:eastAsia="zh-CN"/>
        </w:rPr>
        <w:t>9</w:t>
      </w:r>
      <w:r>
        <w:rPr>
          <w:rFonts w:hint="eastAsia" w:ascii="仿宋_GB2312" w:hAnsi="仿宋_GB2312" w:eastAsia="仿宋_GB2312" w:cs="仿宋_GB2312"/>
          <w:b/>
          <w:bCs/>
          <w:color w:val="auto"/>
          <w:sz w:val="24"/>
          <w:highlight w:val="none"/>
        </w:rPr>
        <w:t>月</w:t>
      </w:r>
      <w:r>
        <w:rPr>
          <w:rFonts w:hint="eastAsia" w:ascii="仿宋_GB2312" w:hAnsi="仿宋_GB2312" w:eastAsia="仿宋_GB2312" w:cs="仿宋_GB2312"/>
          <w:b/>
          <w:bCs/>
          <w:color w:val="auto"/>
          <w:sz w:val="24"/>
          <w:highlight w:val="none"/>
          <w:lang w:val="en-US" w:eastAsia="zh-CN"/>
        </w:rPr>
        <w:t>9</w:t>
      </w:r>
      <w:r>
        <w:rPr>
          <w:rFonts w:hint="eastAsia" w:ascii="仿宋_GB2312" w:hAnsi="仿宋_GB2312" w:eastAsia="仿宋_GB2312" w:cs="仿宋_GB2312"/>
          <w:b/>
          <w:bCs/>
          <w:color w:val="auto"/>
          <w:sz w:val="24"/>
          <w:highlight w:val="none"/>
        </w:rPr>
        <w:t>日</w:t>
      </w:r>
      <w:r>
        <w:rPr>
          <w:rFonts w:hint="eastAsia" w:ascii="仿宋_GB2312" w:hAnsi="仿宋_GB2312" w:eastAsia="仿宋_GB2312" w:cs="仿宋_GB2312"/>
          <w:b/>
          <w:bCs/>
          <w:color w:val="auto"/>
          <w:sz w:val="24"/>
          <w:highlight w:val="none"/>
        </w:rPr>
        <w:t>上午09:30整（北京时间）</w:t>
      </w:r>
    </w:p>
    <w:p w14:paraId="6E4252E8">
      <w:p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九、开标地点：采用政采云平台在线开标，浙江政府采购网（zfcg.czt.zj.gov.cn）。</w:t>
      </w:r>
    </w:p>
    <w:p w14:paraId="1AB09BDB">
      <w:p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十、开标、评标现场：温州市政务服务管理中心开标室（温州市会展路1268号A座3楼，见当日大厅公示栏)</w:t>
      </w:r>
    </w:p>
    <w:p w14:paraId="50981B65">
      <w:p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十一、其他事项：</w:t>
      </w:r>
    </w:p>
    <w:p w14:paraId="059BB65C">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供应商认为招标文件、采购过程和采购结果使自己的权益受到损害的，可以在知道或者应知其权益受到损害之日起七个工作日内，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27531A">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供应商应知其权益受到损害之日，是指：</w:t>
      </w:r>
    </w:p>
    <w:p w14:paraId="1F3B4674">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止不足七个工作日的，应当在响应文件递交截止时间前提出。</w:t>
      </w:r>
    </w:p>
    <w:p w14:paraId="424891BD">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（2）对采购过程提出质疑的，为各采购程序环节结束之日。</w:t>
      </w:r>
    </w:p>
    <w:p w14:paraId="66E1284D">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（3）对采购结果提出质疑的，为成交结果公告期限届满之日。</w:t>
      </w:r>
    </w:p>
    <w:p w14:paraId="5A029AB8">
      <w:pPr>
        <w:spacing w:line="400" w:lineRule="exact"/>
        <w:ind w:firstLine="42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2、采购项目需要落实的政府采购政策</w:t>
      </w:r>
    </w:p>
    <w:p w14:paraId="1D867827">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本项目对符合财政扶持政策的中小企业（小型、微型）、监狱企业、残疾人福利性单位给予价格优惠扶持，价格优惠扶持详见招标文件《评标原则及方法》。</w:t>
      </w:r>
    </w:p>
    <w:p w14:paraId="52C80DD7">
      <w:pPr>
        <w:adjustRightInd w:val="0"/>
        <w:spacing w:line="400" w:lineRule="exact"/>
        <w:ind w:firstLine="482" w:firstLineChars="20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3、特别说明</w:t>
      </w:r>
    </w:p>
    <w:p w14:paraId="3C3E4B24">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（1）本项目实行电子招投标，应按照本项目投标文件和政采云平台的要求编制；投标供应商在使用系统进行投标的过程中遇到涉及平台使用的任何问题，可致电政采云平台技术支持热线咨询，联系方式：95763。</w:t>
      </w:r>
    </w:p>
    <w:p w14:paraId="020622ED">
      <w:pPr>
        <w:spacing w:line="400" w:lineRule="exact"/>
        <w:ind w:firstLine="42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投标供应商应在开标前完成CA数字证书办理（已经办理CA锁的须注意有效期限，办理流程详见http://zfcg.czt.zj.gov.cn/bidClientTemplate/2019-05-27/12945.html）。完成CA数字证书办理预计一周左右，建议各投标供应商抓紧时间办理，如有CA锁办理问题可联系客服95763。</w:t>
      </w:r>
    </w:p>
    <w:p w14:paraId="20CB8D65">
      <w:pPr>
        <w:spacing w:line="400" w:lineRule="exact"/>
        <w:ind w:firstLine="42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（3）投标供应商通过政采云平台电子投标工具（政采云电子交易客户端）制作投标文件，电子投标工具请投标供应商自行前往浙江省政府采购网下载并安装，（下载网址：</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HYPERLINK "http://zfcg.czt.zj.gov.cn/bidClientTemplate/2019-09-24/12975.html），有关电子投标具体流程可以进入政府采购云平台服务中心（https:/service.zcygov.cn/" \l "/）搜寻相关内容或咨询政采云平台客服。" </w:instrText>
      </w:r>
      <w:r>
        <w:rPr>
          <w:rFonts w:hint="eastAsia" w:ascii="仿宋_GB2312" w:hAnsi="仿宋_GB2312" w:eastAsia="仿宋_GB2312" w:cs="仿宋_GB2312"/>
          <w:color w:val="auto"/>
          <w:sz w:val="24"/>
          <w:highlight w:val="none"/>
        </w:rPr>
        <w:fldChar w:fldCharType="separate"/>
      </w:r>
      <w:r>
        <w:rPr>
          <w:rStyle w:val="75"/>
          <w:rFonts w:hint="eastAsia" w:ascii="仿宋_GB2312" w:hAnsi="仿宋_GB2312" w:eastAsia="仿宋_GB2312" w:cs="仿宋_GB2312"/>
          <w:color w:val="auto"/>
          <w:kern w:val="0"/>
          <w:sz w:val="24"/>
          <w:highlight w:val="none"/>
        </w:rPr>
        <w:t>http://zfcg.czt.zj.gov.cn/bidClientTemplate/2019-09-24/12975.html），有关电子投标具体流程可以进入政府采购云平台服务中心（https://service.zcygov.cn/#/）搜寻相关内容或咨询政采云平台客服。</w:t>
      </w:r>
      <w:r>
        <w:rPr>
          <w:rFonts w:hint="eastAsia" w:ascii="仿宋_GB2312" w:hAnsi="仿宋_GB2312" w:eastAsia="仿宋_GB2312" w:cs="仿宋_GB2312"/>
          <w:color w:val="auto"/>
          <w:kern w:val="0"/>
          <w:sz w:val="24"/>
          <w:highlight w:val="none"/>
        </w:rPr>
        <w:fldChar w:fldCharType="end"/>
      </w:r>
    </w:p>
    <w:p w14:paraId="0EA6913F">
      <w:pPr>
        <w:spacing w:line="400" w:lineRule="exact"/>
        <w:ind w:firstLine="4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逾期递交的电子投标文件，将被政采云平台拒收。</w:t>
      </w:r>
    </w:p>
    <w:p w14:paraId="2F3F0B35">
      <w:pPr>
        <w:spacing w:line="400" w:lineRule="exact"/>
        <w:ind w:firstLine="42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4、其他事项</w:t>
      </w:r>
      <w:r>
        <w:rPr>
          <w:rFonts w:hint="eastAsia" w:ascii="仿宋_GB2312" w:hAnsi="仿宋_GB2312" w:eastAsia="仿宋_GB2312" w:cs="仿宋_GB2312"/>
          <w:color w:val="auto"/>
          <w:kern w:val="0"/>
          <w:sz w:val="24"/>
          <w:highlight w:val="none"/>
        </w:rPr>
        <w:t xml:space="preserve">  </w:t>
      </w:r>
    </w:p>
    <w:p w14:paraId="38595C58">
      <w:pPr>
        <w:adjustRightIn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建议供应商于响应文件递交截止时间前在浙江省政府采购网注册入库，成为正式注册入库供应商。如中标人未在浙江省政府采购网正式注册入库的，采购代理机构将暂缓发出中标通知书，因此造成的后果由该供应商承担。“浙江省政府采购供应商”注册事宜详见浙江省政府采购网官网介绍，客服、技术支持：95763。</w:t>
      </w:r>
    </w:p>
    <w:p w14:paraId="7AF2521A">
      <w:pPr>
        <w:adjustRightIn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（2）本项目相关公告发布网站：“浙江省政府采购网”（http://zfcg.czt.zj.gov.cn）。</w:t>
      </w:r>
    </w:p>
    <w:p w14:paraId="117F728E">
      <w:pPr>
        <w:adjustRightInd w:val="0"/>
        <w:spacing w:line="40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（3）投标文件获取截止日后至投标截止时间前，允许潜在供应商继续获取采购文件。供应商如在采购代理机构发布本项目更正、补充或澄清公告后获取采购文件的，请</w:t>
      </w:r>
      <w:r>
        <w:rPr>
          <w:rFonts w:hint="eastAsia" w:ascii="仿宋_GB2312" w:hAnsi="仿宋_GB2312" w:eastAsia="仿宋_GB2312" w:cs="仿宋_GB2312"/>
          <w:color w:val="auto"/>
          <w:kern w:val="0"/>
          <w:sz w:val="24"/>
          <w:highlight w:val="none"/>
          <w:lang w:eastAsia="zh-CN"/>
        </w:rPr>
        <w:t>自行登录</w:t>
      </w:r>
      <w:r>
        <w:rPr>
          <w:rFonts w:hint="eastAsia" w:ascii="仿宋_GB2312" w:hAnsi="仿宋_GB2312" w:eastAsia="仿宋_GB2312" w:cs="仿宋_GB2312"/>
          <w:color w:val="auto"/>
          <w:kern w:val="0"/>
          <w:sz w:val="24"/>
          <w:highlight w:val="none"/>
        </w:rPr>
        <w:t>相关网站查看更正、补充或澄清公告内容，采购代理机构不再就上述内容作出书面通知。</w:t>
      </w:r>
    </w:p>
    <w:p w14:paraId="62E67F4B">
      <w:pPr>
        <w:widowControl/>
        <w:spacing w:line="400" w:lineRule="exact"/>
        <w:jc w:val="lef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十二、联系人及联系电话</w:t>
      </w:r>
    </w:p>
    <w:p w14:paraId="519A1D27">
      <w:pPr>
        <w:widowControl/>
        <w:adjustRightInd w:val="0"/>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采购单位：温州市渔业应急处置指挥中心</w:t>
      </w:r>
    </w:p>
    <w:p w14:paraId="30A12B2A">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  址：温州市鹿城区横河南路1号市农业农村局渔政大楼</w:t>
      </w:r>
    </w:p>
    <w:p w14:paraId="73CA31A2">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联系人：洪女士                联系方式：0577-88840538</w:t>
      </w:r>
    </w:p>
    <w:p w14:paraId="6D015ED4">
      <w:pPr>
        <w:widowControl/>
        <w:spacing w:line="400" w:lineRule="exact"/>
        <w:ind w:firstLine="48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采购人质疑联系人：雷先生      联系方式：0577-88840699</w:t>
      </w:r>
    </w:p>
    <w:p w14:paraId="2DDE51D6">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采购代理机构名称：浙江巨合建设项目管理有限公司</w:t>
      </w:r>
    </w:p>
    <w:p w14:paraId="14C8ADBB">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  址：温州市瓯海区新桥街道牛山广场3号楼1601室</w:t>
      </w:r>
    </w:p>
    <w:p w14:paraId="745ADB83">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联系人：叶光亮/金丽君          电话：15558999362    邮箱：735135867@qq.com</w:t>
      </w:r>
    </w:p>
    <w:p w14:paraId="46449397">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质疑联系人：李咚咚      质疑联系方式：0577-86006686</w:t>
      </w:r>
    </w:p>
    <w:p w14:paraId="36E891AF">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同级政府采购监管部门：温州市财政局政府采购监管处</w:t>
      </w:r>
    </w:p>
    <w:p w14:paraId="4EAC0972">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联系人：项先生、蔡女士       联系方式：0577-88532725、88521948</w:t>
      </w:r>
    </w:p>
    <w:p w14:paraId="263249EF">
      <w:pPr>
        <w:widowControl/>
        <w:spacing w:line="400" w:lineRule="exact"/>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地址：温州市鹿城区绣山路299号</w:t>
      </w:r>
    </w:p>
    <w:p w14:paraId="47E6186E">
      <w:pPr>
        <w:widowControl/>
        <w:spacing w:line="400" w:lineRule="exact"/>
        <w:jc w:val="righ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温州市渔业应急处置指挥中心</w:t>
      </w:r>
    </w:p>
    <w:p w14:paraId="64E1D72C">
      <w:pPr>
        <w:widowControl/>
        <w:wordWrap w:val="0"/>
        <w:spacing w:line="400" w:lineRule="exact"/>
        <w:jc w:val="righ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浙江巨合建设项目管理有限公司</w:t>
      </w:r>
    </w:p>
    <w:p w14:paraId="10650C78">
      <w:pPr>
        <w:widowControl/>
        <w:wordWrap w:val="0"/>
        <w:spacing w:line="400" w:lineRule="exact"/>
        <w:jc w:val="right"/>
        <w:rPr>
          <w:rFonts w:hint="eastAsia" w:ascii="仿宋_GB2312" w:hAnsi="仿宋_GB2312" w:eastAsia="仿宋_GB2312" w:cs="仿宋_GB2312"/>
          <w:color w:val="auto"/>
          <w:kern w:val="0"/>
          <w:sz w:val="24"/>
          <w:highlight w:val="none"/>
        </w:rPr>
      </w:pPr>
      <w:bookmarkStart w:id="48" w:name="_Toc523385864"/>
      <w:bookmarkStart w:id="49" w:name="_Toc517855824"/>
      <w:r>
        <w:rPr>
          <w:rFonts w:hint="eastAsia" w:ascii="仿宋_GB2312" w:hAnsi="仿宋_GB2312" w:eastAsia="仿宋_GB2312" w:cs="仿宋_GB2312"/>
          <w:color w:val="auto"/>
          <w:kern w:val="0"/>
          <w:sz w:val="24"/>
          <w:highlight w:val="none"/>
        </w:rPr>
        <w:t>2024年</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月</w:t>
      </w:r>
      <w:r>
        <w:rPr>
          <w:rFonts w:hint="eastAsia" w:ascii="仿宋_GB2312" w:hAnsi="仿宋_GB2312" w:eastAsia="仿宋_GB2312" w:cs="仿宋_GB2312"/>
          <w:color w:val="auto"/>
          <w:kern w:val="0"/>
          <w:sz w:val="24"/>
          <w:highlight w:val="none"/>
          <w:lang w:val="en-US" w:eastAsia="zh-CN"/>
        </w:rPr>
        <w:t>17</w:t>
      </w:r>
      <w:r>
        <w:rPr>
          <w:rFonts w:hint="eastAsia" w:ascii="仿宋_GB2312" w:hAnsi="仿宋_GB2312" w:eastAsia="仿宋_GB2312" w:cs="仿宋_GB2312"/>
          <w:color w:val="auto"/>
          <w:kern w:val="0"/>
          <w:sz w:val="24"/>
          <w:highlight w:val="none"/>
        </w:rPr>
        <w:t>日</w:t>
      </w:r>
      <w:bookmarkEnd w:id="48"/>
      <w:bookmarkEnd w:id="49"/>
    </w:p>
    <w:p w14:paraId="726B8B9E">
      <w:pPr>
        <w:spacing w:line="500" w:lineRule="exact"/>
        <w:jc w:val="center"/>
        <w:outlineLvl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Cs/>
          <w:color w:val="auto"/>
          <w:sz w:val="24"/>
          <w:highlight w:val="none"/>
        </w:rPr>
        <w:br w:type="page"/>
      </w:r>
      <w:bookmarkStart w:id="50" w:name="_Toc13519751"/>
      <w:bookmarkStart w:id="51" w:name="_Toc26724"/>
      <w:r>
        <w:rPr>
          <w:rFonts w:hint="eastAsia" w:ascii="仿宋_GB2312" w:hAnsi="仿宋_GB2312" w:eastAsia="仿宋_GB2312" w:cs="仿宋_GB2312"/>
          <w:b/>
          <w:bCs/>
          <w:color w:val="auto"/>
          <w:sz w:val="24"/>
          <w:highlight w:val="none"/>
        </w:rPr>
        <w:t>投标须知前附表</w:t>
      </w:r>
      <w:bookmarkEnd w:id="50"/>
      <w:bookmarkEnd w:id="51"/>
    </w:p>
    <w:tbl>
      <w:tblPr>
        <w:tblStyle w:val="65"/>
        <w:tblW w:w="9633" w:type="dxa"/>
        <w:jc w:val="center"/>
        <w:tblLayout w:type="fixed"/>
        <w:tblCellMar>
          <w:top w:w="0" w:type="dxa"/>
          <w:left w:w="108" w:type="dxa"/>
          <w:bottom w:w="0" w:type="dxa"/>
          <w:right w:w="108" w:type="dxa"/>
        </w:tblCellMar>
      </w:tblPr>
      <w:tblGrid>
        <w:gridCol w:w="766"/>
        <w:gridCol w:w="1444"/>
        <w:gridCol w:w="7423"/>
      </w:tblGrid>
      <w:tr w14:paraId="083A1849">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264AD7B">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C1EF5AA">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条款名称</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041914E">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编列内容</w:t>
            </w:r>
          </w:p>
        </w:tc>
      </w:tr>
      <w:tr w14:paraId="0FD93AB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4C25C2C">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2F96C7D">
            <w:pPr>
              <w:autoSpaceDE w:val="0"/>
              <w:autoSpaceDN w:val="0"/>
              <w:adjustRightInd w:val="0"/>
              <w:spacing w:line="400" w:lineRule="exact"/>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采购人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1183737">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采购单位：温州市渔业应急处置指挥中心</w:t>
            </w:r>
          </w:p>
          <w:p w14:paraId="5B7358FE">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地  址：温州市鹿城区横河南路1号市农业农村局渔政大楼</w:t>
            </w:r>
          </w:p>
          <w:p w14:paraId="208BE411">
            <w:pPr>
              <w:autoSpaceDE w:val="0"/>
              <w:autoSpaceDN w:val="0"/>
              <w:adjustRightInd w:val="0"/>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联系人：洪女士                联系方式：0577-88840538</w:t>
            </w:r>
          </w:p>
        </w:tc>
      </w:tr>
      <w:tr w14:paraId="57ED822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6A95E8C">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5AEDBA2">
            <w:pPr>
              <w:autoSpaceDE w:val="0"/>
              <w:autoSpaceDN w:val="0"/>
              <w:adjustRightInd w:val="0"/>
              <w:spacing w:line="400" w:lineRule="exact"/>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采购代理机构</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4386D1C4">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采购代理机构名称：浙江巨合建设项目管理有限公司</w:t>
            </w:r>
          </w:p>
          <w:p w14:paraId="6E801132">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地  址：温州市瓯海区新桥街道牛山广场3号楼1601室</w:t>
            </w:r>
          </w:p>
          <w:p w14:paraId="02BF590B">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联系人：</w:t>
            </w:r>
            <w:r>
              <w:rPr>
                <w:rFonts w:hint="eastAsia" w:ascii="仿宋_GB2312" w:hAnsi="仿宋_GB2312" w:eastAsia="仿宋_GB2312" w:cs="仿宋_GB2312"/>
                <w:color w:val="auto"/>
                <w:kern w:val="0"/>
                <w:sz w:val="24"/>
                <w:highlight w:val="none"/>
              </w:rPr>
              <w:t>叶光亮/金丽君</w:t>
            </w: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联系方式：15558999362    </w:t>
            </w:r>
          </w:p>
          <w:p w14:paraId="63AFAD1D">
            <w:pPr>
              <w:autoSpaceDE w:val="0"/>
              <w:autoSpaceDN w:val="0"/>
              <w:adjustRightInd w:val="0"/>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邮箱：735135867@qq.com</w:t>
            </w:r>
          </w:p>
        </w:tc>
      </w:tr>
      <w:tr w14:paraId="4EBDED6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22EA38C">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7185242">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项目名称</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1B876231">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项目名称：</w:t>
            </w:r>
            <w:r>
              <w:rPr>
                <w:rFonts w:hint="eastAsia" w:ascii="仿宋_GB2312" w:hAnsi="仿宋_GB2312" w:eastAsia="仿宋_GB2312" w:cs="仿宋_GB2312"/>
                <w:color w:val="auto"/>
                <w:kern w:val="0"/>
                <w:sz w:val="24"/>
                <w:highlight w:val="none"/>
                <w:lang w:val="zh-CN"/>
              </w:rPr>
              <w:t>温州市沿海视频监控系统升级改造项目</w:t>
            </w:r>
          </w:p>
          <w:p w14:paraId="4B34FDFC">
            <w:pPr>
              <w:autoSpaceDE w:val="0"/>
              <w:autoSpaceDN w:val="0"/>
              <w:adjustRightInd w:val="0"/>
              <w:spacing w:line="400" w:lineRule="exac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color w:val="auto"/>
                <w:kern w:val="0"/>
                <w:sz w:val="24"/>
                <w:highlight w:val="none"/>
                <w:lang w:val="zh-CN"/>
              </w:rPr>
              <w:t>项目编号：</w:t>
            </w:r>
            <w:r>
              <w:rPr>
                <w:rFonts w:hint="eastAsia" w:ascii="仿宋_GB2312" w:hAnsi="仿宋_GB2312" w:eastAsia="仿宋_GB2312" w:cs="仿宋_GB2312"/>
                <w:bCs/>
                <w:color w:val="auto"/>
                <w:kern w:val="0"/>
                <w:sz w:val="24"/>
                <w:highlight w:val="none"/>
                <w:lang w:eastAsia="zh-CN"/>
              </w:rPr>
              <w:t>WZJHCG-20240817</w:t>
            </w:r>
            <w:r>
              <w:rPr>
                <w:rFonts w:hint="eastAsia" w:ascii="仿宋_GB2312" w:hAnsi="仿宋_GB2312" w:eastAsia="仿宋_GB2312" w:cs="仿宋_GB2312"/>
                <w:bCs/>
                <w:color w:val="auto"/>
                <w:kern w:val="0"/>
                <w:sz w:val="24"/>
                <w:highlight w:val="none"/>
              </w:rPr>
              <w:t xml:space="preserve"> </w:t>
            </w:r>
          </w:p>
        </w:tc>
      </w:tr>
      <w:tr w14:paraId="78B1139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4A0755D">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7DE25C5">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预算金额</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3402B741">
            <w:pPr>
              <w:spacing w:line="34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bCs/>
                <w:color w:val="auto"/>
                <w:sz w:val="24"/>
                <w:highlight w:val="none"/>
                <w:u w:val="single"/>
              </w:rPr>
              <w:t>▲预算金额：见公告，超过最高限价的投标报价将作无效标处理。</w:t>
            </w:r>
          </w:p>
        </w:tc>
      </w:tr>
      <w:tr w14:paraId="4A4C5EEC">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338A0D2">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7F94B5F">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采购需求</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4E7B3A8">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详见第四部分</w:t>
            </w:r>
          </w:p>
        </w:tc>
      </w:tr>
      <w:tr w14:paraId="1CA148C3">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907E71A">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EB15796">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核心产品</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170D7228">
            <w:pP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本次采购为服务采购，不设核心产品。</w:t>
            </w:r>
          </w:p>
        </w:tc>
      </w:tr>
      <w:tr w14:paraId="36C94F8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2E40BE">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085DE96">
            <w:pPr>
              <w:autoSpaceDE w:val="0"/>
              <w:autoSpaceDN w:val="0"/>
              <w:adjustRightInd w:val="0"/>
              <w:spacing w:line="400" w:lineRule="exact"/>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投标报价</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78A9FAA">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1.投标报价采取一次性报价，不再更改；</w:t>
            </w:r>
          </w:p>
          <w:p w14:paraId="599D3023">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2.本次投标采用人民币报价。</w:t>
            </w:r>
          </w:p>
        </w:tc>
      </w:tr>
      <w:tr w14:paraId="3766634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574DEF">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4C41E43">
            <w:pPr>
              <w:autoSpaceDE w:val="0"/>
              <w:autoSpaceDN w:val="0"/>
              <w:adjustRightInd w:val="0"/>
              <w:spacing w:line="400" w:lineRule="exact"/>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投标费用</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69A85613">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1.不论投标结果如何，投标人均应自行承担所有与投标有关的全部费用；</w:t>
            </w:r>
          </w:p>
          <w:p w14:paraId="71CC40D4">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2.中标人在中标通知书发出后，招标代理项目内容全部完成，向采购代理机构交纳代理服务费。</w:t>
            </w:r>
          </w:p>
        </w:tc>
      </w:tr>
      <w:tr w14:paraId="15EB9E5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E2C5BB6">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BDDC18A">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投标人资格要求</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4B805B03">
            <w:pPr>
              <w:autoSpaceDE w:val="0"/>
              <w:autoSpaceDN w:val="0"/>
              <w:adjustRightInd w:val="0"/>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详见公告</w:t>
            </w:r>
          </w:p>
        </w:tc>
      </w:tr>
      <w:tr w14:paraId="3D3D948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325C885">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350B824">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是否接受联合体投标</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3C9C5E15">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不</w:t>
            </w:r>
            <w:r>
              <w:rPr>
                <w:rFonts w:hint="eastAsia" w:ascii="仿宋_GB2312" w:hAnsi="仿宋_GB2312" w:eastAsia="仿宋_GB2312" w:cs="仿宋_GB2312"/>
                <w:color w:val="auto"/>
                <w:sz w:val="24"/>
                <w:highlight w:val="none"/>
                <w:lang w:val="zh-CN"/>
              </w:rPr>
              <w:t>接受；</w:t>
            </w:r>
          </w:p>
        </w:tc>
      </w:tr>
      <w:tr w14:paraId="546DEDF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FC56F0B">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481E1D5">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踏勘现场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C735E71">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不</w:t>
            </w:r>
            <w:r>
              <w:rPr>
                <w:rFonts w:hint="eastAsia" w:ascii="仿宋_GB2312" w:hAnsi="仿宋_GB2312" w:eastAsia="仿宋_GB2312" w:cs="仿宋_GB2312"/>
                <w:color w:val="auto"/>
                <w:kern w:val="0"/>
                <w:sz w:val="24"/>
                <w:highlight w:val="none"/>
              </w:rPr>
              <w:t>组织</w:t>
            </w:r>
          </w:p>
        </w:tc>
      </w:tr>
      <w:tr w14:paraId="000010D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CBA5915">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280BFE6">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投标预备会</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C1F8D6D">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不召开</w:t>
            </w:r>
          </w:p>
        </w:tc>
      </w:tr>
      <w:tr w14:paraId="0262848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C19942D">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37EA846">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分包和转包</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3414A3F1">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不允许</w:t>
            </w:r>
          </w:p>
        </w:tc>
      </w:tr>
      <w:tr w14:paraId="4506F15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9B9B8D">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AEC308E">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偏离</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E6C0A4C">
            <w:pPr>
              <w:autoSpaceDE w:val="0"/>
              <w:autoSpaceDN w:val="0"/>
              <w:adjustRightInd w:val="0"/>
              <w:spacing w:line="400" w:lineRule="exac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偏差允许幅度及其处理方法：允许细微偏差，不允许重大偏差。由评标委员会判断，细微偏差要求投标人在评标结束前予以澄清、说明或补正，不接受要求进行的，评标委员会有权作无效标处理，详见评标办法。</w:t>
            </w:r>
          </w:p>
        </w:tc>
      </w:tr>
      <w:tr w14:paraId="177FF94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5CE710F">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8CAAACE">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投标有效期</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0887A6DD">
            <w:pPr>
              <w:widowControl/>
              <w:spacing w:line="400" w:lineRule="exac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从提交投标文件的截止时间之日起90天。提交投标文件的截止时间同投标截止时间。</w:t>
            </w:r>
          </w:p>
        </w:tc>
      </w:tr>
      <w:tr w14:paraId="66E37E9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8D089D1">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1343B7F">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递交投标文件地点</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9163581">
            <w:pPr>
              <w:spacing w:line="3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时间：详见公告；</w:t>
            </w:r>
          </w:p>
          <w:p w14:paraId="07A10AB5">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地点：通过“政府采购云平台（www.zcygov.cn）”实行在线投标。</w:t>
            </w:r>
          </w:p>
        </w:tc>
      </w:tr>
      <w:tr w14:paraId="563B539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761F126">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3DA5DBD">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开标时间和地点</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1778989E">
            <w:pPr>
              <w:spacing w:line="3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时间：详见公告；</w:t>
            </w:r>
          </w:p>
          <w:p w14:paraId="768D5E1F">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地点：通过“政府采购云平台（www.zcygov.cn）”实行在线开标。</w:t>
            </w:r>
          </w:p>
        </w:tc>
      </w:tr>
      <w:tr w14:paraId="74ABE13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0E86198">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68F02AA">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开评标程序</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3608E89">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详见采购文件第一部分 “五、开标和评标”</w:t>
            </w:r>
          </w:p>
        </w:tc>
      </w:tr>
      <w:tr w14:paraId="6E5765A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1DD03F9">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19</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637BA8B">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评标委员会</w:t>
            </w:r>
          </w:p>
          <w:p w14:paraId="67613B88">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的组建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619C3D57">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评标委员会成员由采购人代表和有关技术、经济等方面的专家组成，成员人数为7人及以上单数</w:t>
            </w:r>
            <w:r>
              <w:rPr>
                <w:rFonts w:hint="eastAsia" w:ascii="仿宋_GB2312" w:hAnsi="仿宋_GB2312" w:eastAsia="仿宋_GB2312" w:cs="仿宋_GB2312"/>
                <w:bCs/>
                <w:color w:val="auto"/>
                <w:sz w:val="24"/>
                <w:highlight w:val="none"/>
              </w:rPr>
              <w:t>。</w:t>
            </w:r>
          </w:p>
        </w:tc>
      </w:tr>
      <w:tr w14:paraId="020C3F9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B86BD76">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28FE0F0">
            <w:pPr>
              <w:spacing w:line="36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投标文件无效标条款</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620FD80">
            <w:pPr>
              <w:spacing w:line="36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详见招标文件“第一部分   投标人须知  五、 开标和评标”第2.7</w:t>
            </w:r>
            <w:r>
              <w:rPr>
                <w:rFonts w:hint="eastAsia" w:ascii="仿宋_GB2312" w:hAnsi="仿宋_GB2312" w:eastAsia="仿宋_GB2312" w:cs="仿宋_GB2312"/>
                <w:b/>
                <w:color w:val="auto"/>
                <w:sz w:val="24"/>
                <w:highlight w:val="none"/>
              </w:rPr>
              <w:t>点</w:t>
            </w:r>
            <w:r>
              <w:rPr>
                <w:rFonts w:hint="eastAsia" w:ascii="仿宋_GB2312" w:hAnsi="仿宋_GB2312" w:eastAsia="仿宋_GB2312" w:cs="仿宋_GB2312"/>
                <w:b/>
                <w:color w:val="auto"/>
                <w:kern w:val="0"/>
                <w:sz w:val="24"/>
                <w:highlight w:val="none"/>
              </w:rPr>
              <w:t>。</w:t>
            </w:r>
          </w:p>
        </w:tc>
      </w:tr>
      <w:tr w14:paraId="140B05A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7AE74E2">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923A7EE">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▲履约保证金</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6D1BE055">
            <w:pPr>
              <w:spacing w:line="360" w:lineRule="exact"/>
              <w:rPr>
                <w:rFonts w:hint="eastAsia"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u w:val="single"/>
              </w:rPr>
              <w:t>合同签订后，中标供应商5个工作日内支付合同金额的1%作为履约保证金（提交方式：转账、支</w:t>
            </w:r>
            <w:r>
              <w:rPr>
                <w:rFonts w:hint="eastAsia" w:ascii="仿宋_GB2312" w:hAnsi="仿宋_GB2312" w:eastAsia="仿宋_GB2312" w:cs="仿宋_GB2312"/>
                <w:color w:val="auto"/>
                <w:kern w:val="0"/>
                <w:sz w:val="24"/>
                <w:highlight w:val="none"/>
                <w:u w:val="single"/>
              </w:rPr>
              <w:t>票、汇票、本票或者金融机构、担保机构出具的保函等形式），合同期满后</w:t>
            </w:r>
            <w:r>
              <w:rPr>
                <w:rFonts w:hint="eastAsia" w:ascii="仿宋_GB2312" w:hAnsi="仿宋_GB2312" w:eastAsia="仿宋_GB2312" w:cs="仿宋_GB2312"/>
                <w:color w:val="auto"/>
                <w:kern w:val="0"/>
                <w:sz w:val="24"/>
                <w:highlight w:val="none"/>
                <w:u w:val="single"/>
              </w:rPr>
              <w:t>采购人按程序在7个工作日内无息退还（保函有效期不少于合同期）。</w:t>
            </w:r>
          </w:p>
        </w:tc>
      </w:tr>
      <w:tr w14:paraId="481875A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E6C196C">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389E091">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Cs/>
                <w:color w:val="auto"/>
                <w:sz w:val="24"/>
                <w:highlight w:val="none"/>
                <w:u w:val="single"/>
              </w:rPr>
              <w:t>▲</w:t>
            </w:r>
            <w:r>
              <w:rPr>
                <w:rFonts w:hint="eastAsia" w:ascii="仿宋_GB2312" w:hAnsi="仿宋_GB2312" w:eastAsia="仿宋_GB2312" w:cs="仿宋_GB2312"/>
                <w:color w:val="auto"/>
                <w:sz w:val="24"/>
                <w:highlight w:val="none"/>
                <w:u w:val="single"/>
              </w:rPr>
              <w:t>付款方式</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5CCCDC12">
            <w:pPr>
              <w:spacing w:line="360" w:lineRule="exact"/>
              <w:rPr>
                <w:rFonts w:hint="eastAsia"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u w:val="single"/>
              </w:rPr>
              <w:t>采购人在收到中标供应商履约保证金且收到中标供应商出具的有效税务发票后，在财政资金到账情况下，7个工作日内向中标供应商支付合同总额的</w:t>
            </w:r>
            <w:r>
              <w:rPr>
                <w:rFonts w:hint="default" w:ascii="仿宋_GB2312" w:hAnsi="仿宋_GB2312" w:eastAsia="仿宋_GB2312" w:cs="仿宋_GB2312"/>
                <w:color w:val="auto"/>
                <w:kern w:val="0"/>
                <w:sz w:val="24"/>
                <w:highlight w:val="none"/>
                <w:u w:val="single"/>
                <w:lang w:val="en-US"/>
              </w:rPr>
              <w:t>50</w:t>
            </w:r>
            <w:r>
              <w:rPr>
                <w:rFonts w:hint="eastAsia" w:ascii="仿宋_GB2312" w:hAnsi="仿宋_GB2312" w:eastAsia="仿宋_GB2312" w:cs="仿宋_GB2312"/>
                <w:color w:val="auto"/>
                <w:kern w:val="0"/>
                <w:sz w:val="24"/>
                <w:highlight w:val="none"/>
                <w:u w:val="single"/>
              </w:rPr>
              <w:t>%作为预付款；待项目终验通过且收到成交供应商出具的有效税务发票后，在财政资金到账情况下，采购人在7个工作日内向中标供应商支付合同剩余款。</w:t>
            </w:r>
          </w:p>
        </w:tc>
      </w:tr>
      <w:tr w14:paraId="71BDF2B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1EFE91D">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23</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3BAF409">
            <w:pPr>
              <w:spacing w:line="38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投标人信用信息事项</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20880C0E">
            <w:pPr>
              <w:spacing w:line="3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信用信息的使用规则：经查询列入失信被执行人名单、重大税收违法案件当事人名单、政府采购严重违法失信行为记录名单的投标人的投标文件将被拒绝。</w:t>
            </w:r>
          </w:p>
        </w:tc>
      </w:tr>
      <w:tr w14:paraId="7252060F">
        <w:tblPrEx>
          <w:tblCellMar>
            <w:top w:w="0" w:type="dxa"/>
            <w:left w:w="108" w:type="dxa"/>
            <w:bottom w:w="0" w:type="dxa"/>
            <w:right w:w="108" w:type="dxa"/>
          </w:tblCellMar>
        </w:tblPrEx>
        <w:trPr>
          <w:trHeight w:val="132"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F2BE373">
            <w:pPr>
              <w:spacing w:line="40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24</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12CDE01">
            <w:pPr>
              <w:spacing w:line="3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小微企业说明</w:t>
            </w:r>
          </w:p>
        </w:tc>
        <w:tc>
          <w:tcPr>
            <w:tcW w:w="7423" w:type="dxa"/>
            <w:tcBorders>
              <w:top w:val="single" w:color="auto" w:sz="4" w:space="0"/>
              <w:left w:val="single" w:color="auto" w:sz="4" w:space="0"/>
              <w:bottom w:val="single" w:color="auto" w:sz="4" w:space="0"/>
              <w:right w:val="single" w:color="auto" w:sz="4" w:space="0"/>
            </w:tcBorders>
            <w:noWrap w:val="0"/>
            <w:vAlign w:val="top"/>
          </w:tcPr>
          <w:p w14:paraId="259D8B60">
            <w:pPr>
              <w:adjustRightInd w:val="0"/>
              <w:snapToGrid w:val="0"/>
              <w:spacing w:line="380" w:lineRule="exact"/>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扶持中小企业（监狱企业、残疾人福利性单位）：</w:t>
            </w:r>
          </w:p>
          <w:p w14:paraId="04903D58">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关于进一步加大政府采购支持中小企业力度的通知》（财库〔2022〕19号），本单位在政府采购活动中应当通过加强采购需求管理，落实预留采购份额，价格评审优惠、优先采购等措施，提高中小企业在政府采购中的份额，支持中小企业发展。项目相关情况如下：</w:t>
            </w:r>
          </w:p>
          <w:p w14:paraId="49F5944A">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（1）项目预算：</w:t>
            </w:r>
            <w:r>
              <w:rPr>
                <w:rFonts w:hint="eastAsia" w:ascii="仿宋_GB2312" w:hAnsi="仿宋_GB2312" w:eastAsia="仿宋_GB2312" w:cs="仿宋_GB2312"/>
                <w:color w:val="auto"/>
                <w:sz w:val="24"/>
                <w:highlight w:val="none"/>
                <w:u w:val="single"/>
                <w:lang w:val="en-US" w:eastAsia="zh-CN"/>
              </w:rPr>
              <w:t>1409.05</w:t>
            </w:r>
            <w:r>
              <w:rPr>
                <w:rFonts w:hint="eastAsia" w:ascii="仿宋_GB2312" w:hAnsi="仿宋_GB2312" w:eastAsia="仿宋_GB2312" w:cs="仿宋_GB2312"/>
                <w:color w:val="auto"/>
                <w:sz w:val="24"/>
                <w:highlight w:val="none"/>
                <w:u w:val="single"/>
              </w:rPr>
              <w:t>万元</w:t>
            </w:r>
          </w:p>
          <w:p w14:paraId="45AE2AE4">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（2）项目属性：</w:t>
            </w:r>
            <w:r>
              <w:rPr>
                <w:rFonts w:hint="eastAsia" w:ascii="仿宋_GB2312" w:hAnsi="仿宋_GB2312" w:eastAsia="仿宋_GB2312" w:cs="仿宋_GB2312"/>
                <w:color w:val="auto"/>
                <w:sz w:val="24"/>
                <w:highlight w:val="none"/>
                <w:u w:val="single"/>
              </w:rPr>
              <w:t xml:space="preserve">  ②  </w:t>
            </w:r>
            <w:r>
              <w:rPr>
                <w:rFonts w:hint="eastAsia" w:ascii="仿宋_GB2312" w:hAnsi="仿宋_GB2312" w:eastAsia="仿宋_GB2312" w:cs="仿宋_GB2312"/>
                <w:color w:val="auto"/>
                <w:sz w:val="24"/>
                <w:highlight w:val="none"/>
              </w:rPr>
              <w:t>（①货物类/②服务类/③工程类）</w:t>
            </w:r>
          </w:p>
          <w:p w14:paraId="3E38B22B">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（3）项目对应的中小企业划分标准所属行业：</w:t>
            </w:r>
            <w:r>
              <w:rPr>
                <w:rFonts w:hint="eastAsia" w:ascii="仿宋_GB2312" w:hAnsi="仿宋_GB2312" w:eastAsia="仿宋_GB2312" w:cs="仿宋_GB2312"/>
                <w:b/>
                <w:color w:val="auto"/>
                <w:kern w:val="0"/>
                <w:sz w:val="24"/>
                <w:highlight w:val="none"/>
                <w:u w:val="single"/>
              </w:rPr>
              <w:t>软件和信息技术服务业</w:t>
            </w:r>
            <w:r>
              <w:rPr>
                <w:rFonts w:hint="eastAsia" w:ascii="仿宋_GB2312" w:hAnsi="仿宋_GB2312" w:eastAsia="仿宋_GB2312" w:cs="仿宋_GB2312"/>
                <w:color w:val="auto"/>
                <w:kern w:val="0"/>
                <w:sz w:val="24"/>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FD0221">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w:t>
            </w:r>
            <w:r>
              <w:rPr>
                <w:rFonts w:hint="eastAsia" w:ascii="仿宋_GB2312" w:hAnsi="仿宋_GB2312" w:eastAsia="仿宋_GB2312" w:cs="仿宋_GB2312"/>
                <w:color w:val="auto"/>
                <w:sz w:val="24"/>
                <w:highlight w:val="none"/>
                <w:u w:val="single"/>
              </w:rPr>
              <w:t xml:space="preserve"> （否） </w:t>
            </w:r>
            <w:r>
              <w:rPr>
                <w:rFonts w:hint="eastAsia" w:ascii="仿宋_GB2312" w:hAnsi="仿宋_GB2312" w:eastAsia="仿宋_GB2312" w:cs="仿宋_GB2312"/>
                <w:color w:val="auto"/>
                <w:sz w:val="24"/>
                <w:highlight w:val="none"/>
              </w:rPr>
              <w:t>属于预留份额专门面向中小企业采购的项目。</w:t>
            </w:r>
          </w:p>
          <w:p w14:paraId="419D658E">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（5）上述第4项中确定为“是”的采购项目，预留份额通过（/）措施进行：</w:t>
            </w:r>
          </w:p>
          <w:p w14:paraId="173E580F">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①将采购项目整体或者设置采购包专门面向中小企业采购； </w:t>
            </w:r>
          </w:p>
          <w:p w14:paraId="608B16F7">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②要求供应商以联合体形式参加采购活动，且联合体中中小企业承担的部分达到 (比例)； </w:t>
            </w:r>
          </w:p>
          <w:p w14:paraId="5F3F907E">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③要求获得采购合同的供应商将采购项目中的 (比例)分包给一家或者多家中小企业。</w:t>
            </w:r>
          </w:p>
          <w:p w14:paraId="1A7F2EBB">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（6）对于经主管预算单位统筹后未预留份额专门面向中小企业采购的采购项目，本项目属于非预留采购项目，对符合本办法规定的小微企业报价给予10%（工程项目为3%-5%）的扣除，用扣除后的价格参加评审。  </w:t>
            </w:r>
          </w:p>
          <w:p w14:paraId="131A9509">
            <w:pPr>
              <w:widowControl/>
              <w:snapToGrid w:val="0"/>
              <w:spacing w:line="3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_GB2312" w:hAnsi="仿宋_GB2312" w:eastAsia="仿宋_GB2312" w:cs="仿宋_GB2312"/>
                <w:color w:val="auto"/>
                <w:sz w:val="24"/>
                <w:highlight w:val="none"/>
                <w:u w:val="single"/>
              </w:rPr>
              <w:t>4%</w:t>
            </w:r>
            <w:r>
              <w:rPr>
                <w:rFonts w:hint="eastAsia" w:ascii="仿宋_GB2312" w:hAnsi="仿宋_GB2312" w:eastAsia="仿宋_GB2312" w:cs="仿宋_GB2312"/>
                <w:color w:val="auto"/>
                <w:sz w:val="24"/>
                <w:highlight w:val="none"/>
              </w:rPr>
              <w:t>（工程项目为1%-2%）的扣除，用扣除后的价格参加评审。</w:t>
            </w:r>
          </w:p>
        </w:tc>
      </w:tr>
      <w:tr w14:paraId="2986A040">
        <w:tblPrEx>
          <w:tblCellMar>
            <w:top w:w="0" w:type="dxa"/>
            <w:left w:w="108" w:type="dxa"/>
            <w:bottom w:w="0" w:type="dxa"/>
            <w:right w:w="108" w:type="dxa"/>
          </w:tblCellMar>
        </w:tblPrEx>
        <w:trPr>
          <w:trHeight w:val="132"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F34F87A">
            <w:pPr>
              <w:spacing w:line="400" w:lineRule="exact"/>
              <w:jc w:val="center"/>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25</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0FE56E6">
            <w:pPr>
              <w:spacing w:line="38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补充说明</w:t>
            </w:r>
          </w:p>
        </w:tc>
        <w:tc>
          <w:tcPr>
            <w:tcW w:w="7423" w:type="dxa"/>
            <w:tcBorders>
              <w:top w:val="single" w:color="auto" w:sz="4" w:space="0"/>
              <w:left w:val="single" w:color="auto" w:sz="4" w:space="0"/>
              <w:bottom w:val="single" w:color="auto" w:sz="4" w:space="0"/>
              <w:right w:val="single" w:color="auto" w:sz="4" w:space="0"/>
            </w:tcBorders>
            <w:noWrap w:val="0"/>
            <w:vAlign w:val="top"/>
          </w:tcPr>
          <w:p w14:paraId="2704BD52">
            <w:pPr>
              <w:widowControl/>
              <w:snapToGrid w:val="0"/>
              <w:spacing w:line="380" w:lineRule="exact"/>
              <w:ind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i w:val="0"/>
                <w:caps w:val="0"/>
                <w:color w:val="auto"/>
                <w:spacing w:val="0"/>
                <w:sz w:val="24"/>
                <w:szCs w:val="24"/>
                <w:highlight w:val="none"/>
                <w:u w:val="single"/>
                <w:shd w:val="clear" w:color="auto" w:fill="auto"/>
              </w:rPr>
              <w:t>▲具备系统建设、运行所需的管道、光纤资源【不具备的必须提供地市级网络资源运营商授予投标人对本项目相关管道、光纤资源的使用协议（协议约定资源使用区域为温州全域、周期与项目服务期一致）】（按资格文件投标文件中必须提供承诺函）</w:t>
            </w:r>
            <w:r>
              <w:rPr>
                <w:rFonts w:hint="eastAsia" w:ascii="仿宋_GB2312" w:hAnsi="仿宋_GB2312" w:eastAsia="仿宋_GB2312" w:cs="仿宋_GB2312"/>
                <w:b w:val="0"/>
                <w:i w:val="0"/>
                <w:caps w:val="0"/>
                <w:color w:val="auto"/>
                <w:spacing w:val="0"/>
                <w:sz w:val="24"/>
                <w:szCs w:val="24"/>
                <w:highlight w:val="none"/>
                <w:shd w:val="clear" w:color="auto" w:fill="auto"/>
              </w:rPr>
              <w:t>。</w:t>
            </w:r>
          </w:p>
        </w:tc>
      </w:tr>
    </w:tbl>
    <w:p w14:paraId="41FEFDDE">
      <w:pPr>
        <w:pStyle w:val="6"/>
        <w:tabs>
          <w:tab w:val="clear" w:pos="840"/>
        </w:tabs>
        <w:adjustRightInd/>
        <w:snapToGrid/>
        <w:spacing w:before="120" w:after="120" w:line="300" w:lineRule="exact"/>
        <w:jc w:val="center"/>
        <w:rPr>
          <w:rFonts w:hint="eastAsia" w:ascii="仿宋_GB2312" w:hAnsi="仿宋_GB2312" w:eastAsia="仿宋_GB2312" w:cs="仿宋_GB2312"/>
          <w:bCs/>
          <w:color w:val="auto"/>
          <w:szCs w:val="24"/>
          <w:highlight w:val="none"/>
        </w:rPr>
      </w:pPr>
    </w:p>
    <w:p w14:paraId="1A6FC333">
      <w:pPr>
        <w:pStyle w:val="6"/>
        <w:tabs>
          <w:tab w:val="clear" w:pos="840"/>
        </w:tabs>
        <w:adjustRightInd/>
        <w:snapToGrid/>
        <w:spacing w:before="120" w:after="120" w:line="360" w:lineRule="exact"/>
        <w:jc w:val="center"/>
        <w:rPr>
          <w:rFonts w:hint="eastAsia" w:ascii="仿宋_GB2312" w:hAnsi="仿宋_GB2312" w:eastAsia="仿宋_GB2312" w:cs="仿宋_GB2312"/>
          <w:bCs/>
          <w:color w:val="auto"/>
          <w:szCs w:val="24"/>
          <w:highlight w:val="none"/>
        </w:rPr>
      </w:pPr>
      <w:r>
        <w:rPr>
          <w:rFonts w:hint="eastAsia" w:ascii="仿宋_GB2312" w:hAnsi="仿宋_GB2312" w:eastAsia="仿宋_GB2312" w:cs="仿宋_GB2312"/>
          <w:bCs/>
          <w:color w:val="auto"/>
          <w:szCs w:val="24"/>
          <w:highlight w:val="none"/>
        </w:rPr>
        <w:br w:type="page"/>
      </w:r>
      <w:bookmarkStart w:id="52" w:name="_Toc17921"/>
      <w:r>
        <w:rPr>
          <w:rFonts w:hint="eastAsia" w:ascii="仿宋_GB2312" w:hAnsi="仿宋_GB2312" w:eastAsia="仿宋_GB2312" w:cs="仿宋_GB2312"/>
          <w:bCs/>
          <w:color w:val="auto"/>
          <w:szCs w:val="24"/>
          <w:highlight w:val="none"/>
        </w:rPr>
        <w:t>第一部分    投标人须知</w:t>
      </w:r>
      <w:bookmarkEnd w:id="52"/>
    </w:p>
    <w:p w14:paraId="77522852">
      <w:pPr>
        <w:pStyle w:val="6"/>
        <w:tabs>
          <w:tab w:val="clear" w:pos="840"/>
        </w:tabs>
        <w:adjustRightInd/>
        <w:snapToGrid/>
        <w:spacing w:before="120" w:after="120" w:line="500" w:lineRule="exact"/>
        <w:jc w:val="center"/>
        <w:rPr>
          <w:rFonts w:hint="eastAsia" w:ascii="仿宋_GB2312" w:hAnsi="仿宋_GB2312" w:eastAsia="仿宋_GB2312" w:cs="仿宋_GB2312"/>
          <w:bCs/>
          <w:color w:val="auto"/>
          <w:szCs w:val="24"/>
          <w:highlight w:val="none"/>
        </w:rPr>
      </w:pPr>
      <w:bookmarkStart w:id="53" w:name="_Toc3818"/>
      <w:r>
        <w:rPr>
          <w:rFonts w:hint="eastAsia" w:ascii="仿宋_GB2312" w:hAnsi="仿宋_GB2312" w:eastAsia="仿宋_GB2312" w:cs="仿宋_GB2312"/>
          <w:bCs/>
          <w:color w:val="auto"/>
          <w:szCs w:val="24"/>
          <w:highlight w:val="none"/>
        </w:rPr>
        <w:t>一、 说明</w:t>
      </w:r>
      <w:bookmarkEnd w:id="53"/>
    </w:p>
    <w:p w14:paraId="5DA19C79">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本次招标是按照《中华人民共和国政府采购法</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政府采购货物和服务招标投标管理办法》</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有关法律法规组织和实施。</w:t>
      </w:r>
    </w:p>
    <w:p w14:paraId="673D873D">
      <w:pPr>
        <w:tabs>
          <w:tab w:val="left" w:pos="360"/>
        </w:tabs>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▲2.合格投标人</w:t>
      </w:r>
    </w:p>
    <w:p w14:paraId="5DA56AB8">
      <w:pPr>
        <w:tabs>
          <w:tab w:val="left" w:pos="360"/>
        </w:tabs>
        <w:spacing w:line="360" w:lineRule="auto"/>
        <w:ind w:left="482" w:hanging="482"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2.1 符合《中华人民共和国政府采购法》第二十二条规定的投标人参加政府采购活动应当具备的条件。</w:t>
      </w:r>
    </w:p>
    <w:p w14:paraId="6365EF5E">
      <w:pPr>
        <w:tabs>
          <w:tab w:val="left" w:pos="360"/>
        </w:tabs>
        <w:spacing w:line="360" w:lineRule="auto"/>
        <w:ind w:left="482" w:hanging="482"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2.2 未被列入失信被执行人名单、重大税收违法案件当事人名单、政府采购严重违法失信行为记录名单，信用信息以投标截止日信用中国网站（www.creditchina.gov.cn）、中国政府采购网（www.ccgp.gov.cn）公布为准。</w:t>
      </w:r>
    </w:p>
    <w:p w14:paraId="1D1A6B57">
      <w:pPr>
        <w:tabs>
          <w:tab w:val="left" w:pos="360"/>
        </w:tabs>
        <w:spacing w:line="360" w:lineRule="auto"/>
        <w:ind w:left="482" w:hanging="482"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2.3 落实政府采购政策需满足的资格要求：无；</w:t>
      </w:r>
    </w:p>
    <w:p w14:paraId="0CCD0E16">
      <w:pPr>
        <w:tabs>
          <w:tab w:val="left" w:pos="360"/>
        </w:tabs>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2.4 本项目的特定资格要求：无；</w:t>
      </w:r>
    </w:p>
    <w:p w14:paraId="115AE0EB">
      <w:pPr>
        <w:tabs>
          <w:tab w:val="left" w:pos="360"/>
        </w:tabs>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 xml:space="preserve">2.5 </w:t>
      </w:r>
      <w:r>
        <w:rPr>
          <w:rFonts w:hint="eastAsia" w:ascii="仿宋_GB2312" w:hAnsi="仿宋_GB2312" w:eastAsia="仿宋_GB2312" w:cs="仿宋_GB2312"/>
          <w:b/>
          <w:color w:val="auto"/>
          <w:sz w:val="24"/>
          <w:highlight w:val="none"/>
          <w:u w:val="single"/>
        </w:rPr>
        <w:t>本项目不接受联合</w:t>
      </w:r>
      <w:r>
        <w:rPr>
          <w:rFonts w:hint="eastAsia" w:ascii="仿宋_GB2312" w:hAnsi="仿宋_GB2312" w:eastAsia="仿宋_GB2312" w:cs="仿宋_GB2312"/>
          <w:b/>
          <w:color w:val="auto"/>
          <w:sz w:val="24"/>
          <w:highlight w:val="none"/>
          <w:u w:val="single"/>
        </w:rPr>
        <w:t>体投标。</w:t>
      </w:r>
    </w:p>
    <w:p w14:paraId="7B468397">
      <w:pPr>
        <w:tabs>
          <w:tab w:val="left" w:pos="360"/>
        </w:tabs>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3.  投标人代表</w:t>
      </w:r>
    </w:p>
    <w:p w14:paraId="38EBF2AC">
      <w:pPr>
        <w:tabs>
          <w:tab w:val="left" w:pos="360"/>
        </w:tabs>
        <w:spacing w:line="360" w:lineRule="auto"/>
        <w:ind w:left="482" w:hanging="482"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3.1 指全权代表投标人参加投标活动并签署投标文件的人。如果投标人代表不是法定代表人，须持有《法定代表人授权书》（见附件）</w:t>
      </w:r>
    </w:p>
    <w:p w14:paraId="62B5FFC8">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  投标费用</w:t>
      </w:r>
    </w:p>
    <w:p w14:paraId="04A0CC31">
      <w:pPr>
        <w:spacing w:line="360" w:lineRule="auto"/>
        <w:ind w:left="482" w:hanging="482"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4.1</w:t>
      </w:r>
      <w:r>
        <w:rPr>
          <w:rFonts w:hint="eastAsia" w:ascii="仿宋_GB2312" w:hAnsi="仿宋_GB2312" w:eastAsia="仿宋_GB2312" w:cs="仿宋_GB2312"/>
          <w:color w:val="auto"/>
          <w:sz w:val="24"/>
          <w:highlight w:val="none"/>
        </w:rPr>
        <w:t>投标人应承担所有与准备和参加投标有关费用，不论投标的结果如何，招标人或招标代理公司均无义务和责任承担这些费用。</w:t>
      </w:r>
    </w:p>
    <w:p w14:paraId="617D9F93">
      <w:pPr>
        <w:spacing w:line="360" w:lineRule="auto"/>
        <w:ind w:left="482" w:hanging="482"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EC6EB2C">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非单一产品采购项目，多家投标人提供的核心产品（见投标人须知前附表）品牌相</w:t>
      </w:r>
    </w:p>
    <w:p w14:paraId="5BB9302D">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同的，按前两款规定处理。</w:t>
      </w:r>
    </w:p>
    <w:p w14:paraId="58925B96">
      <w:pPr>
        <w:spacing w:before="100" w:beforeAutospacing="1" w:after="100" w:afterAutospacing="1"/>
        <w:jc w:val="center"/>
        <w:outlineLvl w:val="0"/>
        <w:rPr>
          <w:rFonts w:hint="eastAsia" w:ascii="仿宋_GB2312" w:hAnsi="仿宋_GB2312" w:eastAsia="仿宋_GB2312" w:cs="仿宋_GB2312"/>
          <w:b/>
          <w:bCs/>
          <w:color w:val="auto"/>
          <w:sz w:val="24"/>
          <w:highlight w:val="none"/>
        </w:rPr>
      </w:pPr>
      <w:bookmarkStart w:id="54" w:name="_Toc512703304"/>
      <w:bookmarkStart w:id="55" w:name="_Toc15200"/>
      <w:r>
        <w:rPr>
          <w:rFonts w:hint="eastAsia" w:ascii="仿宋_GB2312" w:hAnsi="仿宋_GB2312" w:eastAsia="仿宋_GB2312" w:cs="仿宋_GB2312"/>
          <w:b/>
          <w:bCs/>
          <w:color w:val="auto"/>
          <w:sz w:val="24"/>
          <w:highlight w:val="none"/>
        </w:rPr>
        <w:t>二、 招标文件</w:t>
      </w:r>
      <w:bookmarkEnd w:id="54"/>
      <w:bookmarkEnd w:id="55"/>
    </w:p>
    <w:p w14:paraId="059258E8">
      <w:pPr>
        <w:tabs>
          <w:tab w:val="left" w:pos="360"/>
        </w:tabs>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招标文件由招标文件目录所列内容及相关资料组成。</w:t>
      </w:r>
    </w:p>
    <w:p w14:paraId="09D31681">
      <w:pPr>
        <w:tabs>
          <w:tab w:val="left" w:pos="360"/>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 招标文件的澄清</w:t>
      </w:r>
    </w:p>
    <w:p w14:paraId="1032541F">
      <w:pPr>
        <w:tabs>
          <w:tab w:val="left" w:pos="360"/>
        </w:tabs>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采购代理机构解释为准。</w:t>
      </w:r>
    </w:p>
    <w:p w14:paraId="3547AF90">
      <w:pPr>
        <w:tabs>
          <w:tab w:val="left" w:pos="360"/>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  招标文件的修改</w:t>
      </w:r>
    </w:p>
    <w:p w14:paraId="4355CE4F">
      <w:pPr>
        <w:tabs>
          <w:tab w:val="left" w:pos="360"/>
        </w:tabs>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招标人或招标代理机构对已发出的招标文件进行必要的澄清或者修改的，应当在招标文件要求递交投标文件截止时间十五日前，在政府采购指定网站上发布更正公告，并以书面形式通知所有招标文件收受人。该澄清或修改内容为招标文件的组成部分。招标文件收受人收到该书面通知后，应立即书面回复确认已收到该通知。</w:t>
      </w:r>
    </w:p>
    <w:p w14:paraId="637DF665">
      <w:pPr>
        <w:spacing w:line="360" w:lineRule="auto"/>
        <w:ind w:left="480" w:hanging="480"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招标人、招标代理机构可以视采购的具体情况决定是否延长投标截止时间和开标时间，并在招标文件要求递交投标文件的截止时间前，将变更时间书面通知所有招标文件收受人，同时在政府采购指定网站上发布变更公告。招标文件收受人收到变更时间的书面通知后，应立即书面回复确认已收到该通知。</w:t>
      </w:r>
    </w:p>
    <w:p w14:paraId="4D71974B">
      <w:pPr>
        <w:spacing w:before="100" w:beforeAutospacing="1" w:after="100" w:afterAutospacing="1"/>
        <w:jc w:val="center"/>
        <w:outlineLvl w:val="0"/>
        <w:rPr>
          <w:rFonts w:hint="eastAsia" w:ascii="仿宋_GB2312" w:hAnsi="仿宋_GB2312" w:eastAsia="仿宋_GB2312" w:cs="仿宋_GB2312"/>
          <w:b/>
          <w:bCs/>
          <w:color w:val="auto"/>
          <w:sz w:val="24"/>
          <w:highlight w:val="none"/>
        </w:rPr>
      </w:pPr>
      <w:bookmarkStart w:id="56" w:name="_Toc512703305"/>
      <w:bookmarkStart w:id="57" w:name="_Toc23329"/>
      <w:r>
        <w:rPr>
          <w:rFonts w:hint="eastAsia" w:ascii="仿宋_GB2312" w:hAnsi="仿宋_GB2312" w:eastAsia="仿宋_GB2312" w:cs="仿宋_GB2312"/>
          <w:b/>
          <w:bCs/>
          <w:color w:val="auto"/>
          <w:sz w:val="24"/>
          <w:highlight w:val="none"/>
        </w:rPr>
        <w:t>三、 投标文件的编制</w:t>
      </w:r>
      <w:bookmarkEnd w:id="56"/>
      <w:bookmarkEnd w:id="57"/>
    </w:p>
    <w:p w14:paraId="509A9F11">
      <w:pPr>
        <w:spacing w:line="360" w:lineRule="auto"/>
        <w:ind w:left="600" w:hanging="600"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1.   投标人应认真阅读招标文件中所有事项、格式、条款和技术规范等。</w:t>
      </w:r>
      <w:r>
        <w:rPr>
          <w:rFonts w:hint="eastAsia" w:ascii="仿宋_GB2312" w:hAnsi="仿宋_GB2312" w:eastAsia="仿宋_GB2312" w:cs="仿宋_GB2312"/>
          <w:b/>
          <w:color w:val="auto"/>
          <w:sz w:val="24"/>
          <w:highlight w:val="none"/>
        </w:rPr>
        <w:t>投标人没有按照招标文件要求提交全部资料，或者没有对招标文件各个方面</w:t>
      </w:r>
      <w:r>
        <w:rPr>
          <w:rFonts w:hint="eastAsia" w:ascii="仿宋_GB2312" w:hAnsi="仿宋_GB2312" w:eastAsia="仿宋_GB2312" w:cs="仿宋_GB2312"/>
          <w:b/>
          <w:color w:val="auto"/>
          <w:sz w:val="24"/>
          <w:highlight w:val="none"/>
          <w:lang w:eastAsia="zh-CN"/>
        </w:rPr>
        <w:t>作出</w:t>
      </w:r>
      <w:r>
        <w:rPr>
          <w:rFonts w:hint="eastAsia" w:ascii="仿宋_GB2312" w:hAnsi="仿宋_GB2312" w:eastAsia="仿宋_GB2312" w:cs="仿宋_GB2312"/>
          <w:b/>
          <w:color w:val="auto"/>
          <w:sz w:val="24"/>
          <w:highlight w:val="none"/>
        </w:rPr>
        <w:t>实质性响应，导致投标被拒绝的风险由投标人自行承担。</w:t>
      </w:r>
    </w:p>
    <w:p w14:paraId="605215AE">
      <w:pPr>
        <w:spacing w:line="360" w:lineRule="auto"/>
        <w:ind w:left="600" w:hanging="600"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2  ▲</w:t>
      </w:r>
      <w:r>
        <w:rPr>
          <w:rFonts w:hint="eastAsia" w:ascii="仿宋_GB2312" w:hAnsi="仿宋_GB2312" w:eastAsia="仿宋_GB2312" w:cs="仿宋_GB2312"/>
          <w:b/>
          <w:color w:val="auto"/>
          <w:sz w:val="24"/>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仿宋_GB2312" w:hAnsi="仿宋_GB2312" w:eastAsia="仿宋_GB2312" w:cs="仿宋_GB2312"/>
          <w:b/>
          <w:color w:val="auto"/>
          <w:sz w:val="24"/>
          <w:highlight w:val="none"/>
        </w:rPr>
        <w:t>。</w:t>
      </w:r>
    </w:p>
    <w:p w14:paraId="6B7F81DB">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   投标文件的形式：通过政采云平台电子投标工具（政采云电子投标客户端）生成的，一份为加密标书（用于供应商投标上传），其中加密标书文件后缀格式为.jmbs；以及一份为备份标书（用于开标解密时异常处理使用，采用介质存储的U盘），备份标书文件后缀格式为.bfbs。</w:t>
      </w:r>
    </w:p>
    <w:p w14:paraId="095AFE56">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  “电子加密投标文件”编制要求：</w:t>
      </w:r>
    </w:p>
    <w:p w14:paraId="48DE7BBA">
      <w:pPr>
        <w:pStyle w:val="12"/>
        <w:spacing w:line="360" w:lineRule="auto"/>
        <w:ind w:left="723" w:hanging="723" w:hanging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4.1 按政采云平台供应商项目采购-电子招投标操作指南（网址：help.zcygov.cn/web/site_2/2018/12-28/2573.html）及本招标文件规定的格式和顺序编制电子投标文件并进行关联定位。</w:t>
      </w:r>
    </w:p>
    <w:p w14:paraId="48F4CE01">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4.2  以介质存储的数据电文形式的备份报价文件，即“电子加密投标文件”按“政采云供应商项目采购-电子招投标操作指南”制作的备份文件，后缀格式为.bfbs。</w:t>
      </w:r>
    </w:p>
    <w:p w14:paraId="3BBC8A60">
      <w:pPr>
        <w:spacing w:line="360" w:lineRule="auto"/>
        <w:ind w:left="602" w:hanging="602"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   投标文件的效力：</w:t>
      </w:r>
    </w:p>
    <w:p w14:paraId="7B0E21C9">
      <w:pPr>
        <w:pStyle w:val="138"/>
        <w:spacing w:line="360" w:lineRule="auto"/>
        <w:ind w:left="480" w:hanging="480" w:hanging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电子投标文件与介质存储的数据电文形式的备份电子投标文件的内容应完全一致，并具有同等效力。其中介质存储的数据电文形式的备份电子投标文件不作为强制要求提供，但供应商不上传或不提供电子投标文件的，投标无效。</w:t>
      </w:r>
    </w:p>
    <w:p w14:paraId="2B3E8A88">
      <w:pPr>
        <w:pStyle w:val="138"/>
        <w:spacing w:line="360" w:lineRule="auto"/>
        <w:ind w:left="480" w:hanging="480" w:hanging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文件的启用，按先后顺位分别为电子投标文件、备份电子投标文件。因开标解密时异常，才能启用备份电子投标文件。备份电子投标文件一旦启用，则电子投标文件后缀格式为.jmbs的即为失效，不予启用。</w:t>
      </w:r>
    </w:p>
    <w:p w14:paraId="3997F526">
      <w:pPr>
        <w:spacing w:line="360" w:lineRule="auto"/>
        <w:ind w:left="602" w:hanging="602"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   投标人信用信息查询</w:t>
      </w:r>
    </w:p>
    <w:p w14:paraId="77AC3AD3">
      <w:pPr>
        <w:spacing w:line="360" w:lineRule="auto"/>
        <w:ind w:left="555" w:leftChars="150" w:hanging="240" w:hanging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根据财库[2016]125号《关于在政府采购活动中查询及使用信用记录有关问题的通知》要求，采购代理机构会对投标人信用记录进行查询并甄别。</w:t>
      </w:r>
    </w:p>
    <w:p w14:paraId="17F99E6B">
      <w:pPr>
        <w:spacing w:line="360" w:lineRule="auto"/>
        <w:ind w:left="600" w:hanging="600" w:hanging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  信用信息查询的截止时点：投标文件递交截止时间；</w:t>
      </w:r>
    </w:p>
    <w:p w14:paraId="39A045BD">
      <w:pPr>
        <w:spacing w:line="360" w:lineRule="auto"/>
        <w:ind w:left="600" w:hanging="600" w:hanging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查询渠道：“信用中国”（</w:t>
      </w:r>
      <w:r>
        <w:rPr>
          <w:rFonts w:hint="eastAsia" w:ascii="仿宋_GB2312" w:hAnsi="仿宋_GB2312" w:eastAsia="仿宋_GB2312" w:cs="仿宋_GB2312"/>
          <w:color w:val="auto"/>
          <w:sz w:val="24"/>
          <w:highlight w:val="none"/>
        </w:rPr>
        <w:fldChar w:fldCharType="begin"/>
      </w:r>
      <w:r>
        <w:rPr>
          <w:rStyle w:val="75"/>
          <w:rFonts w:hint="eastAsia" w:ascii="仿宋_GB2312" w:hAnsi="仿宋_GB2312" w:eastAsia="仿宋_GB2312" w:cs="仿宋_GB2312"/>
          <w:color w:val="auto"/>
          <w:sz w:val="24"/>
          <w:highlight w:val="none"/>
        </w:rPr>
        <w:instrText xml:space="preserve"> HYPERLINK "http://www.creditchina.gov.cn/" </w:instrText>
      </w:r>
      <w:r>
        <w:rPr>
          <w:rFonts w:hint="eastAsia" w:ascii="仿宋_GB2312" w:hAnsi="仿宋_GB2312" w:eastAsia="仿宋_GB2312" w:cs="仿宋_GB2312"/>
          <w:color w:val="auto"/>
          <w:sz w:val="24"/>
          <w:highlight w:val="none"/>
        </w:rPr>
        <w:fldChar w:fldCharType="separate"/>
      </w:r>
      <w:r>
        <w:rPr>
          <w:rStyle w:val="75"/>
          <w:rFonts w:hint="eastAsia" w:ascii="仿宋_GB2312" w:hAnsi="仿宋_GB2312" w:eastAsia="仿宋_GB2312" w:cs="仿宋_GB2312"/>
          <w:color w:val="auto"/>
          <w:sz w:val="24"/>
          <w:highlight w:val="none"/>
        </w:rPr>
        <w:t>w</w:t>
      </w:r>
      <w:bookmarkStart w:id="58" w:name="_Hlt494548938"/>
      <w:bookmarkStart w:id="59" w:name="_Hlt494548937"/>
      <w:r>
        <w:rPr>
          <w:rStyle w:val="75"/>
          <w:rFonts w:hint="eastAsia" w:ascii="仿宋_GB2312" w:hAnsi="仿宋_GB2312" w:eastAsia="仿宋_GB2312" w:cs="仿宋_GB2312"/>
          <w:color w:val="auto"/>
          <w:sz w:val="24"/>
          <w:highlight w:val="none"/>
        </w:rPr>
        <w:t>w</w:t>
      </w:r>
      <w:bookmarkEnd w:id="58"/>
      <w:bookmarkEnd w:id="59"/>
      <w:r>
        <w:rPr>
          <w:rStyle w:val="75"/>
          <w:rFonts w:hint="eastAsia" w:ascii="仿宋_GB2312" w:hAnsi="仿宋_GB2312" w:eastAsia="仿宋_GB2312" w:cs="仿宋_GB2312"/>
          <w:color w:val="auto"/>
          <w:sz w:val="24"/>
          <w:highlight w:val="none"/>
        </w:rPr>
        <w:t>w.creditchina.gov.cn</w:t>
      </w:r>
      <w:r>
        <w:rPr>
          <w:rFonts w:hint="eastAsia" w:ascii="仿宋_GB2312" w:hAnsi="仿宋_GB2312" w:eastAsia="仿宋_GB2312" w:cs="仿宋_GB2312"/>
          <w:color w:val="auto"/>
          <w:sz w:val="24"/>
          <w:highlight w:val="none"/>
        </w:rPr>
        <w:fldChar w:fldCharType="end"/>
      </w:r>
      <w:bookmarkStart w:id="60" w:name="_Hlt465845358"/>
      <w:bookmarkEnd w:id="60"/>
      <w:bookmarkStart w:id="61" w:name="_Hlt465844828"/>
      <w:bookmarkEnd w:id="61"/>
      <w:bookmarkStart w:id="62" w:name="_Hlt465844830"/>
      <w:bookmarkEnd w:id="62"/>
      <w:bookmarkStart w:id="63" w:name="_Hlt465844836"/>
      <w:bookmarkEnd w:id="63"/>
      <w:bookmarkStart w:id="64" w:name="_Hlt465844862"/>
      <w:bookmarkEnd w:id="64"/>
      <w:r>
        <w:rPr>
          <w:rFonts w:hint="eastAsia" w:ascii="仿宋_GB2312" w:hAnsi="仿宋_GB2312" w:eastAsia="仿宋_GB2312" w:cs="仿宋_GB2312"/>
          <w:color w:val="auto"/>
          <w:sz w:val="24"/>
          <w:highlight w:val="none"/>
        </w:rPr>
        <w:t>）、“中国政府采购网”（</w:t>
      </w:r>
      <w:r>
        <w:rPr>
          <w:rFonts w:hint="eastAsia" w:ascii="仿宋_GB2312" w:hAnsi="仿宋_GB2312" w:eastAsia="仿宋_GB2312" w:cs="仿宋_GB2312"/>
          <w:color w:val="auto"/>
          <w:sz w:val="24"/>
          <w:highlight w:val="none"/>
        </w:rPr>
        <w:fldChar w:fldCharType="begin"/>
      </w:r>
      <w:r>
        <w:rPr>
          <w:rStyle w:val="75"/>
          <w:rFonts w:hint="eastAsia" w:ascii="仿宋_GB2312" w:hAnsi="仿宋_GB2312" w:eastAsia="仿宋_GB2312" w:cs="仿宋_GB2312"/>
          <w:color w:val="auto"/>
          <w:sz w:val="24"/>
          <w:highlight w:val="none"/>
        </w:rPr>
        <w:instrText xml:space="preserve"> HYPERLINK "http://www.ccgp.gov.cn/" </w:instrText>
      </w:r>
      <w:r>
        <w:rPr>
          <w:rFonts w:hint="eastAsia" w:ascii="仿宋_GB2312" w:hAnsi="仿宋_GB2312" w:eastAsia="仿宋_GB2312" w:cs="仿宋_GB2312"/>
          <w:color w:val="auto"/>
          <w:sz w:val="24"/>
          <w:highlight w:val="none"/>
        </w:rPr>
        <w:fldChar w:fldCharType="separate"/>
      </w:r>
      <w:r>
        <w:rPr>
          <w:rStyle w:val="75"/>
          <w:rFonts w:hint="eastAsia" w:ascii="仿宋_GB2312" w:hAnsi="仿宋_GB2312" w:eastAsia="仿宋_GB2312" w:cs="仿宋_GB2312"/>
          <w:color w:val="auto"/>
          <w:sz w:val="24"/>
          <w:highlight w:val="none"/>
        </w:rPr>
        <w:t>www.ccgp.gov.cn</w:t>
      </w:r>
      <w:r>
        <w:rPr>
          <w:rFonts w:hint="eastAsia" w:ascii="仿宋_GB2312" w:hAnsi="仿宋_GB2312" w:eastAsia="仿宋_GB2312" w:cs="仿宋_GB2312"/>
          <w:color w:val="auto"/>
          <w:sz w:val="24"/>
          <w:highlight w:val="none"/>
        </w:rPr>
        <w:fldChar w:fldCharType="end"/>
      </w:r>
      <w:bookmarkStart w:id="65" w:name="_Hlt465844764"/>
      <w:bookmarkEnd w:id="65"/>
      <w:bookmarkStart w:id="66" w:name="_Hlt465844765"/>
      <w:bookmarkEnd w:id="66"/>
      <w:r>
        <w:rPr>
          <w:rFonts w:hint="eastAsia" w:ascii="仿宋_GB2312" w:hAnsi="仿宋_GB2312" w:eastAsia="仿宋_GB2312" w:cs="仿宋_GB2312"/>
          <w:color w:val="auto"/>
          <w:sz w:val="24"/>
          <w:highlight w:val="none"/>
        </w:rPr>
        <w:t>）；</w:t>
      </w:r>
    </w:p>
    <w:p w14:paraId="18CEEFD0">
      <w:pPr>
        <w:spacing w:line="360" w:lineRule="auto"/>
        <w:ind w:left="600" w:hanging="600" w:hanging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  信用信息的使用规则：投标人存在不良信用记录的，其投标将被作为无效投标被拒绝；</w:t>
      </w:r>
    </w:p>
    <w:p w14:paraId="24B3F5FC">
      <w:pPr>
        <w:spacing w:line="360" w:lineRule="auto"/>
        <w:ind w:left="600" w:hanging="600" w:hanging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6.4  不良信用记录指：“信用中国”被列入失信被执行人和重大税收违法案件当事人名单或存在 《中华人民共和国政府采购法实施条例》 第十九条规定的行政处罚记录；中国政府采购网被列入政府采购严重违法失信行为记录名单。</w:t>
      </w:r>
    </w:p>
    <w:p w14:paraId="50E7EEC8">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7． 投标文件的构成：</w:t>
      </w:r>
    </w:p>
    <w:p w14:paraId="2E79EAD5">
      <w:pPr>
        <w:pStyle w:val="138"/>
        <w:spacing w:line="360" w:lineRule="auto"/>
        <w:ind w:left="437" w:leftChars="208" w:firstLine="0" w:firstLineChars="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投标文件由资格证明文件、技术资信标、商务标</w:t>
      </w:r>
      <w:r>
        <w:rPr>
          <w:rFonts w:hint="eastAsia" w:ascii="仿宋_GB2312" w:hAnsi="仿宋_GB2312" w:eastAsia="仿宋_GB2312" w:cs="仿宋_GB2312"/>
          <w:color w:val="auto"/>
          <w:sz w:val="24"/>
          <w:szCs w:val="24"/>
          <w:highlight w:val="none"/>
          <w:lang w:eastAsia="zh-CN"/>
        </w:rPr>
        <w:t>三部分组成</w:t>
      </w:r>
      <w:r>
        <w:rPr>
          <w:rFonts w:hint="eastAsia" w:ascii="仿宋_GB2312" w:hAnsi="仿宋_GB2312" w:eastAsia="仿宋_GB2312" w:cs="仿宋_GB2312"/>
          <w:color w:val="auto"/>
          <w:sz w:val="24"/>
          <w:szCs w:val="24"/>
          <w:highlight w:val="none"/>
          <w:u w:val="single"/>
        </w:rPr>
        <w:t>（如有要求提供资料原件、样品的，原件与样品另行包装，并与备份电子投标文件一起递交，投标截止时间后不予接收</w:t>
      </w:r>
      <w:r>
        <w:rPr>
          <w:rFonts w:hint="eastAsia" w:ascii="仿宋_GB2312" w:hAnsi="仿宋_GB2312" w:eastAsia="仿宋_GB2312" w:cs="仿宋_GB2312"/>
          <w:color w:val="auto"/>
          <w:sz w:val="24"/>
          <w:szCs w:val="24"/>
          <w:highlight w:val="none"/>
        </w:rPr>
        <w:t>）。</w:t>
      </w:r>
    </w:p>
    <w:p w14:paraId="495E08A8">
      <w:pPr>
        <w:spacing w:line="360" w:lineRule="auto"/>
        <w:ind w:left="207" w:hanging="207" w:hangingChars="86"/>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7.1  资格证明文件由下列部分构成：</w:t>
      </w:r>
    </w:p>
    <w:p w14:paraId="0038646D">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1）有效的法人或者其他组织的营业执照等证明文件，自然人的身份证明（五选一）（见附件）</w:t>
      </w:r>
    </w:p>
    <w:p w14:paraId="19017C69">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2）关于符合《中华人民共和国政府采购法》第二十二条规定的承诺函（见附件）</w:t>
      </w:r>
    </w:p>
    <w:p w14:paraId="2089E974">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7.2 技术资信标由下列部分构成：</w:t>
      </w:r>
    </w:p>
    <w:p w14:paraId="55F64948">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投标函（见附件）</w:t>
      </w:r>
    </w:p>
    <w:p w14:paraId="334AD735">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有效授权证明：法定代表人资格证明书/法定代表人授权书；（见附件）</w:t>
      </w:r>
    </w:p>
    <w:p w14:paraId="5EFBF037">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商务偏离表、技术偏离表（见附件）</w:t>
      </w:r>
    </w:p>
    <w:p w14:paraId="49B96FFC">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供应商同类项目业绩（见附件）</w:t>
      </w:r>
    </w:p>
    <w:p w14:paraId="6C6386C3">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本项目拟投入人员配置情况（见附件）</w:t>
      </w:r>
    </w:p>
    <w:p w14:paraId="726D39FA">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技术服务方案</w:t>
      </w:r>
    </w:p>
    <w:p w14:paraId="77CD928D">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施工组织方案</w:t>
      </w:r>
    </w:p>
    <w:p w14:paraId="1820594B">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维护考核办法</w:t>
      </w:r>
    </w:p>
    <w:p w14:paraId="51802D43">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售后服务</w:t>
      </w:r>
    </w:p>
    <w:p w14:paraId="319687C3">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培训方案</w:t>
      </w:r>
    </w:p>
    <w:p w14:paraId="422148B2">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供应商根据评分办法要求提供的资料</w:t>
      </w:r>
    </w:p>
    <w:p w14:paraId="3D90229A">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节能环保产品（如有）（见附件）</w:t>
      </w:r>
    </w:p>
    <w:p w14:paraId="44701FF8">
      <w:pPr>
        <w:numPr>
          <w:ilvl w:val="0"/>
          <w:numId w:val="8"/>
        </w:numPr>
        <w:autoSpaceDE w:val="0"/>
        <w:autoSpaceDN w:val="0"/>
        <w:adjustRightInd w:val="0"/>
        <w:snapToGrid w:val="0"/>
        <w:spacing w:line="360" w:lineRule="auto"/>
        <w:textAlignment w:val="bottom"/>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供应商认为需要提供的其他技术资料</w:t>
      </w:r>
    </w:p>
    <w:p w14:paraId="29C618A7">
      <w:pPr>
        <w:autoSpaceDE w:val="0"/>
        <w:autoSpaceDN w:val="0"/>
        <w:adjustRightInd w:val="0"/>
        <w:snapToGrid w:val="0"/>
        <w:spacing w:line="360" w:lineRule="auto"/>
        <w:ind w:left="460" w:leftChars="219"/>
        <w:textAlignment w:val="bottom"/>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pacing w:val="6"/>
          <w:sz w:val="24"/>
          <w:highlight w:val="none"/>
        </w:rPr>
        <w:t>投标供应商</w:t>
      </w:r>
      <w:r>
        <w:rPr>
          <w:rFonts w:hint="eastAsia" w:ascii="仿宋_GB2312" w:hAnsi="仿宋_GB2312" w:eastAsia="仿宋_GB2312" w:cs="仿宋_GB2312"/>
          <w:color w:val="auto"/>
          <w:sz w:val="24"/>
          <w:highlight w:val="none"/>
        </w:rPr>
        <w:t>可在投标文件中对招标货物的技术规格和要求选用替代标准，但这些替代标准必须相当于或优于招标文件中提出的相应要求，并使采购人满意，同时在技术偏离表中做出详细说明。</w:t>
      </w:r>
    </w:p>
    <w:p w14:paraId="6E31668E">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7.3 商务标由下列部分构成：</w:t>
      </w:r>
    </w:p>
    <w:p w14:paraId="3962632E">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1）投标报价一览表（见附件）</w:t>
      </w:r>
    </w:p>
    <w:p w14:paraId="5B2995F5">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2）投标分项报价表（见附件）</w:t>
      </w:r>
    </w:p>
    <w:p w14:paraId="64D73BAB">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3）中小企业证明材料（见附件）</w:t>
      </w:r>
    </w:p>
    <w:p w14:paraId="5C6D3A94">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8、</w:t>
      </w:r>
      <w:r>
        <w:rPr>
          <w:rFonts w:hint="eastAsia" w:ascii="仿宋_GB2312" w:hAnsi="仿宋_GB2312" w:eastAsia="仿宋_GB2312" w:cs="仿宋_GB2312"/>
          <w:b/>
          <w:bCs/>
          <w:color w:val="auto"/>
          <w:sz w:val="24"/>
          <w:highlight w:val="none"/>
        </w:rPr>
        <w:t>投标报价</w:t>
      </w:r>
    </w:p>
    <w:p w14:paraId="35959561">
      <w:pPr>
        <w:spacing w:line="360" w:lineRule="auto"/>
        <w:ind w:left="480" w:hanging="480"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color w:val="auto"/>
          <w:sz w:val="24"/>
          <w:highlight w:val="none"/>
        </w:rPr>
        <w:t xml:space="preserve">8.1 </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color w:val="auto"/>
          <w:sz w:val="24"/>
          <w:highlight w:val="none"/>
          <w:u w:val="single"/>
        </w:rPr>
        <w:t>投标报价包括中标人在正确地完全履行合同义务后采购人应支付给中标人所有的服务价款，即服务所需货物的供货、税金、包装、运输、装卸、硬件设备维保、系统集成、运维服务费、驻点维护管理人员工资、企业管理费、风险、利润、安装调试、验收（含第三方验收）、技术服务、培训、售后服务、材料、招标代理费等全部费用等完成合同所需的一切本身和不可或缺的所有工作开支、政策性文件规定及合同包含的所有风险、责任等各项全部费用，供应商应根据上述因素自行考虑含入投标报价。</w:t>
      </w:r>
    </w:p>
    <w:p w14:paraId="28343CAF">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8.2 投标人必须按附件中的投标报价一览表、报价组成与成本分析（均统一格式）内容填写价格，并由投标人代表签署。</w:t>
      </w:r>
    </w:p>
    <w:p w14:paraId="76A89487">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8.3 </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color w:val="auto"/>
          <w:sz w:val="24"/>
          <w:highlight w:val="none"/>
          <w:u w:val="single"/>
        </w:rPr>
        <w:t>招标人和招标代理机构不接受任何选择投标，对任何服务只允许一个价格。</w:t>
      </w:r>
    </w:p>
    <w:p w14:paraId="1FC06CA4">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8.4 供应商应考虑企业自身实力、经验及项目实施过程中的各种因素，自主确定报价，实行固定单价包干。供应商应在各自技术</w:t>
      </w:r>
      <w:r>
        <w:rPr>
          <w:rFonts w:hint="eastAsia" w:ascii="仿宋_GB2312" w:hAnsi="仿宋_GB2312" w:eastAsia="仿宋_GB2312" w:cs="仿宋_GB2312"/>
          <w:color w:val="auto"/>
          <w:sz w:val="24"/>
          <w:highlight w:val="none"/>
        </w:rPr>
        <w:t>和商务占优势的基础上并充分考虑本项目的重要性，提供对采购人最优惠的报价。</w:t>
      </w:r>
    </w:p>
    <w:p w14:paraId="6099630E">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8.5 </w:t>
      </w:r>
      <w:r>
        <w:rPr>
          <w:rFonts w:hint="eastAsia" w:ascii="仿宋_GB2312" w:hAnsi="仿宋_GB2312" w:eastAsia="仿宋_GB2312" w:cs="仿宋_GB2312"/>
          <w:b/>
          <w:color w:val="auto"/>
          <w:sz w:val="24"/>
          <w:highlight w:val="none"/>
        </w:rPr>
        <w:t>供应商在投标报价中应充分考虑所有可能发生的费用，否则采购人将视投标总价中已包括所有费用。</w:t>
      </w:r>
    </w:p>
    <w:p w14:paraId="25C4984B">
      <w:pPr>
        <w:spacing w:line="360" w:lineRule="auto"/>
        <w:ind w:left="480" w:hanging="480"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u w:val="single"/>
        </w:rPr>
        <w:t>供应商对在合同执行中，除上述费用及招标文件规定的由中标供应商负责的工作范围以外需要采购人协调或提供便利的工作应当在投标文件中说明。</w:t>
      </w:r>
    </w:p>
    <w:p w14:paraId="2CA865D9">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8.6 采购人要求分类报价是为了方便评标，但在任何情况下不限制采购人以其认为最合适的条款签订合同的权利。</w:t>
      </w:r>
    </w:p>
    <w:p w14:paraId="7AA32E57">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8.7 投标货币以人民币进行投标。</w:t>
      </w:r>
    </w:p>
    <w:p w14:paraId="0E5EF964">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8.8 </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color w:val="auto"/>
          <w:sz w:val="24"/>
          <w:highlight w:val="none"/>
          <w:u w:val="single"/>
        </w:rPr>
        <w:t>投标人所报的投标价在合同执行过程中实行固</w:t>
      </w:r>
      <w:r>
        <w:rPr>
          <w:rFonts w:hint="eastAsia" w:ascii="仿宋_GB2312" w:hAnsi="仿宋_GB2312" w:eastAsia="仿宋_GB2312" w:cs="仿宋_GB2312"/>
          <w:b/>
          <w:color w:val="auto"/>
          <w:sz w:val="24"/>
          <w:highlight w:val="none"/>
          <w:u w:val="single"/>
        </w:rPr>
        <w:t>定单价不变，最终按实际完成量结算，不得以任何理由予以变更。任何包含价格调整</w:t>
      </w:r>
      <w:r>
        <w:rPr>
          <w:rFonts w:hint="eastAsia" w:ascii="仿宋_GB2312" w:hAnsi="仿宋_GB2312" w:eastAsia="仿宋_GB2312" w:cs="仿宋_GB2312"/>
          <w:b/>
          <w:color w:val="auto"/>
          <w:sz w:val="24"/>
          <w:highlight w:val="none"/>
          <w:u w:val="single"/>
        </w:rPr>
        <w:t>的要求，将被认为是非实质性响应投标而予以拒绝</w:t>
      </w:r>
      <w:r>
        <w:rPr>
          <w:rFonts w:hint="eastAsia" w:ascii="仿宋_GB2312" w:hAnsi="仿宋_GB2312" w:eastAsia="仿宋_GB2312" w:cs="仿宋_GB2312"/>
          <w:color w:val="auto"/>
          <w:sz w:val="24"/>
          <w:highlight w:val="none"/>
        </w:rPr>
        <w:t>。</w:t>
      </w:r>
    </w:p>
    <w:p w14:paraId="6ABCC6A3">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8.9 最低报价不能作为中标的保证。</w:t>
      </w:r>
    </w:p>
    <w:p w14:paraId="69817BE7">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 xml:space="preserve">9   </w:t>
      </w:r>
      <w:r>
        <w:rPr>
          <w:rFonts w:hint="eastAsia" w:ascii="仿宋_GB2312" w:hAnsi="仿宋_GB2312" w:eastAsia="仿宋_GB2312" w:cs="仿宋_GB2312"/>
          <w:b/>
          <w:bCs/>
          <w:color w:val="auto"/>
          <w:sz w:val="24"/>
          <w:highlight w:val="none"/>
          <w:u w:val="single"/>
        </w:rPr>
        <w:t>投标有效期</w:t>
      </w:r>
    </w:p>
    <w:p w14:paraId="7383E824">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9.1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u w:val="single"/>
        </w:rPr>
        <w:t>自开标之日起</w:t>
      </w:r>
      <w:r>
        <w:rPr>
          <w:rFonts w:hint="eastAsia" w:ascii="仿宋_GB2312" w:hAnsi="仿宋_GB2312" w:eastAsia="仿宋_GB2312" w:cs="仿宋_GB2312"/>
          <w:b/>
          <w:bCs/>
          <w:color w:val="auto"/>
          <w:sz w:val="24"/>
          <w:highlight w:val="none"/>
          <w:u w:val="single"/>
        </w:rPr>
        <w:t>90</w:t>
      </w:r>
      <w:r>
        <w:rPr>
          <w:rFonts w:hint="eastAsia" w:ascii="仿宋_GB2312" w:hAnsi="仿宋_GB2312" w:eastAsia="仿宋_GB2312" w:cs="仿宋_GB2312"/>
          <w:b/>
          <w:color w:val="auto"/>
          <w:sz w:val="24"/>
          <w:highlight w:val="none"/>
          <w:u w:val="single"/>
        </w:rPr>
        <w:t>天内投标应保持投标有效</w:t>
      </w:r>
      <w:r>
        <w:rPr>
          <w:rFonts w:hint="eastAsia" w:ascii="仿宋_GB2312" w:hAnsi="仿宋_GB2312" w:eastAsia="仿宋_GB2312" w:cs="仿宋_GB2312"/>
          <w:b/>
          <w:color w:val="auto"/>
          <w:sz w:val="24"/>
          <w:highlight w:val="none"/>
        </w:rPr>
        <w:t>。</w:t>
      </w:r>
    </w:p>
    <w:p w14:paraId="7085BC36">
      <w:pPr>
        <w:spacing w:line="360" w:lineRule="auto"/>
        <w:ind w:left="600" w:hanging="600" w:hanging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  特殊情况下，在原投标有效期截止前，采购人可与投标人协商延长投标有效期，这种要求和答复均以书面形式进行。投标人可拒绝接受延期要求。同意延长投标有效期的投标人不得修改投标文件。</w:t>
      </w:r>
    </w:p>
    <w:p w14:paraId="5B7DF375">
      <w:pPr>
        <w:pStyle w:val="138"/>
        <w:spacing w:line="360" w:lineRule="auto"/>
        <w:ind w:firstLine="0" w:firstLineChars="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 xml:space="preserve">10   </w:t>
      </w:r>
      <w:r>
        <w:rPr>
          <w:rFonts w:hint="eastAsia" w:ascii="仿宋_GB2312" w:hAnsi="仿宋_GB2312" w:eastAsia="仿宋_GB2312" w:cs="仿宋_GB2312"/>
          <w:b/>
          <w:bCs/>
          <w:color w:val="auto"/>
          <w:sz w:val="24"/>
          <w:szCs w:val="24"/>
          <w:highlight w:val="none"/>
        </w:rPr>
        <w:t>投标文件的份数：</w:t>
      </w:r>
    </w:p>
    <w:p w14:paraId="791D7D8B">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10.1 电子投标文件：按政采云平台供应商项目采购-电子招投标操作指南https://help.zcygov.cn/web/site_2/2018/12-28/2573.html及本招标文件要求提交。</w:t>
      </w:r>
    </w:p>
    <w:p w14:paraId="281BD364">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10.2 介质存储的数据电文形式的备份电子投标文件：“电子加密投标文件”的备份文件，以U盘形式存储，并单独密封邮寄或现场递交，递交时间为开标截止时间前，逾期无效。（以邮寄形式的，建议送达时间为开标截止时间前1天）。</w:t>
      </w:r>
    </w:p>
    <w:p w14:paraId="20F4EC0B">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10.3 以介质存储的“备份投标文件”的密封及标记:投标供应商必须将“备份投标文件”密封装袋，封口处贴上封条，启封处加盖投标供应商法人公章并由法定代表人或投标供应商代表签字。封皮上写明投标项目名称、编号、投标供应商名称、地址、邮政编码、电话、联系人，并注明“开标时启封”字样。</w:t>
      </w:r>
    </w:p>
    <w:p w14:paraId="2CBDF659">
      <w:pPr>
        <w:spacing w:line="360" w:lineRule="auto"/>
        <w:ind w:left="602" w:hanging="602" w:hangingChars="2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10.4  如果投标供应商未按上述要求密封及加写标记，招标采购单位对投标响应文件的误投和提前启封不负责任。</w:t>
      </w:r>
    </w:p>
    <w:p w14:paraId="59A2D34A">
      <w:pPr>
        <w:pStyle w:val="138"/>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 xml:space="preserve">11．  </w:t>
      </w:r>
      <w:r>
        <w:rPr>
          <w:rFonts w:hint="eastAsia" w:ascii="仿宋_GB2312" w:hAnsi="仿宋_GB2312" w:eastAsia="仿宋_GB2312" w:cs="仿宋_GB2312"/>
          <w:b/>
          <w:bCs/>
          <w:color w:val="auto"/>
          <w:sz w:val="24"/>
          <w:szCs w:val="24"/>
          <w:highlight w:val="none"/>
          <w:u w:val="single"/>
        </w:rPr>
        <w:t>▲投标文件的签署、盖章</w:t>
      </w:r>
    </w:p>
    <w:p w14:paraId="60F59660">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11.1  </w:t>
      </w:r>
      <w:r>
        <w:rPr>
          <w:rFonts w:hint="eastAsia" w:ascii="仿宋_GB2312" w:hAnsi="仿宋_GB2312" w:eastAsia="仿宋_GB2312" w:cs="仿宋_GB2312"/>
          <w:b/>
          <w:color w:val="auto"/>
          <w:sz w:val="24"/>
          <w:highlight w:val="none"/>
          <w:u w:val="single"/>
        </w:rPr>
        <w:t>投标文件封面和内部有要求盖章或签字的地方必须加盖投标供应商的单位公章（或CA电子公章）以及法定代表人或全权代表（CA电子签章或签字）。</w:t>
      </w:r>
    </w:p>
    <w:p w14:paraId="258F62A9">
      <w:p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rPr>
        <w:t xml:space="preserve">11.2  </w:t>
      </w:r>
      <w:r>
        <w:rPr>
          <w:rFonts w:hint="eastAsia" w:ascii="仿宋_GB2312" w:hAnsi="仿宋_GB2312" w:eastAsia="仿宋_GB2312" w:cs="仿宋_GB2312"/>
          <w:b/>
          <w:color w:val="auto"/>
          <w:sz w:val="24"/>
          <w:highlight w:val="none"/>
          <w:u w:val="single"/>
        </w:rPr>
        <w:t>若以联合体参加投标的，除联合体各方提供资料的须联合体各方盖章及签字外，投标文件中其他内容均以联合体主办人的盖章及签字为准。</w:t>
      </w:r>
    </w:p>
    <w:p w14:paraId="787057A9">
      <w:p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rPr>
        <w:t xml:space="preserve">11.3  </w:t>
      </w:r>
      <w:r>
        <w:rPr>
          <w:rFonts w:hint="eastAsia" w:ascii="仿宋_GB2312" w:hAnsi="仿宋_GB2312" w:eastAsia="仿宋_GB2312" w:cs="仿宋_GB2312"/>
          <w:b/>
          <w:color w:val="auto"/>
          <w:sz w:val="24"/>
          <w:highlight w:val="none"/>
          <w:u w:val="single"/>
        </w:rPr>
        <w:t>投标文件不得涂改，若有修改错漏处，须加盖单位公章（或CA电子公章）或者法定代表人或授权委托人签字（或CA电子签章）。投标文件中因字迹潦草或表达不清所引起的后果由投标供应商负责。</w:t>
      </w:r>
    </w:p>
    <w:p w14:paraId="3F359219">
      <w:pPr>
        <w:spacing w:before="100" w:beforeAutospacing="1" w:after="100" w:afterAutospacing="1" w:line="360" w:lineRule="auto"/>
        <w:jc w:val="center"/>
        <w:outlineLvl w:val="0"/>
        <w:rPr>
          <w:rFonts w:hint="eastAsia" w:ascii="仿宋_GB2312" w:hAnsi="仿宋_GB2312" w:eastAsia="仿宋_GB2312" w:cs="仿宋_GB2312"/>
          <w:b/>
          <w:bCs/>
          <w:color w:val="auto"/>
          <w:sz w:val="24"/>
          <w:highlight w:val="none"/>
        </w:rPr>
      </w:pPr>
      <w:bookmarkStart w:id="67" w:name="_Toc7268"/>
      <w:bookmarkStart w:id="68" w:name="_Toc512703306"/>
      <w:r>
        <w:rPr>
          <w:rFonts w:hint="eastAsia" w:ascii="仿宋_GB2312" w:hAnsi="仿宋_GB2312" w:eastAsia="仿宋_GB2312" w:cs="仿宋_GB2312"/>
          <w:b/>
          <w:bCs/>
          <w:color w:val="auto"/>
          <w:sz w:val="24"/>
          <w:highlight w:val="none"/>
        </w:rPr>
        <w:t>四、 投标文件的递交</w:t>
      </w:r>
      <w:bookmarkEnd w:id="67"/>
      <w:bookmarkEnd w:id="68"/>
    </w:p>
    <w:p w14:paraId="4A44076D">
      <w:pPr>
        <w:numPr>
          <w:ilvl w:val="0"/>
          <w:numId w:val="9"/>
        </w:numPr>
        <w:snapToGrid w:val="0"/>
        <w:spacing w:line="360" w:lineRule="auto"/>
        <w:rPr>
          <w:rFonts w:hint="eastAsia" w:ascii="仿宋_GB2312" w:hAnsi="仿宋_GB2312" w:eastAsia="仿宋_GB2312" w:cs="仿宋_GB2312"/>
          <w:b/>
          <w:color w:val="auto"/>
          <w:sz w:val="24"/>
          <w:highlight w:val="none"/>
        </w:rPr>
      </w:pPr>
      <w:bookmarkStart w:id="69" w:name="_Toc512703307"/>
      <w:r>
        <w:rPr>
          <w:rFonts w:hint="eastAsia" w:ascii="仿宋_GB2312" w:hAnsi="仿宋_GB2312" w:eastAsia="仿宋_GB2312" w:cs="仿宋_GB2312"/>
          <w:b/>
          <w:color w:val="auto"/>
          <w:sz w:val="24"/>
          <w:highlight w:val="none"/>
        </w:rPr>
        <w:t>电子投标文件的上传、递交</w:t>
      </w:r>
    </w:p>
    <w:p w14:paraId="77467412">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在投标截止时间前，投标供应商应按招标文件规定的时间、形式上传电子投标文件至政采云平台采购项目中。在投标截止时间后上传提交投标文件的，将被政采云平台拒绝。</w:t>
      </w:r>
    </w:p>
    <w:p w14:paraId="23413A0A">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采购代理机构工作人员将做好介质存储的数据电文形式备份电子投标文件签收手续，明确备份电子投标文件的提交时间、份数、提交人等信息。</w:t>
      </w:r>
    </w:p>
    <w:p w14:paraId="3BB35873">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因密封不严、标记不明而造成过早启封、失密等情况，采购代理机构概不负责。</w:t>
      </w:r>
    </w:p>
    <w:p w14:paraId="4F484D49">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如因故推迟投标文件提交截止时间的，招标采购单位和投标供应商的权利和义务将受到新的截止时间约束。</w:t>
      </w:r>
    </w:p>
    <w:p w14:paraId="1D61C4CA">
      <w:pPr>
        <w:numPr>
          <w:ilvl w:val="0"/>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“电子加密投标文件”解密和异常情况处理</w:t>
      </w:r>
    </w:p>
    <w:p w14:paraId="21568459">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开标后，采购组织机构将向各供应商发出“电子加密投标文件”的解密通知，各供应商代表应当在接到解密通知后30分钟内自行完成“电子加密投标文件”的在线解密。</w:t>
      </w:r>
    </w:p>
    <w:p w14:paraId="3A354223">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E9C4A6C">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投标截止时间前，供应商仅递交了“备份投标文件”而未将电子加密投标文件上传至“政府采购云平台”的，投标无效。</w:t>
      </w:r>
    </w:p>
    <w:p w14:paraId="2DFA079A">
      <w:pPr>
        <w:numPr>
          <w:ilvl w:val="0"/>
          <w:numId w:val="9"/>
        </w:num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迟交的投标文件</w:t>
      </w:r>
    </w:p>
    <w:p w14:paraId="48AA6F8F">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采购组织机构在招标文件中规定的投标截止时间以后收到的投标文件，将被拒绝并退回给投标人。</w:t>
      </w:r>
    </w:p>
    <w:p w14:paraId="3334FD34">
      <w:pPr>
        <w:numPr>
          <w:ilvl w:val="0"/>
          <w:numId w:val="9"/>
        </w:num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投标文件的补充、修改与撤回</w:t>
      </w:r>
    </w:p>
    <w:p w14:paraId="552243E8">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CA25E18">
      <w:pPr>
        <w:numPr>
          <w:ilvl w:val="1"/>
          <w:numId w:val="9"/>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投标截止时间后，供应商不得撤回、修改《投标文件》。</w:t>
      </w:r>
    </w:p>
    <w:p w14:paraId="71397432">
      <w:pPr>
        <w:spacing w:before="100" w:beforeAutospacing="1" w:after="100" w:afterAutospacing="1" w:line="360" w:lineRule="auto"/>
        <w:jc w:val="center"/>
        <w:outlineLvl w:val="0"/>
        <w:rPr>
          <w:rFonts w:hint="eastAsia" w:ascii="仿宋_GB2312" w:hAnsi="仿宋_GB2312" w:eastAsia="仿宋_GB2312" w:cs="仿宋_GB2312"/>
          <w:b/>
          <w:bCs/>
          <w:color w:val="auto"/>
          <w:sz w:val="24"/>
          <w:highlight w:val="none"/>
        </w:rPr>
      </w:pPr>
      <w:bookmarkStart w:id="70" w:name="_Toc1847"/>
      <w:r>
        <w:rPr>
          <w:rFonts w:hint="eastAsia" w:ascii="仿宋_GB2312" w:hAnsi="仿宋_GB2312" w:eastAsia="仿宋_GB2312" w:cs="仿宋_GB2312"/>
          <w:b/>
          <w:bCs/>
          <w:color w:val="auto"/>
          <w:sz w:val="24"/>
          <w:highlight w:val="none"/>
        </w:rPr>
        <w:t>五、 开标和评标</w:t>
      </w:r>
      <w:bookmarkEnd w:id="69"/>
      <w:bookmarkEnd w:id="70"/>
    </w:p>
    <w:p w14:paraId="6A20804F">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Cs/>
          <w:color w:val="auto"/>
          <w:sz w:val="24"/>
          <w:highlight w:val="none"/>
        </w:rPr>
        <w:t xml:space="preserve">1.   </w:t>
      </w:r>
      <w:r>
        <w:rPr>
          <w:rFonts w:hint="eastAsia" w:ascii="仿宋_GB2312" w:hAnsi="仿宋_GB2312" w:eastAsia="仿宋_GB2312" w:cs="仿宋_GB2312"/>
          <w:b/>
          <w:bCs/>
          <w:color w:val="auto"/>
          <w:sz w:val="24"/>
          <w:highlight w:val="none"/>
        </w:rPr>
        <w:t>评标委员会</w:t>
      </w:r>
    </w:p>
    <w:p w14:paraId="30CC0E50">
      <w:pPr>
        <w:spacing w:line="360" w:lineRule="auto"/>
        <w:ind w:left="600"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1.1  采购人和采购代理机构依法组建评标委员会。评标委员会的成员在评标过程中必须严格遵守《</w:t>
      </w:r>
      <w:r>
        <w:rPr>
          <w:rFonts w:hint="eastAsia" w:ascii="仿宋_GB2312" w:hAnsi="仿宋_GB2312" w:eastAsia="仿宋_GB2312" w:cs="仿宋_GB2312"/>
          <w:color w:val="auto"/>
          <w:kern w:val="0"/>
          <w:sz w:val="24"/>
          <w:highlight w:val="none"/>
        </w:rPr>
        <w:t>中华人民共和国政府采购法</w:t>
      </w:r>
      <w:r>
        <w:rPr>
          <w:rFonts w:hint="eastAsia" w:ascii="仿宋_GB2312" w:hAnsi="仿宋_GB2312" w:eastAsia="仿宋_GB2312" w:cs="仿宋_GB2312"/>
          <w:bCs/>
          <w:color w:val="auto"/>
          <w:sz w:val="24"/>
          <w:highlight w:val="none"/>
        </w:rPr>
        <w:t>》等有关法律、法规的规定。</w:t>
      </w:r>
    </w:p>
    <w:p w14:paraId="4421E270">
      <w:pPr>
        <w:spacing w:line="360" w:lineRule="auto"/>
        <w:ind w:left="600"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2.   </w:t>
      </w:r>
      <w:r>
        <w:rPr>
          <w:rFonts w:hint="eastAsia" w:ascii="仿宋_GB2312" w:hAnsi="仿宋_GB2312" w:eastAsia="仿宋_GB2312" w:cs="仿宋_GB2312"/>
          <w:b/>
          <w:bCs/>
          <w:color w:val="auto"/>
          <w:sz w:val="24"/>
          <w:highlight w:val="none"/>
        </w:rPr>
        <w:t>评标过程的保密性</w:t>
      </w:r>
    </w:p>
    <w:p w14:paraId="60BB1B27">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26CBCA76">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  开标、评标</w:t>
      </w:r>
    </w:p>
    <w:p w14:paraId="0C3D0250">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2.1  本项目采购代理机构将登录政采云平台在“招标公告”规定的时间和地点进行在线开标，开标会由采购代理机构工作人员主持，所有投标供应商均应在线参加开标会。未准时参加的投标供应商视同放弃开标监督权利、认可开标结果，事后不得对采购相关人员、项目开标过程和评标结果提出异议。</w:t>
      </w:r>
    </w:p>
    <w:p w14:paraId="79502C8A">
      <w:pPr>
        <w:spacing w:line="360" w:lineRule="auto"/>
        <w:ind w:left="608" w:leftChars="4" w:hanging="600"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 xml:space="preserve">2.2  </w:t>
      </w:r>
      <w:r>
        <w:rPr>
          <w:rFonts w:hint="eastAsia" w:ascii="仿宋_GB2312" w:hAnsi="仿宋_GB2312" w:eastAsia="仿宋_GB2312" w:cs="仿宋_GB2312"/>
          <w:b/>
          <w:color w:val="auto"/>
          <w:sz w:val="24"/>
          <w:highlight w:val="none"/>
        </w:rPr>
        <w:t>投标截止时间后，投标供应商登录政采云平台，用“项目采购-开标评标”功能对电子投标文件进行在线解密。在线解密电子投标文件时间为采购代理机构发送解密指令后30分钟内。截止投标时间止在线提交电子投标文件的投标人不足3家的，不得开标。</w:t>
      </w:r>
    </w:p>
    <w:p w14:paraId="0F5A81F3">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2.3  解密结束后，采购人或采购代理机构依据法律、法规和招标文件的规定，对各投标文件中的资格证明资料进行审查，以确定是否具备投标资格。</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Cs/>
          <w:color w:val="auto"/>
          <w:sz w:val="24"/>
          <w:highlight w:val="none"/>
          <w:u w:val="single"/>
        </w:rPr>
        <w:t>只要有一项审查不合格，则该投标人的资格审查不合格，审查不合格的投标文件将不予评审。</w:t>
      </w:r>
    </w:p>
    <w:p w14:paraId="125EC9D2">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2.4  评审小组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040A41F5">
      <w:pPr>
        <w:pStyle w:val="3"/>
        <w:spacing w:line="360" w:lineRule="auto"/>
        <w:ind w:left="482" w:hanging="482"/>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2.5  投标文件的澄清、说明或补正</w:t>
      </w:r>
    </w:p>
    <w:p w14:paraId="7C317EA5">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2.5.1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如在规定时间内投标供应商未作出澄清、说明或者补正所造成的一切后果由投标供应商自行负责。</w:t>
      </w:r>
    </w:p>
    <w:p w14:paraId="284A3FFB">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2.5.2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D717178">
      <w:pPr>
        <w:pStyle w:val="3"/>
        <w:spacing w:line="360" w:lineRule="auto"/>
        <w:ind w:left="482" w:hanging="482"/>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2.6  投标文件的错误修正</w:t>
      </w:r>
    </w:p>
    <w:p w14:paraId="3B13EC21">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2.6.1《投标文件》如果出现计算或表达上的错误，修正错误的原则如下：</w:t>
      </w:r>
    </w:p>
    <w:p w14:paraId="513D6602">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（1）投标文件中开标一览表（报价表）内容与投标文件中相应内容不一致的，以开标一览表（报价表）为准。</w:t>
      </w:r>
    </w:p>
    <w:p w14:paraId="4BE07A28">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（2）《投标文件》的大写金额和小写金额不一致的，以大写金额为准；</w:t>
      </w:r>
    </w:p>
    <w:p w14:paraId="75002A3A">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（3）单价金额小数点或者百分比有明显错位的，应以开标一览表（报价表）的总价为准，并修改单价；</w:t>
      </w:r>
    </w:p>
    <w:p w14:paraId="0B655C24">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（4）总价金额与按单价汇总金额不一致的，以单价金额计算结果为准。</w:t>
      </w:r>
    </w:p>
    <w:p w14:paraId="22CAAE12">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2.6.2 对不同文字文本《投标文件》的解释发生异议的，以中文文本为准。</w:t>
      </w:r>
    </w:p>
    <w:p w14:paraId="7BA33B17">
      <w:pPr>
        <w:pStyle w:val="3"/>
        <w:spacing w:line="360" w:lineRule="auto"/>
        <w:ind w:left="482" w:hanging="482"/>
        <w:rPr>
          <w:rFonts w:hint="eastAsia" w:ascii="仿宋_GB2312" w:hAnsi="仿宋_GB2312" w:eastAsia="仿宋_GB2312" w:cs="仿宋_GB2312"/>
          <w:b/>
          <w:color w:val="auto"/>
          <w:highlight w:val="none"/>
          <w:u w:val="single"/>
        </w:rPr>
      </w:pPr>
      <w:r>
        <w:rPr>
          <w:rFonts w:hint="eastAsia" w:ascii="仿宋_GB2312" w:hAnsi="仿宋_GB2312" w:eastAsia="仿宋_GB2312" w:cs="仿宋_GB2312"/>
          <w:b/>
          <w:color w:val="auto"/>
          <w:highlight w:val="none"/>
          <w:u w:val="single"/>
        </w:rPr>
        <w:t>▲2.7 投标文件有下列情况之一者将视为无效：</w:t>
      </w:r>
    </w:p>
    <w:p w14:paraId="68523F25">
      <w:pPr>
        <w:spacing w:line="360" w:lineRule="auto"/>
        <w:ind w:firstLine="482" w:firstLineChars="200"/>
        <w:rPr>
          <w:rFonts w:hint="eastAsia" w:ascii="仿宋_GB2312" w:hAnsi="仿宋_GB2312" w:eastAsia="仿宋_GB2312" w:cs="仿宋_GB2312"/>
          <w:b/>
          <w:color w:val="auto"/>
          <w:sz w:val="24"/>
          <w:highlight w:val="none"/>
          <w:u w:val="single"/>
        </w:rPr>
      </w:pPr>
      <w:bookmarkStart w:id="71" w:name="_Hlk33211013"/>
      <w:r>
        <w:rPr>
          <w:rFonts w:hint="eastAsia" w:ascii="仿宋_GB2312" w:hAnsi="仿宋_GB2312" w:eastAsia="仿宋_GB2312" w:cs="仿宋_GB2312"/>
          <w:b/>
          <w:color w:val="auto"/>
          <w:sz w:val="24"/>
          <w:highlight w:val="none"/>
          <w:u w:val="single"/>
        </w:rPr>
        <w:t>技术资信标符合性审查中，存在下列情形之一的，经评标委员会认定后作无效标处理：</w:t>
      </w:r>
    </w:p>
    <w:p w14:paraId="28BA0ABF">
      <w:pPr>
        <w:numPr>
          <w:ilvl w:val="0"/>
          <w:numId w:val="10"/>
        </w:numPr>
        <w:spacing w:line="360" w:lineRule="auto"/>
        <w:rPr>
          <w:rFonts w:hint="eastAsia" w:ascii="仿宋_GB2312" w:hAnsi="仿宋_GB2312" w:eastAsia="仿宋_GB2312" w:cs="仿宋_GB2312"/>
          <w:b/>
          <w:color w:val="auto"/>
          <w:sz w:val="24"/>
          <w:highlight w:val="none"/>
          <w:u w:val="single"/>
        </w:rPr>
      </w:pPr>
      <w:bookmarkStart w:id="72" w:name="_Toc33194396"/>
      <w:r>
        <w:rPr>
          <w:rFonts w:hint="eastAsia" w:ascii="仿宋_GB2312" w:hAnsi="仿宋_GB2312" w:eastAsia="仿宋_GB2312" w:cs="仿宋_GB2312"/>
          <w:b/>
          <w:color w:val="auto"/>
          <w:sz w:val="24"/>
          <w:highlight w:val="none"/>
          <w:u w:val="single"/>
        </w:rPr>
        <w:t>投标文件未有效授权，法定代表人授权委托书等填写不完整或有涂改的；</w:t>
      </w:r>
      <w:bookmarkEnd w:id="72"/>
    </w:p>
    <w:p w14:paraId="4EC5735B">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投标文件没有对本招标文件作出实质性响应的，或不满足（不响应）本招标文件中标注“▲”的实质性要求条款的，或存在招标文件中明确规定的其他无效标情形的；</w:t>
      </w:r>
    </w:p>
    <w:p w14:paraId="67550780">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投标文件存在一个或一个以上备选（替代）投标方案的；</w:t>
      </w:r>
    </w:p>
    <w:p w14:paraId="78DCC0DC">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技术资信标中出现投标报价的；</w:t>
      </w:r>
    </w:p>
    <w:p w14:paraId="36E26E3A">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仅提交“电子备份投标文件”的；</w:t>
      </w:r>
    </w:p>
    <w:p w14:paraId="0468780F">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本招标文件规定必须提供而未提供的（属于资格审查范围的除外）；</w:t>
      </w:r>
    </w:p>
    <w:p w14:paraId="709CD11E">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投标文件标注的响应或偏离情况与事实不符，或提供了虚假材料的；</w:t>
      </w:r>
    </w:p>
    <w:p w14:paraId="478B62C6">
      <w:pPr>
        <w:numPr>
          <w:ilvl w:val="0"/>
          <w:numId w:val="10"/>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不响应或擅自改变本招标文件要求或投标文件有采购人不能接受的附加条件的；</w:t>
      </w:r>
    </w:p>
    <w:p w14:paraId="7BBCBA9A">
      <w:pPr>
        <w:spacing w:line="360" w:lineRule="auto"/>
        <w:ind w:left="482" w:hanging="482"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（9）参加同一合同项下政府采购活动的不同供应商之间存在利害关系并且存在影响政府采购公平竞争行为的；</w:t>
      </w:r>
      <w:bookmarkStart w:id="73" w:name="_Toc33194397"/>
    </w:p>
    <w:p w14:paraId="6F867CDD">
      <w:pPr>
        <w:spacing w:line="360" w:lineRule="auto"/>
        <w:ind w:left="482" w:hanging="482"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（10）招标人拟采购的产品如属于品目清单范围内的强制采购品目的，投标人未</w:t>
      </w:r>
      <w:bookmarkEnd w:id="73"/>
      <w:bookmarkStart w:id="74" w:name="_Toc33194398"/>
      <w:r>
        <w:rPr>
          <w:rFonts w:hint="eastAsia" w:ascii="仿宋_GB2312" w:hAnsi="仿宋_GB2312" w:eastAsia="仿宋_GB2312" w:cs="仿宋_GB2312"/>
          <w:b/>
          <w:color w:val="auto"/>
          <w:sz w:val="24"/>
          <w:highlight w:val="none"/>
          <w:u w:val="single"/>
        </w:rPr>
        <w:t>能在响应文件中提供国家确定的认证机构出具的、处于有效期之内的该产品节能产品、环境标志产品认证证书；</w:t>
      </w:r>
      <w:bookmarkEnd w:id="74"/>
    </w:p>
    <w:p w14:paraId="1566095F">
      <w:p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（11）违反国家或政府部门相关法律、法规、文件规定的。</w:t>
      </w:r>
      <w:bookmarkEnd w:id="71"/>
    </w:p>
    <w:p w14:paraId="5E3E3235">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u w:val="single"/>
        </w:rPr>
        <w:t>投标文件符合性审查中，存在下列情形之一的，经评标委员会认定后作无效标处理：</w:t>
      </w:r>
    </w:p>
    <w:p w14:paraId="7AF9BD4A">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投标文件没有对本招标文件作出实质性响应的，或不满足（不响应）本招标文件中标注“▲”的实质性要求条款的，或存在招标文件中明确规定的其他无效标情形的；</w:t>
      </w:r>
    </w:p>
    <w:p w14:paraId="6D794546">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投标文件存在一个或一个以上备选（替代）投标方案的；</w:t>
      </w:r>
    </w:p>
    <w:p w14:paraId="140249ED">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未按照招标文件标明的币种报价的，或者投标报价涵盖的内容不符合招标文件要求的；</w:t>
      </w:r>
    </w:p>
    <w:p w14:paraId="3106DD2D">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《开标一览表》内容与《投标分项报价表》内容不一致且拒不接受修正的；</w:t>
      </w:r>
    </w:p>
    <w:p w14:paraId="67FF1493">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投标报价具有选择性，唱标价格与《投标文件》承诺的优惠（折扣）后价格不一致的；</w:t>
      </w:r>
    </w:p>
    <w:p w14:paraId="2F463484">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投标报价超过采购预算（或最高限价）的；</w:t>
      </w:r>
    </w:p>
    <w:p w14:paraId="5E707657">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仅提交“备份投标文件”的；</w:t>
      </w:r>
    </w:p>
    <w:p w14:paraId="0BDE1B99">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投标文件组成内容不齐全，本招标文件规定必须提供而未提供的（属于资格审查范围的除外）；</w:t>
      </w:r>
    </w:p>
    <w:p w14:paraId="53DB6B34">
      <w:pPr>
        <w:numPr>
          <w:ilvl w:val="0"/>
          <w:numId w:val="11"/>
        </w:num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投标文件标注的响应或偏离情况与事实不符，或提供了虚假材料的；</w:t>
      </w:r>
    </w:p>
    <w:p w14:paraId="69BA60BE">
      <w:p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(10) 响应或擅自改变本招标文件要求或投标文件有采购人不能接受的附加条件的；</w:t>
      </w:r>
    </w:p>
    <w:p w14:paraId="3191E219">
      <w:pPr>
        <w:shd w:val="clear" w:color="auto" w:fill="FFFFFF"/>
        <w:autoSpaceDE w:val="0"/>
        <w:autoSpaceDN w:val="0"/>
        <w:snapToGrid w:val="0"/>
        <w:spacing w:line="360" w:lineRule="auto"/>
        <w:ind w:left="482" w:hanging="482" w:hangingChars="20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(11) 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05E02FF7">
      <w:p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(12) 违反国家或政府部门相关法律、法规、文件规定的。</w:t>
      </w:r>
    </w:p>
    <w:p w14:paraId="7EEAD1A6">
      <w:pPr>
        <w:pStyle w:val="3"/>
        <w:spacing w:line="360" w:lineRule="auto"/>
        <w:ind w:left="482" w:hanging="482"/>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2.8   投标文件的评估、比较、评分</w:t>
      </w:r>
    </w:p>
    <w:p w14:paraId="454FEC1B">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2.8.1 评审小组应当按照招标文件中规定的评审方法和标准，对符合性审查合格的投标文件进行商务和技术评估，综合比较与评价。评标时，评标委员会各成员将独立对每个投标人的投标文件进行评价，并汇总每个投标人的得分,并由采购代理机构向各供应商公布商务及技术资信得分情况。</w:t>
      </w:r>
    </w:p>
    <w:p w14:paraId="6C54EBF7">
      <w:pPr>
        <w:spacing w:line="360" w:lineRule="auto"/>
        <w:ind w:left="608" w:leftChars="4" w:hanging="600" w:hangingChars="2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2.8.2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1F237EDF">
      <w:pPr>
        <w:pStyle w:val="3"/>
        <w:spacing w:line="360" w:lineRule="auto"/>
        <w:ind w:left="482" w:hanging="482"/>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2.9  修改评审结果</w:t>
      </w:r>
    </w:p>
    <w:p w14:paraId="01973FE2">
      <w:pPr>
        <w:spacing w:line="360" w:lineRule="auto"/>
        <w:ind w:left="610" w:leftChars="4" w:hanging="602"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2.9.1评标结果汇总完成后，除下列情形外，任何人不得修改评标结果：</w:t>
      </w:r>
    </w:p>
    <w:p w14:paraId="6575A62A">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（1）分值汇总计算错误的；</w:t>
      </w:r>
    </w:p>
    <w:p w14:paraId="4220E75D">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（2）分项评分超出评分标准范围的；</w:t>
      </w:r>
    </w:p>
    <w:p w14:paraId="130DCCCC">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（3）评标委员会成员对客观评审因素评分不一致的；</w:t>
      </w:r>
    </w:p>
    <w:p w14:paraId="087AEA55">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（4）经评标委员会认定评分畸高、畸低的。</w:t>
      </w:r>
    </w:p>
    <w:p w14:paraId="47968C70">
      <w:pPr>
        <w:spacing w:line="360" w:lineRule="auto"/>
        <w:ind w:left="610" w:leftChars="4" w:hanging="602"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2.9.2评标报告签署前，经复核发现存在以上情形之一的，评标委员会将当场修改评标结果，并在评标报告中记载。</w:t>
      </w:r>
    </w:p>
    <w:p w14:paraId="41CB6BC3">
      <w:pPr>
        <w:pStyle w:val="3"/>
        <w:numPr>
          <w:ilvl w:val="0"/>
          <w:numId w:val="12"/>
        </w:numPr>
        <w:spacing w:line="360" w:lineRule="auto"/>
        <w:ind w:left="482" w:hanging="482"/>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  供应商排序及推荐中标（成交）候选供应商</w:t>
      </w:r>
    </w:p>
    <w:p w14:paraId="1FE8A398">
      <w:pPr>
        <w:spacing w:line="360" w:lineRule="auto"/>
        <w:ind w:firstLine="723" w:firstLineChars="3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评标委员会根据以下规定确定供应商排名并推荐中标（成交）候选供应商。</w:t>
      </w:r>
    </w:p>
    <w:p w14:paraId="62679487">
      <w:pPr>
        <w:spacing w:line="360" w:lineRule="auto"/>
        <w:ind w:left="610" w:leftChars="4" w:hanging="602"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3.1  评标委员会根据各投标供应商的综合得分（商务技术分与报价得分之和）从高到低依次进行排名排序。特殊情形按以下原则处理：</w:t>
      </w:r>
    </w:p>
    <w:p w14:paraId="716F2341">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（1）综合得分相同的，按投标报价低的优先原则确定排名；</w:t>
      </w:r>
    </w:p>
    <w:p w14:paraId="27C5C50C">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（2）综合得分和投标报价均相同的，按技术资信得分从高到低确定排名；</w:t>
      </w:r>
    </w:p>
    <w:p w14:paraId="7F2F9C2A">
      <w:pPr>
        <w:spacing w:line="360" w:lineRule="auto"/>
        <w:ind w:left="565" w:leftChars="212" w:hanging="120" w:hangingChars="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（3）综合得分、投标报价和技术资信得分均相同的由评标委员会全体成员记名投票按少数服从多数的原则确定排名。</w:t>
      </w:r>
    </w:p>
    <w:p w14:paraId="702536CE">
      <w:pPr>
        <w:spacing w:line="360" w:lineRule="auto"/>
        <w:ind w:left="610" w:leftChars="4" w:hanging="602" w:hangingChars="2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3.2  根据最终得分排序，通过书面评审报告的形式，向采购人推荐排名第一的投标供应商为中标（成交）候选供应商。</w:t>
      </w:r>
    </w:p>
    <w:p w14:paraId="49303D5A">
      <w:pPr>
        <w:pStyle w:val="3"/>
        <w:numPr>
          <w:ilvl w:val="0"/>
          <w:numId w:val="12"/>
        </w:numPr>
        <w:spacing w:line="360" w:lineRule="auto"/>
        <w:ind w:left="482" w:hanging="482"/>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  起草、签署评审报告</w:t>
      </w:r>
    </w:p>
    <w:p w14:paraId="0A3FCEDC">
      <w:pPr>
        <w:spacing w:line="360" w:lineRule="auto"/>
        <w:ind w:left="655" w:leftChars="312"/>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CB62222">
      <w:pPr>
        <w:numPr>
          <w:ilvl w:val="0"/>
          <w:numId w:val="12"/>
        </w:numPr>
        <w:spacing w:line="360" w:lineRule="auto"/>
        <w:ind w:left="482" w:hanging="482"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评标细则详见 “评标原则及方法”。</w:t>
      </w:r>
    </w:p>
    <w:p w14:paraId="5BA67FF6">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6.  未尽事宜遵循相关法律法规及规范性文件执行。</w:t>
      </w:r>
    </w:p>
    <w:p w14:paraId="73C07A73">
      <w:pPr>
        <w:spacing w:before="100" w:beforeAutospacing="1" w:after="100" w:afterAutospacing="1" w:line="360" w:lineRule="auto"/>
        <w:jc w:val="center"/>
        <w:outlineLvl w:val="0"/>
        <w:rPr>
          <w:rFonts w:hint="eastAsia" w:ascii="仿宋_GB2312" w:hAnsi="仿宋_GB2312" w:eastAsia="仿宋_GB2312" w:cs="仿宋_GB2312"/>
          <w:b/>
          <w:bCs/>
          <w:color w:val="auto"/>
          <w:sz w:val="24"/>
          <w:highlight w:val="none"/>
        </w:rPr>
      </w:pPr>
      <w:bookmarkStart w:id="75" w:name="_Toc19031"/>
      <w:bookmarkStart w:id="76" w:name="_Toc512703308"/>
      <w:r>
        <w:rPr>
          <w:rFonts w:hint="eastAsia" w:ascii="仿宋_GB2312" w:hAnsi="仿宋_GB2312" w:eastAsia="仿宋_GB2312" w:cs="仿宋_GB2312"/>
          <w:b/>
          <w:bCs/>
          <w:color w:val="auto"/>
          <w:sz w:val="24"/>
          <w:highlight w:val="none"/>
        </w:rPr>
        <w:t>六、 授予合同</w:t>
      </w:r>
      <w:bookmarkEnd w:id="75"/>
      <w:bookmarkEnd w:id="76"/>
    </w:p>
    <w:p w14:paraId="31B83774">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 最终审查</w:t>
      </w:r>
    </w:p>
    <w:p w14:paraId="2271F8DD">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1.1评审结束后，招标人有权对评标委员会确定的中标人进行最终审查，审查内容主要是中标人是否有能力（财务、技术和生产能力）履行合同。</w:t>
      </w:r>
    </w:p>
    <w:p w14:paraId="5FBF64F6">
      <w:p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1.2如果审查通过，招标人将把中标合同授予该中标人，如果审查没有通过，招标人将拒绝其投标，并对排名第二的候选人进行类似审查。若排名第二的候选人审查仍未通过，此次招标无效，应重新组织招标采购。</w:t>
      </w:r>
    </w:p>
    <w:p w14:paraId="06C495E3">
      <w:p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1.3评标委员会确定的中标候选人经招标人审查同意后，在政府采购指定网站上公告中标结果。</w:t>
      </w:r>
    </w:p>
    <w:p w14:paraId="33743F66">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 中标通知书</w:t>
      </w:r>
    </w:p>
    <w:p w14:paraId="74EDC7BF">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2.1中标人确定后，招标人将向中标人发出中标通知书。 </w:t>
      </w:r>
    </w:p>
    <w:p w14:paraId="40E8909B">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2.2中标通知书是合同的一个组成部分,对招标人和中标人均具有同等法律效力。</w:t>
      </w:r>
    </w:p>
    <w:p w14:paraId="17F9BDAD">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 授标时更改采购货物数量的</w:t>
      </w:r>
      <w:r>
        <w:rPr>
          <w:rFonts w:hint="eastAsia" w:ascii="仿宋_GB2312" w:hAnsi="仿宋_GB2312" w:eastAsia="仿宋_GB2312" w:cs="仿宋_GB2312"/>
          <w:color w:val="auto"/>
          <w:sz w:val="24"/>
          <w:highlight w:val="none"/>
          <w:lang w:eastAsia="zh-CN"/>
        </w:rPr>
        <w:t>权利</w:t>
      </w:r>
    </w:p>
    <w:p w14:paraId="32AF0318">
      <w:p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3.1招标人在授予合同时有权对采购货物的数量和服务在一定幅度范围内予以增加或减少,但不得对单价和其他的条款和条件作任何改变。</w:t>
      </w:r>
    </w:p>
    <w:p w14:paraId="3DFF0051">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4. 签订合同</w:t>
      </w:r>
    </w:p>
    <w:p w14:paraId="13B385B2">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4.1中标人应按中标通知书规定的时间、地点与招标人签订合同。</w:t>
      </w:r>
    </w:p>
    <w:p w14:paraId="5C37C7C2">
      <w:pPr>
        <w:spacing w:line="360" w:lineRule="auto"/>
        <w:ind w:left="480" w:hanging="480"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4.2</w:t>
      </w:r>
      <w:r>
        <w:rPr>
          <w:rFonts w:hint="eastAsia" w:ascii="仿宋_GB2312" w:hAnsi="仿宋_GB2312" w:eastAsia="仿宋_GB2312" w:cs="仿宋_GB2312"/>
          <w:b/>
          <w:color w:val="auto"/>
          <w:spacing w:val="6"/>
          <w:sz w:val="24"/>
          <w:highlight w:val="none"/>
        </w:rPr>
        <w:t>在签订合同前，招标人有权在中标总价不变的前提下要求中标人对商务报价中的不平衡报价和缺漏项进行调整，如果中标人无合理理由拒绝调整，其中标资格将被取消，且将导致其它进一步的赔偿和处罚。</w:t>
      </w:r>
    </w:p>
    <w:p w14:paraId="1787727D">
      <w:pPr>
        <w:spacing w:line="360" w:lineRule="auto"/>
        <w:ind w:left="480" w:hanging="480"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4.3招标文件、中标人的投标文件、投标修改文件、评标过程中有关澄清文件及经投标人和评委双方签字的询标纪要和中标通知书均作为合同附件。</w:t>
      </w:r>
    </w:p>
    <w:p w14:paraId="79AEB90D">
      <w:pPr>
        <w:spacing w:line="360" w:lineRule="auto"/>
        <w:ind w:left="480" w:hanging="480"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4.4拒签合同的违约责任</w:t>
      </w:r>
    </w:p>
    <w:p w14:paraId="503755D7">
      <w:pPr>
        <w:spacing w:line="360" w:lineRule="auto"/>
        <w:ind w:left="506" w:hanging="506"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pacing w:val="6"/>
          <w:sz w:val="24"/>
          <w:highlight w:val="none"/>
        </w:rPr>
        <w:t>中标人接到中标通知书后，在规定时间内借故否认已经承诺的条件而拒签合同的，以违约处理，并将其列入政府采购黑名单。</w:t>
      </w:r>
    </w:p>
    <w:p w14:paraId="095F6D7B">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5. 履约保证金</w:t>
      </w:r>
    </w:p>
    <w:p w14:paraId="1EFEA79D">
      <w:pPr>
        <w:spacing w:line="360" w:lineRule="auto"/>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u w:val="single"/>
        </w:rPr>
        <w:t>▲详见合同。</w:t>
      </w:r>
    </w:p>
    <w:p w14:paraId="372D1DA8">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 质疑与投诉</w:t>
      </w:r>
    </w:p>
    <w:p w14:paraId="49E7796B">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投标人认为招标文件、采购过程、中标和成交结果使自己的合法权益受到损害的，可以在知道或应知道其权益受到损害之日起七个工作日内以书面形式向招标人或招标代理机构提出质疑。投标人应知其权益受到损害之日，是指：</w:t>
      </w:r>
    </w:p>
    <w:p w14:paraId="53BD38BC">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（一）对可以质疑的采购文件提出质疑的，为收到采购文件之日或者采购文件公告期限届满之日（本项目采购文件公告期限届满之日为招标文件发售截止时间）；</w:t>
      </w:r>
    </w:p>
    <w:p w14:paraId="0FA51D1F">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（二）对采购过程提出质疑的，为各采购程序环节结束之日；</w:t>
      </w:r>
    </w:p>
    <w:p w14:paraId="51CF227B">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（三）对中标或者成交结果提出质疑的，为中标或者成交结果公告期限届满之日（本项目中标公告期限为公告发布次日24时止）。</w:t>
      </w:r>
    </w:p>
    <w:p w14:paraId="284664B3">
      <w:pPr>
        <w:spacing w:line="360" w:lineRule="auto"/>
        <w:ind w:left="480" w:hanging="480" w:hanging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6.2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544AA1CE">
      <w:pPr>
        <w:spacing w:line="360" w:lineRule="auto"/>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6.3投诉人投诉时，应提交投诉书，投诉书应当由本人并由法定代表人签字盖公章，投诉书应说明具体的投诉事项及事实依据。投诉人对投诉书的真实性负责，恶意投诉将</w:t>
      </w:r>
      <w:r>
        <w:rPr>
          <w:rFonts w:hint="eastAsia" w:ascii="仿宋_GB2312" w:hAnsi="仿宋_GB2312" w:eastAsia="仿宋_GB2312" w:cs="仿宋_GB2312"/>
          <w:color w:val="auto"/>
          <w:sz w:val="24"/>
          <w:highlight w:val="none"/>
          <w:lang w:eastAsia="zh-CN"/>
        </w:rPr>
        <w:t>承担</w:t>
      </w:r>
      <w:r>
        <w:rPr>
          <w:rFonts w:hint="eastAsia" w:ascii="仿宋_GB2312" w:hAnsi="仿宋_GB2312" w:eastAsia="仿宋_GB2312" w:cs="仿宋_GB2312"/>
          <w:color w:val="auto"/>
          <w:sz w:val="24"/>
          <w:highlight w:val="none"/>
        </w:rPr>
        <w:t>相应的法律和民事责任。</w:t>
      </w:r>
    </w:p>
    <w:p w14:paraId="4D7AC745">
      <w:pPr>
        <w:spacing w:line="360" w:lineRule="auto"/>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7． 招标代理服务费</w:t>
      </w:r>
    </w:p>
    <w:p w14:paraId="1665A351">
      <w:pPr>
        <w:spacing w:line="400" w:lineRule="exact"/>
        <w:ind w:left="481" w:hanging="481" w:hangingChars="191"/>
        <w:rPr>
          <w:rFonts w:hint="eastAsia" w:ascii="仿宋_GB2312" w:hAnsi="仿宋_GB2312" w:eastAsia="仿宋_GB2312" w:cs="仿宋_GB2312"/>
          <w:color w:val="auto"/>
          <w:spacing w:val="6"/>
          <w:sz w:val="24"/>
          <w:highlight w:val="none"/>
        </w:rPr>
      </w:pPr>
      <w:bookmarkStart w:id="77" w:name="_Toc185326503"/>
      <w:r>
        <w:rPr>
          <w:rFonts w:hint="eastAsia" w:ascii="仿宋_GB2312" w:hAnsi="仿宋_GB2312" w:eastAsia="仿宋_GB2312" w:cs="仿宋_GB2312"/>
          <w:color w:val="auto"/>
          <w:spacing w:val="6"/>
          <w:sz w:val="24"/>
          <w:highlight w:val="none"/>
        </w:rPr>
        <w:t>7.1本次采购，采购代理服务费按国家计价格[2002]1980号规定的服务类标准下浮45%收取，由成交供应商在中标公告发布后将代理服务费用支付给采购代理机构。</w:t>
      </w:r>
    </w:p>
    <w:p w14:paraId="64081F97">
      <w:pPr>
        <w:spacing w:line="400" w:lineRule="exact"/>
        <w:ind w:left="460" w:leftChars="219" w:firstLine="25" w:firstLineChars="10"/>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开户银行：浙江温州鹿城农村商业银行股份有限公司松台支行</w:t>
      </w:r>
    </w:p>
    <w:p w14:paraId="7AFCE271">
      <w:pPr>
        <w:spacing w:line="400" w:lineRule="exact"/>
        <w:ind w:left="422" w:leftChars="201" w:firstLine="2"/>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 xml:space="preserve">开户名称：浙江巨合建设项目管理有限公司  </w:t>
      </w:r>
    </w:p>
    <w:p w14:paraId="4F89E10C">
      <w:pPr>
        <w:spacing w:line="400" w:lineRule="exact"/>
        <w:ind w:left="422" w:leftChars="201" w:firstLine="2"/>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开户账号：201000270810592</w:t>
      </w:r>
    </w:p>
    <w:p w14:paraId="1927373B">
      <w:pPr>
        <w:spacing w:line="400" w:lineRule="exact"/>
        <w:ind w:left="720" w:hanging="720" w:hanging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 采购代理服务费应该是以现金或银行转账形式支付。</w:t>
      </w:r>
    </w:p>
    <w:p w14:paraId="08A60DC1">
      <w:pPr>
        <w:spacing w:line="420" w:lineRule="exact"/>
        <w:ind w:firstLine="600" w:firstLineChars="250"/>
        <w:jc w:val="left"/>
        <w:rPr>
          <w:rFonts w:hint="eastAsia" w:ascii="仿宋_GB2312" w:hAnsi="仿宋_GB2312" w:eastAsia="仿宋_GB2312" w:cs="仿宋_GB2312"/>
          <w:bCs/>
          <w:color w:val="auto"/>
          <w:sz w:val="24"/>
          <w:highlight w:val="none"/>
          <w:lang w:bidi="ar"/>
        </w:rPr>
      </w:pPr>
    </w:p>
    <w:p w14:paraId="30F59CFC">
      <w:pPr>
        <w:pStyle w:val="11"/>
        <w:ind w:firstLine="240"/>
        <w:rPr>
          <w:rFonts w:hint="eastAsia" w:ascii="仿宋_GB2312" w:hAnsi="仿宋_GB2312" w:eastAsia="仿宋_GB2312" w:cs="仿宋_GB2312"/>
          <w:color w:val="auto"/>
          <w:sz w:val="24"/>
          <w:highlight w:val="none"/>
          <w:lang w:bidi="ar"/>
        </w:rPr>
      </w:pPr>
    </w:p>
    <w:p w14:paraId="21C07F70">
      <w:pPr>
        <w:pStyle w:val="6"/>
        <w:tabs>
          <w:tab w:val="clear" w:pos="840"/>
        </w:tabs>
        <w:adjustRightInd/>
        <w:snapToGrid/>
        <w:spacing w:before="120" w:after="120" w:line="500" w:lineRule="exact"/>
        <w:jc w:val="center"/>
        <w:rPr>
          <w:rFonts w:hint="eastAsia" w:ascii="仿宋_GB2312" w:hAnsi="仿宋_GB2312" w:eastAsia="仿宋_GB2312" w:cs="仿宋_GB2312"/>
          <w:bCs/>
          <w:color w:val="auto"/>
          <w:szCs w:val="24"/>
          <w:highlight w:val="none"/>
        </w:rPr>
      </w:pPr>
      <w:r>
        <w:rPr>
          <w:rFonts w:hint="eastAsia" w:ascii="仿宋_GB2312" w:hAnsi="仿宋_GB2312" w:eastAsia="仿宋_GB2312" w:cs="仿宋_GB2312"/>
          <w:bCs/>
          <w:color w:val="auto"/>
          <w:szCs w:val="24"/>
          <w:highlight w:val="none"/>
        </w:rPr>
        <w:br w:type="page"/>
      </w:r>
      <w:bookmarkStart w:id="78" w:name="_Toc2013"/>
      <w:r>
        <w:rPr>
          <w:rFonts w:hint="eastAsia" w:ascii="仿宋_GB2312" w:hAnsi="仿宋_GB2312" w:eastAsia="仿宋_GB2312" w:cs="仿宋_GB2312"/>
          <w:bCs/>
          <w:color w:val="auto"/>
          <w:szCs w:val="24"/>
          <w:highlight w:val="none"/>
        </w:rPr>
        <w:t xml:space="preserve">第二部分  </w:t>
      </w:r>
      <w:bookmarkEnd w:id="77"/>
      <w:bookmarkEnd w:id="78"/>
      <w:r>
        <w:rPr>
          <w:rFonts w:hint="eastAsia" w:ascii="仿宋_GB2312" w:hAnsi="仿宋_GB2312" w:eastAsia="仿宋_GB2312" w:cs="仿宋_GB2312"/>
          <w:bCs/>
          <w:color w:val="auto"/>
          <w:szCs w:val="24"/>
          <w:highlight w:val="none"/>
        </w:rPr>
        <w:t>温州市沿海视频监控系统升级改造项目合同</w:t>
      </w:r>
    </w:p>
    <w:p w14:paraId="35A21DFD">
      <w:pPr>
        <w:snapToGrid w:val="0"/>
        <w:spacing w:line="30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（甲乙双方应按采购文件确定的事项及投标文件响应内容签订本合同，不得对采购文件确定的事项和中标供应商的投标文件作实质性修改）</w:t>
      </w:r>
    </w:p>
    <w:p w14:paraId="08D58BED">
      <w:pPr>
        <w:snapToGrid w:val="0"/>
        <w:spacing w:line="300" w:lineRule="auto"/>
        <w:rPr>
          <w:rFonts w:hint="eastAsia" w:ascii="仿宋" w:hAnsi="仿宋" w:eastAsia="仿宋" w:cs="仿宋"/>
          <w:color w:val="auto"/>
          <w:sz w:val="24"/>
          <w:highlight w:val="none"/>
        </w:rPr>
      </w:pPr>
    </w:p>
    <w:tbl>
      <w:tblPr>
        <w:tblStyle w:val="65"/>
        <w:tblW w:w="5059" w:type="pct"/>
        <w:tblInd w:w="-116" w:type="dxa"/>
        <w:tblLayout w:type="autofit"/>
        <w:tblCellMar>
          <w:top w:w="0" w:type="dxa"/>
          <w:left w:w="108" w:type="dxa"/>
          <w:bottom w:w="0" w:type="dxa"/>
          <w:right w:w="108" w:type="dxa"/>
        </w:tblCellMar>
      </w:tblPr>
      <w:tblGrid>
        <w:gridCol w:w="663"/>
        <w:gridCol w:w="2151"/>
        <w:gridCol w:w="2405"/>
        <w:gridCol w:w="4177"/>
      </w:tblGrid>
      <w:tr w14:paraId="4F295741">
        <w:tblPrEx>
          <w:tblCellMar>
            <w:top w:w="0" w:type="dxa"/>
            <w:left w:w="108" w:type="dxa"/>
            <w:bottom w:w="0" w:type="dxa"/>
            <w:right w:w="108" w:type="dxa"/>
          </w:tblCellMar>
        </w:tblPrEx>
        <w:trPr>
          <w:trHeight w:val="4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0C78F09D">
            <w:pPr>
              <w:widowControl/>
              <w:snapToGrid w:val="0"/>
              <w:spacing w:line="300" w:lineRule="auto"/>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7770B75A">
            <w:pPr>
              <w:widowControl/>
              <w:snapToGrid w:val="0"/>
              <w:spacing w:line="300" w:lineRule="auto"/>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合同甲方名称</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3CC79507">
            <w:pPr>
              <w:widowControl/>
              <w:snapToGrid w:val="0"/>
              <w:spacing w:line="300" w:lineRule="auto"/>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地址</w:t>
            </w: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1A3551E8">
            <w:pPr>
              <w:widowControl/>
              <w:snapToGrid w:val="0"/>
              <w:spacing w:line="300" w:lineRule="auto"/>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i w:val="0"/>
                <w:iCs w:val="0"/>
                <w:color w:val="auto"/>
                <w:sz w:val="22"/>
                <w:szCs w:val="22"/>
                <w:highlight w:val="none"/>
                <w:u w:val="none"/>
                <w:lang w:val="en-US" w:eastAsia="zh-CN"/>
              </w:rPr>
              <w:t>预算金额（万元）</w:t>
            </w:r>
          </w:p>
        </w:tc>
      </w:tr>
      <w:tr w14:paraId="7AF51E0B">
        <w:tblPrEx>
          <w:tblCellMar>
            <w:top w:w="0" w:type="dxa"/>
            <w:left w:w="108" w:type="dxa"/>
            <w:bottom w:w="0" w:type="dxa"/>
            <w:right w:w="108" w:type="dxa"/>
          </w:tblCellMar>
        </w:tblPrEx>
        <w:trPr>
          <w:trHeight w:val="4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5FB2A185">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0D26F817">
            <w:pPr>
              <w:widowControl/>
              <w:snapToGrid w:val="0"/>
              <w:spacing w:line="300" w:lineRule="auto"/>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温州市渔业应急处置指挥中心</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2C6DF068">
            <w:pPr>
              <w:widowControl/>
              <w:snapToGrid w:val="0"/>
              <w:spacing w:line="300" w:lineRule="auto"/>
              <w:jc w:val="left"/>
              <w:textAlignment w:val="center"/>
              <w:rPr>
                <w:rFonts w:hint="eastAsia" w:ascii="仿宋" w:hAnsi="仿宋" w:eastAsia="仿宋" w:cs="仿宋"/>
                <w:color w:val="auto"/>
                <w:kern w:val="0"/>
                <w:szCs w:val="21"/>
                <w:highlight w:val="none"/>
                <w:lang w:bidi="ar"/>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043F1024">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r w14:paraId="52DB62BB">
        <w:tblPrEx>
          <w:tblCellMar>
            <w:top w:w="0" w:type="dxa"/>
            <w:left w:w="108" w:type="dxa"/>
            <w:bottom w:w="0" w:type="dxa"/>
            <w:right w:w="108" w:type="dxa"/>
          </w:tblCellMar>
        </w:tblPrEx>
        <w:trPr>
          <w:trHeight w:val="4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0AB96127">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2</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2F80DB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温州市洞头区农业农村局</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00851E1C">
            <w:pPr>
              <w:jc w:val="center"/>
              <w:rPr>
                <w:rFonts w:hint="eastAsia" w:ascii="仿宋" w:hAnsi="仿宋" w:eastAsia="仿宋" w:cs="仿宋"/>
                <w:color w:val="auto"/>
                <w:kern w:val="2"/>
                <w:sz w:val="24"/>
                <w:szCs w:val="24"/>
                <w:highlight w:val="none"/>
                <w:lang w:val="en-US" w:eastAsia="zh-CN" w:bidi="ar-SA"/>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1820C2C3">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r w14:paraId="10B6083F">
        <w:tblPrEx>
          <w:tblCellMar>
            <w:top w:w="0" w:type="dxa"/>
            <w:left w:w="108" w:type="dxa"/>
            <w:bottom w:w="0" w:type="dxa"/>
            <w:right w:w="108" w:type="dxa"/>
          </w:tblCellMar>
        </w:tblPrEx>
        <w:trPr>
          <w:trHeight w:val="4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60CA17D1">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10C518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温州市龙湾区农业农村局</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599A7788">
            <w:pPr>
              <w:jc w:val="center"/>
              <w:rPr>
                <w:rFonts w:hint="eastAsia" w:ascii="仿宋" w:hAnsi="仿宋" w:eastAsia="仿宋" w:cs="仿宋"/>
                <w:color w:val="auto"/>
                <w:kern w:val="2"/>
                <w:sz w:val="24"/>
                <w:szCs w:val="24"/>
                <w:highlight w:val="none"/>
                <w:lang w:val="en-US" w:eastAsia="zh-CN" w:bidi="ar-SA"/>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4DE7824B">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r w14:paraId="3FAAFA41">
        <w:tblPrEx>
          <w:tblCellMar>
            <w:top w:w="0" w:type="dxa"/>
            <w:left w:w="108" w:type="dxa"/>
            <w:bottom w:w="0" w:type="dxa"/>
            <w:right w:w="108" w:type="dxa"/>
          </w:tblCellMar>
        </w:tblPrEx>
        <w:trPr>
          <w:trHeight w:val="4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0CB92FD0">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4</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620852D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瑞安市农业农村局</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3F109A78">
            <w:pPr>
              <w:jc w:val="center"/>
              <w:rPr>
                <w:rFonts w:hint="eastAsia" w:ascii="仿宋" w:hAnsi="仿宋" w:eastAsia="仿宋" w:cs="仿宋"/>
                <w:color w:val="auto"/>
                <w:kern w:val="2"/>
                <w:sz w:val="24"/>
                <w:szCs w:val="24"/>
                <w:highlight w:val="none"/>
                <w:lang w:val="en-US" w:eastAsia="zh-CN" w:bidi="ar-SA"/>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5CDB0C3D">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r w14:paraId="21F440F1">
        <w:tblPrEx>
          <w:tblCellMar>
            <w:top w:w="0" w:type="dxa"/>
            <w:left w:w="108" w:type="dxa"/>
            <w:bottom w:w="0" w:type="dxa"/>
            <w:right w:w="108" w:type="dxa"/>
          </w:tblCellMar>
        </w:tblPrEx>
        <w:trPr>
          <w:trHeight w:val="53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4EDE3695">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5</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26E6E8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平阳县农业农村局</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477D2E8B">
            <w:pPr>
              <w:jc w:val="center"/>
              <w:rPr>
                <w:rFonts w:hint="eastAsia" w:ascii="仿宋" w:hAnsi="仿宋" w:eastAsia="仿宋" w:cs="仿宋"/>
                <w:color w:val="auto"/>
                <w:kern w:val="2"/>
                <w:sz w:val="24"/>
                <w:szCs w:val="24"/>
                <w:highlight w:val="none"/>
                <w:lang w:val="en-US" w:eastAsia="zh-CN" w:bidi="ar-SA"/>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2C56055E">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r w14:paraId="0AE46A6D">
        <w:tblPrEx>
          <w:tblCellMar>
            <w:top w:w="0" w:type="dxa"/>
            <w:left w:w="108" w:type="dxa"/>
            <w:bottom w:w="0" w:type="dxa"/>
            <w:right w:w="108" w:type="dxa"/>
          </w:tblCellMar>
        </w:tblPrEx>
        <w:trPr>
          <w:trHeight w:val="454"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4D311ACB">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3F5C44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龙港市农林水利发展服务中心</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25622FBB">
            <w:pPr>
              <w:jc w:val="center"/>
              <w:rPr>
                <w:rFonts w:hint="eastAsia" w:ascii="仿宋" w:hAnsi="仿宋" w:eastAsia="仿宋" w:cs="仿宋"/>
                <w:color w:val="auto"/>
                <w:kern w:val="2"/>
                <w:sz w:val="24"/>
                <w:szCs w:val="24"/>
                <w:highlight w:val="none"/>
                <w:lang w:val="en-US" w:eastAsia="zh-CN" w:bidi="ar-SA"/>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4D21E311">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r w14:paraId="118941A5">
        <w:tblPrEx>
          <w:tblCellMar>
            <w:top w:w="0" w:type="dxa"/>
            <w:left w:w="108" w:type="dxa"/>
            <w:bottom w:w="0" w:type="dxa"/>
            <w:right w:w="108" w:type="dxa"/>
          </w:tblCellMar>
        </w:tblPrEx>
        <w:trPr>
          <w:trHeight w:val="776"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1FEC1BA4">
            <w:pPr>
              <w:widowControl/>
              <w:numPr>
                <w:ilvl w:val="0"/>
                <w:numId w:val="0"/>
              </w:numPr>
              <w:snapToGrid w:val="0"/>
              <w:spacing w:line="300" w:lineRule="auto"/>
              <w:ind w:leftChars="0"/>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7</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14:paraId="0D17ED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乐清市农业农村局</w:t>
            </w:r>
          </w:p>
        </w:tc>
        <w:tc>
          <w:tcPr>
            <w:tcW w:w="2405" w:type="dxa"/>
            <w:tcBorders>
              <w:top w:val="single" w:color="000000" w:sz="4" w:space="0"/>
              <w:left w:val="single" w:color="auto" w:sz="4" w:space="0"/>
              <w:bottom w:val="single" w:color="000000" w:sz="4" w:space="0"/>
              <w:right w:val="single" w:color="000000" w:sz="4" w:space="0"/>
            </w:tcBorders>
            <w:noWrap w:val="0"/>
            <w:vAlign w:val="center"/>
          </w:tcPr>
          <w:p w14:paraId="2E4FC2DF">
            <w:pPr>
              <w:jc w:val="center"/>
              <w:rPr>
                <w:rFonts w:hint="eastAsia" w:ascii="仿宋" w:hAnsi="仿宋" w:eastAsia="仿宋" w:cs="仿宋"/>
                <w:color w:val="auto"/>
                <w:kern w:val="2"/>
                <w:sz w:val="24"/>
                <w:szCs w:val="24"/>
                <w:highlight w:val="none"/>
                <w:lang w:val="en-US" w:eastAsia="zh-CN" w:bidi="ar-SA"/>
              </w:rPr>
            </w:pPr>
          </w:p>
        </w:tc>
        <w:tc>
          <w:tcPr>
            <w:tcW w:w="4177" w:type="dxa"/>
            <w:tcBorders>
              <w:top w:val="single" w:color="000000" w:sz="4" w:space="0"/>
              <w:left w:val="single" w:color="auto" w:sz="4" w:space="0"/>
              <w:bottom w:val="single" w:color="000000" w:sz="4" w:space="0"/>
              <w:right w:val="single" w:color="000000" w:sz="4" w:space="0"/>
            </w:tcBorders>
            <w:noWrap w:val="0"/>
            <w:vAlign w:val="center"/>
          </w:tcPr>
          <w:p w14:paraId="6F97626D">
            <w:pPr>
              <w:widowControl/>
              <w:snapToGrid w:val="0"/>
              <w:spacing w:line="300" w:lineRule="auto"/>
              <w:jc w:val="center"/>
              <w:textAlignment w:val="center"/>
              <w:rPr>
                <w:rFonts w:hint="eastAsia" w:ascii="仿宋" w:hAnsi="仿宋" w:eastAsia="仿宋" w:cs="仿宋"/>
                <w:color w:val="auto"/>
                <w:kern w:val="0"/>
                <w:szCs w:val="21"/>
                <w:highlight w:val="none"/>
                <w:lang w:val="en-US" w:eastAsia="zh-CN" w:bidi="ar"/>
              </w:rPr>
            </w:pPr>
          </w:p>
        </w:tc>
      </w:tr>
    </w:tbl>
    <w:p w14:paraId="4A610B14">
      <w:pPr>
        <w:pStyle w:val="11"/>
        <w:tabs>
          <w:tab w:val="left" w:pos="482"/>
          <w:tab w:val="left" w:pos="2183"/>
          <w:tab w:val="left" w:pos="3884"/>
          <w:tab w:val="left" w:pos="5585"/>
        </w:tabs>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备注：本项目统招分签，中标单位需于上述8家单位分别签订合同。</w:t>
      </w:r>
    </w:p>
    <w:p w14:paraId="49229B4E">
      <w:pPr>
        <w:spacing w:line="460" w:lineRule="exact"/>
        <w:ind w:firstLine="541" w:firstLineChars="245"/>
        <w:rPr>
          <w:rFonts w:hint="eastAsia" w:ascii="仿宋" w:hAnsi="仿宋" w:eastAsia="仿宋" w:cs="仿宋"/>
          <w:b/>
          <w:color w:val="auto"/>
          <w:sz w:val="22"/>
          <w:szCs w:val="22"/>
          <w:highlight w:val="none"/>
        </w:rPr>
      </w:pPr>
    </w:p>
    <w:p w14:paraId="13BF7667">
      <w:pPr>
        <w:spacing w:line="460" w:lineRule="exact"/>
        <w:ind w:firstLine="541" w:firstLineChars="245"/>
        <w:rPr>
          <w:rFonts w:hint="eastAsia" w:ascii="仿宋" w:hAnsi="仿宋" w:eastAsia="仿宋" w:cs="仿宋"/>
          <w:b/>
          <w:color w:val="auto"/>
          <w:sz w:val="22"/>
          <w:szCs w:val="22"/>
          <w:highlight w:val="none"/>
        </w:rPr>
      </w:pPr>
    </w:p>
    <w:p w14:paraId="4DC0CF49">
      <w:pPr>
        <w:spacing w:line="460" w:lineRule="exact"/>
        <w:ind w:firstLine="541" w:firstLineChars="245"/>
        <w:rPr>
          <w:rFonts w:hint="eastAsia" w:ascii="仿宋" w:hAnsi="仿宋" w:eastAsia="仿宋" w:cs="仿宋"/>
          <w:b/>
          <w:color w:val="auto"/>
          <w:sz w:val="22"/>
          <w:szCs w:val="22"/>
          <w:highlight w:val="none"/>
        </w:rPr>
      </w:pPr>
    </w:p>
    <w:p w14:paraId="7BCC68C6">
      <w:pPr>
        <w:spacing w:line="460" w:lineRule="exact"/>
        <w:ind w:firstLine="541" w:firstLineChars="245"/>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注：如甲、乙双方同意，合同格式也可以按照其他形式, 具体条款以甲方为主协商确定。但合同条款的基本内容应与以下要求的内容相一致。</w:t>
      </w:r>
    </w:p>
    <w:p w14:paraId="0D81F469">
      <w:pPr>
        <w:pStyle w:val="11"/>
        <w:ind w:firstLine="210"/>
        <w:rPr>
          <w:rFonts w:hint="eastAsia" w:ascii="仿宋" w:hAnsi="仿宋" w:eastAsia="仿宋" w:cs="仿宋"/>
          <w:color w:val="auto"/>
          <w:highlight w:val="none"/>
        </w:rPr>
      </w:pPr>
    </w:p>
    <w:p w14:paraId="181F7217">
      <w:pPr>
        <w:pStyle w:val="11"/>
        <w:ind w:firstLine="210"/>
        <w:rPr>
          <w:rFonts w:hint="eastAsia" w:ascii="仿宋" w:hAnsi="仿宋" w:eastAsia="仿宋" w:cs="仿宋"/>
          <w:color w:val="auto"/>
          <w:highlight w:val="none"/>
        </w:rPr>
      </w:pPr>
    </w:p>
    <w:p w14:paraId="6F76CD4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9329B6E">
      <w:pPr>
        <w:pStyle w:val="11"/>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项目合同编号：                         </w:t>
      </w:r>
    </w:p>
    <w:p w14:paraId="0DA33635">
      <w:pPr>
        <w:pStyle w:val="13"/>
        <w:rPr>
          <w:rFonts w:hint="eastAsia" w:ascii="仿宋" w:hAnsi="仿宋" w:eastAsia="仿宋" w:cs="仿宋"/>
          <w:color w:val="auto"/>
          <w:highlight w:val="none"/>
        </w:rPr>
      </w:pPr>
    </w:p>
    <w:p w14:paraId="3944FB96">
      <w:pPr>
        <w:rPr>
          <w:rFonts w:hint="eastAsia" w:ascii="仿宋" w:hAnsi="仿宋" w:eastAsia="仿宋" w:cs="仿宋"/>
          <w:color w:val="auto"/>
          <w:highlight w:val="none"/>
        </w:rPr>
      </w:pPr>
    </w:p>
    <w:p w14:paraId="5F49C438">
      <w:pPr>
        <w:spacing w:line="460" w:lineRule="exact"/>
        <w:jc w:val="center"/>
        <w:rPr>
          <w:rFonts w:hint="eastAsia" w:ascii="仿宋" w:hAnsi="仿宋" w:eastAsia="仿宋" w:cs="仿宋"/>
          <w:color w:val="auto"/>
          <w:sz w:val="22"/>
          <w:szCs w:val="22"/>
          <w:highlight w:val="none"/>
        </w:rPr>
      </w:pPr>
    </w:p>
    <w:p w14:paraId="71002076">
      <w:pPr>
        <w:spacing w:line="46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温州市沿海视频监控系统升级改造项目合同</w:t>
      </w:r>
    </w:p>
    <w:p w14:paraId="2B8D07CE">
      <w:pPr>
        <w:spacing w:line="460" w:lineRule="exact"/>
        <w:rPr>
          <w:rFonts w:hint="eastAsia" w:ascii="仿宋" w:hAnsi="仿宋" w:eastAsia="仿宋" w:cs="仿宋"/>
          <w:color w:val="auto"/>
          <w:sz w:val="32"/>
          <w:szCs w:val="32"/>
          <w:highlight w:val="none"/>
        </w:rPr>
      </w:pPr>
    </w:p>
    <w:p w14:paraId="6486C805">
      <w:pPr>
        <w:spacing w:line="460" w:lineRule="exact"/>
        <w:rPr>
          <w:rFonts w:hint="eastAsia" w:ascii="仿宋" w:hAnsi="仿宋" w:eastAsia="仿宋" w:cs="仿宋"/>
          <w:color w:val="auto"/>
          <w:sz w:val="32"/>
          <w:szCs w:val="32"/>
          <w:highlight w:val="none"/>
        </w:rPr>
      </w:pPr>
    </w:p>
    <w:p w14:paraId="3FDCE881">
      <w:pPr>
        <w:spacing w:line="460" w:lineRule="exact"/>
        <w:rPr>
          <w:rFonts w:hint="eastAsia" w:ascii="仿宋" w:hAnsi="仿宋" w:eastAsia="仿宋" w:cs="仿宋"/>
          <w:color w:val="auto"/>
          <w:sz w:val="32"/>
          <w:szCs w:val="32"/>
          <w:highlight w:val="none"/>
        </w:rPr>
      </w:pPr>
    </w:p>
    <w:p w14:paraId="7C7812F5">
      <w:pPr>
        <w:spacing w:line="460" w:lineRule="exact"/>
        <w:rPr>
          <w:rFonts w:hint="eastAsia" w:ascii="仿宋" w:hAnsi="仿宋" w:eastAsia="仿宋" w:cs="仿宋"/>
          <w:color w:val="auto"/>
          <w:sz w:val="32"/>
          <w:szCs w:val="32"/>
          <w:highlight w:val="none"/>
        </w:rPr>
      </w:pPr>
    </w:p>
    <w:p w14:paraId="6EC15E6D">
      <w:pPr>
        <w:spacing w:line="460" w:lineRule="exact"/>
        <w:rPr>
          <w:rFonts w:hint="eastAsia" w:ascii="仿宋" w:hAnsi="仿宋" w:eastAsia="仿宋" w:cs="仿宋"/>
          <w:color w:val="auto"/>
          <w:sz w:val="32"/>
          <w:szCs w:val="32"/>
          <w:highlight w:val="none"/>
        </w:rPr>
      </w:pPr>
    </w:p>
    <w:p w14:paraId="049B9E6E">
      <w:pPr>
        <w:spacing w:line="460" w:lineRule="exact"/>
        <w:rPr>
          <w:rFonts w:hint="eastAsia" w:ascii="仿宋" w:hAnsi="仿宋" w:eastAsia="仿宋" w:cs="仿宋"/>
          <w:color w:val="auto"/>
          <w:sz w:val="32"/>
          <w:szCs w:val="32"/>
          <w:highlight w:val="none"/>
        </w:rPr>
      </w:pPr>
    </w:p>
    <w:p w14:paraId="6204B3C9">
      <w:pPr>
        <w:spacing w:line="460" w:lineRule="exact"/>
        <w:rPr>
          <w:rFonts w:hint="eastAsia" w:ascii="仿宋" w:hAnsi="仿宋" w:eastAsia="仿宋" w:cs="仿宋"/>
          <w:color w:val="auto"/>
          <w:sz w:val="32"/>
          <w:szCs w:val="32"/>
          <w:highlight w:val="none"/>
        </w:rPr>
      </w:pPr>
    </w:p>
    <w:p w14:paraId="1900237D">
      <w:pPr>
        <w:spacing w:line="460" w:lineRule="exact"/>
        <w:rPr>
          <w:rFonts w:hint="eastAsia" w:ascii="仿宋" w:hAnsi="仿宋" w:eastAsia="仿宋" w:cs="仿宋"/>
          <w:color w:val="auto"/>
          <w:sz w:val="32"/>
          <w:szCs w:val="32"/>
          <w:highlight w:val="none"/>
        </w:rPr>
      </w:pPr>
    </w:p>
    <w:p w14:paraId="5A2F218B">
      <w:pPr>
        <w:spacing w:line="460" w:lineRule="exac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 目 名 称 ：</w:t>
      </w:r>
      <w:r>
        <w:rPr>
          <w:rFonts w:hint="eastAsia" w:ascii="仿宋" w:hAnsi="仿宋" w:eastAsia="仿宋" w:cs="仿宋"/>
          <w:color w:val="auto"/>
          <w:sz w:val="32"/>
          <w:szCs w:val="32"/>
          <w:highlight w:val="none"/>
          <w:u w:val="single"/>
        </w:rPr>
        <w:t xml:space="preserve">温州市沿海视频监控系统升级改造项目    </w:t>
      </w:r>
    </w:p>
    <w:p w14:paraId="08D28E4A">
      <w:pPr>
        <w:pStyle w:val="2"/>
        <w:rPr>
          <w:rFonts w:hint="eastAsia" w:ascii="仿宋" w:hAnsi="仿宋" w:eastAsia="仿宋" w:cs="仿宋"/>
          <w:color w:val="auto"/>
          <w:sz w:val="32"/>
          <w:szCs w:val="32"/>
          <w:highlight w:val="none"/>
          <w:u w:val="single"/>
        </w:rPr>
      </w:pPr>
    </w:p>
    <w:p w14:paraId="642FE370">
      <w:pPr>
        <w:pStyle w:val="2"/>
        <w:rPr>
          <w:rFonts w:hint="eastAsia" w:ascii="仿宋" w:hAnsi="仿宋" w:eastAsia="仿宋" w:cs="仿宋"/>
          <w:color w:val="auto"/>
          <w:sz w:val="32"/>
          <w:szCs w:val="32"/>
          <w:highlight w:val="none"/>
          <w:u w:val="single"/>
        </w:rPr>
      </w:pPr>
    </w:p>
    <w:p w14:paraId="2B6190FC">
      <w:pPr>
        <w:pStyle w:val="2"/>
        <w:rPr>
          <w:rFonts w:hint="eastAsia" w:ascii="仿宋" w:hAnsi="仿宋" w:eastAsia="仿宋" w:cs="仿宋"/>
          <w:color w:val="auto"/>
          <w:sz w:val="32"/>
          <w:szCs w:val="32"/>
          <w:highlight w:val="none"/>
          <w:u w:val="single"/>
        </w:rPr>
      </w:pPr>
    </w:p>
    <w:p w14:paraId="418588C0">
      <w:pPr>
        <w:pStyle w:val="2"/>
        <w:rPr>
          <w:rFonts w:hint="eastAsia" w:ascii="仿宋" w:hAnsi="仿宋" w:eastAsia="仿宋" w:cs="仿宋"/>
          <w:color w:val="auto"/>
          <w:sz w:val="32"/>
          <w:szCs w:val="32"/>
          <w:highlight w:val="none"/>
          <w:u w:val="single"/>
        </w:rPr>
      </w:pPr>
    </w:p>
    <w:p w14:paraId="28065406">
      <w:pPr>
        <w:pStyle w:val="42"/>
        <w:rPr>
          <w:rFonts w:hint="eastAsia" w:ascii="仿宋" w:hAnsi="仿宋" w:eastAsia="仿宋" w:cs="仿宋"/>
          <w:color w:val="auto"/>
          <w:highlight w:val="none"/>
        </w:rPr>
      </w:pPr>
    </w:p>
    <w:p w14:paraId="4B2FE158">
      <w:pPr>
        <w:spacing w:line="4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甲方（盖章）：</w:t>
      </w:r>
      <w:r>
        <w:rPr>
          <w:rFonts w:hint="eastAsia" w:ascii="仿宋" w:hAnsi="仿宋" w:eastAsia="仿宋" w:cs="仿宋"/>
          <w:color w:val="auto"/>
          <w:sz w:val="32"/>
          <w:szCs w:val="32"/>
          <w:highlight w:val="none"/>
          <w:u w:val="single"/>
        </w:rPr>
        <w:t xml:space="preserve">                                        </w:t>
      </w:r>
    </w:p>
    <w:p w14:paraId="70030579">
      <w:pPr>
        <w:pStyle w:val="42"/>
        <w:rPr>
          <w:rFonts w:hint="eastAsia" w:ascii="仿宋" w:hAnsi="仿宋" w:eastAsia="仿宋" w:cs="仿宋"/>
          <w:color w:val="auto"/>
          <w:highlight w:val="none"/>
        </w:rPr>
      </w:pPr>
    </w:p>
    <w:p w14:paraId="24ECB28D">
      <w:pPr>
        <w:pStyle w:val="42"/>
        <w:rPr>
          <w:rFonts w:hint="eastAsia" w:ascii="仿宋" w:hAnsi="仿宋" w:eastAsia="仿宋" w:cs="仿宋"/>
          <w:color w:val="auto"/>
          <w:highlight w:val="none"/>
        </w:rPr>
      </w:pPr>
    </w:p>
    <w:p w14:paraId="7D84D9BF">
      <w:pPr>
        <w:pStyle w:val="42"/>
        <w:rPr>
          <w:rFonts w:hint="eastAsia" w:ascii="仿宋" w:hAnsi="仿宋" w:eastAsia="仿宋" w:cs="仿宋"/>
          <w:color w:val="auto"/>
          <w:highlight w:val="none"/>
        </w:rPr>
      </w:pPr>
    </w:p>
    <w:p w14:paraId="5FABFFC3">
      <w:pPr>
        <w:spacing w:line="460" w:lineRule="exact"/>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 xml:space="preserve">乙方（盖章）： </w:t>
      </w:r>
      <w:r>
        <w:rPr>
          <w:rFonts w:hint="eastAsia" w:ascii="仿宋" w:hAnsi="仿宋" w:eastAsia="仿宋" w:cs="仿宋"/>
          <w:color w:val="auto"/>
          <w:sz w:val="32"/>
          <w:szCs w:val="32"/>
          <w:highlight w:val="none"/>
          <w:u w:val="single"/>
        </w:rPr>
        <w:t xml:space="preserve">                                     </w:t>
      </w:r>
    </w:p>
    <w:p w14:paraId="56E24CCD">
      <w:pPr>
        <w:pStyle w:val="42"/>
        <w:rPr>
          <w:rFonts w:hint="eastAsia" w:ascii="仿宋" w:hAnsi="仿宋" w:eastAsia="仿宋" w:cs="仿宋"/>
          <w:color w:val="auto"/>
          <w:highlight w:val="none"/>
        </w:rPr>
      </w:pPr>
    </w:p>
    <w:p w14:paraId="22458E4A">
      <w:pPr>
        <w:pStyle w:val="42"/>
        <w:rPr>
          <w:rFonts w:hint="eastAsia" w:ascii="仿宋" w:hAnsi="仿宋" w:eastAsia="仿宋" w:cs="仿宋"/>
          <w:color w:val="auto"/>
          <w:highlight w:val="none"/>
        </w:rPr>
      </w:pPr>
    </w:p>
    <w:p w14:paraId="0AC33A66">
      <w:pPr>
        <w:pStyle w:val="42"/>
        <w:rPr>
          <w:rFonts w:hint="eastAsia" w:ascii="仿宋" w:hAnsi="仿宋" w:eastAsia="仿宋" w:cs="仿宋"/>
          <w:color w:val="auto"/>
          <w:highlight w:val="none"/>
        </w:rPr>
      </w:pPr>
    </w:p>
    <w:p w14:paraId="16BCAE6D">
      <w:pPr>
        <w:spacing w:line="4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 署 时 间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403BDEBD">
      <w:pPr>
        <w:pStyle w:val="42"/>
        <w:rPr>
          <w:rFonts w:hint="eastAsia" w:ascii="仿宋" w:hAnsi="仿宋" w:eastAsia="仿宋" w:cs="仿宋"/>
          <w:color w:val="auto"/>
          <w:highlight w:val="none"/>
        </w:rPr>
      </w:pPr>
    </w:p>
    <w:p w14:paraId="114A8B07">
      <w:pPr>
        <w:spacing w:line="460" w:lineRule="exact"/>
        <w:rPr>
          <w:rFonts w:hint="eastAsia" w:ascii="仿宋" w:hAnsi="仿宋" w:eastAsia="仿宋" w:cs="仿宋"/>
          <w:color w:val="auto"/>
          <w:sz w:val="22"/>
          <w:szCs w:val="22"/>
          <w:highlight w:val="none"/>
        </w:rPr>
      </w:pPr>
      <w:r>
        <w:rPr>
          <w:rFonts w:hint="eastAsia" w:ascii="仿宋" w:hAnsi="仿宋" w:eastAsia="仿宋" w:cs="仿宋"/>
          <w:color w:val="auto"/>
          <w:sz w:val="32"/>
          <w:szCs w:val="32"/>
          <w:highlight w:val="none"/>
        </w:rPr>
        <w:t>签 署 地 点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45E6A342">
      <w:pPr>
        <w:spacing w:line="460" w:lineRule="exact"/>
        <w:rPr>
          <w:rFonts w:hint="eastAsia" w:ascii="仿宋" w:hAnsi="仿宋" w:eastAsia="仿宋" w:cs="仿宋"/>
          <w:color w:val="auto"/>
          <w:sz w:val="22"/>
          <w:szCs w:val="22"/>
          <w:highlight w:val="none"/>
        </w:rPr>
      </w:pPr>
    </w:p>
    <w:p w14:paraId="5E8F84EC">
      <w:pPr>
        <w:widowControl/>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p>
    <w:p w14:paraId="3FE65939">
      <w:pPr>
        <w:spacing w:line="4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甲方：  </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8B02EB7">
      <w:pPr>
        <w:spacing w:line="4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乙方:   </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color w:val="auto"/>
          <w:sz w:val="22"/>
          <w:szCs w:val="22"/>
          <w:highlight w:val="none"/>
          <w:u w:val="single"/>
        </w:rPr>
        <w:t xml:space="preserve"> </w:t>
      </w:r>
    </w:p>
    <w:p w14:paraId="496D807A">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温州市渔业应急处置指挥中心的</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（项目名称、编号）在国内以公开招标方式进行招标，经评标委员会评定</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（中标人名称）为中标人。双方本着诚信及互利互惠的原则，同意按照下面条款和条件，签署本合同。</w:t>
      </w:r>
    </w:p>
    <w:p w14:paraId="6BC63D5F">
      <w:pPr>
        <w:spacing w:line="4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一、本合同签订依据</w:t>
      </w:r>
    </w:p>
    <w:p w14:paraId="15BB07E1">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《中华人民共和国民法典》</w:t>
      </w:r>
    </w:p>
    <w:p w14:paraId="2F37767D">
      <w:pPr>
        <w:spacing w:line="4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二、合同文件的优先次序</w:t>
      </w:r>
    </w:p>
    <w:p w14:paraId="7E4BB97D">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合同文件如存在歧义或不一致则根据以下优先次序来判断：</w:t>
      </w:r>
    </w:p>
    <w:p w14:paraId="6F570A61">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1.合同书及合同补充条款或说明 </w:t>
      </w:r>
    </w:p>
    <w:p w14:paraId="489FDE75">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2.中标通知书</w:t>
      </w:r>
    </w:p>
    <w:p w14:paraId="28DC08BA">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3.承诺书（含询标记录和优惠条款）</w:t>
      </w:r>
    </w:p>
    <w:p w14:paraId="6F2DBDD6">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4.投标文件</w:t>
      </w:r>
    </w:p>
    <w:p w14:paraId="0A0FBE79">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5.招标文件</w:t>
      </w:r>
    </w:p>
    <w:p w14:paraId="77F4D302">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三、合同内容：</w:t>
      </w:r>
    </w:p>
    <w:p w14:paraId="5B98C6E8">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1.系统建设目标、规模与内容：</w:t>
      </w:r>
      <w:r>
        <w:rPr>
          <w:rFonts w:hint="eastAsia" w:ascii="仿宋" w:hAnsi="仿宋" w:eastAsia="仿宋" w:cs="仿宋"/>
          <w:bCs/>
          <w:color w:val="auto"/>
          <w:sz w:val="22"/>
          <w:szCs w:val="22"/>
          <w:highlight w:val="none"/>
          <w:u w:val="single"/>
        </w:rPr>
        <w:t>根据招标文件、投标文件内容填写</w:t>
      </w:r>
      <w:r>
        <w:rPr>
          <w:rFonts w:hint="eastAsia" w:ascii="仿宋" w:hAnsi="仿宋" w:eastAsia="仿宋" w:cs="仿宋"/>
          <w:bCs/>
          <w:color w:val="auto"/>
          <w:sz w:val="22"/>
          <w:szCs w:val="22"/>
          <w:highlight w:val="none"/>
        </w:rPr>
        <w:t xml:space="preserve">  </w:t>
      </w:r>
    </w:p>
    <w:p w14:paraId="7B088D7A">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2.主要建设内容及要求</w:t>
      </w:r>
    </w:p>
    <w:p w14:paraId="1CB49A15">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（1）建设内容清单：</w:t>
      </w:r>
      <w:r>
        <w:rPr>
          <w:rFonts w:hint="eastAsia" w:ascii="仿宋" w:hAnsi="仿宋" w:eastAsia="仿宋" w:cs="仿宋"/>
          <w:bCs/>
          <w:color w:val="auto"/>
          <w:sz w:val="22"/>
          <w:szCs w:val="22"/>
          <w:highlight w:val="none"/>
          <w:u w:val="single"/>
        </w:rPr>
        <w:t>根据招标文件、投标文件内容填写</w:t>
      </w:r>
    </w:p>
    <w:p w14:paraId="08125CD6">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（2）具体建设要求：</w:t>
      </w:r>
      <w:r>
        <w:rPr>
          <w:rFonts w:hint="eastAsia" w:ascii="仿宋" w:hAnsi="仿宋" w:eastAsia="仿宋" w:cs="仿宋"/>
          <w:bCs/>
          <w:color w:val="auto"/>
          <w:sz w:val="22"/>
          <w:szCs w:val="22"/>
          <w:highlight w:val="none"/>
          <w:u w:val="single"/>
        </w:rPr>
        <w:t>根据招标文件、投标文件内容填写</w:t>
      </w:r>
    </w:p>
    <w:p w14:paraId="7A175465">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（3）系统安全要求：</w:t>
      </w:r>
      <w:r>
        <w:rPr>
          <w:rFonts w:hint="eastAsia" w:ascii="仿宋" w:hAnsi="仿宋" w:eastAsia="仿宋" w:cs="仿宋"/>
          <w:bCs/>
          <w:color w:val="auto"/>
          <w:sz w:val="22"/>
          <w:szCs w:val="22"/>
          <w:highlight w:val="none"/>
          <w:u w:val="single"/>
        </w:rPr>
        <w:t>根据招标文件、投标文件内容填写</w:t>
      </w:r>
    </w:p>
    <w:p w14:paraId="07634ACF">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3.项目实施要求：</w:t>
      </w:r>
      <w:r>
        <w:rPr>
          <w:rFonts w:hint="eastAsia" w:ascii="仿宋" w:hAnsi="仿宋" w:eastAsia="仿宋" w:cs="仿宋"/>
          <w:bCs/>
          <w:color w:val="auto"/>
          <w:sz w:val="22"/>
          <w:szCs w:val="22"/>
          <w:highlight w:val="none"/>
          <w:u w:val="single"/>
        </w:rPr>
        <w:t>根据招标文件、投标文件内容填写</w:t>
      </w:r>
    </w:p>
    <w:p w14:paraId="6CDE4F70">
      <w:pPr>
        <w:spacing w:line="460" w:lineRule="exact"/>
        <w:ind w:firstLine="539" w:firstLineChars="245"/>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4.其他增加条款（如有）：</w:t>
      </w:r>
      <w:r>
        <w:rPr>
          <w:rFonts w:hint="eastAsia" w:ascii="仿宋" w:hAnsi="仿宋" w:eastAsia="仿宋" w:cs="仿宋"/>
          <w:bCs/>
          <w:color w:val="auto"/>
          <w:sz w:val="22"/>
          <w:szCs w:val="22"/>
          <w:highlight w:val="none"/>
          <w:u w:val="single"/>
        </w:rPr>
        <w:t xml:space="preserve">                           </w:t>
      </w:r>
    </w:p>
    <w:p w14:paraId="3E0E43CA">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四、服务期限：</w:t>
      </w:r>
    </w:p>
    <w:p w14:paraId="5E72876D">
      <w:pPr>
        <w:spacing w:line="460" w:lineRule="exact"/>
        <w:ind w:firstLine="541" w:firstLineChars="245"/>
        <w:rPr>
          <w:rFonts w:hint="eastAsia" w:ascii="仿宋" w:hAnsi="仿宋" w:eastAsia="仿宋" w:cs="仿宋"/>
          <w:color w:val="auto"/>
          <w:sz w:val="22"/>
          <w:szCs w:val="22"/>
          <w:highlight w:val="none"/>
        </w:rPr>
      </w:pPr>
      <w:r>
        <w:rPr>
          <w:rFonts w:hint="eastAsia" w:ascii="仿宋" w:hAnsi="仿宋" w:eastAsia="仿宋" w:cs="仿宋"/>
          <w:b/>
          <w:color w:val="auto"/>
          <w:kern w:val="0"/>
          <w:sz w:val="22"/>
          <w:szCs w:val="22"/>
          <w:highlight w:val="none"/>
        </w:rPr>
        <w:t>项目签订合同后3个月内，初步完成</w:t>
      </w:r>
      <w:r>
        <w:rPr>
          <w:rFonts w:hint="eastAsia" w:ascii="仿宋" w:hAnsi="仿宋" w:eastAsia="仿宋" w:cs="仿宋"/>
          <w:b/>
          <w:color w:val="auto"/>
          <w:kern w:val="0"/>
          <w:sz w:val="22"/>
          <w:szCs w:val="22"/>
          <w:highlight w:val="none"/>
          <w:lang w:val="en-US" w:eastAsia="zh-CN"/>
        </w:rPr>
        <w:t>前端监控点位建设和算法及软件</w:t>
      </w:r>
      <w:r>
        <w:rPr>
          <w:rFonts w:hint="eastAsia" w:ascii="仿宋" w:hAnsi="仿宋" w:eastAsia="仿宋" w:cs="仿宋"/>
          <w:b/>
          <w:color w:val="auto"/>
          <w:kern w:val="0"/>
          <w:sz w:val="22"/>
          <w:szCs w:val="22"/>
          <w:highlight w:val="none"/>
        </w:rPr>
        <w:t>系统开发</w:t>
      </w:r>
      <w:r>
        <w:rPr>
          <w:rFonts w:hint="eastAsia" w:ascii="仿宋" w:hAnsi="仿宋" w:eastAsia="仿宋" w:cs="仿宋"/>
          <w:b/>
          <w:color w:val="auto"/>
          <w:kern w:val="0"/>
          <w:sz w:val="22"/>
          <w:szCs w:val="22"/>
          <w:highlight w:val="none"/>
          <w:lang w:val="en-US" w:eastAsia="zh-CN"/>
        </w:rPr>
        <w:t>实现</w:t>
      </w:r>
      <w:r>
        <w:rPr>
          <w:rFonts w:hint="eastAsia" w:ascii="仿宋" w:hAnsi="仿宋" w:eastAsia="仿宋" w:cs="仿宋"/>
          <w:b/>
          <w:color w:val="auto"/>
          <w:kern w:val="0"/>
          <w:sz w:val="22"/>
          <w:szCs w:val="22"/>
          <w:highlight w:val="none"/>
        </w:rPr>
        <w:t>并上线试运行；</w:t>
      </w:r>
      <w:r>
        <w:rPr>
          <w:rFonts w:hint="eastAsia" w:ascii="仿宋" w:hAnsi="仿宋" w:eastAsia="仿宋" w:cs="仿宋"/>
          <w:b/>
          <w:color w:val="auto"/>
          <w:kern w:val="0"/>
          <w:sz w:val="22"/>
          <w:szCs w:val="22"/>
          <w:highlight w:val="none"/>
          <w:lang w:val="en-US" w:eastAsia="zh-CN"/>
        </w:rPr>
        <w:t>试运行满</w:t>
      </w:r>
      <w:r>
        <w:rPr>
          <w:rFonts w:hint="eastAsia" w:ascii="仿宋" w:hAnsi="仿宋" w:eastAsia="仿宋" w:cs="仿宋"/>
          <w:b/>
          <w:color w:val="auto"/>
          <w:kern w:val="0"/>
          <w:sz w:val="22"/>
          <w:szCs w:val="22"/>
          <w:highlight w:val="none"/>
        </w:rPr>
        <w:t>6</w:t>
      </w:r>
      <w:r>
        <w:rPr>
          <w:rFonts w:hint="eastAsia" w:ascii="仿宋" w:hAnsi="仿宋" w:eastAsia="仿宋" w:cs="仿宋"/>
          <w:b/>
          <w:color w:val="auto"/>
          <w:kern w:val="0"/>
          <w:sz w:val="22"/>
          <w:szCs w:val="22"/>
          <w:highlight w:val="none"/>
          <w:lang w:val="en-US" w:eastAsia="zh-CN"/>
        </w:rPr>
        <w:t>个</w:t>
      </w:r>
      <w:r>
        <w:rPr>
          <w:rFonts w:hint="eastAsia" w:ascii="仿宋" w:hAnsi="仿宋" w:eastAsia="仿宋" w:cs="仿宋"/>
          <w:b/>
          <w:color w:val="auto"/>
          <w:kern w:val="0"/>
          <w:sz w:val="22"/>
          <w:szCs w:val="22"/>
          <w:highlight w:val="none"/>
        </w:rPr>
        <w:t>月</w:t>
      </w:r>
      <w:r>
        <w:rPr>
          <w:rFonts w:hint="eastAsia" w:ascii="仿宋" w:hAnsi="仿宋" w:eastAsia="仿宋" w:cs="仿宋"/>
          <w:b/>
          <w:color w:val="auto"/>
          <w:kern w:val="0"/>
          <w:sz w:val="22"/>
          <w:szCs w:val="22"/>
          <w:highlight w:val="none"/>
          <w:lang w:val="en-US" w:eastAsia="zh-CN"/>
        </w:rPr>
        <w:t>并完成系统等保、软件第三方测评后</w:t>
      </w:r>
      <w:r>
        <w:rPr>
          <w:rFonts w:hint="eastAsia" w:ascii="仿宋" w:hAnsi="仿宋" w:eastAsia="仿宋" w:cs="仿宋"/>
          <w:b/>
          <w:color w:val="auto"/>
          <w:kern w:val="0"/>
          <w:sz w:val="22"/>
          <w:szCs w:val="22"/>
          <w:highlight w:val="none"/>
        </w:rPr>
        <w:t>，由甲方</w:t>
      </w:r>
      <w:r>
        <w:rPr>
          <w:rFonts w:hint="eastAsia" w:ascii="仿宋" w:hAnsi="仿宋" w:eastAsia="仿宋" w:cs="仿宋"/>
          <w:b/>
          <w:color w:val="auto"/>
          <w:kern w:val="0"/>
          <w:sz w:val="22"/>
          <w:szCs w:val="22"/>
          <w:highlight w:val="none"/>
          <w:lang w:val="en-US" w:eastAsia="zh-CN"/>
        </w:rPr>
        <w:t>向温州市数据局申请</w:t>
      </w:r>
      <w:r>
        <w:rPr>
          <w:rFonts w:hint="eastAsia" w:ascii="仿宋" w:hAnsi="仿宋" w:eastAsia="仿宋" w:cs="仿宋"/>
          <w:b/>
          <w:color w:val="auto"/>
          <w:kern w:val="0"/>
          <w:sz w:val="22"/>
          <w:szCs w:val="22"/>
          <w:highlight w:val="none"/>
        </w:rPr>
        <w:t>组织</w:t>
      </w:r>
      <w:r>
        <w:rPr>
          <w:rFonts w:hint="eastAsia" w:ascii="仿宋" w:hAnsi="仿宋" w:eastAsia="仿宋" w:cs="仿宋"/>
          <w:b/>
          <w:color w:val="auto"/>
          <w:kern w:val="0"/>
          <w:sz w:val="22"/>
          <w:szCs w:val="22"/>
          <w:highlight w:val="none"/>
          <w:lang w:val="en-US" w:eastAsia="zh-CN"/>
        </w:rPr>
        <w:t>项目</w:t>
      </w:r>
      <w:r>
        <w:rPr>
          <w:rFonts w:hint="eastAsia" w:ascii="仿宋" w:hAnsi="仿宋" w:eastAsia="仿宋" w:cs="仿宋"/>
          <w:b/>
          <w:color w:val="auto"/>
          <w:kern w:val="0"/>
          <w:sz w:val="22"/>
          <w:szCs w:val="22"/>
          <w:highlight w:val="none"/>
        </w:rPr>
        <w:t>验收。如遇不可抗力原因、政府行为或甲方自身因素可适当顺延</w:t>
      </w:r>
      <w:r>
        <w:rPr>
          <w:rFonts w:hint="eastAsia" w:ascii="仿宋" w:hAnsi="仿宋" w:eastAsia="仿宋" w:cs="仿宋"/>
          <w:color w:val="auto"/>
          <w:sz w:val="22"/>
          <w:szCs w:val="22"/>
          <w:highlight w:val="none"/>
        </w:rPr>
        <w:t>。</w:t>
      </w:r>
    </w:p>
    <w:p w14:paraId="7DFCD7DD">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五、合同费用</w:t>
      </w:r>
    </w:p>
    <w:p w14:paraId="4E380D5D">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本合同费用为人民币</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元，大写：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人民币。</w:t>
      </w:r>
    </w:p>
    <w:p w14:paraId="54C65662">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费用是指乙方在维护期内为完成招标文件、投标文件及其承诺维护设备的日常维护保养、故障维修及更换新件、人员驻场等所有与之相关的运行维护全部费用，实行固定费用总价包干，除此外乙方不得以任何理由调整合同价格。</w:t>
      </w:r>
    </w:p>
    <w:p w14:paraId="229F5BAB">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六、</w:t>
      </w:r>
      <w:r>
        <w:rPr>
          <w:rFonts w:hint="eastAsia" w:ascii="仿宋" w:hAnsi="仿宋" w:eastAsia="仿宋" w:cs="仿宋"/>
          <w:b/>
          <w:bCs/>
          <w:color w:val="auto"/>
          <w:sz w:val="22"/>
          <w:szCs w:val="22"/>
          <w:highlight w:val="none"/>
          <w:lang w:val="en-US" w:eastAsia="zh-CN"/>
        </w:rPr>
        <w:t>合同</w:t>
      </w:r>
      <w:r>
        <w:rPr>
          <w:rFonts w:hint="eastAsia" w:ascii="仿宋" w:hAnsi="仿宋" w:eastAsia="仿宋" w:cs="仿宋"/>
          <w:b/>
          <w:bCs/>
          <w:color w:val="auto"/>
          <w:sz w:val="22"/>
          <w:szCs w:val="22"/>
          <w:highlight w:val="none"/>
        </w:rPr>
        <w:t>清单</w:t>
      </w:r>
    </w:p>
    <w:p w14:paraId="3BD15BE4">
      <w:pPr>
        <w:spacing w:line="44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1</w:t>
      </w:r>
      <w:r>
        <w:rPr>
          <w:rFonts w:hint="eastAsia" w:ascii="仿宋" w:hAnsi="仿宋" w:eastAsia="仿宋" w:cs="仿宋"/>
          <w:b/>
          <w:color w:val="auto"/>
          <w:sz w:val="22"/>
          <w:szCs w:val="22"/>
          <w:highlight w:val="none"/>
        </w:rPr>
        <w:t>.硬件清单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1984"/>
        <w:gridCol w:w="1866"/>
        <w:gridCol w:w="1643"/>
      </w:tblGrid>
      <w:tr w14:paraId="3B2A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19F708D7">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2977" w:type="dxa"/>
            <w:noWrap w:val="0"/>
            <w:vAlign w:val="center"/>
          </w:tcPr>
          <w:p w14:paraId="2A90579A">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硬件设备名称</w:t>
            </w:r>
          </w:p>
        </w:tc>
        <w:tc>
          <w:tcPr>
            <w:tcW w:w="1984" w:type="dxa"/>
            <w:noWrap w:val="0"/>
            <w:vAlign w:val="center"/>
          </w:tcPr>
          <w:p w14:paraId="3B39AA74">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参数</w:t>
            </w:r>
          </w:p>
        </w:tc>
        <w:tc>
          <w:tcPr>
            <w:tcW w:w="1866" w:type="dxa"/>
            <w:noWrap w:val="0"/>
            <w:vAlign w:val="center"/>
          </w:tcPr>
          <w:p w14:paraId="6AAD8A59">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单价</w:t>
            </w:r>
          </w:p>
        </w:tc>
        <w:tc>
          <w:tcPr>
            <w:tcW w:w="1643" w:type="dxa"/>
            <w:noWrap w:val="0"/>
            <w:vAlign w:val="center"/>
          </w:tcPr>
          <w:p w14:paraId="58B8BDA0">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1763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7D4F116">
            <w:pPr>
              <w:spacing w:line="460" w:lineRule="exact"/>
              <w:ind w:firstLine="330" w:firstLineChars="150"/>
              <w:jc w:val="center"/>
              <w:rPr>
                <w:rFonts w:hint="eastAsia" w:ascii="仿宋" w:hAnsi="仿宋" w:eastAsia="仿宋" w:cs="仿宋"/>
                <w:color w:val="auto"/>
                <w:sz w:val="22"/>
                <w:szCs w:val="22"/>
                <w:highlight w:val="none"/>
              </w:rPr>
            </w:pPr>
          </w:p>
        </w:tc>
        <w:tc>
          <w:tcPr>
            <w:tcW w:w="2977" w:type="dxa"/>
            <w:noWrap w:val="0"/>
            <w:vAlign w:val="center"/>
          </w:tcPr>
          <w:p w14:paraId="583EB755">
            <w:pPr>
              <w:spacing w:line="460" w:lineRule="exact"/>
              <w:ind w:firstLine="330" w:firstLineChars="150"/>
              <w:jc w:val="center"/>
              <w:rPr>
                <w:rFonts w:hint="eastAsia" w:ascii="仿宋" w:hAnsi="仿宋" w:eastAsia="仿宋" w:cs="仿宋"/>
                <w:color w:val="auto"/>
                <w:sz w:val="22"/>
                <w:szCs w:val="22"/>
                <w:highlight w:val="none"/>
              </w:rPr>
            </w:pPr>
          </w:p>
        </w:tc>
        <w:tc>
          <w:tcPr>
            <w:tcW w:w="1984" w:type="dxa"/>
            <w:noWrap w:val="0"/>
            <w:vAlign w:val="center"/>
          </w:tcPr>
          <w:p w14:paraId="6A687670">
            <w:pPr>
              <w:spacing w:line="460" w:lineRule="exact"/>
              <w:ind w:firstLine="330" w:firstLineChars="150"/>
              <w:jc w:val="center"/>
              <w:rPr>
                <w:rFonts w:hint="eastAsia" w:ascii="仿宋" w:hAnsi="仿宋" w:eastAsia="仿宋" w:cs="仿宋"/>
                <w:color w:val="auto"/>
                <w:sz w:val="22"/>
                <w:szCs w:val="22"/>
                <w:highlight w:val="none"/>
              </w:rPr>
            </w:pPr>
          </w:p>
        </w:tc>
        <w:tc>
          <w:tcPr>
            <w:tcW w:w="1866" w:type="dxa"/>
            <w:noWrap w:val="0"/>
            <w:vAlign w:val="center"/>
          </w:tcPr>
          <w:p w14:paraId="0009A158">
            <w:pPr>
              <w:spacing w:line="460" w:lineRule="exact"/>
              <w:ind w:firstLine="330" w:firstLineChars="150"/>
              <w:jc w:val="center"/>
              <w:rPr>
                <w:rFonts w:hint="eastAsia" w:ascii="仿宋" w:hAnsi="仿宋" w:eastAsia="仿宋" w:cs="仿宋"/>
                <w:color w:val="auto"/>
                <w:sz w:val="22"/>
                <w:szCs w:val="22"/>
                <w:highlight w:val="none"/>
              </w:rPr>
            </w:pPr>
          </w:p>
        </w:tc>
        <w:tc>
          <w:tcPr>
            <w:tcW w:w="1643" w:type="dxa"/>
            <w:noWrap w:val="0"/>
            <w:vAlign w:val="center"/>
          </w:tcPr>
          <w:p w14:paraId="5E776CD2">
            <w:pPr>
              <w:spacing w:line="460" w:lineRule="exact"/>
              <w:ind w:firstLine="330" w:firstLineChars="150"/>
              <w:jc w:val="center"/>
              <w:rPr>
                <w:rFonts w:hint="eastAsia" w:ascii="仿宋" w:hAnsi="仿宋" w:eastAsia="仿宋" w:cs="仿宋"/>
                <w:color w:val="auto"/>
                <w:sz w:val="22"/>
                <w:szCs w:val="22"/>
                <w:highlight w:val="none"/>
              </w:rPr>
            </w:pPr>
          </w:p>
        </w:tc>
      </w:tr>
      <w:tr w14:paraId="390B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16CDD2F3">
            <w:pPr>
              <w:spacing w:line="460" w:lineRule="exact"/>
              <w:ind w:firstLine="330" w:firstLineChars="150"/>
              <w:rPr>
                <w:rFonts w:hint="eastAsia" w:ascii="仿宋" w:hAnsi="仿宋" w:eastAsia="仿宋" w:cs="仿宋"/>
                <w:color w:val="auto"/>
                <w:sz w:val="22"/>
                <w:szCs w:val="22"/>
                <w:highlight w:val="none"/>
              </w:rPr>
            </w:pPr>
          </w:p>
        </w:tc>
        <w:tc>
          <w:tcPr>
            <w:tcW w:w="2977" w:type="dxa"/>
            <w:noWrap w:val="0"/>
            <w:vAlign w:val="top"/>
          </w:tcPr>
          <w:p w14:paraId="10E7DC00">
            <w:pPr>
              <w:spacing w:line="460" w:lineRule="exact"/>
              <w:ind w:firstLine="330" w:firstLineChars="150"/>
              <w:rPr>
                <w:rFonts w:hint="eastAsia" w:ascii="仿宋" w:hAnsi="仿宋" w:eastAsia="仿宋" w:cs="仿宋"/>
                <w:color w:val="auto"/>
                <w:sz w:val="22"/>
                <w:szCs w:val="22"/>
                <w:highlight w:val="none"/>
              </w:rPr>
            </w:pPr>
          </w:p>
        </w:tc>
        <w:tc>
          <w:tcPr>
            <w:tcW w:w="1984" w:type="dxa"/>
            <w:noWrap w:val="0"/>
            <w:vAlign w:val="top"/>
          </w:tcPr>
          <w:p w14:paraId="2DFE9FE1">
            <w:pPr>
              <w:spacing w:line="460" w:lineRule="exact"/>
              <w:ind w:firstLine="330" w:firstLineChars="150"/>
              <w:rPr>
                <w:rFonts w:hint="eastAsia" w:ascii="仿宋" w:hAnsi="仿宋" w:eastAsia="仿宋" w:cs="仿宋"/>
                <w:color w:val="auto"/>
                <w:sz w:val="22"/>
                <w:szCs w:val="22"/>
                <w:highlight w:val="none"/>
              </w:rPr>
            </w:pPr>
          </w:p>
        </w:tc>
        <w:tc>
          <w:tcPr>
            <w:tcW w:w="1866" w:type="dxa"/>
            <w:noWrap w:val="0"/>
            <w:vAlign w:val="top"/>
          </w:tcPr>
          <w:p w14:paraId="2031423D">
            <w:pPr>
              <w:spacing w:line="460" w:lineRule="exact"/>
              <w:ind w:firstLine="330" w:firstLineChars="150"/>
              <w:rPr>
                <w:rFonts w:hint="eastAsia" w:ascii="仿宋" w:hAnsi="仿宋" w:eastAsia="仿宋" w:cs="仿宋"/>
                <w:color w:val="auto"/>
                <w:sz w:val="22"/>
                <w:szCs w:val="22"/>
                <w:highlight w:val="none"/>
              </w:rPr>
            </w:pPr>
          </w:p>
        </w:tc>
        <w:tc>
          <w:tcPr>
            <w:tcW w:w="1643" w:type="dxa"/>
            <w:noWrap w:val="0"/>
            <w:vAlign w:val="top"/>
          </w:tcPr>
          <w:p w14:paraId="66B253A9">
            <w:pPr>
              <w:spacing w:line="460" w:lineRule="exact"/>
              <w:ind w:firstLine="330" w:firstLineChars="150"/>
              <w:rPr>
                <w:rFonts w:hint="eastAsia" w:ascii="仿宋" w:hAnsi="仿宋" w:eastAsia="仿宋" w:cs="仿宋"/>
                <w:color w:val="auto"/>
                <w:sz w:val="22"/>
                <w:szCs w:val="22"/>
                <w:highlight w:val="none"/>
              </w:rPr>
            </w:pPr>
          </w:p>
        </w:tc>
      </w:tr>
    </w:tbl>
    <w:p w14:paraId="4B188A8A">
      <w:pPr>
        <w:spacing w:line="44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2</w:t>
      </w:r>
      <w:r>
        <w:rPr>
          <w:rFonts w:hint="eastAsia" w:ascii="仿宋" w:hAnsi="仿宋" w:eastAsia="仿宋" w:cs="仿宋"/>
          <w:b/>
          <w:color w:val="auto"/>
          <w:sz w:val="22"/>
          <w:szCs w:val="22"/>
          <w:highlight w:val="none"/>
        </w:rPr>
        <w:t>.软件清单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1984"/>
        <w:gridCol w:w="1866"/>
        <w:gridCol w:w="1643"/>
      </w:tblGrid>
      <w:tr w14:paraId="7C02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0ECC28C9">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2977" w:type="dxa"/>
            <w:noWrap w:val="0"/>
            <w:vAlign w:val="center"/>
          </w:tcPr>
          <w:p w14:paraId="385355FE">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软件名称</w:t>
            </w:r>
          </w:p>
        </w:tc>
        <w:tc>
          <w:tcPr>
            <w:tcW w:w="1984" w:type="dxa"/>
            <w:noWrap w:val="0"/>
            <w:vAlign w:val="center"/>
          </w:tcPr>
          <w:p w14:paraId="0FE24D93">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版本号</w:t>
            </w:r>
          </w:p>
        </w:tc>
        <w:tc>
          <w:tcPr>
            <w:tcW w:w="1866" w:type="dxa"/>
            <w:noWrap w:val="0"/>
            <w:vAlign w:val="center"/>
          </w:tcPr>
          <w:p w14:paraId="2074A211">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单价</w:t>
            </w:r>
          </w:p>
        </w:tc>
        <w:tc>
          <w:tcPr>
            <w:tcW w:w="1643" w:type="dxa"/>
            <w:noWrap w:val="0"/>
            <w:vAlign w:val="center"/>
          </w:tcPr>
          <w:p w14:paraId="1B0607F5">
            <w:pPr>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42C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noWrap w:val="0"/>
            <w:vAlign w:val="center"/>
          </w:tcPr>
          <w:p w14:paraId="134892F4">
            <w:pPr>
              <w:spacing w:line="460" w:lineRule="exact"/>
              <w:ind w:firstLine="330" w:firstLineChars="150"/>
              <w:jc w:val="center"/>
              <w:rPr>
                <w:rFonts w:hint="eastAsia" w:ascii="仿宋" w:hAnsi="仿宋" w:eastAsia="仿宋" w:cs="仿宋"/>
                <w:color w:val="auto"/>
                <w:sz w:val="22"/>
                <w:szCs w:val="22"/>
                <w:highlight w:val="none"/>
              </w:rPr>
            </w:pPr>
          </w:p>
        </w:tc>
        <w:tc>
          <w:tcPr>
            <w:tcW w:w="2977" w:type="dxa"/>
            <w:noWrap w:val="0"/>
            <w:vAlign w:val="center"/>
          </w:tcPr>
          <w:p w14:paraId="78BEEAEE">
            <w:pPr>
              <w:spacing w:line="460" w:lineRule="exact"/>
              <w:ind w:firstLine="330" w:firstLineChars="150"/>
              <w:jc w:val="center"/>
              <w:rPr>
                <w:rFonts w:hint="eastAsia" w:ascii="仿宋" w:hAnsi="仿宋" w:eastAsia="仿宋" w:cs="仿宋"/>
                <w:color w:val="auto"/>
                <w:sz w:val="22"/>
                <w:szCs w:val="22"/>
                <w:highlight w:val="none"/>
              </w:rPr>
            </w:pPr>
          </w:p>
        </w:tc>
        <w:tc>
          <w:tcPr>
            <w:tcW w:w="1984" w:type="dxa"/>
            <w:noWrap w:val="0"/>
            <w:vAlign w:val="center"/>
          </w:tcPr>
          <w:p w14:paraId="73FD281D">
            <w:pPr>
              <w:spacing w:line="460" w:lineRule="exact"/>
              <w:ind w:firstLine="330" w:firstLineChars="150"/>
              <w:jc w:val="center"/>
              <w:rPr>
                <w:rFonts w:hint="eastAsia" w:ascii="仿宋" w:hAnsi="仿宋" w:eastAsia="仿宋" w:cs="仿宋"/>
                <w:color w:val="auto"/>
                <w:sz w:val="22"/>
                <w:szCs w:val="22"/>
                <w:highlight w:val="none"/>
              </w:rPr>
            </w:pPr>
          </w:p>
        </w:tc>
        <w:tc>
          <w:tcPr>
            <w:tcW w:w="1866" w:type="dxa"/>
            <w:noWrap w:val="0"/>
            <w:vAlign w:val="center"/>
          </w:tcPr>
          <w:p w14:paraId="3201FC86">
            <w:pPr>
              <w:spacing w:line="460" w:lineRule="exact"/>
              <w:ind w:firstLine="330" w:firstLineChars="150"/>
              <w:jc w:val="center"/>
              <w:rPr>
                <w:rFonts w:hint="eastAsia" w:ascii="仿宋" w:hAnsi="仿宋" w:eastAsia="仿宋" w:cs="仿宋"/>
                <w:color w:val="auto"/>
                <w:sz w:val="22"/>
                <w:szCs w:val="22"/>
                <w:highlight w:val="none"/>
              </w:rPr>
            </w:pPr>
          </w:p>
        </w:tc>
        <w:tc>
          <w:tcPr>
            <w:tcW w:w="1643" w:type="dxa"/>
            <w:noWrap w:val="0"/>
            <w:vAlign w:val="center"/>
          </w:tcPr>
          <w:p w14:paraId="0C10C7AC">
            <w:pPr>
              <w:spacing w:line="460" w:lineRule="exact"/>
              <w:ind w:firstLine="330" w:firstLineChars="150"/>
              <w:jc w:val="center"/>
              <w:rPr>
                <w:rFonts w:hint="eastAsia" w:ascii="仿宋" w:hAnsi="仿宋" w:eastAsia="仿宋" w:cs="仿宋"/>
                <w:color w:val="auto"/>
                <w:sz w:val="22"/>
                <w:szCs w:val="22"/>
                <w:highlight w:val="none"/>
              </w:rPr>
            </w:pPr>
          </w:p>
        </w:tc>
      </w:tr>
      <w:tr w14:paraId="4581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2222CD7D">
            <w:pPr>
              <w:spacing w:line="460" w:lineRule="exact"/>
              <w:ind w:firstLine="330" w:firstLineChars="150"/>
              <w:rPr>
                <w:rFonts w:hint="eastAsia" w:ascii="仿宋" w:hAnsi="仿宋" w:eastAsia="仿宋" w:cs="仿宋"/>
                <w:color w:val="auto"/>
                <w:sz w:val="22"/>
                <w:szCs w:val="22"/>
                <w:highlight w:val="none"/>
              </w:rPr>
            </w:pPr>
          </w:p>
        </w:tc>
        <w:tc>
          <w:tcPr>
            <w:tcW w:w="2977" w:type="dxa"/>
            <w:noWrap w:val="0"/>
            <w:vAlign w:val="top"/>
          </w:tcPr>
          <w:p w14:paraId="23D1FE6F">
            <w:pPr>
              <w:spacing w:line="460" w:lineRule="exact"/>
              <w:ind w:firstLine="330" w:firstLineChars="150"/>
              <w:rPr>
                <w:rFonts w:hint="eastAsia" w:ascii="仿宋" w:hAnsi="仿宋" w:eastAsia="仿宋" w:cs="仿宋"/>
                <w:color w:val="auto"/>
                <w:sz w:val="22"/>
                <w:szCs w:val="22"/>
                <w:highlight w:val="none"/>
              </w:rPr>
            </w:pPr>
          </w:p>
        </w:tc>
        <w:tc>
          <w:tcPr>
            <w:tcW w:w="1984" w:type="dxa"/>
            <w:noWrap w:val="0"/>
            <w:vAlign w:val="top"/>
          </w:tcPr>
          <w:p w14:paraId="53260614">
            <w:pPr>
              <w:spacing w:line="460" w:lineRule="exact"/>
              <w:ind w:firstLine="330" w:firstLineChars="150"/>
              <w:rPr>
                <w:rFonts w:hint="eastAsia" w:ascii="仿宋" w:hAnsi="仿宋" w:eastAsia="仿宋" w:cs="仿宋"/>
                <w:color w:val="auto"/>
                <w:sz w:val="22"/>
                <w:szCs w:val="22"/>
                <w:highlight w:val="none"/>
              </w:rPr>
            </w:pPr>
          </w:p>
        </w:tc>
        <w:tc>
          <w:tcPr>
            <w:tcW w:w="1866" w:type="dxa"/>
            <w:noWrap w:val="0"/>
            <w:vAlign w:val="top"/>
          </w:tcPr>
          <w:p w14:paraId="557986F0">
            <w:pPr>
              <w:spacing w:line="460" w:lineRule="exact"/>
              <w:ind w:firstLine="330" w:firstLineChars="150"/>
              <w:rPr>
                <w:rFonts w:hint="eastAsia" w:ascii="仿宋" w:hAnsi="仿宋" w:eastAsia="仿宋" w:cs="仿宋"/>
                <w:color w:val="auto"/>
                <w:sz w:val="22"/>
                <w:szCs w:val="22"/>
                <w:highlight w:val="none"/>
              </w:rPr>
            </w:pPr>
          </w:p>
        </w:tc>
        <w:tc>
          <w:tcPr>
            <w:tcW w:w="1643" w:type="dxa"/>
            <w:noWrap w:val="0"/>
            <w:vAlign w:val="top"/>
          </w:tcPr>
          <w:p w14:paraId="68026F92">
            <w:pPr>
              <w:spacing w:line="460" w:lineRule="exact"/>
              <w:ind w:firstLine="330" w:firstLineChars="150"/>
              <w:rPr>
                <w:rFonts w:hint="eastAsia" w:ascii="仿宋" w:hAnsi="仿宋" w:eastAsia="仿宋" w:cs="仿宋"/>
                <w:color w:val="auto"/>
                <w:sz w:val="22"/>
                <w:szCs w:val="22"/>
                <w:highlight w:val="none"/>
              </w:rPr>
            </w:pPr>
          </w:p>
        </w:tc>
      </w:tr>
    </w:tbl>
    <w:p w14:paraId="07D7C5B0">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七、履约保证金及付款方式</w:t>
      </w:r>
    </w:p>
    <w:p w14:paraId="6B368E85">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履约保证：合同签订后，乙方5个工作日内支付合同金额的1%作为履约保证金（提交方式：转账、支票、汇票、本票或者金融机构、担保机构出具的保函等形式），合同期满后甲方按程序在7个工作日内无息退还（保函有效期不少于合同期）。</w:t>
      </w:r>
    </w:p>
    <w:p w14:paraId="0DE32C06">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付款方式：甲方在收到乙方履约保证金且收到乙方出具的有效税务发票后，在财政资金到账情况下，7个工作日内向乙方支付合同总额的50%作为预付款；待项目终验通过且收到乙方出具的有效税务发票后，在财政资金到账情况下，甲方在7个工作日内向乙方支付合同剩余款。</w:t>
      </w:r>
    </w:p>
    <w:p w14:paraId="5D42A386">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八、相关服务</w:t>
      </w:r>
    </w:p>
    <w:p w14:paraId="14D385F5">
      <w:pPr>
        <w:spacing w:line="440" w:lineRule="exact"/>
        <w:ind w:left="750" w:leftChars="200" w:hanging="330" w:hanging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乙方为甲方提供如下免费服务：</w:t>
      </w:r>
    </w:p>
    <w:p w14:paraId="090E3FDE">
      <w:pPr>
        <w:widowControl/>
        <w:spacing w:line="360" w:lineRule="auto"/>
        <w:ind w:firstLine="420"/>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r>
        <w:rPr>
          <w:rFonts w:hint="eastAsia" w:ascii="仿宋" w:hAnsi="仿宋" w:eastAsia="仿宋" w:cs="仿宋"/>
          <w:b/>
          <w:color w:val="auto"/>
          <w:sz w:val="22"/>
          <w:highlight w:val="none"/>
          <w:u w:val="single"/>
        </w:rPr>
        <w:t>与其他相关系统平台对接事宜须乙方自行解决，若因数据对接、系统对接产生费用，须</w:t>
      </w:r>
      <w:r>
        <w:rPr>
          <w:rFonts w:hint="eastAsia" w:ascii="仿宋" w:hAnsi="仿宋" w:eastAsia="仿宋" w:cs="仿宋"/>
          <w:b/>
          <w:color w:val="auto"/>
          <w:sz w:val="22"/>
          <w:highlight w:val="none"/>
          <w:u w:val="single"/>
        </w:rPr>
        <w:t>由乙方自行承担。</w:t>
      </w:r>
    </w:p>
    <w:p w14:paraId="016D02F6">
      <w:pPr>
        <w:widowControl/>
        <w:spacing w:line="360" w:lineRule="auto"/>
        <w:ind w:firstLine="420"/>
        <w:jc w:val="left"/>
        <w:rPr>
          <w:rFonts w:hint="eastAsia" w:ascii="仿宋" w:hAnsi="仿宋" w:eastAsia="仿宋" w:cs="仿宋"/>
          <w:b/>
          <w:color w:val="auto"/>
          <w:sz w:val="22"/>
          <w:highlight w:val="none"/>
          <w:u w:val="single"/>
        </w:rPr>
      </w:pPr>
      <w:r>
        <w:rPr>
          <w:rFonts w:hint="eastAsia" w:ascii="仿宋" w:hAnsi="仿宋" w:eastAsia="仿宋" w:cs="仿宋"/>
          <w:color w:val="auto"/>
          <w:sz w:val="22"/>
          <w:highlight w:val="none"/>
        </w:rPr>
        <w:t>（2）</w:t>
      </w:r>
      <w:r>
        <w:rPr>
          <w:rFonts w:hint="eastAsia" w:ascii="仿宋" w:hAnsi="仿宋" w:eastAsia="仿宋" w:cs="仿宋"/>
          <w:b/>
          <w:color w:val="auto"/>
          <w:sz w:val="22"/>
          <w:highlight w:val="none"/>
          <w:u w:val="single"/>
        </w:rPr>
        <w:t>质保期及维护：本次项目涉及的硬件部分免费质保期为5年，算法及软件部分免费质保期为3年，前端点位及风光互补系统等巡检维护服务期为1年，电费为验收之日起</w:t>
      </w:r>
      <w:r>
        <w:rPr>
          <w:rFonts w:hint="eastAsia" w:ascii="仿宋" w:hAnsi="仿宋" w:eastAsia="仿宋" w:cs="仿宋"/>
          <w:b/>
          <w:color w:val="auto"/>
          <w:sz w:val="22"/>
          <w:highlight w:val="none"/>
          <w:u w:val="single"/>
          <w:lang w:val="en-US" w:eastAsia="zh-CN"/>
        </w:rPr>
        <w:t xml:space="preserve">  </w:t>
      </w:r>
      <w:r>
        <w:rPr>
          <w:rFonts w:hint="eastAsia" w:ascii="仿宋" w:hAnsi="仿宋" w:eastAsia="仿宋" w:cs="仿宋"/>
          <w:b/>
          <w:color w:val="auto"/>
          <w:sz w:val="22"/>
          <w:highlight w:val="none"/>
          <w:u w:val="single"/>
        </w:rPr>
        <w:t>年，链路为验收之日起</w:t>
      </w:r>
      <w:r>
        <w:rPr>
          <w:rFonts w:hint="eastAsia" w:ascii="仿宋" w:hAnsi="仿宋" w:eastAsia="仿宋" w:cs="仿宋"/>
          <w:b/>
          <w:color w:val="auto"/>
          <w:sz w:val="22"/>
          <w:highlight w:val="none"/>
          <w:u w:val="single"/>
          <w:lang w:val="en-US" w:eastAsia="zh-CN"/>
        </w:rPr>
        <w:t xml:space="preserve">  </w:t>
      </w:r>
      <w:r>
        <w:rPr>
          <w:rFonts w:hint="eastAsia" w:ascii="仿宋" w:hAnsi="仿宋" w:eastAsia="仿宋" w:cs="仿宋"/>
          <w:b/>
          <w:color w:val="auto"/>
          <w:sz w:val="22"/>
          <w:highlight w:val="none"/>
          <w:u w:val="single"/>
        </w:rPr>
        <w:t>年。</w:t>
      </w:r>
    </w:p>
    <w:p w14:paraId="47D3EE9B">
      <w:pPr>
        <w:widowControl/>
        <w:spacing w:line="360" w:lineRule="auto"/>
        <w:ind w:firstLine="420"/>
        <w:jc w:val="left"/>
        <w:rPr>
          <w:rFonts w:hint="eastAsia" w:ascii="仿宋" w:hAnsi="仿宋" w:eastAsia="仿宋" w:cs="仿宋"/>
          <w:b/>
          <w:color w:val="auto"/>
          <w:sz w:val="22"/>
          <w:highlight w:val="none"/>
          <w:u w:val="single"/>
        </w:rPr>
      </w:pPr>
      <w:r>
        <w:rPr>
          <w:rFonts w:hint="eastAsia" w:ascii="仿宋" w:hAnsi="仿宋" w:eastAsia="仿宋" w:cs="仿宋"/>
          <w:b/>
          <w:color w:val="auto"/>
          <w:sz w:val="22"/>
          <w:highlight w:val="none"/>
          <w:u w:val="single"/>
        </w:rPr>
        <w:t>在服务期内，设备的使用权归</w:t>
      </w:r>
      <w:r>
        <w:rPr>
          <w:rFonts w:hint="eastAsia" w:ascii="仿宋" w:hAnsi="仿宋" w:eastAsia="仿宋" w:cs="仿宋"/>
          <w:b/>
          <w:color w:val="auto"/>
          <w:sz w:val="22"/>
          <w:highlight w:val="none"/>
          <w:u w:val="single"/>
          <w:lang w:val="en-US" w:eastAsia="zh-CN"/>
        </w:rPr>
        <w:t>甲方</w:t>
      </w:r>
      <w:r>
        <w:rPr>
          <w:rFonts w:hint="eastAsia" w:ascii="仿宋" w:hAnsi="仿宋" w:eastAsia="仿宋" w:cs="仿宋"/>
          <w:b/>
          <w:color w:val="auto"/>
          <w:sz w:val="22"/>
          <w:highlight w:val="none"/>
          <w:u w:val="single"/>
        </w:rPr>
        <w:t>所有，</w:t>
      </w:r>
      <w:r>
        <w:rPr>
          <w:rFonts w:hint="eastAsia" w:ascii="仿宋" w:hAnsi="仿宋" w:eastAsia="仿宋" w:cs="仿宋"/>
          <w:b/>
          <w:color w:val="auto"/>
          <w:sz w:val="22"/>
          <w:highlight w:val="none"/>
          <w:u w:val="single"/>
          <w:lang w:val="en-US" w:eastAsia="zh-CN"/>
        </w:rPr>
        <w:t>乙方</w:t>
      </w:r>
      <w:r>
        <w:rPr>
          <w:rFonts w:hint="eastAsia" w:ascii="仿宋" w:hAnsi="仿宋" w:eastAsia="仿宋" w:cs="仿宋"/>
          <w:b/>
          <w:color w:val="auto"/>
          <w:sz w:val="22"/>
          <w:highlight w:val="none"/>
          <w:u w:val="single"/>
        </w:rPr>
        <w:t>若因各方面原因中途无法继续提供服务的，或服务期结束后</w:t>
      </w:r>
      <w:r>
        <w:rPr>
          <w:rFonts w:hint="eastAsia" w:ascii="仿宋" w:hAnsi="仿宋" w:eastAsia="仿宋" w:cs="仿宋"/>
          <w:b/>
          <w:color w:val="auto"/>
          <w:sz w:val="22"/>
          <w:highlight w:val="none"/>
          <w:u w:val="single"/>
          <w:lang w:val="en-US" w:eastAsia="zh-CN"/>
        </w:rPr>
        <w:t>乙方</w:t>
      </w:r>
      <w:r>
        <w:rPr>
          <w:rFonts w:hint="eastAsia" w:ascii="仿宋" w:hAnsi="仿宋" w:eastAsia="仿宋" w:cs="仿宋"/>
          <w:b/>
          <w:color w:val="auto"/>
          <w:sz w:val="22"/>
          <w:highlight w:val="none"/>
          <w:u w:val="single"/>
        </w:rPr>
        <w:t>无法继续提供服务的（包括</w:t>
      </w:r>
      <w:r>
        <w:rPr>
          <w:rFonts w:hint="eastAsia" w:ascii="仿宋" w:hAnsi="仿宋" w:eastAsia="仿宋" w:cs="仿宋"/>
          <w:b/>
          <w:color w:val="auto"/>
          <w:sz w:val="22"/>
          <w:highlight w:val="none"/>
          <w:u w:val="single"/>
          <w:lang w:val="en-US" w:eastAsia="zh-CN"/>
        </w:rPr>
        <w:t>乙方</w:t>
      </w:r>
      <w:r>
        <w:rPr>
          <w:rFonts w:hint="eastAsia" w:ascii="仿宋" w:hAnsi="仿宋" w:eastAsia="仿宋" w:cs="仿宋"/>
          <w:b/>
          <w:color w:val="auto"/>
          <w:sz w:val="22"/>
          <w:highlight w:val="none"/>
          <w:u w:val="single"/>
        </w:rPr>
        <w:t>和</w:t>
      </w:r>
      <w:r>
        <w:rPr>
          <w:rFonts w:hint="eastAsia" w:ascii="仿宋" w:hAnsi="仿宋" w:eastAsia="仿宋" w:cs="仿宋"/>
          <w:b/>
          <w:color w:val="auto"/>
          <w:sz w:val="22"/>
          <w:highlight w:val="none"/>
          <w:u w:val="single"/>
          <w:lang w:val="en-US" w:eastAsia="zh-CN"/>
        </w:rPr>
        <w:t>甲方</w:t>
      </w:r>
      <w:r>
        <w:rPr>
          <w:rFonts w:hint="eastAsia" w:ascii="仿宋" w:hAnsi="仿宋" w:eastAsia="仿宋" w:cs="仿宋"/>
          <w:b/>
          <w:color w:val="auto"/>
          <w:sz w:val="22"/>
          <w:highlight w:val="none"/>
          <w:u w:val="single"/>
        </w:rPr>
        <w:t>无法就续费协议达成一致意见），本项目范围内包含的视频监控系统一切软硬件设备的资产使用权和处置权归</w:t>
      </w:r>
      <w:r>
        <w:rPr>
          <w:rFonts w:hint="eastAsia" w:ascii="仿宋" w:hAnsi="仿宋" w:eastAsia="仿宋" w:cs="仿宋"/>
          <w:b/>
          <w:color w:val="auto"/>
          <w:sz w:val="22"/>
          <w:highlight w:val="none"/>
          <w:u w:val="single"/>
          <w:lang w:val="en-US" w:eastAsia="zh-CN"/>
        </w:rPr>
        <w:t>甲方</w:t>
      </w:r>
      <w:r>
        <w:rPr>
          <w:rFonts w:hint="eastAsia" w:ascii="仿宋" w:hAnsi="仿宋" w:eastAsia="仿宋" w:cs="仿宋"/>
          <w:b/>
          <w:color w:val="auto"/>
          <w:sz w:val="22"/>
          <w:highlight w:val="none"/>
          <w:u w:val="single"/>
        </w:rPr>
        <w:t>所有。</w:t>
      </w:r>
    </w:p>
    <w:p w14:paraId="4F559A4C">
      <w:pPr>
        <w:widowControl/>
        <w:spacing w:line="360" w:lineRule="auto"/>
        <w:ind w:firstLine="420"/>
        <w:jc w:val="left"/>
        <w:rPr>
          <w:rFonts w:hint="eastAsia" w:ascii="仿宋" w:hAnsi="仿宋" w:eastAsia="仿宋" w:cs="仿宋"/>
          <w:color w:val="auto"/>
          <w:sz w:val="22"/>
          <w:highlight w:val="none"/>
        </w:rPr>
      </w:pPr>
      <w:r>
        <w:rPr>
          <w:rFonts w:hint="eastAsia" w:ascii="仿宋" w:hAnsi="仿宋" w:eastAsia="仿宋" w:cs="仿宋"/>
          <w:b/>
          <w:bCs/>
          <w:color w:val="auto"/>
          <w:sz w:val="22"/>
          <w:highlight w:val="none"/>
          <w:u w:val="single"/>
        </w:rPr>
        <w:t>（3）</w:t>
      </w:r>
      <w:r>
        <w:rPr>
          <w:rFonts w:hint="eastAsia" w:ascii="仿宋" w:hAnsi="仿宋" w:eastAsia="仿宋" w:cs="仿宋"/>
          <w:b/>
          <w:bCs/>
          <w:color w:val="auto"/>
          <w:sz w:val="22"/>
          <w:highlight w:val="none"/>
          <w:u w:val="single"/>
          <w:lang w:val="en-US" w:eastAsia="zh-CN"/>
        </w:rPr>
        <w:t>项目</w:t>
      </w:r>
      <w:r>
        <w:rPr>
          <w:rFonts w:hint="eastAsia" w:ascii="仿宋" w:hAnsi="仿宋" w:eastAsia="仿宋" w:cs="仿宋"/>
          <w:b/>
          <w:bCs/>
          <w:color w:val="auto"/>
          <w:sz w:val="22"/>
          <w:highlight w:val="none"/>
          <w:u w:val="single"/>
        </w:rPr>
        <w:t>通过验收</w:t>
      </w:r>
      <w:r>
        <w:rPr>
          <w:rFonts w:hint="eastAsia" w:ascii="仿宋" w:hAnsi="仿宋" w:eastAsia="仿宋" w:cs="仿宋"/>
          <w:b/>
          <w:bCs/>
          <w:color w:val="auto"/>
          <w:sz w:val="22"/>
          <w:highlight w:val="none"/>
          <w:u w:val="single"/>
          <w:lang w:val="en-US" w:eastAsia="zh-CN"/>
        </w:rPr>
        <w:t>前</w:t>
      </w:r>
      <w:r>
        <w:rPr>
          <w:rFonts w:hint="eastAsia" w:ascii="仿宋" w:hAnsi="仿宋" w:eastAsia="仿宋" w:cs="仿宋"/>
          <w:b/>
          <w:bCs/>
          <w:color w:val="auto"/>
          <w:sz w:val="22"/>
          <w:highlight w:val="none"/>
          <w:u w:val="single"/>
        </w:rPr>
        <w:t>，乙方必须对甲方提供系统性的安装、使用、配置管理等培训，培训人数不低于200人次。</w:t>
      </w:r>
    </w:p>
    <w:p w14:paraId="1F597892">
      <w:pPr>
        <w:widowControl/>
        <w:spacing w:line="360" w:lineRule="auto"/>
        <w:ind w:firstLine="420"/>
        <w:jc w:val="left"/>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rPr>
        <w:t>（4）</w:t>
      </w:r>
      <w:r>
        <w:rPr>
          <w:rFonts w:hint="eastAsia" w:ascii="仿宋" w:hAnsi="仿宋" w:eastAsia="仿宋" w:cs="仿宋"/>
          <w:b/>
          <w:color w:val="auto"/>
          <w:sz w:val="22"/>
          <w:highlight w:val="none"/>
          <w:u w:val="single"/>
        </w:rPr>
        <w:t>乙方须提供电话热线7×24小时的技术咨询与服务，接到甲方维护电话后即时做出响应，维护服务人员应至少在1小时内到达甲方现场</w:t>
      </w:r>
      <w:r>
        <w:rPr>
          <w:rFonts w:hint="eastAsia" w:ascii="仿宋" w:hAnsi="仿宋" w:eastAsia="仿宋" w:cs="仿宋"/>
          <w:color w:val="auto"/>
          <w:sz w:val="22"/>
          <w:highlight w:val="none"/>
        </w:rPr>
        <w:t>。</w:t>
      </w:r>
      <w:r>
        <w:rPr>
          <w:rFonts w:hint="eastAsia" w:ascii="仿宋" w:hAnsi="仿宋" w:eastAsia="仿宋" w:cs="仿宋"/>
          <w:b/>
          <w:color w:val="auto"/>
          <w:sz w:val="22"/>
          <w:highlight w:val="none"/>
          <w:u w:val="single"/>
        </w:rPr>
        <w:t>如果乙方在接到通知后的2个小时内未到达甲方现场，则由于故障所造成的全部损失由乙方承担</w:t>
      </w:r>
      <w:r>
        <w:rPr>
          <w:rFonts w:hint="eastAsia" w:ascii="仿宋" w:hAnsi="仿宋" w:eastAsia="仿宋" w:cs="仿宋"/>
          <w:b/>
          <w:color w:val="auto"/>
          <w:sz w:val="22"/>
          <w:highlight w:val="none"/>
          <w:u w:val="single"/>
          <w:lang w:eastAsia="zh-CN"/>
        </w:rPr>
        <w:t>（</w:t>
      </w:r>
      <w:r>
        <w:rPr>
          <w:rFonts w:hint="eastAsia" w:ascii="仿宋" w:hAnsi="仿宋" w:eastAsia="仿宋" w:cs="仿宋"/>
          <w:b/>
          <w:color w:val="auto"/>
          <w:sz w:val="22"/>
          <w:highlight w:val="none"/>
          <w:u w:val="single"/>
        </w:rPr>
        <w:t>岛屿点位要除外</w:t>
      </w:r>
      <w:r>
        <w:rPr>
          <w:rFonts w:hint="eastAsia" w:ascii="仿宋" w:hAnsi="仿宋" w:eastAsia="仿宋" w:cs="仿宋"/>
          <w:b/>
          <w:color w:val="auto"/>
          <w:sz w:val="22"/>
          <w:highlight w:val="none"/>
          <w:u w:val="single"/>
          <w:lang w:eastAsia="zh-CN"/>
        </w:rPr>
        <w:t>）。</w:t>
      </w:r>
    </w:p>
    <w:p w14:paraId="5F244E0F">
      <w:pPr>
        <w:spacing w:line="460" w:lineRule="exact"/>
        <w:ind w:firstLine="541" w:firstLineChars="245"/>
        <w:rPr>
          <w:rFonts w:hint="eastAsia" w:ascii="仿宋" w:hAnsi="仿宋" w:eastAsia="仿宋" w:cs="仿宋"/>
          <w:b/>
          <w:bCs/>
          <w:color w:val="auto"/>
          <w:sz w:val="22"/>
          <w:szCs w:val="22"/>
          <w:highlight w:val="none"/>
          <w:u w:val="single"/>
          <w:lang w:val="en-US" w:eastAsia="zh-CN"/>
        </w:rPr>
      </w:pPr>
      <w:r>
        <w:rPr>
          <w:rFonts w:hint="eastAsia" w:ascii="仿宋" w:hAnsi="仿宋" w:eastAsia="仿宋" w:cs="仿宋"/>
          <w:b/>
          <w:bCs/>
          <w:color w:val="auto"/>
          <w:sz w:val="22"/>
          <w:szCs w:val="22"/>
          <w:highlight w:val="none"/>
          <w:u w:val="single"/>
        </w:rPr>
        <w:t>（5）为保障项目顺利实施和系统7*24不间断稳定运行，乙方须在项目开工15天</w:t>
      </w:r>
      <w:r>
        <w:rPr>
          <w:rFonts w:hint="eastAsia" w:ascii="仿宋" w:hAnsi="仿宋" w:eastAsia="仿宋" w:cs="仿宋"/>
          <w:b/>
          <w:bCs/>
          <w:color w:val="auto"/>
          <w:sz w:val="22"/>
          <w:szCs w:val="22"/>
          <w:highlight w:val="none"/>
          <w:u w:val="single"/>
          <w:lang w:val="en-US" w:eastAsia="zh-CN"/>
        </w:rPr>
        <w:t>内</w:t>
      </w:r>
      <w:r>
        <w:rPr>
          <w:rFonts w:hint="eastAsia" w:ascii="仿宋" w:hAnsi="仿宋" w:eastAsia="仿宋" w:cs="仿宋"/>
          <w:b/>
          <w:bCs/>
          <w:color w:val="auto"/>
          <w:sz w:val="22"/>
          <w:szCs w:val="22"/>
          <w:highlight w:val="none"/>
          <w:u w:val="single"/>
        </w:rPr>
        <w:t>至通过验收</w:t>
      </w:r>
      <w:r>
        <w:rPr>
          <w:rFonts w:hint="eastAsia" w:ascii="仿宋" w:hAnsi="仿宋" w:eastAsia="仿宋" w:cs="仿宋"/>
          <w:b/>
          <w:bCs/>
          <w:color w:val="auto"/>
          <w:sz w:val="22"/>
          <w:szCs w:val="22"/>
          <w:highlight w:val="none"/>
          <w:u w:val="single"/>
          <w:lang w:val="en-US" w:eastAsia="zh-CN"/>
        </w:rPr>
        <w:t>时</w:t>
      </w:r>
      <w:r>
        <w:rPr>
          <w:rFonts w:hint="eastAsia" w:ascii="仿宋" w:hAnsi="仿宋" w:eastAsia="仿宋" w:cs="仿宋"/>
          <w:b/>
          <w:bCs/>
          <w:color w:val="auto"/>
          <w:sz w:val="22"/>
          <w:szCs w:val="22"/>
          <w:highlight w:val="none"/>
          <w:u w:val="single"/>
          <w:lang w:eastAsia="zh-CN"/>
        </w:rPr>
        <w:t>，</w:t>
      </w:r>
      <w:r>
        <w:rPr>
          <w:rFonts w:hint="eastAsia" w:ascii="仿宋" w:hAnsi="仿宋" w:eastAsia="仿宋" w:cs="仿宋"/>
          <w:b/>
          <w:bCs/>
          <w:color w:val="auto"/>
          <w:sz w:val="22"/>
          <w:szCs w:val="22"/>
          <w:highlight w:val="none"/>
          <w:u w:val="single"/>
          <w:lang w:val="en-US" w:eastAsia="zh-CN"/>
        </w:rPr>
        <w:t>安排人员驻点市本级1人，县级单位各1人</w:t>
      </w:r>
      <w:r>
        <w:rPr>
          <w:rFonts w:hint="eastAsia" w:ascii="仿宋" w:hAnsi="仿宋" w:eastAsia="仿宋" w:cs="仿宋"/>
          <w:b/>
          <w:bCs/>
          <w:color w:val="auto"/>
          <w:sz w:val="22"/>
          <w:szCs w:val="22"/>
          <w:highlight w:val="none"/>
          <w:u w:val="single"/>
        </w:rPr>
        <w:t>，随时响应甲方要求。</w:t>
      </w:r>
      <w:r>
        <w:rPr>
          <w:rFonts w:hint="eastAsia" w:ascii="仿宋" w:hAnsi="仿宋" w:eastAsia="仿宋" w:cs="仿宋"/>
          <w:b/>
          <w:bCs/>
          <w:color w:val="auto"/>
          <w:sz w:val="22"/>
          <w:szCs w:val="22"/>
          <w:highlight w:val="none"/>
          <w:u w:val="single"/>
          <w:lang w:val="en-US" w:eastAsia="zh-CN"/>
        </w:rPr>
        <w:t>验收后，保留市级驻点人员1人至软件运维期结束。</w:t>
      </w:r>
    </w:p>
    <w:p w14:paraId="5C997DAE">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九、产品保证</w:t>
      </w:r>
    </w:p>
    <w:p w14:paraId="79236B83">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1.乙方保证交付的软件均符合说明书或使用手册所述功能，并由软件验收测试的成功完成予以证明。验收测试的成功完成应被视为该软件能达到说明或使用手册所述功能的决定性证据。但本保证不适用于：</w:t>
      </w:r>
    </w:p>
    <w:p w14:paraId="34923CA7">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（1）乙方之外的任何人对该软件作任何方式的修改；</w:t>
      </w:r>
    </w:p>
    <w:p w14:paraId="12A1303C">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（2）甲方未按软件所附说明书或用户手册的规定使用软件；</w:t>
      </w:r>
    </w:p>
    <w:p w14:paraId="0C3641D3">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（3）由于甲方原因或第三方产品的故障、网络故障等使软件无法正常运行。</w:t>
      </w:r>
    </w:p>
    <w:p w14:paraId="1C2008CF">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如果软件未能按照说明书或使用手册的功能运行，乙方应负责对软件进行修正或者在修正不能的情况下，免费为甲方更换符合规定的软件。如果上述二种方法均不可行，甲方有权终止软件不符合规定的部分，并由乙方返还甲方已经支付该部分的费用。</w:t>
      </w:r>
    </w:p>
    <w:p w14:paraId="3F5A53E0">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2.从本项目软件系统终验合格，正式交付使用之</w:t>
      </w:r>
      <w:r>
        <w:rPr>
          <w:rFonts w:hint="eastAsia" w:ascii="仿宋" w:hAnsi="仿宋" w:eastAsia="仿宋" w:cs="仿宋"/>
          <w:color w:val="auto"/>
          <w:sz w:val="22"/>
          <w:szCs w:val="22"/>
          <w:highlight w:val="none"/>
        </w:rPr>
        <w:t>日起</w:t>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年内</w:t>
      </w:r>
      <w:r>
        <w:rPr>
          <w:rFonts w:hint="eastAsia" w:ascii="仿宋" w:hAnsi="仿宋" w:eastAsia="仿宋" w:cs="仿宋"/>
          <w:color w:val="auto"/>
          <w:sz w:val="22"/>
          <w:szCs w:val="22"/>
          <w:highlight w:val="none"/>
        </w:rPr>
        <w:t>，软件的储存载体、加密附件出现非人为的物理损坏、乙方应根据甲方的书面要求给予免费修正更换，对人为损坏或遗失则需适当收费。</w:t>
      </w:r>
    </w:p>
    <w:p w14:paraId="4E169C59">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十、产品验收</w:t>
      </w:r>
    </w:p>
    <w:p w14:paraId="53F0CECE">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1.甲方对产品外部瑕疵的异议，应在收到该产品之日当面提出。</w:t>
      </w:r>
    </w:p>
    <w:p w14:paraId="1DB78150">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乙方在甲方指定场所完成软件产品的安装和调试工作（包括个性化改造及适应性修改部份），并与甲方一起按软件的说明书或使用手册规定的技术指标和参数对该软件进行验收测试，验收测试合格后，甲方和乙方代表共同在验收合格证明书上签字。</w:t>
      </w:r>
    </w:p>
    <w:p w14:paraId="71F8C444">
      <w:pPr>
        <w:spacing w:line="460" w:lineRule="exact"/>
        <w:outlineLvl w:val="2"/>
        <w:rPr>
          <w:rFonts w:hint="eastAsia" w:ascii="仿宋" w:hAnsi="仿宋" w:eastAsia="仿宋" w:cs="仿宋"/>
          <w:b/>
          <w:bCs/>
          <w:color w:val="auto"/>
          <w:sz w:val="22"/>
          <w:szCs w:val="22"/>
          <w:highlight w:val="none"/>
        </w:rPr>
      </w:pPr>
      <w:bookmarkStart w:id="79" w:name="_Toc84779278"/>
      <w:r>
        <w:rPr>
          <w:rFonts w:hint="eastAsia" w:ascii="仿宋" w:hAnsi="仿宋" w:eastAsia="仿宋" w:cs="仿宋"/>
          <w:b/>
          <w:bCs/>
          <w:color w:val="auto"/>
          <w:sz w:val="22"/>
          <w:szCs w:val="22"/>
          <w:highlight w:val="none"/>
        </w:rPr>
        <w:t>十一、</w:t>
      </w:r>
      <w:bookmarkEnd w:id="79"/>
      <w:r>
        <w:rPr>
          <w:rFonts w:hint="eastAsia" w:ascii="仿宋" w:hAnsi="仿宋" w:eastAsia="仿宋" w:cs="仿宋"/>
          <w:b/>
          <w:bCs/>
          <w:color w:val="auto"/>
          <w:sz w:val="22"/>
          <w:szCs w:val="22"/>
          <w:highlight w:val="none"/>
        </w:rPr>
        <w:t>免责条款</w:t>
      </w:r>
    </w:p>
    <w:p w14:paraId="277F3484">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乙方对甲方因软件遗失、被盗、被误用或被擅自修改、计算机设备故障、操作失误等情况造成的损失不负责任。</w:t>
      </w:r>
    </w:p>
    <w:p w14:paraId="44668C7A">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十二、软件著作权</w:t>
      </w:r>
    </w:p>
    <w:p w14:paraId="08608180">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定制开发的</w:t>
      </w:r>
      <w:r>
        <w:rPr>
          <w:rFonts w:hint="eastAsia" w:ascii="仿宋" w:hAnsi="仿宋" w:eastAsia="仿宋" w:cs="仿宋"/>
          <w:color w:val="auto"/>
          <w:sz w:val="22"/>
          <w:szCs w:val="22"/>
          <w:highlight w:val="none"/>
        </w:rPr>
        <w:t>软件著作权归乙方所有，</w:t>
      </w:r>
      <w:r>
        <w:rPr>
          <w:rFonts w:hint="eastAsia" w:ascii="仿宋" w:hAnsi="仿宋" w:eastAsia="仿宋" w:cs="仿宋"/>
          <w:color w:val="auto"/>
          <w:sz w:val="22"/>
          <w:szCs w:val="22"/>
          <w:highlight w:val="none"/>
          <w:lang w:val="en-US" w:eastAsia="zh-CN"/>
        </w:rPr>
        <w:t>定制开发的</w:t>
      </w:r>
      <w:r>
        <w:rPr>
          <w:rFonts w:hint="eastAsia" w:ascii="仿宋" w:hAnsi="仿宋" w:eastAsia="仿宋" w:cs="仿宋"/>
          <w:color w:val="auto"/>
          <w:sz w:val="22"/>
          <w:szCs w:val="22"/>
          <w:highlight w:val="none"/>
        </w:rPr>
        <w:t>软件所有权归甲方所有。</w:t>
      </w:r>
    </w:p>
    <w:p w14:paraId="5CD89D2C">
      <w:pPr>
        <w:spacing w:line="460" w:lineRule="exact"/>
        <w:ind w:firstLine="539" w:firstLineChars="24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乙方承诺：本合同规定的软件系统（包括个性化改造及适应性修改部份）是独立、可稳定运行的系统；本软件如与甲方在用其它第三方软件冲突，由乙方负责解决；乙方已依法进行了计算机软件著作权登记，或已经通过由有关部门组织的验收，准予在甲方所处行业或</w:t>
      </w:r>
      <w:r>
        <w:rPr>
          <w:rFonts w:hint="eastAsia" w:ascii="仿宋" w:hAnsi="仿宋" w:eastAsia="仿宋" w:cs="仿宋"/>
          <w:color w:val="auto"/>
          <w:sz w:val="22"/>
          <w:szCs w:val="22"/>
          <w:highlight w:val="none"/>
          <w:lang w:val="en-US" w:eastAsia="zh-CN"/>
        </w:rPr>
        <w:t>甲方下属</w:t>
      </w:r>
      <w:r>
        <w:rPr>
          <w:rFonts w:hint="eastAsia" w:ascii="仿宋" w:hAnsi="仿宋" w:eastAsia="仿宋" w:cs="仿宋"/>
          <w:color w:val="auto"/>
          <w:sz w:val="22"/>
          <w:szCs w:val="22"/>
          <w:highlight w:val="none"/>
        </w:rPr>
        <w:t>部门推广应用；甲方在使用过程中，不会遭遇知识产权方面的阻碍。</w:t>
      </w:r>
      <w:r>
        <w:rPr>
          <w:rFonts w:hint="eastAsia" w:ascii="仿宋" w:hAnsi="仿宋" w:eastAsia="仿宋" w:cs="仿宋"/>
          <w:color w:val="auto"/>
          <w:sz w:val="24"/>
          <w:highlight w:val="none"/>
        </w:rPr>
        <w:t>甲方在中华人民共和国使用</w:t>
      </w:r>
      <w:r>
        <w:rPr>
          <w:rFonts w:hint="eastAsia" w:ascii="仿宋" w:hAnsi="仿宋" w:eastAsia="仿宋" w:cs="仿宋"/>
          <w:color w:val="auto"/>
          <w:sz w:val="24"/>
          <w:highlight w:val="none"/>
          <w:lang w:val="en-US" w:eastAsia="zh-CN"/>
        </w:rPr>
        <w:t>本</w:t>
      </w:r>
      <w:r>
        <w:rPr>
          <w:rFonts w:hint="eastAsia" w:ascii="仿宋" w:hAnsi="仿宋" w:eastAsia="仿宋" w:cs="仿宋"/>
          <w:color w:val="auto"/>
          <w:sz w:val="24"/>
          <w:highlight w:val="none"/>
        </w:rPr>
        <w:t>项目研发成果时，免受第三方提出的侵犯其专利权、商标权、著作权或其它知识产权的起诉，如因此发生任何针对甲方的索赔、诉讼等均由乙方负责处理，由此产生的一切法律责任与费用均由乙方自行承担。甲方为本合同中研发完成的项目成果的合法所有者</w:t>
      </w:r>
      <w:r>
        <w:rPr>
          <w:rFonts w:hint="eastAsia" w:ascii="仿宋" w:hAnsi="仿宋" w:eastAsia="仿宋" w:cs="仿宋"/>
          <w:color w:val="auto"/>
          <w:sz w:val="24"/>
          <w:highlight w:val="none"/>
          <w:lang w:eastAsia="zh-CN"/>
        </w:rPr>
        <w:t>。</w:t>
      </w:r>
    </w:p>
    <w:p w14:paraId="65E3DE67">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十三、双方责任</w:t>
      </w:r>
      <w:bookmarkStart w:id="80" w:name="_Toc84779279"/>
    </w:p>
    <w:bookmarkEnd w:id="80"/>
    <w:p w14:paraId="5A21411B">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1.甲方</w:t>
      </w:r>
    </w:p>
    <w:p w14:paraId="27CB62A2">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1）提供相关的协助服务，配合乙方履行好合同义务；</w:t>
      </w:r>
    </w:p>
    <w:p w14:paraId="3573BA8E">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2）审核乙方维护服务的内容，按合同规定向乙方支付维护服务费用；</w:t>
      </w:r>
    </w:p>
    <w:p w14:paraId="0DB5781A">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3）对维护组织、进度、质量、现场管理、服务合同的执行情况进行审核、监督和检查。</w:t>
      </w:r>
    </w:p>
    <w:p w14:paraId="6488B50A">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2.乙方</w:t>
      </w:r>
    </w:p>
    <w:p w14:paraId="410645F9">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1）乙方按合同规定的时间、条件和内容对设备系统进行维护服务。合同签订后，乙方应立即组织人员对标的项目进行一次全面巡检、维护。</w:t>
      </w:r>
    </w:p>
    <w:p w14:paraId="0695490D">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对于项目涉及的图纸、技术资料、信息数据、过程文件、技术成果等，乙方负有技术保密的责任和义务，未经甲方同意不得透露、泄露或转让给第三方，如发生此类问题，甲方有权终止合同，并追究乙方相应的法律责任及经济赔偿责任。</w:t>
      </w:r>
    </w:p>
    <w:p w14:paraId="7162A74B">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2）编制维护方案和参与服务人员的安排。</w:t>
      </w:r>
    </w:p>
    <w:p w14:paraId="785F3B02">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3）严格按照合同规定时间和要求进行优质的维护服务。</w:t>
      </w:r>
    </w:p>
    <w:p w14:paraId="707AE8FD">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4）对设备系统出现的故障，无条件负责处理，直至甲方满意为止。</w:t>
      </w:r>
    </w:p>
    <w:p w14:paraId="518A0F78">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5）合同期满，乙方必须对所有系统和设备进行全面的性能测试，确保系统运行良好，仪器性能稳定。</w:t>
      </w:r>
    </w:p>
    <w:p w14:paraId="3EB9A06E">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6）招标文件中规定的其他责任。</w:t>
      </w:r>
    </w:p>
    <w:p w14:paraId="3E8307D8">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十四、违约责任</w:t>
      </w:r>
    </w:p>
    <w:p w14:paraId="354FC5DE">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1.服务质量责任违约</w:t>
      </w:r>
    </w:p>
    <w:p w14:paraId="68C34324">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（1）在维护服务期间，凡设备系统在运行过程中出现问题，由乙方负责处理，直到设备系统恢复正常运行止。</w:t>
      </w:r>
    </w:p>
    <w:p w14:paraId="47F169ED">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（2）由于乙方维护方法不当造成设备故障或损坏，由乙方负责，并保证及时给予更换或修复。所需的一切费用由乙方承担。</w:t>
      </w:r>
    </w:p>
    <w:p w14:paraId="3119E028">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（3）属于不可抗力的因素造成设备故障或损坏，其费用由双方协商后再定。</w:t>
      </w:r>
    </w:p>
    <w:p w14:paraId="75D1DAD8">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（4）乙方现场技术人员的安全施工作业由乙方全权负责，并应切实做好安全防范工作，避免在巡检工作中出现人身与财产的意外损害。</w:t>
      </w:r>
    </w:p>
    <w:p w14:paraId="0DCB482D">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2.违约赔偿</w:t>
      </w:r>
    </w:p>
    <w:p w14:paraId="2130C27C">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除不可抗力外，如乙方发生不能按时提供服务，甲方发生中途取消服务等情况，应及时以书面形式通知对方。双方应本着友好的态度进行协商，妥善解决。如协商无效，按下列办法处以罚金：</w:t>
      </w:r>
    </w:p>
    <w:p w14:paraId="24D4737C">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（1）乙方逾期提供服务，甲方可从合同价款中按比例扣除服务费。</w:t>
      </w:r>
    </w:p>
    <w:p w14:paraId="458D317C">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（2）逾期服务扣除服务费最高限额为合同价款</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w:t>
      </w:r>
      <w:r>
        <w:rPr>
          <w:rFonts w:hint="eastAsia" w:ascii="仿宋" w:hAnsi="仿宋" w:eastAsia="仿宋" w:cs="仿宋"/>
          <w:color w:val="auto"/>
          <w:sz w:val="22"/>
          <w:szCs w:val="22"/>
          <w:highlight w:val="none"/>
        </w:rPr>
        <w:t>一旦达到扣除服务费的最高限额，甲方有权单方面终止合同。</w:t>
      </w:r>
    </w:p>
    <w:p w14:paraId="139E1873">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 乙方不能继续提供服务或甲方中途取消服务。</w:t>
      </w:r>
    </w:p>
    <w:p w14:paraId="4AF42609">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乙方不能继续提供服务，应向甲方偿付违约金，违约金按合同总价的10－30％计算。甲方中途取消服务，应向乙方偿付违约金，违约金的计算方法与乙方违约相同。</w:t>
      </w:r>
    </w:p>
    <w:p w14:paraId="146CCBE5">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十五、争端的解决</w:t>
      </w:r>
    </w:p>
    <w:p w14:paraId="77DA8D99">
      <w:pPr>
        <w:tabs>
          <w:tab w:val="left" w:pos="360"/>
        </w:tabs>
        <w:spacing w:line="460" w:lineRule="exact"/>
        <w:ind w:firstLine="550" w:firstLineChars="250"/>
        <w:rPr>
          <w:rFonts w:hint="eastAsia" w:ascii="仿宋" w:hAnsi="仿宋" w:eastAsia="仿宋" w:cs="仿宋"/>
          <w:color w:val="auto"/>
          <w:sz w:val="22"/>
          <w:highlight w:val="none"/>
        </w:rPr>
      </w:pPr>
      <w:r>
        <w:rPr>
          <w:rFonts w:hint="eastAsia" w:ascii="仿宋" w:hAnsi="仿宋" w:eastAsia="仿宋" w:cs="仿宋"/>
          <w:color w:val="auto"/>
          <w:sz w:val="22"/>
          <w:highlight w:val="none"/>
        </w:rPr>
        <w:t>双方在执行合同中所发生的一切争议，应通过协商解决。如协商不成，可向甲方所在地法院起诉。</w:t>
      </w:r>
    </w:p>
    <w:p w14:paraId="70D8E2BC">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十六、适用法律</w:t>
      </w:r>
    </w:p>
    <w:p w14:paraId="3BFEC839">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本合同应按照中华人民共和国的法律进行解释。</w:t>
      </w:r>
    </w:p>
    <w:p w14:paraId="475FDD0C">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十七、合同生效及其他</w:t>
      </w:r>
      <w:bookmarkStart w:id="81" w:name="_Toc84779283"/>
    </w:p>
    <w:p w14:paraId="777B6064">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1.合同应在双方签字盖章后开始生效。</w:t>
      </w:r>
      <w:bookmarkEnd w:id="81"/>
    </w:p>
    <w:p w14:paraId="4C21D294">
      <w:pPr>
        <w:spacing w:line="460" w:lineRule="exact"/>
        <w:ind w:firstLine="539" w:firstLineChars="24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 本合同一式伍份，双方各执贰份，同等有效，并报一份招标代理机构备案。</w:t>
      </w:r>
    </w:p>
    <w:p w14:paraId="17551A2C">
      <w:pPr>
        <w:spacing w:line="460" w:lineRule="exact"/>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十八、未尽事宜，双方友好协商。</w:t>
      </w:r>
    </w:p>
    <w:p w14:paraId="29D4B190">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甲方：（印章）                       乙方：（印章）</w:t>
      </w:r>
    </w:p>
    <w:p w14:paraId="30554143">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全权代表:（签字）                    全权代表:（签字）</w:t>
      </w:r>
    </w:p>
    <w:p w14:paraId="7D9B873B">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                               地址：</w:t>
      </w:r>
    </w:p>
    <w:p w14:paraId="351E9C58">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邮政编码：                           邮政编码：</w:t>
      </w:r>
    </w:p>
    <w:p w14:paraId="57A68A32">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电话：                               电话：</w:t>
      </w:r>
    </w:p>
    <w:p w14:paraId="4DFEBCFE">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                               传真：</w:t>
      </w:r>
    </w:p>
    <w:p w14:paraId="5B212F71">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开户银行：                           开户银行：</w:t>
      </w:r>
    </w:p>
    <w:p w14:paraId="57875300">
      <w:pPr>
        <w:tabs>
          <w:tab w:val="left" w:pos="360"/>
        </w:tabs>
        <w:spacing w:line="46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账号：                               账号：</w:t>
      </w:r>
    </w:p>
    <w:p w14:paraId="0547400B">
      <w:pPr>
        <w:spacing w:line="460" w:lineRule="exact"/>
        <w:ind w:firstLine="539" w:firstLineChars="245"/>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时间:                                时间:</w:t>
      </w:r>
    </w:p>
    <w:p w14:paraId="7C135DFF">
      <w:pPr>
        <w:rPr>
          <w:rFonts w:hint="eastAsia" w:ascii="仿宋" w:hAnsi="仿宋" w:eastAsia="仿宋" w:cs="仿宋"/>
          <w:color w:val="auto"/>
          <w:highlight w:val="none"/>
        </w:rPr>
      </w:pPr>
    </w:p>
    <w:p w14:paraId="321505D6">
      <w:pPr>
        <w:rPr>
          <w:rFonts w:hint="eastAsia" w:ascii="仿宋" w:hAnsi="仿宋" w:eastAsia="仿宋" w:cs="仿宋"/>
          <w:color w:val="auto"/>
          <w:szCs w:val="21"/>
          <w:highlight w:val="none"/>
        </w:rPr>
      </w:pPr>
    </w:p>
    <w:p w14:paraId="1EED8400">
      <w:pPr>
        <w:pStyle w:val="6"/>
        <w:tabs>
          <w:tab w:val="clear" w:pos="840"/>
        </w:tabs>
        <w:adjustRightInd/>
        <w:snapToGrid/>
        <w:spacing w:before="120" w:after="120" w:line="5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bookmarkStart w:id="82" w:name="_Toc17802"/>
      <w:r>
        <w:rPr>
          <w:rFonts w:hint="eastAsia" w:ascii="仿宋_GB2312" w:hAnsi="仿宋_GB2312" w:eastAsia="仿宋_GB2312" w:cs="仿宋_GB2312"/>
          <w:color w:val="auto"/>
          <w:szCs w:val="24"/>
          <w:highlight w:val="none"/>
        </w:rPr>
        <w:t>第三部分   附件</w:t>
      </w:r>
      <w:bookmarkEnd w:id="82"/>
      <w:r>
        <w:rPr>
          <w:rFonts w:hint="eastAsia" w:ascii="仿宋_GB2312" w:hAnsi="仿宋_GB2312" w:eastAsia="仿宋_GB2312" w:cs="仿宋_GB2312"/>
          <w:color w:val="auto"/>
          <w:szCs w:val="24"/>
          <w:highlight w:val="none"/>
        </w:rPr>
        <w:t xml:space="preserve">  </w:t>
      </w:r>
    </w:p>
    <w:p w14:paraId="544FD6FF">
      <w:pPr>
        <w:spacing w:line="460" w:lineRule="exact"/>
        <w:jc w:val="center"/>
        <w:outlineLvl w:val="0"/>
        <w:rPr>
          <w:rFonts w:hint="eastAsia" w:ascii="仿宋_GB2312" w:hAnsi="仿宋_GB2312" w:eastAsia="仿宋_GB2312" w:cs="仿宋_GB2312"/>
          <w:b/>
          <w:bCs/>
          <w:color w:val="auto"/>
          <w:sz w:val="24"/>
          <w:highlight w:val="none"/>
        </w:rPr>
      </w:pPr>
      <w:bookmarkStart w:id="83" w:name="_Toc25942244"/>
      <w:bookmarkStart w:id="84" w:name="_Toc54280764"/>
      <w:bookmarkStart w:id="85" w:name="_Toc18679"/>
      <w:bookmarkStart w:id="86" w:name="_Toc3189726"/>
      <w:bookmarkStart w:id="87" w:name="_Toc515307944"/>
      <w:bookmarkStart w:id="88" w:name="_Toc2185848"/>
      <w:bookmarkStart w:id="89" w:name="_Toc2185538"/>
      <w:bookmarkStart w:id="90" w:name="_Toc487734334"/>
      <w:bookmarkStart w:id="91" w:name="_Toc43799652"/>
      <w:bookmarkStart w:id="92" w:name="_Toc2982"/>
      <w:r>
        <w:rPr>
          <w:rFonts w:hint="eastAsia" w:ascii="仿宋_GB2312" w:hAnsi="仿宋_GB2312" w:eastAsia="仿宋_GB2312" w:cs="仿宋_GB2312"/>
          <w:b/>
          <w:bCs/>
          <w:color w:val="auto"/>
          <w:sz w:val="24"/>
          <w:highlight w:val="none"/>
        </w:rPr>
        <w:t>资格响应文件</w:t>
      </w:r>
      <w:bookmarkEnd w:id="83"/>
      <w:bookmarkEnd w:id="84"/>
      <w:r>
        <w:rPr>
          <w:rFonts w:hint="eastAsia" w:ascii="仿宋_GB2312" w:hAnsi="仿宋_GB2312" w:eastAsia="仿宋_GB2312" w:cs="仿宋_GB2312"/>
          <w:b/>
          <w:bCs/>
          <w:color w:val="auto"/>
          <w:sz w:val="24"/>
          <w:highlight w:val="none"/>
        </w:rPr>
        <w:t>附件</w:t>
      </w:r>
      <w:bookmarkEnd w:id="85"/>
    </w:p>
    <w:p w14:paraId="4CA8BFBF">
      <w:pPr>
        <w:spacing w:line="460" w:lineRule="exact"/>
        <w:jc w:val="center"/>
        <w:outlineLvl w:val="0"/>
        <w:rPr>
          <w:rFonts w:hint="eastAsia" w:ascii="仿宋_GB2312" w:hAnsi="仿宋_GB2312" w:eastAsia="仿宋_GB2312" w:cs="仿宋_GB2312"/>
          <w:b/>
          <w:bCs/>
          <w:color w:val="auto"/>
          <w:sz w:val="24"/>
          <w:highlight w:val="none"/>
        </w:rPr>
      </w:pPr>
    </w:p>
    <w:p w14:paraId="64E59F69">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有效的法人或者其他组织的营业执照等证明文件，自然人的身份证明（五选一）</w:t>
      </w:r>
    </w:p>
    <w:p w14:paraId="72894457">
      <w:pPr>
        <w:spacing w:line="360" w:lineRule="auto"/>
        <w:jc w:val="center"/>
        <w:rPr>
          <w:rFonts w:hint="eastAsia" w:ascii="仿宋_GB2312" w:hAnsi="仿宋_GB2312" w:eastAsia="仿宋_GB2312" w:cs="仿宋_GB2312"/>
          <w:b/>
          <w:color w:val="auto"/>
          <w:sz w:val="24"/>
          <w:highlight w:val="none"/>
        </w:rPr>
      </w:pPr>
    </w:p>
    <w:p w14:paraId="6D2B5170">
      <w:pPr>
        <w:spacing w:line="360" w:lineRule="auto"/>
        <w:rPr>
          <w:rFonts w:hint="eastAsia" w:ascii="仿宋_GB2312" w:hAnsi="仿宋_GB2312" w:eastAsia="仿宋_GB2312" w:cs="仿宋_GB2312"/>
          <w:b/>
          <w:color w:val="auto"/>
          <w:sz w:val="24"/>
          <w:highlight w:val="none"/>
        </w:rPr>
      </w:pPr>
    </w:p>
    <w:p w14:paraId="379B3F24">
      <w:pPr>
        <w:spacing w:line="360" w:lineRule="auto"/>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说明：</w:t>
      </w:r>
    </w:p>
    <w:p w14:paraId="3C3E828C">
      <w:pPr>
        <w:pStyle w:val="52"/>
        <w:spacing w:line="360" w:lineRule="auto"/>
        <w:ind w:left="458" w:hanging="458"/>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1.如供应商是企业（包括合伙企业），提供在工商部门注册的有效“企业法人营业执照”或“营业执照”；</w:t>
      </w:r>
    </w:p>
    <w:p w14:paraId="4EF6DB4D">
      <w:pPr>
        <w:pStyle w:val="52"/>
        <w:spacing w:line="360" w:lineRule="auto"/>
        <w:ind w:left="458" w:hanging="458"/>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2.如供应商是事业单位，提供有效的“事业单位法人证书”；</w:t>
      </w:r>
    </w:p>
    <w:p w14:paraId="6AE41427">
      <w:pPr>
        <w:pStyle w:val="52"/>
        <w:spacing w:line="360" w:lineRule="auto"/>
        <w:ind w:left="458" w:hanging="458"/>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3.如供应商是非企业专业服务机构的，提供执业许可证等证明文件；</w:t>
      </w:r>
    </w:p>
    <w:p w14:paraId="1753F757">
      <w:pPr>
        <w:pStyle w:val="52"/>
        <w:spacing w:line="360" w:lineRule="auto"/>
        <w:ind w:left="458" w:hanging="458"/>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4.如供应商是个体工商户，提供有效的“个体工商户营业执照”；</w:t>
      </w:r>
    </w:p>
    <w:p w14:paraId="5BCFE397">
      <w:pPr>
        <w:pStyle w:val="52"/>
        <w:spacing w:line="360" w:lineRule="auto"/>
        <w:ind w:left="458" w:hanging="458"/>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5.如供应商是自然人，提供有效的自然人身份证明（居民身份证正反面或公安机关出具的临时居民身份证正反面或港澳台胞证或证照）。</w:t>
      </w:r>
    </w:p>
    <w:p w14:paraId="3BE0C575">
      <w:pPr>
        <w:spacing w:before="240" w:beforeLines="100" w:after="240" w:afterLines="100"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br w:type="page"/>
      </w:r>
      <w:r>
        <w:rPr>
          <w:rFonts w:hint="eastAsia" w:ascii="仿宋_GB2312" w:hAnsi="仿宋_GB2312" w:eastAsia="仿宋_GB2312" w:cs="仿宋_GB2312"/>
          <w:b/>
          <w:color w:val="auto"/>
          <w:sz w:val="24"/>
          <w:highlight w:val="none"/>
        </w:rPr>
        <w:t>关于符合《中华人民共和国政府采购法》第二十二条规定的承诺函</w:t>
      </w:r>
    </w:p>
    <w:p w14:paraId="3081CD79">
      <w:pPr>
        <w:spacing w:before="240" w:beforeLines="100" w:after="240" w:afterLines="100" w:line="360" w:lineRule="auto"/>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致：温州市渔业应急处置指挥中心</w:t>
      </w:r>
      <w:r>
        <w:rPr>
          <w:rFonts w:hint="eastAsia" w:ascii="仿宋_GB2312" w:hAnsi="仿宋_GB2312" w:eastAsia="仿宋_GB2312" w:cs="仿宋_GB2312"/>
          <w:color w:val="auto"/>
          <w:sz w:val="24"/>
          <w:highlight w:val="none"/>
        </w:rPr>
        <w:t>、浙江巨合建设项目管理有限公司</w:t>
      </w:r>
      <w:r>
        <w:rPr>
          <w:rFonts w:hint="eastAsia" w:ascii="仿宋_GB2312" w:hAnsi="仿宋_GB2312" w:eastAsia="仿宋_GB2312" w:cs="仿宋_GB2312"/>
          <w:color w:val="auto"/>
          <w:spacing w:val="-6"/>
          <w:sz w:val="24"/>
          <w:highlight w:val="none"/>
        </w:rPr>
        <w:t>：</w:t>
      </w:r>
    </w:p>
    <w:p w14:paraId="59AA791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我单位就</w:t>
      </w:r>
      <w:r>
        <w:rPr>
          <w:rFonts w:hint="eastAsia" w:ascii="仿宋_GB2312" w:hAnsi="仿宋_GB2312" w:eastAsia="仿宋_GB2312" w:cs="仿宋_GB2312"/>
          <w:color w:val="auto"/>
          <w:sz w:val="24"/>
          <w:highlight w:val="none"/>
          <w:u w:val="single"/>
        </w:rPr>
        <w:t xml:space="preserve">            （项目名称）           （项目编号）</w:t>
      </w:r>
      <w:r>
        <w:rPr>
          <w:rFonts w:hint="eastAsia" w:ascii="仿宋_GB2312" w:hAnsi="仿宋_GB2312" w:eastAsia="仿宋_GB2312" w:cs="仿宋_GB2312"/>
          <w:color w:val="auto"/>
          <w:sz w:val="24"/>
          <w:highlight w:val="none"/>
        </w:rPr>
        <w:t>项目承诺具备下列条件：</w:t>
      </w:r>
    </w:p>
    <w:p w14:paraId="23D33D67">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（一）具有独立承担民事责任的能力；</w:t>
      </w:r>
    </w:p>
    <w:p w14:paraId="2D08A3B0">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（二）具有良好的商业信誉和健全的财务会计制度；</w:t>
      </w:r>
    </w:p>
    <w:p w14:paraId="01A92D5C">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（三）具有履行合同所必需的设备和专业技术能力；</w:t>
      </w:r>
    </w:p>
    <w:p w14:paraId="6365B886">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（四）有依法缴纳税收和社会保障资金的良好记录；</w:t>
      </w:r>
    </w:p>
    <w:p w14:paraId="61861C8E">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26EAD291">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78F3160B">
      <w:pPr>
        <w:pStyle w:val="60"/>
        <w:spacing w:before="0" w:beforeAutospacing="0" w:after="0" w:afterAutospacing="0" w:line="360" w:lineRule="auto"/>
        <w:ind w:firstLine="48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kern w:val="2"/>
          <w:highlight w:val="none"/>
        </w:rPr>
        <w:t>如有虚假，采购人可取消我单位任何资格（投标/中标/签订合同</w:t>
      </w:r>
      <w:r>
        <w:rPr>
          <w:rFonts w:hint="eastAsia" w:ascii="仿宋_GB2312" w:hAnsi="仿宋_GB2312" w:eastAsia="仿宋_GB2312" w:cs="仿宋_GB2312"/>
          <w:b/>
          <w:color w:val="auto"/>
          <w:highlight w:val="none"/>
        </w:rPr>
        <w:t>），我单位对此无任何异议。</w:t>
      </w:r>
    </w:p>
    <w:p w14:paraId="42928BAE">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特此承诺！</w:t>
      </w:r>
    </w:p>
    <w:p w14:paraId="21AB1B25">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注：（1）参加政府采购活动的时间是指供应商参加本项目的政府采购活动时间为准（具体以响应文件提交截止时间为准）。</w:t>
      </w:r>
    </w:p>
    <w:p w14:paraId="7F051A4E">
      <w:pPr>
        <w:pStyle w:val="60"/>
        <w:spacing w:before="0" w:beforeAutospacing="0" w:after="0" w:afterAutospacing="0" w:line="360" w:lineRule="auto"/>
        <w:ind w:firstLine="480" w:firstLineChars="200"/>
        <w:rPr>
          <w:rFonts w:hint="eastAsia" w:ascii="仿宋_GB2312" w:hAnsi="仿宋_GB2312" w:eastAsia="仿宋_GB2312" w:cs="仿宋_GB2312"/>
          <w:bCs/>
          <w:color w:val="auto"/>
          <w:kern w:val="2"/>
          <w:highlight w:val="none"/>
        </w:rPr>
      </w:pPr>
      <w:r>
        <w:rPr>
          <w:rFonts w:hint="eastAsia" w:ascii="仿宋_GB2312" w:hAnsi="仿宋_GB2312" w:eastAsia="仿宋_GB2312" w:cs="仿宋_GB2312"/>
          <w:bCs/>
          <w:color w:val="auto"/>
          <w:kern w:val="2"/>
          <w:highlight w:val="none"/>
        </w:rPr>
        <w:t>（2）本承诺函必须提供。</w:t>
      </w:r>
    </w:p>
    <w:p w14:paraId="05D5EE61">
      <w:pPr>
        <w:spacing w:line="360" w:lineRule="auto"/>
        <w:ind w:left="4620" w:leftChars="2200"/>
        <w:rPr>
          <w:rFonts w:hint="eastAsia" w:ascii="仿宋_GB2312" w:hAnsi="仿宋_GB2312" w:eastAsia="仿宋_GB2312" w:cs="仿宋_GB2312"/>
          <w:color w:val="auto"/>
          <w:sz w:val="24"/>
          <w:highlight w:val="none"/>
        </w:rPr>
      </w:pPr>
    </w:p>
    <w:p w14:paraId="5ABE7078">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71428A6F">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法定代表人或授权代表(签字或盖章或电子签章)：</w:t>
      </w:r>
    </w:p>
    <w:p w14:paraId="244FF23B">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363C4B78">
      <w:pPr>
        <w:spacing w:before="240" w:beforeLines="100" w:after="240" w:afterLines="100"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br w:type="page"/>
      </w:r>
      <w:bookmarkEnd w:id="86"/>
      <w:bookmarkEnd w:id="87"/>
      <w:bookmarkEnd w:id="88"/>
      <w:bookmarkEnd w:id="89"/>
      <w:bookmarkEnd w:id="90"/>
      <w:bookmarkEnd w:id="91"/>
      <w:bookmarkEnd w:id="92"/>
      <w:r>
        <w:rPr>
          <w:rFonts w:hint="eastAsia" w:ascii="仿宋_GB2312" w:hAnsi="仿宋_GB2312" w:eastAsia="仿宋_GB2312" w:cs="仿宋_GB2312"/>
          <w:b/>
          <w:bCs/>
          <w:color w:val="auto"/>
          <w:sz w:val="24"/>
          <w:highlight w:val="none"/>
        </w:rPr>
        <w:t>商务技术响应文件附件</w:t>
      </w:r>
    </w:p>
    <w:p w14:paraId="0C8E240E">
      <w:pPr>
        <w:autoSpaceDE w:val="0"/>
        <w:autoSpaceDN w:val="0"/>
        <w:adjustRightInd w:val="0"/>
        <w:spacing w:line="440" w:lineRule="atLeast"/>
        <w:jc w:val="center"/>
        <w:rPr>
          <w:rFonts w:hint="eastAsia" w:ascii="仿宋_GB2312" w:hAnsi="仿宋_GB2312" w:eastAsia="仿宋_GB2312" w:cs="仿宋_GB2312"/>
          <w:b/>
          <w:bCs/>
          <w:color w:val="auto"/>
          <w:sz w:val="24"/>
          <w:highlight w:val="none"/>
          <w:lang w:val="zh-CN"/>
        </w:rPr>
      </w:pPr>
    </w:p>
    <w:p w14:paraId="1A996B53">
      <w:pPr>
        <w:autoSpaceDE w:val="0"/>
        <w:autoSpaceDN w:val="0"/>
        <w:adjustRightInd w:val="0"/>
        <w:spacing w:line="440" w:lineRule="atLeast"/>
        <w:jc w:val="center"/>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t>投  标  函</w:t>
      </w:r>
    </w:p>
    <w:p w14:paraId="5D15F2F3">
      <w:pPr>
        <w:autoSpaceDE w:val="0"/>
        <w:autoSpaceDN w:val="0"/>
        <w:adjustRightInd w:val="0"/>
        <w:snapToGrid w:val="0"/>
        <w:spacing w:line="480" w:lineRule="atLeas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val="zh-CN"/>
        </w:rPr>
        <w:t>温州市渔业应急处置指挥中心：</w:t>
      </w:r>
    </w:p>
    <w:p w14:paraId="55ED4C70">
      <w:pPr>
        <w:spacing w:line="440" w:lineRule="exact"/>
        <w:ind w:firstLine="600" w:firstLine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根据贵方为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项目（项目编号:</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color w:val="auto"/>
          <w:sz w:val="24"/>
          <w:highlight w:val="none"/>
        </w:rPr>
        <w:t>）的投标邀请，我方</w:t>
      </w:r>
      <w:r>
        <w:rPr>
          <w:rFonts w:hint="eastAsia" w:ascii="仿宋_GB2312" w:hAnsi="仿宋_GB2312" w:eastAsia="仿宋_GB2312" w:cs="仿宋_GB2312"/>
          <w:color w:val="auto"/>
          <w:sz w:val="24"/>
          <w:highlight w:val="none"/>
          <w:u w:val="single"/>
        </w:rPr>
        <w:t xml:space="preserve">                 （投标人名称）</w:t>
      </w:r>
      <w:r>
        <w:rPr>
          <w:rFonts w:hint="eastAsia" w:ascii="仿宋_GB2312" w:hAnsi="仿宋_GB2312" w:eastAsia="仿宋_GB2312" w:cs="仿宋_GB2312"/>
          <w:color w:val="auto"/>
          <w:sz w:val="24"/>
          <w:highlight w:val="none"/>
        </w:rPr>
        <w:t>作为投标人正式授权</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（授权代表全名，职务）代表我方处理有关本投标的一切事宜。</w:t>
      </w:r>
    </w:p>
    <w:p w14:paraId="197CDA42">
      <w:pPr>
        <w:pStyle w:val="21"/>
        <w:spacing w:after="120" w:line="440" w:lineRule="exact"/>
        <w:ind w:firstLine="4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在线上提交的电子投标文件中，包括如下内容：</w:t>
      </w:r>
    </w:p>
    <w:p w14:paraId="5C5AC2CA">
      <w:pPr>
        <w:pStyle w:val="21"/>
        <w:spacing w:after="120" w:line="440" w:lineRule="exact"/>
        <w:ind w:firstLine="4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（—）按“投标文件的编制”要求编制投标文件的资格证明文件；</w:t>
      </w:r>
    </w:p>
    <w:p w14:paraId="70621422">
      <w:pPr>
        <w:pStyle w:val="21"/>
        <w:spacing w:after="120" w:line="440" w:lineRule="exact"/>
        <w:ind w:firstLine="4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（二）按“投标文件的编制”要求编制投标文件的技术资信标；</w:t>
      </w:r>
    </w:p>
    <w:p w14:paraId="0985D65E">
      <w:pPr>
        <w:pStyle w:val="21"/>
        <w:spacing w:after="120" w:line="440" w:lineRule="exact"/>
        <w:ind w:firstLine="4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（三）按“投标文件的编制”要求编制投标文件的“价格标”；</w:t>
      </w:r>
    </w:p>
    <w:p w14:paraId="0B057CFE">
      <w:pPr>
        <w:pStyle w:val="21"/>
        <w:spacing w:after="120" w:line="440" w:lineRule="exact"/>
        <w:ind w:firstLine="4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w:t>
      </w:r>
      <w:r>
        <w:rPr>
          <w:rFonts w:hint="eastAsia" w:ascii="仿宋_GB2312" w:hAnsi="仿宋_GB2312" w:eastAsia="仿宋_GB2312" w:cs="仿宋_GB2312"/>
          <w:color w:val="auto"/>
          <w:sz w:val="24"/>
          <w:szCs w:val="24"/>
          <w:highlight w:val="none"/>
          <w:lang w:eastAsia="zh-CN"/>
        </w:rPr>
        <w:t>已完全</w:t>
      </w:r>
      <w:r>
        <w:rPr>
          <w:rFonts w:hint="eastAsia" w:ascii="仿宋_GB2312" w:hAnsi="仿宋_GB2312" w:eastAsia="仿宋_GB2312" w:cs="仿宋_GB2312"/>
          <w:color w:val="auto"/>
          <w:sz w:val="24"/>
          <w:szCs w:val="24"/>
          <w:highlight w:val="none"/>
        </w:rPr>
        <w:t>明白招标文件的所有条款要求，并重申以下几点：</w:t>
      </w:r>
    </w:p>
    <w:p w14:paraId="2184C9D7">
      <w:pPr>
        <w:spacing w:line="440" w:lineRule="exact"/>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（一）本投标文件的有效期自投标截止日起</w:t>
      </w:r>
      <w:r>
        <w:rPr>
          <w:rFonts w:hint="eastAsia" w:ascii="仿宋_GB2312" w:hAnsi="仿宋_GB2312" w:eastAsia="仿宋_GB2312" w:cs="仿宋_GB2312"/>
          <w:b/>
          <w:color w:val="auto"/>
          <w:sz w:val="24"/>
          <w:highlight w:val="none"/>
          <w:u w:val="single"/>
        </w:rPr>
        <w:t>90</w:t>
      </w:r>
      <w:r>
        <w:rPr>
          <w:rFonts w:hint="eastAsia" w:ascii="仿宋_GB2312" w:hAnsi="仿宋_GB2312" w:eastAsia="仿宋_GB2312" w:cs="仿宋_GB2312"/>
          <w:color w:val="auto"/>
          <w:sz w:val="24"/>
          <w:highlight w:val="none"/>
        </w:rPr>
        <w:t>天内有效，如中标，有效期将延至合同终止日为止；</w:t>
      </w:r>
    </w:p>
    <w:p w14:paraId="7069252B">
      <w:pPr>
        <w:spacing w:line="440" w:lineRule="exact"/>
        <w:ind w:left="1079" w:leftChars="171" w:hanging="720" w:hanging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（二）我方已详细研究了招标文件的所有内容包括修改书（如有）和所有已提供的参考资料以及有关附件，我方完全理解并同意放弃在此方面提出含糊意见或误解的一切权力；</w:t>
      </w:r>
    </w:p>
    <w:p w14:paraId="7DB5CB2D">
      <w:pPr>
        <w:spacing w:line="440" w:lineRule="exact"/>
        <w:ind w:left="359" w:left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（三）我方同意提供按照贵方可能要求的与投标有关的一切数据或资料；</w:t>
      </w:r>
    </w:p>
    <w:p w14:paraId="393BF865">
      <w:pPr>
        <w:spacing w:line="440" w:lineRule="exact"/>
        <w:ind w:left="359" w:leftChars="17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（四）我方理解贵方不一定接受最低报价；</w:t>
      </w:r>
    </w:p>
    <w:p w14:paraId="3B53A8B9">
      <w:pPr>
        <w:spacing w:line="440" w:lineRule="exact"/>
        <w:ind w:left="1079" w:leftChars="171" w:hanging="720" w:hanging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（五）我方如果中标，将保证履行招标文件以及招标文件修改书（如有）中的全部责任和义务，按质、按量、按期完成《合同书》中的全部任务。</w:t>
      </w:r>
    </w:p>
    <w:p w14:paraId="1CCB5932">
      <w:pPr>
        <w:spacing w:line="440" w:lineRule="exact"/>
        <w:ind w:left="3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（六）所有与本投标有关的函件请发往下列地址：</w:t>
      </w:r>
    </w:p>
    <w:p w14:paraId="7AE6CDCF">
      <w:pPr>
        <w:autoSpaceDE w:val="0"/>
        <w:autoSpaceDN w:val="0"/>
        <w:adjustRightInd w:val="0"/>
        <w:snapToGrid w:val="0"/>
        <w:spacing w:line="480" w:lineRule="atLeast"/>
        <w:ind w:firstLine="450"/>
        <w:rPr>
          <w:rFonts w:hint="eastAsia" w:ascii="仿宋_GB2312" w:hAnsi="仿宋_GB2312" w:eastAsia="仿宋_GB2312" w:cs="仿宋_GB2312"/>
          <w:color w:val="auto"/>
          <w:sz w:val="24"/>
          <w:highlight w:val="none"/>
          <w:lang w:val="zh-CN"/>
        </w:rPr>
      </w:pPr>
    </w:p>
    <w:p w14:paraId="20801A86">
      <w:pPr>
        <w:autoSpaceDE w:val="0"/>
        <w:autoSpaceDN w:val="0"/>
        <w:adjustRightInd w:val="0"/>
        <w:snapToGrid w:val="0"/>
        <w:spacing w:line="480" w:lineRule="atLeas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地址：</w:t>
      </w:r>
      <w:r>
        <w:rPr>
          <w:rFonts w:hint="eastAsia" w:ascii="仿宋_GB2312" w:hAnsi="仿宋_GB2312" w:eastAsia="仿宋_GB2312" w:cs="仿宋_GB2312"/>
          <w:color w:val="auto"/>
          <w:sz w:val="24"/>
          <w:highlight w:val="none"/>
          <w:u w:val="single"/>
          <w:lang w:val="zh-CN"/>
        </w:rPr>
        <w:t xml:space="preserve">                                 </w:t>
      </w:r>
    </w:p>
    <w:p w14:paraId="120953BD">
      <w:pPr>
        <w:autoSpaceDE w:val="0"/>
        <w:autoSpaceDN w:val="0"/>
        <w:adjustRightInd w:val="0"/>
        <w:snapToGrid w:val="0"/>
        <w:spacing w:line="480" w:lineRule="atLeas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邮编：</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电话：</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传真：</w:t>
      </w:r>
      <w:r>
        <w:rPr>
          <w:rFonts w:hint="eastAsia" w:ascii="仿宋_GB2312" w:hAnsi="仿宋_GB2312" w:eastAsia="仿宋_GB2312" w:cs="仿宋_GB2312"/>
          <w:color w:val="auto"/>
          <w:sz w:val="24"/>
          <w:highlight w:val="none"/>
          <w:u w:val="single"/>
          <w:lang w:val="zh-CN"/>
        </w:rPr>
        <w:t xml:space="preserve">                 </w:t>
      </w:r>
    </w:p>
    <w:p w14:paraId="191B7EDF">
      <w:pPr>
        <w:autoSpaceDE w:val="0"/>
        <w:autoSpaceDN w:val="0"/>
        <w:adjustRightInd w:val="0"/>
        <w:snapToGrid w:val="0"/>
        <w:spacing w:line="480" w:lineRule="atLeast"/>
        <w:ind w:firstLine="2160" w:firstLineChars="900"/>
        <w:rPr>
          <w:rFonts w:hint="eastAsia" w:ascii="仿宋_GB2312" w:hAnsi="仿宋_GB2312" w:eastAsia="仿宋_GB2312" w:cs="仿宋_GB2312"/>
          <w:color w:val="auto"/>
          <w:sz w:val="24"/>
          <w:highlight w:val="none"/>
          <w:lang w:val="zh-CN"/>
        </w:rPr>
      </w:pPr>
    </w:p>
    <w:p w14:paraId="0092FFDF">
      <w:pPr>
        <w:autoSpaceDE w:val="0"/>
        <w:autoSpaceDN w:val="0"/>
        <w:adjustRightInd w:val="0"/>
        <w:snapToGrid w:val="0"/>
        <w:spacing w:line="48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投标供应商全称（盖章</w:t>
      </w:r>
      <w:r>
        <w:rPr>
          <w:rFonts w:hint="eastAsia" w:ascii="仿宋_GB2312" w:hAnsi="仿宋_GB2312" w:eastAsia="仿宋_GB2312" w:cs="仿宋_GB2312"/>
          <w:color w:val="auto"/>
          <w:sz w:val="24"/>
          <w:highlight w:val="none"/>
        </w:rPr>
        <w:t>或电子签章</w:t>
      </w:r>
      <w:r>
        <w:rPr>
          <w:rFonts w:hint="eastAsia" w:ascii="仿宋_GB2312" w:hAnsi="仿宋_GB2312" w:eastAsia="仿宋_GB2312" w:cs="仿宋_GB2312"/>
          <w:color w:val="auto"/>
          <w:sz w:val="24"/>
          <w:highlight w:val="none"/>
          <w:lang w:val="zh-CN"/>
        </w:rPr>
        <w:t>）：</w:t>
      </w:r>
    </w:p>
    <w:p w14:paraId="0411F696">
      <w:pPr>
        <w:autoSpaceDE w:val="0"/>
        <w:autoSpaceDN w:val="0"/>
        <w:adjustRightInd w:val="0"/>
        <w:snapToGrid w:val="0"/>
        <w:spacing w:line="48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日期：</w:t>
      </w:r>
    </w:p>
    <w:p w14:paraId="05AAD593">
      <w:pPr>
        <w:spacing w:line="460" w:lineRule="exact"/>
        <w:jc w:val="center"/>
        <w:outlineLvl w:val="0"/>
        <w:rPr>
          <w:rFonts w:hint="eastAsia" w:ascii="仿宋_GB2312" w:hAnsi="仿宋_GB2312" w:eastAsia="仿宋_GB2312" w:cs="仿宋_GB2312"/>
          <w:b/>
          <w:bCs/>
          <w:color w:val="auto"/>
          <w:sz w:val="24"/>
          <w:highlight w:val="none"/>
        </w:rPr>
      </w:pPr>
      <w:bookmarkStart w:id="93" w:name="_Toc13865"/>
      <w:r>
        <w:rPr>
          <w:rFonts w:hint="eastAsia" w:ascii="仿宋_GB2312" w:hAnsi="仿宋_GB2312" w:eastAsia="仿宋_GB2312" w:cs="仿宋_GB2312"/>
          <w:b/>
          <w:color w:val="auto"/>
          <w:sz w:val="24"/>
          <w:highlight w:val="none"/>
        </w:rPr>
        <w:br w:type="page"/>
      </w:r>
      <w:bookmarkEnd w:id="93"/>
      <w:bookmarkStart w:id="94" w:name="_Toc27582"/>
      <w:r>
        <w:rPr>
          <w:rFonts w:hint="eastAsia" w:ascii="仿宋_GB2312" w:hAnsi="仿宋_GB2312" w:eastAsia="仿宋_GB2312" w:cs="仿宋_GB2312"/>
          <w:b/>
          <w:bCs/>
          <w:color w:val="auto"/>
          <w:sz w:val="24"/>
          <w:highlight w:val="none"/>
        </w:rPr>
        <w:t>有效授权证明</w:t>
      </w:r>
      <w:bookmarkEnd w:id="94"/>
    </w:p>
    <w:p w14:paraId="56373B74">
      <w:pPr>
        <w:spacing w:line="38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（1）法定代表人资格证明书</w:t>
      </w:r>
    </w:p>
    <w:p w14:paraId="69FBFC43">
      <w:pPr>
        <w:autoSpaceDE w:val="0"/>
        <w:autoSpaceDN w:val="0"/>
        <w:adjustRightInd w:val="0"/>
        <w:rPr>
          <w:rFonts w:hint="eastAsia" w:ascii="仿宋_GB2312" w:hAnsi="仿宋_GB2312" w:eastAsia="仿宋_GB2312" w:cs="仿宋_GB2312"/>
          <w:color w:val="auto"/>
          <w:kern w:val="0"/>
          <w:sz w:val="24"/>
          <w:highlight w:val="none"/>
        </w:rPr>
      </w:pPr>
    </w:p>
    <w:p w14:paraId="66C2BB8C">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投标供应商名称：</w:t>
      </w:r>
      <w:r>
        <w:rPr>
          <w:rFonts w:hint="eastAsia" w:ascii="仿宋_GB2312" w:hAnsi="仿宋_GB2312" w:eastAsia="仿宋_GB2312" w:cs="仿宋_GB2312"/>
          <w:color w:val="auto"/>
          <w:kern w:val="0"/>
          <w:sz w:val="24"/>
          <w:highlight w:val="none"/>
          <w:u w:val="single"/>
        </w:rPr>
        <w:t xml:space="preserve">                            </w:t>
      </w:r>
    </w:p>
    <w:p w14:paraId="3EBD9226">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单位性质： </w:t>
      </w:r>
      <w:r>
        <w:rPr>
          <w:rFonts w:hint="eastAsia" w:ascii="仿宋_GB2312" w:hAnsi="仿宋_GB2312" w:eastAsia="仿宋_GB2312" w:cs="仿宋_GB2312"/>
          <w:color w:val="auto"/>
          <w:kern w:val="0"/>
          <w:sz w:val="24"/>
          <w:highlight w:val="none"/>
          <w:u w:val="single"/>
        </w:rPr>
        <w:t xml:space="preserve">                                 </w:t>
      </w:r>
    </w:p>
    <w:p w14:paraId="705489CD">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地    址：</w:t>
      </w:r>
      <w:r>
        <w:rPr>
          <w:rFonts w:hint="eastAsia" w:ascii="仿宋_GB2312" w:hAnsi="仿宋_GB2312" w:eastAsia="仿宋_GB2312" w:cs="仿宋_GB2312"/>
          <w:color w:val="auto"/>
          <w:kern w:val="0"/>
          <w:sz w:val="24"/>
          <w:highlight w:val="none"/>
          <w:u w:val="single"/>
        </w:rPr>
        <w:t xml:space="preserve">                                  </w:t>
      </w:r>
    </w:p>
    <w:p w14:paraId="0CD034B0">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成立时间：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年</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月</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日</w:t>
      </w:r>
      <w:r>
        <w:rPr>
          <w:rFonts w:hint="eastAsia" w:ascii="仿宋_GB2312" w:hAnsi="仿宋_GB2312" w:eastAsia="仿宋_GB2312" w:cs="仿宋_GB2312"/>
          <w:color w:val="auto"/>
          <w:kern w:val="0"/>
          <w:sz w:val="24"/>
          <w:highlight w:val="none"/>
        </w:rPr>
        <w:tab/>
      </w:r>
    </w:p>
    <w:p w14:paraId="3F265BA0">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经营期限：</w:t>
      </w:r>
      <w:r>
        <w:rPr>
          <w:rFonts w:hint="eastAsia" w:ascii="仿宋_GB2312" w:hAnsi="仿宋_GB2312" w:eastAsia="仿宋_GB2312" w:cs="仿宋_GB2312"/>
          <w:color w:val="auto"/>
          <w:kern w:val="0"/>
          <w:sz w:val="24"/>
          <w:highlight w:val="none"/>
          <w:u w:val="single"/>
        </w:rPr>
        <w:t xml:space="preserve">                                   </w:t>
      </w:r>
    </w:p>
    <w:p w14:paraId="44FE3337">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    名：</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性别：</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年龄：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职务：</w:t>
      </w:r>
      <w:r>
        <w:rPr>
          <w:rFonts w:hint="eastAsia" w:ascii="仿宋_GB2312" w:hAnsi="仿宋_GB2312" w:eastAsia="仿宋_GB2312" w:cs="仿宋_GB2312"/>
          <w:color w:val="auto"/>
          <w:kern w:val="0"/>
          <w:sz w:val="24"/>
          <w:highlight w:val="none"/>
          <w:u w:val="single"/>
        </w:rPr>
        <w:t xml:space="preserve">         </w:t>
      </w:r>
    </w:p>
    <w:p w14:paraId="4F7C6864">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系：</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 xml:space="preserve"> （投标供应商名称）的法定代表人</w:t>
      </w:r>
    </w:p>
    <w:p w14:paraId="2719EA7C">
      <w:pPr>
        <w:autoSpaceDE w:val="0"/>
        <w:autoSpaceDN w:val="0"/>
        <w:adjustRightInd w:val="0"/>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特此证明</w:t>
      </w:r>
    </w:p>
    <w:p w14:paraId="7730DC93">
      <w:pPr>
        <w:autoSpaceDE w:val="0"/>
        <w:autoSpaceDN w:val="0"/>
        <w:adjustRightInd w:val="0"/>
        <w:spacing w:line="440" w:lineRule="exact"/>
        <w:rPr>
          <w:rFonts w:hint="eastAsia" w:ascii="仿宋_GB2312" w:hAnsi="仿宋_GB2312" w:eastAsia="仿宋_GB2312" w:cs="仿宋_GB2312"/>
          <w:color w:val="auto"/>
          <w:kern w:val="0"/>
          <w:sz w:val="24"/>
          <w:highlight w:val="none"/>
        </w:rPr>
      </w:pPr>
    </w:p>
    <w:p w14:paraId="7E2EF68C">
      <w:pPr>
        <w:autoSpaceDE w:val="0"/>
        <w:autoSpaceDN w:val="0"/>
        <w:adjustRightInd w:val="0"/>
        <w:spacing w:line="440" w:lineRule="exact"/>
        <w:rPr>
          <w:rFonts w:hint="eastAsia" w:ascii="仿宋_GB2312" w:hAnsi="仿宋_GB2312" w:eastAsia="仿宋_GB2312" w:cs="仿宋_GB2312"/>
          <w:color w:val="auto"/>
          <w:kern w:val="0"/>
          <w:sz w:val="24"/>
          <w:highlight w:val="none"/>
        </w:rPr>
      </w:pPr>
    </w:p>
    <w:p w14:paraId="59E23546">
      <w:pPr>
        <w:autoSpaceDE w:val="0"/>
        <w:autoSpaceDN w:val="0"/>
        <w:adjustRightInd w:val="0"/>
        <w:spacing w:line="440" w:lineRule="exact"/>
        <w:rPr>
          <w:rFonts w:hint="eastAsia" w:ascii="仿宋_GB2312" w:hAnsi="仿宋_GB2312" w:eastAsia="仿宋_GB2312" w:cs="仿宋_GB2312"/>
          <w:color w:val="auto"/>
          <w:kern w:val="0"/>
          <w:sz w:val="24"/>
          <w:highlight w:val="none"/>
        </w:rPr>
      </w:pPr>
    </w:p>
    <w:p w14:paraId="6E212DB9">
      <w:pPr>
        <w:autoSpaceDE w:val="0"/>
        <w:autoSpaceDN w:val="0"/>
        <w:adjustRightInd w:val="0"/>
        <w:spacing w:line="440" w:lineRule="exact"/>
        <w:jc w:val="righ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投标供应商全称：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（盖章或电子签章）</w:t>
      </w:r>
    </w:p>
    <w:p w14:paraId="47AB062D">
      <w:pPr>
        <w:wordWrap w:val="0"/>
        <w:autoSpaceDE w:val="0"/>
        <w:autoSpaceDN w:val="0"/>
        <w:adjustRightInd w:val="0"/>
        <w:spacing w:line="440" w:lineRule="exact"/>
        <w:ind w:firstLine="1800" w:firstLineChars="750"/>
        <w:jc w:val="righ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日期：        年      月       日</w:t>
      </w:r>
    </w:p>
    <w:p w14:paraId="03C3D4DF">
      <w:pPr>
        <w:autoSpaceDE w:val="0"/>
        <w:autoSpaceDN w:val="0"/>
        <w:adjustRightInd w:val="0"/>
        <w:jc w:val="left"/>
        <w:rPr>
          <w:rFonts w:hint="eastAsia" w:ascii="仿宋_GB2312" w:hAnsi="仿宋_GB2312" w:eastAsia="仿宋_GB2312" w:cs="仿宋_GB2312"/>
          <w:color w:val="auto"/>
          <w:kern w:val="0"/>
          <w:sz w:val="24"/>
          <w:highlight w:val="none"/>
        </w:rPr>
      </w:pPr>
    </w:p>
    <w:p w14:paraId="59D20DB6">
      <w:pPr>
        <w:spacing w:line="380" w:lineRule="exact"/>
        <w:jc w:val="center"/>
        <w:rPr>
          <w:rFonts w:hint="eastAsia" w:ascii="仿宋_GB2312" w:hAnsi="仿宋_GB2312" w:eastAsia="仿宋_GB2312" w:cs="仿宋_GB2312"/>
          <w:b/>
          <w:color w:val="auto"/>
          <w:sz w:val="24"/>
          <w:highlight w:val="none"/>
        </w:rPr>
      </w:pPr>
    </w:p>
    <w:p w14:paraId="2E2630CA">
      <w:pPr>
        <w:spacing w:line="38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附：法定代表人身份证明</w:t>
      </w:r>
    </w:p>
    <w:p w14:paraId="4F270298">
      <w:pPr>
        <w:spacing w:line="380" w:lineRule="exact"/>
        <w:rPr>
          <w:rFonts w:hint="eastAsia" w:ascii="仿宋_GB2312" w:hAnsi="仿宋_GB2312" w:eastAsia="仿宋_GB2312" w:cs="仿宋_GB2312"/>
          <w:b/>
          <w:color w:val="auto"/>
          <w:sz w:val="24"/>
          <w:highlight w:val="none"/>
        </w:rPr>
      </w:pPr>
    </w:p>
    <w:tbl>
      <w:tblPr>
        <w:tblStyle w:val="65"/>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4586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noWrap w:val="0"/>
            <w:vAlign w:val="top"/>
          </w:tcPr>
          <w:p w14:paraId="2F0DE68B">
            <w:pPr>
              <w:spacing w:line="440" w:lineRule="exact"/>
              <w:rPr>
                <w:rFonts w:hint="eastAsia" w:ascii="仿宋_GB2312" w:hAnsi="仿宋_GB2312" w:eastAsia="仿宋_GB2312" w:cs="仿宋_GB2312"/>
                <w:color w:val="auto"/>
                <w:sz w:val="24"/>
                <w:highlight w:val="none"/>
              </w:rPr>
            </w:pPr>
          </w:p>
          <w:p w14:paraId="258CD4E8">
            <w:pPr>
              <w:spacing w:line="440" w:lineRule="exact"/>
              <w:rPr>
                <w:rFonts w:hint="eastAsia" w:ascii="仿宋_GB2312" w:hAnsi="仿宋_GB2312" w:eastAsia="仿宋_GB2312" w:cs="仿宋_GB2312"/>
                <w:color w:val="auto"/>
                <w:sz w:val="24"/>
                <w:highlight w:val="none"/>
              </w:rPr>
            </w:pPr>
          </w:p>
          <w:p w14:paraId="5C97B27A">
            <w:pPr>
              <w:spacing w:line="440" w:lineRule="exact"/>
              <w:rPr>
                <w:rFonts w:hint="eastAsia" w:ascii="仿宋_GB2312" w:hAnsi="仿宋_GB2312" w:eastAsia="仿宋_GB2312" w:cs="仿宋_GB2312"/>
                <w:color w:val="auto"/>
                <w:sz w:val="24"/>
                <w:highlight w:val="none"/>
              </w:rPr>
            </w:pPr>
          </w:p>
          <w:p w14:paraId="1C44FEE9">
            <w:pPr>
              <w:spacing w:line="440" w:lineRule="exact"/>
              <w:ind w:firstLine="1200" w:firstLineChars="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法人代表身份证复印件</w:t>
            </w:r>
          </w:p>
          <w:p w14:paraId="55C350FB">
            <w:pPr>
              <w:spacing w:line="440" w:lineRule="exact"/>
              <w:ind w:firstLine="1920" w:firstLineChars="8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（粘贴处）</w:t>
            </w:r>
          </w:p>
        </w:tc>
      </w:tr>
    </w:tbl>
    <w:p w14:paraId="46F2ABC3">
      <w:pPr>
        <w:spacing w:line="380" w:lineRule="exact"/>
        <w:jc w:val="center"/>
        <w:rPr>
          <w:rFonts w:hint="eastAsia" w:ascii="仿宋_GB2312" w:hAnsi="仿宋_GB2312" w:eastAsia="仿宋_GB2312" w:cs="仿宋_GB2312"/>
          <w:b/>
          <w:color w:val="auto"/>
          <w:sz w:val="24"/>
          <w:highlight w:val="none"/>
        </w:rPr>
      </w:pPr>
    </w:p>
    <w:p w14:paraId="36BB73D7">
      <w:pPr>
        <w:spacing w:line="38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r>
        <w:rPr>
          <w:rFonts w:hint="eastAsia" w:ascii="仿宋_GB2312" w:hAnsi="仿宋_GB2312" w:eastAsia="仿宋_GB2312" w:cs="仿宋_GB2312"/>
          <w:b/>
          <w:color w:val="auto"/>
          <w:sz w:val="24"/>
          <w:highlight w:val="none"/>
        </w:rPr>
        <w:t>（2）法定代表人授权书</w:t>
      </w:r>
    </w:p>
    <w:p w14:paraId="48B1008A">
      <w:pPr>
        <w:spacing w:line="46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温州市渔业应急处置指挥中心：</w:t>
      </w:r>
    </w:p>
    <w:p w14:paraId="5BBFD354">
      <w:pPr>
        <w:spacing w:line="460" w:lineRule="exact"/>
        <w:ind w:firstLine="600" w:firstLineChars="2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（供应商全称）法定代表人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授权</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（全权代表姓名）为全权代表，参加贵处组织的</w:t>
      </w:r>
      <w:r>
        <w:rPr>
          <w:rFonts w:hint="eastAsia" w:ascii="仿宋_GB2312" w:hAnsi="仿宋_GB2312" w:eastAsia="仿宋_GB2312" w:cs="仿宋_GB2312"/>
          <w:color w:val="auto"/>
          <w:sz w:val="24"/>
          <w:highlight w:val="none"/>
          <w:u w:val="single"/>
        </w:rPr>
        <w:t xml:space="preserve">          （招标项目名称、编号）</w:t>
      </w:r>
      <w:r>
        <w:rPr>
          <w:rFonts w:hint="eastAsia" w:ascii="仿宋_GB2312" w:hAnsi="仿宋_GB2312" w:eastAsia="仿宋_GB2312" w:cs="仿宋_GB2312"/>
          <w:color w:val="auto"/>
          <w:sz w:val="24"/>
          <w:highlight w:val="none"/>
        </w:rPr>
        <w:t>的招标活动，全权代表我方处理招标活动中的一切事宜。</w:t>
      </w:r>
    </w:p>
    <w:p w14:paraId="7CBED3F0">
      <w:pPr>
        <w:spacing w:line="460" w:lineRule="exact"/>
        <w:ind w:firstLine="2955"/>
        <w:rPr>
          <w:rFonts w:hint="eastAsia" w:ascii="仿宋_GB2312" w:hAnsi="仿宋_GB2312" w:eastAsia="仿宋_GB2312" w:cs="仿宋_GB2312"/>
          <w:color w:val="auto"/>
          <w:sz w:val="24"/>
          <w:highlight w:val="none"/>
        </w:rPr>
      </w:pPr>
    </w:p>
    <w:p w14:paraId="6705BBD8">
      <w:pPr>
        <w:spacing w:line="460" w:lineRule="exact"/>
        <w:ind w:firstLine="295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2EBFB377">
      <w:pPr>
        <w:spacing w:line="460" w:lineRule="exact"/>
        <w:ind w:firstLine="4332" w:firstLineChars="180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 (签字或盖章或电子签章)：</w:t>
      </w:r>
    </w:p>
    <w:p w14:paraId="7C873331">
      <w:pPr>
        <w:spacing w:line="460" w:lineRule="exact"/>
        <w:ind w:firstLine="4332" w:firstLineChars="180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4A2638A0">
      <w:pPr>
        <w:spacing w:line="460" w:lineRule="exact"/>
        <w:ind w:firstLine="4332" w:firstLineChars="180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14:paraId="29E34C36">
      <w:pPr>
        <w:spacing w:line="460" w:lineRule="exact"/>
        <w:ind w:firstLine="4332" w:firstLineChars="1805"/>
        <w:rPr>
          <w:rFonts w:hint="eastAsia" w:ascii="仿宋_GB2312" w:hAnsi="仿宋_GB2312" w:eastAsia="仿宋_GB2312" w:cs="仿宋_GB2312"/>
          <w:color w:val="auto"/>
          <w:sz w:val="24"/>
          <w:highlight w:val="none"/>
        </w:rPr>
      </w:pPr>
    </w:p>
    <w:p w14:paraId="42FA1529">
      <w:pPr>
        <w:spacing w:line="460" w:lineRule="exact"/>
        <w:rPr>
          <w:rFonts w:hint="eastAsia" w:ascii="仿宋_GB2312" w:hAnsi="仿宋_GB2312" w:eastAsia="仿宋_GB2312" w:cs="仿宋_GB2312"/>
          <w:color w:val="auto"/>
          <w:sz w:val="24"/>
          <w:highlight w:val="none"/>
        </w:rPr>
      </w:pPr>
    </w:p>
    <w:p w14:paraId="50CC9BA6">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w:t>
      </w:r>
    </w:p>
    <w:p w14:paraId="73437496">
      <w:pPr>
        <w:spacing w:line="460" w:lineRule="exact"/>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授权代表姓名：</w:t>
      </w:r>
    </w:p>
    <w:p w14:paraId="3AA46849">
      <w:pPr>
        <w:spacing w:line="460" w:lineRule="exact"/>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p w14:paraId="39CC55A8">
      <w:pPr>
        <w:spacing w:line="460" w:lineRule="exact"/>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详细通讯地址：</w:t>
      </w:r>
    </w:p>
    <w:p w14:paraId="0F4C3104">
      <w:pPr>
        <w:spacing w:line="460" w:lineRule="exact"/>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p w14:paraId="0C4128B6">
      <w:pPr>
        <w:spacing w:line="460" w:lineRule="exact"/>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w:t>
      </w:r>
    </w:p>
    <w:p w14:paraId="2966DD26">
      <w:pPr>
        <w:spacing w:line="460" w:lineRule="exact"/>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邮政编码:</w:t>
      </w:r>
    </w:p>
    <w:tbl>
      <w:tblPr>
        <w:tblStyle w:val="6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5F7F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right"/>
        </w:trPr>
        <w:tc>
          <w:tcPr>
            <w:tcW w:w="5040" w:type="dxa"/>
            <w:noWrap w:val="0"/>
            <w:vAlign w:val="top"/>
          </w:tcPr>
          <w:p w14:paraId="7647BDA4">
            <w:pPr>
              <w:spacing w:line="440" w:lineRule="exact"/>
              <w:rPr>
                <w:rFonts w:hint="eastAsia" w:ascii="仿宋_GB2312" w:hAnsi="仿宋_GB2312" w:eastAsia="仿宋_GB2312" w:cs="仿宋_GB2312"/>
                <w:color w:val="auto"/>
                <w:sz w:val="24"/>
                <w:highlight w:val="none"/>
              </w:rPr>
            </w:pPr>
          </w:p>
          <w:p w14:paraId="626D6709">
            <w:pPr>
              <w:spacing w:line="440" w:lineRule="exact"/>
              <w:rPr>
                <w:rFonts w:hint="eastAsia" w:ascii="仿宋_GB2312" w:hAnsi="仿宋_GB2312" w:eastAsia="仿宋_GB2312" w:cs="仿宋_GB2312"/>
                <w:color w:val="auto"/>
                <w:sz w:val="24"/>
                <w:highlight w:val="none"/>
              </w:rPr>
            </w:pPr>
          </w:p>
          <w:p w14:paraId="21A9AF2F">
            <w:pPr>
              <w:spacing w:line="440" w:lineRule="exact"/>
              <w:rPr>
                <w:rFonts w:hint="eastAsia" w:ascii="仿宋_GB2312" w:hAnsi="仿宋_GB2312" w:eastAsia="仿宋_GB2312" w:cs="仿宋_GB2312"/>
                <w:color w:val="auto"/>
                <w:sz w:val="24"/>
                <w:highlight w:val="none"/>
              </w:rPr>
            </w:pPr>
          </w:p>
          <w:p w14:paraId="0D784ED9">
            <w:pPr>
              <w:spacing w:line="440" w:lineRule="exact"/>
              <w:ind w:firstLine="1200" w:firstLineChars="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授权代表身份证复印件</w:t>
            </w:r>
          </w:p>
          <w:p w14:paraId="3364D678">
            <w:pPr>
              <w:spacing w:line="440" w:lineRule="exact"/>
              <w:ind w:firstLine="1920" w:firstLineChars="8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（粘贴处）</w:t>
            </w:r>
          </w:p>
        </w:tc>
      </w:tr>
    </w:tbl>
    <w:p w14:paraId="3518EB6D">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注：法人投标无须提供。</w:t>
      </w:r>
    </w:p>
    <w:p w14:paraId="1FFEFB91">
      <w:pPr>
        <w:spacing w:line="380" w:lineRule="exact"/>
        <w:jc w:val="center"/>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rPr>
        <w:br w:type="page"/>
      </w:r>
      <w:bookmarkStart w:id="95" w:name="_Toc54280763"/>
      <w:bookmarkStart w:id="96" w:name="_Toc25942243"/>
      <w:r>
        <w:rPr>
          <w:rFonts w:hint="eastAsia" w:ascii="仿宋_GB2312" w:hAnsi="仿宋_GB2312" w:eastAsia="仿宋_GB2312" w:cs="仿宋_GB2312"/>
          <w:b/>
          <w:bCs/>
          <w:color w:val="auto"/>
          <w:sz w:val="24"/>
          <w:highlight w:val="none"/>
        </w:rPr>
        <w:t>技术规格、商务条款偏离表</w:t>
      </w:r>
      <w:bookmarkEnd w:id="95"/>
      <w:bookmarkEnd w:id="96"/>
    </w:p>
    <w:p w14:paraId="1BCDEFED">
      <w:pPr>
        <w:autoSpaceDE w:val="0"/>
        <w:autoSpaceDN w:val="0"/>
        <w:adjustRightInd w:val="0"/>
        <w:spacing w:line="440" w:lineRule="atLeast"/>
        <w:jc w:val="center"/>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t>技术偏离表</w:t>
      </w:r>
    </w:p>
    <w:tbl>
      <w:tblPr>
        <w:tblStyle w:val="65"/>
        <w:tblW w:w="0" w:type="auto"/>
        <w:tblInd w:w="-308" w:type="dxa"/>
        <w:tblLayout w:type="fixed"/>
        <w:tblCellMar>
          <w:top w:w="0" w:type="dxa"/>
          <w:left w:w="108" w:type="dxa"/>
          <w:bottom w:w="0" w:type="dxa"/>
          <w:right w:w="108" w:type="dxa"/>
        </w:tblCellMar>
      </w:tblPr>
      <w:tblGrid>
        <w:gridCol w:w="901"/>
        <w:gridCol w:w="1802"/>
        <w:gridCol w:w="2303"/>
        <w:gridCol w:w="2002"/>
        <w:gridCol w:w="2998"/>
      </w:tblGrid>
      <w:tr w14:paraId="55F9EEBB">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14:paraId="3483F276">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序 号</w:t>
            </w:r>
          </w:p>
        </w:tc>
        <w:tc>
          <w:tcPr>
            <w:tcW w:w="1802" w:type="dxa"/>
            <w:tcBorders>
              <w:top w:val="single" w:color="auto" w:sz="6" w:space="0"/>
              <w:left w:val="single" w:color="auto" w:sz="6" w:space="0"/>
              <w:bottom w:val="single" w:color="auto" w:sz="6" w:space="0"/>
              <w:right w:val="single" w:color="auto" w:sz="6" w:space="0"/>
            </w:tcBorders>
            <w:noWrap w:val="0"/>
            <w:vAlign w:val="center"/>
          </w:tcPr>
          <w:p w14:paraId="6438C86E">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14:paraId="5A175236">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14:paraId="1649448A">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投标响应文件</w:t>
            </w:r>
          </w:p>
          <w:p w14:paraId="3F910232">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对应</w:t>
            </w:r>
          </w:p>
        </w:tc>
        <w:tc>
          <w:tcPr>
            <w:tcW w:w="2998" w:type="dxa"/>
            <w:tcBorders>
              <w:top w:val="single" w:color="auto" w:sz="6" w:space="0"/>
              <w:left w:val="single" w:color="auto" w:sz="6" w:space="0"/>
              <w:bottom w:val="single" w:color="auto" w:sz="6" w:space="0"/>
              <w:right w:val="single" w:color="auto" w:sz="6" w:space="0"/>
            </w:tcBorders>
            <w:noWrap w:val="0"/>
            <w:vAlign w:val="center"/>
          </w:tcPr>
          <w:p w14:paraId="2F81FA09">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备 注</w:t>
            </w:r>
          </w:p>
        </w:tc>
      </w:tr>
      <w:tr w14:paraId="7763787C">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46DCE4FB">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37AD5F99">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2925B229">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48AD8937">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6F9A6D52">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r>
      <w:tr w14:paraId="4FE71CF4">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4D0CE729">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71AEAB88">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3625FC2A">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4546A1F9">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446EFA86">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r>
      <w:tr w14:paraId="269EA604">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4E4749EF">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1D61FFC4">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3B279473">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653B493E">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24761EB4">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r>
      <w:tr w14:paraId="7D1A19AE">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38ED600F">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213A31E0">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6DD9F456">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61B58E7B">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69096151">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r>
      <w:tr w14:paraId="17BA7607">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1737CDEF">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304B1024">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4D5636CB">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044D54F0">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6337EDF2">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r>
      <w:tr w14:paraId="308E0632">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411AB3BF">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43C542BA">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2D93730D">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12AFEFCC">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c>
          <w:tcPr>
            <w:tcW w:w="2998" w:type="dxa"/>
            <w:tcBorders>
              <w:top w:val="single" w:color="auto" w:sz="6" w:space="0"/>
              <w:left w:val="single" w:color="auto" w:sz="6" w:space="0"/>
              <w:bottom w:val="single" w:color="auto" w:sz="6" w:space="0"/>
              <w:right w:val="single" w:color="auto" w:sz="6" w:space="0"/>
            </w:tcBorders>
            <w:noWrap w:val="0"/>
            <w:vAlign w:val="top"/>
          </w:tcPr>
          <w:p w14:paraId="3EAE4A81">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p>
        </w:tc>
      </w:tr>
    </w:tbl>
    <w:p w14:paraId="42257348">
      <w:pPr>
        <w:pStyle w:val="37"/>
        <w:snapToGrid w:val="0"/>
        <w:spacing w:line="440" w:lineRule="atLeast"/>
        <w:ind w:firstLine="480"/>
        <w:outlineLvl w:val="0"/>
        <w:rPr>
          <w:rFonts w:hint="eastAsia" w:ascii="仿宋_GB2312" w:hAnsi="仿宋_GB2312" w:eastAsia="仿宋_GB2312" w:cs="仿宋_GB2312"/>
          <w:b/>
          <w:color w:val="auto"/>
          <w:sz w:val="24"/>
          <w:szCs w:val="24"/>
          <w:highlight w:val="none"/>
          <w:lang w:val="zh-CN"/>
        </w:rPr>
      </w:pPr>
    </w:p>
    <w:p w14:paraId="066B1EBD">
      <w:pPr>
        <w:pStyle w:val="37"/>
        <w:snapToGrid w:val="0"/>
        <w:spacing w:line="440" w:lineRule="atLeast"/>
        <w:ind w:firstLine="480"/>
        <w:outlineLvl w:val="0"/>
        <w:rPr>
          <w:rFonts w:hint="eastAsia" w:ascii="仿宋_GB2312" w:hAnsi="仿宋_GB2312" w:eastAsia="仿宋_GB2312" w:cs="仿宋_GB2312"/>
          <w:b/>
          <w:color w:val="auto"/>
          <w:sz w:val="24"/>
          <w:szCs w:val="24"/>
          <w:highlight w:val="none"/>
          <w:lang w:val="zh-CN"/>
        </w:rPr>
      </w:pPr>
    </w:p>
    <w:p w14:paraId="335F7C43">
      <w:pPr>
        <w:autoSpaceDE w:val="0"/>
        <w:autoSpaceDN w:val="0"/>
        <w:adjustRightInd w:val="0"/>
        <w:spacing w:line="440" w:lineRule="atLeast"/>
        <w:jc w:val="center"/>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t>商务偏离表</w:t>
      </w:r>
    </w:p>
    <w:tbl>
      <w:tblPr>
        <w:tblStyle w:val="65"/>
        <w:tblW w:w="0" w:type="auto"/>
        <w:tblInd w:w="-116" w:type="dxa"/>
        <w:tblLayout w:type="fixed"/>
        <w:tblCellMar>
          <w:top w:w="0" w:type="dxa"/>
          <w:left w:w="108" w:type="dxa"/>
          <w:bottom w:w="0" w:type="dxa"/>
          <w:right w:w="108" w:type="dxa"/>
        </w:tblCellMar>
      </w:tblPr>
      <w:tblGrid>
        <w:gridCol w:w="902"/>
        <w:gridCol w:w="1803"/>
        <w:gridCol w:w="2669"/>
        <w:gridCol w:w="2115"/>
        <w:gridCol w:w="2325"/>
      </w:tblGrid>
      <w:tr w14:paraId="472C0564">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6C23442E">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序 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64503FF">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14:paraId="6417E5DB">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bCs/>
                <w:color w:val="auto"/>
                <w:sz w:val="24"/>
                <w:highlight w:val="none"/>
                <w:lang w:val="zh-CN"/>
              </w:rPr>
              <w:t>招标文件</w:t>
            </w:r>
            <w:r>
              <w:rPr>
                <w:rFonts w:hint="eastAsia" w:ascii="仿宋_GB2312" w:hAnsi="仿宋_GB2312" w:eastAsia="仿宋_GB2312" w:cs="仿宋_GB2312"/>
                <w:color w:val="auto"/>
                <w:sz w:val="24"/>
                <w:highlight w:val="none"/>
                <w:lang w:val="zh-CN"/>
              </w:rPr>
              <w:t>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10552B3F">
            <w:pPr>
              <w:autoSpaceDE w:val="0"/>
              <w:autoSpaceDN w:val="0"/>
              <w:adjustRightInd w:val="0"/>
              <w:spacing w:line="440" w:lineRule="atLeast"/>
              <w:jc w:val="left"/>
              <w:rPr>
                <w:rFonts w:hint="eastAsia" w:ascii="仿宋_GB2312" w:hAnsi="仿宋_GB2312" w:eastAsia="仿宋_GB2312" w:cs="仿宋_GB2312"/>
                <w:bCs/>
                <w:color w:val="auto"/>
                <w:sz w:val="24"/>
                <w:highlight w:val="none"/>
                <w:lang w:val="zh-CN"/>
              </w:rPr>
            </w:pPr>
            <w:r>
              <w:rPr>
                <w:rFonts w:hint="eastAsia" w:ascii="仿宋_GB2312" w:hAnsi="仿宋_GB2312" w:eastAsia="仿宋_GB2312" w:cs="仿宋_GB2312"/>
                <w:bCs/>
                <w:color w:val="auto"/>
                <w:sz w:val="24"/>
                <w:highlight w:val="none"/>
                <w:lang w:val="zh-CN"/>
              </w:rPr>
              <w:t>投标响应文件</w:t>
            </w:r>
          </w:p>
          <w:p w14:paraId="171EDFA1">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对应</w:t>
            </w:r>
          </w:p>
        </w:tc>
        <w:tc>
          <w:tcPr>
            <w:tcW w:w="2325" w:type="dxa"/>
            <w:tcBorders>
              <w:top w:val="single" w:color="auto" w:sz="6" w:space="0"/>
              <w:left w:val="single" w:color="auto" w:sz="6" w:space="0"/>
              <w:bottom w:val="single" w:color="auto" w:sz="6" w:space="0"/>
              <w:right w:val="single" w:color="auto" w:sz="6" w:space="0"/>
            </w:tcBorders>
            <w:noWrap w:val="0"/>
            <w:vAlign w:val="center"/>
          </w:tcPr>
          <w:p w14:paraId="11DAB3F4">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备 注</w:t>
            </w:r>
          </w:p>
        </w:tc>
      </w:tr>
      <w:tr w14:paraId="66A24C3B">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55F1DE4C">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DBDDFE1">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1CB20C4">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47A660CF">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12B43452">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r w14:paraId="6EFBCC72">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8AFE603">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08DC7420">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603E4DCD">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4787A834">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679FF882">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r w14:paraId="5A0A15F3">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58C7049C">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4A3B6D46">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3DC9777">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72C8EE9">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67FBA7D2">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r w14:paraId="11C4E30E">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844D2E6">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2AF25F73">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38459775">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CD281E7">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52588805">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r w14:paraId="4FE452F7">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111B85F">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723C5877">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3DB624E">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B39C19D">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5B4A2BBF">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r w14:paraId="35E14D03">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59A657A6">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3571F1F6">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9749CE6">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25FD6F50">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13F39073">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r w14:paraId="1D391298">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1BAC35D">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00F195C7">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1FE52D4">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4170A8A6">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c>
          <w:tcPr>
            <w:tcW w:w="2325" w:type="dxa"/>
            <w:tcBorders>
              <w:top w:val="single" w:color="auto" w:sz="6" w:space="0"/>
              <w:left w:val="single" w:color="auto" w:sz="6" w:space="0"/>
              <w:bottom w:val="single" w:color="auto" w:sz="6" w:space="0"/>
              <w:right w:val="single" w:color="auto" w:sz="6" w:space="0"/>
            </w:tcBorders>
            <w:noWrap w:val="0"/>
            <w:vAlign w:val="top"/>
          </w:tcPr>
          <w:p w14:paraId="5C2D0C0F">
            <w:pPr>
              <w:autoSpaceDE w:val="0"/>
              <w:autoSpaceDN w:val="0"/>
              <w:adjustRightInd w:val="0"/>
              <w:spacing w:line="440" w:lineRule="atLeast"/>
              <w:jc w:val="left"/>
              <w:rPr>
                <w:rFonts w:hint="eastAsia" w:ascii="仿宋_GB2312" w:hAnsi="仿宋_GB2312" w:eastAsia="仿宋_GB2312" w:cs="仿宋_GB2312"/>
                <w:color w:val="auto"/>
                <w:sz w:val="24"/>
                <w:highlight w:val="none"/>
                <w:lang w:val="zh-CN"/>
              </w:rPr>
            </w:pPr>
          </w:p>
        </w:tc>
      </w:tr>
    </w:tbl>
    <w:p w14:paraId="52FF19E8">
      <w:pPr>
        <w:spacing w:line="38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注：未在此表中注明偏离的，视为响应招标文件要求，没有填写此表视为完全响应招标文件要求。</w:t>
      </w:r>
    </w:p>
    <w:p w14:paraId="7F929D04">
      <w:pPr>
        <w:spacing w:line="380" w:lineRule="exact"/>
        <w:ind w:firstLine="4800" w:firstLineChars="2000"/>
        <w:rPr>
          <w:rFonts w:hint="eastAsia" w:ascii="仿宋_GB2312" w:hAnsi="仿宋_GB2312" w:eastAsia="仿宋_GB2312" w:cs="仿宋_GB2312"/>
          <w:color w:val="auto"/>
          <w:sz w:val="24"/>
          <w:highlight w:val="none"/>
        </w:rPr>
      </w:pPr>
    </w:p>
    <w:p w14:paraId="4358D2A5">
      <w:pPr>
        <w:spacing w:line="380" w:lineRule="exact"/>
        <w:ind w:firstLine="4800" w:firstLineChars="20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0EA10383">
      <w:pPr>
        <w:spacing w:line="380" w:lineRule="exact"/>
        <w:ind w:firstLine="4800" w:firstLineChars="20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634CF054">
      <w:pPr>
        <w:jc w:val="center"/>
        <w:rPr>
          <w:rFonts w:hint="eastAsia" w:ascii="仿宋_GB2312" w:hAnsi="仿宋_GB2312" w:eastAsia="仿宋_GB2312" w:cs="仿宋_GB2312"/>
          <w:b/>
          <w:color w:val="auto"/>
          <w:sz w:val="24"/>
          <w:highlight w:val="none"/>
        </w:rPr>
      </w:pPr>
      <w:bookmarkStart w:id="97" w:name="_Toc5359"/>
      <w:r>
        <w:rPr>
          <w:rFonts w:hint="eastAsia" w:ascii="仿宋_GB2312" w:hAnsi="仿宋_GB2312" w:eastAsia="仿宋_GB2312" w:cs="仿宋_GB2312"/>
          <w:b/>
          <w:bCs/>
          <w:color w:val="auto"/>
          <w:sz w:val="24"/>
          <w:highlight w:val="none"/>
        </w:rPr>
        <w:br w:type="page"/>
      </w:r>
      <w:r>
        <w:rPr>
          <w:rFonts w:hint="eastAsia" w:ascii="仿宋_GB2312" w:hAnsi="仿宋_GB2312" w:eastAsia="仿宋_GB2312" w:cs="仿宋_GB2312"/>
          <w:b/>
          <w:color w:val="auto"/>
          <w:sz w:val="24"/>
          <w:highlight w:val="none"/>
        </w:rPr>
        <w:t>本项目拟投入人员配置情况</w:t>
      </w:r>
    </w:p>
    <w:p w14:paraId="6F802527">
      <w:pPr>
        <w:tabs>
          <w:tab w:val="left" w:pos="780"/>
        </w:tabs>
        <w:spacing w:line="400" w:lineRule="exact"/>
        <w:ind w:left="18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（1）项目负责人情况表</w:t>
      </w:r>
    </w:p>
    <w:p w14:paraId="17A6459D">
      <w:pPr>
        <w:spacing w:line="360" w:lineRule="auto"/>
        <w:ind w:left="-357" w:leftChars="-170" w:firstLine="352" w:firstLineChars="147"/>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项目名称：                                                       项目编号：</w:t>
      </w:r>
    </w:p>
    <w:tbl>
      <w:tblPr>
        <w:tblStyle w:val="65"/>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696C5DC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14:paraId="1A43F816">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1、一般情况</w:t>
            </w:r>
          </w:p>
        </w:tc>
      </w:tr>
      <w:tr w14:paraId="10ECDD5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15AA89BA">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   名</w:t>
            </w:r>
          </w:p>
        </w:tc>
        <w:tc>
          <w:tcPr>
            <w:tcW w:w="1799" w:type="dxa"/>
            <w:tcBorders>
              <w:top w:val="single" w:color="auto" w:sz="4" w:space="0"/>
              <w:bottom w:val="single" w:color="auto" w:sz="4" w:space="0"/>
            </w:tcBorders>
            <w:noWrap w:val="0"/>
            <w:vAlign w:val="center"/>
          </w:tcPr>
          <w:p w14:paraId="3D6A748A">
            <w:pPr>
              <w:spacing w:line="360" w:lineRule="exact"/>
              <w:jc w:val="center"/>
              <w:rPr>
                <w:rFonts w:hint="eastAsia" w:ascii="仿宋_GB2312" w:hAnsi="仿宋_GB2312" w:eastAsia="仿宋_GB2312" w:cs="仿宋_GB2312"/>
                <w:color w:val="auto"/>
                <w:sz w:val="24"/>
                <w:highlight w:val="none"/>
              </w:rPr>
            </w:pPr>
          </w:p>
        </w:tc>
        <w:tc>
          <w:tcPr>
            <w:tcW w:w="1567" w:type="dxa"/>
            <w:gridSpan w:val="2"/>
            <w:tcBorders>
              <w:top w:val="single" w:color="auto" w:sz="4" w:space="0"/>
              <w:bottom w:val="single" w:color="auto" w:sz="4" w:space="0"/>
            </w:tcBorders>
            <w:noWrap w:val="0"/>
            <w:vAlign w:val="center"/>
          </w:tcPr>
          <w:p w14:paraId="36AD9EE8">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龄</w:t>
            </w:r>
          </w:p>
        </w:tc>
        <w:tc>
          <w:tcPr>
            <w:tcW w:w="1062" w:type="dxa"/>
            <w:tcBorders>
              <w:top w:val="single" w:color="auto" w:sz="4" w:space="0"/>
              <w:bottom w:val="single" w:color="auto" w:sz="4" w:space="0"/>
            </w:tcBorders>
            <w:noWrap w:val="0"/>
            <w:vAlign w:val="center"/>
          </w:tcPr>
          <w:p w14:paraId="3B40D652">
            <w:pPr>
              <w:spacing w:line="360" w:lineRule="exact"/>
              <w:jc w:val="center"/>
              <w:rPr>
                <w:rFonts w:hint="eastAsia" w:ascii="仿宋_GB2312" w:hAnsi="仿宋_GB2312" w:eastAsia="仿宋_GB2312" w:cs="仿宋_GB2312"/>
                <w:color w:val="auto"/>
                <w:sz w:val="24"/>
                <w:highlight w:val="none"/>
              </w:rPr>
            </w:pPr>
          </w:p>
        </w:tc>
        <w:tc>
          <w:tcPr>
            <w:tcW w:w="2074" w:type="dxa"/>
            <w:tcBorders>
              <w:top w:val="single" w:color="auto" w:sz="4" w:space="0"/>
              <w:bottom w:val="single" w:color="auto" w:sz="4" w:space="0"/>
            </w:tcBorders>
            <w:noWrap w:val="0"/>
            <w:vAlign w:val="center"/>
          </w:tcPr>
          <w:p w14:paraId="3F3D8A3C">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  历</w:t>
            </w:r>
          </w:p>
        </w:tc>
        <w:tc>
          <w:tcPr>
            <w:tcW w:w="1568" w:type="dxa"/>
            <w:tcBorders>
              <w:top w:val="single" w:color="auto" w:sz="4" w:space="0"/>
              <w:bottom w:val="single" w:color="auto" w:sz="4" w:space="0"/>
            </w:tcBorders>
            <w:noWrap w:val="0"/>
            <w:vAlign w:val="center"/>
          </w:tcPr>
          <w:p w14:paraId="2E66D36B">
            <w:pPr>
              <w:spacing w:line="360" w:lineRule="exact"/>
              <w:jc w:val="center"/>
              <w:rPr>
                <w:rFonts w:hint="eastAsia" w:ascii="仿宋_GB2312" w:hAnsi="仿宋_GB2312" w:eastAsia="仿宋_GB2312" w:cs="仿宋_GB2312"/>
                <w:color w:val="auto"/>
                <w:sz w:val="24"/>
                <w:highlight w:val="none"/>
              </w:rPr>
            </w:pPr>
          </w:p>
        </w:tc>
      </w:tr>
      <w:tr w14:paraId="0879BF0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20814999">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毕业学校</w:t>
            </w:r>
          </w:p>
        </w:tc>
        <w:tc>
          <w:tcPr>
            <w:tcW w:w="1799" w:type="dxa"/>
            <w:tcBorders>
              <w:top w:val="single" w:color="auto" w:sz="4" w:space="0"/>
              <w:bottom w:val="single" w:color="auto" w:sz="4" w:space="0"/>
            </w:tcBorders>
            <w:noWrap w:val="0"/>
            <w:vAlign w:val="center"/>
          </w:tcPr>
          <w:p w14:paraId="260DFC23">
            <w:pPr>
              <w:spacing w:line="360" w:lineRule="exact"/>
              <w:rPr>
                <w:rFonts w:hint="eastAsia" w:ascii="仿宋_GB2312" w:hAnsi="仿宋_GB2312" w:eastAsia="仿宋_GB2312" w:cs="仿宋_GB2312"/>
                <w:color w:val="auto"/>
                <w:sz w:val="24"/>
                <w:highlight w:val="none"/>
              </w:rPr>
            </w:pPr>
          </w:p>
        </w:tc>
        <w:tc>
          <w:tcPr>
            <w:tcW w:w="1567" w:type="dxa"/>
            <w:gridSpan w:val="2"/>
            <w:tcBorders>
              <w:top w:val="single" w:color="auto" w:sz="4" w:space="0"/>
              <w:bottom w:val="single" w:color="auto" w:sz="4" w:space="0"/>
            </w:tcBorders>
            <w:noWrap w:val="0"/>
            <w:vAlign w:val="center"/>
          </w:tcPr>
          <w:p w14:paraId="3F57725B">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  业</w:t>
            </w:r>
          </w:p>
        </w:tc>
        <w:tc>
          <w:tcPr>
            <w:tcW w:w="1062" w:type="dxa"/>
            <w:tcBorders>
              <w:top w:val="single" w:color="auto" w:sz="4" w:space="0"/>
              <w:bottom w:val="single" w:color="auto" w:sz="4" w:space="0"/>
            </w:tcBorders>
            <w:noWrap w:val="0"/>
            <w:vAlign w:val="center"/>
          </w:tcPr>
          <w:p w14:paraId="59D1A533">
            <w:pPr>
              <w:spacing w:line="360" w:lineRule="exact"/>
              <w:jc w:val="center"/>
              <w:rPr>
                <w:rFonts w:hint="eastAsia" w:ascii="仿宋_GB2312" w:hAnsi="仿宋_GB2312" w:eastAsia="仿宋_GB2312" w:cs="仿宋_GB2312"/>
                <w:color w:val="auto"/>
                <w:sz w:val="24"/>
                <w:highlight w:val="none"/>
              </w:rPr>
            </w:pPr>
          </w:p>
        </w:tc>
        <w:tc>
          <w:tcPr>
            <w:tcW w:w="2074" w:type="dxa"/>
            <w:tcBorders>
              <w:top w:val="single" w:color="auto" w:sz="4" w:space="0"/>
              <w:bottom w:val="single" w:color="auto" w:sz="4" w:space="0"/>
            </w:tcBorders>
            <w:noWrap w:val="0"/>
            <w:vAlign w:val="center"/>
          </w:tcPr>
          <w:p w14:paraId="7F9BDC83">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务</w:t>
            </w:r>
          </w:p>
        </w:tc>
        <w:tc>
          <w:tcPr>
            <w:tcW w:w="1568" w:type="dxa"/>
            <w:tcBorders>
              <w:top w:val="single" w:color="auto" w:sz="4" w:space="0"/>
              <w:bottom w:val="single" w:color="auto" w:sz="4" w:space="0"/>
            </w:tcBorders>
            <w:noWrap w:val="0"/>
            <w:vAlign w:val="center"/>
          </w:tcPr>
          <w:p w14:paraId="4293E7AD">
            <w:pPr>
              <w:spacing w:line="360" w:lineRule="exact"/>
              <w:jc w:val="center"/>
              <w:rPr>
                <w:rFonts w:hint="eastAsia" w:ascii="仿宋_GB2312" w:hAnsi="仿宋_GB2312" w:eastAsia="仿宋_GB2312" w:cs="仿宋_GB2312"/>
                <w:color w:val="auto"/>
                <w:sz w:val="24"/>
                <w:highlight w:val="none"/>
              </w:rPr>
            </w:pPr>
          </w:p>
        </w:tc>
      </w:tr>
      <w:tr w14:paraId="4C47661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14:paraId="6D646F43">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称</w:t>
            </w:r>
          </w:p>
        </w:tc>
        <w:tc>
          <w:tcPr>
            <w:tcW w:w="1799" w:type="dxa"/>
            <w:tcBorders>
              <w:top w:val="single" w:color="auto" w:sz="4" w:space="0"/>
              <w:bottom w:val="single" w:color="auto" w:sz="4" w:space="0"/>
            </w:tcBorders>
            <w:noWrap w:val="0"/>
            <w:vAlign w:val="center"/>
          </w:tcPr>
          <w:p w14:paraId="636B95BD">
            <w:pPr>
              <w:spacing w:line="360" w:lineRule="exact"/>
              <w:rPr>
                <w:rFonts w:hint="eastAsia" w:ascii="仿宋_GB2312" w:hAnsi="仿宋_GB2312" w:eastAsia="仿宋_GB2312" w:cs="仿宋_GB2312"/>
                <w:color w:val="auto"/>
                <w:sz w:val="24"/>
                <w:highlight w:val="none"/>
              </w:rPr>
            </w:pPr>
          </w:p>
        </w:tc>
        <w:tc>
          <w:tcPr>
            <w:tcW w:w="1567" w:type="dxa"/>
            <w:gridSpan w:val="2"/>
            <w:tcBorders>
              <w:top w:val="single" w:color="auto" w:sz="4" w:space="0"/>
              <w:bottom w:val="single" w:color="auto" w:sz="4" w:space="0"/>
            </w:tcBorders>
            <w:noWrap w:val="0"/>
            <w:vAlign w:val="center"/>
          </w:tcPr>
          <w:p w14:paraId="02746782">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拟任何职</w:t>
            </w:r>
          </w:p>
        </w:tc>
        <w:tc>
          <w:tcPr>
            <w:tcW w:w="1062" w:type="dxa"/>
            <w:tcBorders>
              <w:top w:val="single" w:color="auto" w:sz="4" w:space="0"/>
              <w:bottom w:val="single" w:color="auto" w:sz="4" w:space="0"/>
            </w:tcBorders>
            <w:noWrap w:val="0"/>
            <w:vAlign w:val="center"/>
          </w:tcPr>
          <w:p w14:paraId="7D69DE23">
            <w:pPr>
              <w:spacing w:line="360" w:lineRule="exact"/>
              <w:jc w:val="center"/>
              <w:rPr>
                <w:rFonts w:hint="eastAsia" w:ascii="仿宋_GB2312" w:hAnsi="仿宋_GB2312" w:eastAsia="仿宋_GB2312" w:cs="仿宋_GB2312"/>
                <w:color w:val="auto"/>
                <w:sz w:val="24"/>
                <w:highlight w:val="none"/>
              </w:rPr>
            </w:pPr>
          </w:p>
        </w:tc>
        <w:tc>
          <w:tcPr>
            <w:tcW w:w="2074" w:type="dxa"/>
            <w:tcBorders>
              <w:top w:val="single" w:color="auto" w:sz="4" w:space="0"/>
              <w:bottom w:val="single" w:color="auto" w:sz="4" w:space="0"/>
            </w:tcBorders>
            <w:noWrap w:val="0"/>
            <w:vAlign w:val="center"/>
          </w:tcPr>
          <w:p w14:paraId="25B7204F">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参加工作</w:t>
            </w:r>
          </w:p>
          <w:p w14:paraId="5C757459">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w:t>
            </w:r>
          </w:p>
        </w:tc>
        <w:tc>
          <w:tcPr>
            <w:tcW w:w="1568" w:type="dxa"/>
            <w:tcBorders>
              <w:top w:val="single" w:color="auto" w:sz="4" w:space="0"/>
              <w:bottom w:val="single" w:color="auto" w:sz="4" w:space="0"/>
            </w:tcBorders>
            <w:noWrap w:val="0"/>
            <w:vAlign w:val="center"/>
          </w:tcPr>
          <w:p w14:paraId="56C99513">
            <w:pPr>
              <w:spacing w:line="360" w:lineRule="exact"/>
              <w:jc w:val="center"/>
              <w:rPr>
                <w:rFonts w:hint="eastAsia" w:ascii="仿宋_GB2312" w:hAnsi="仿宋_GB2312" w:eastAsia="仿宋_GB2312" w:cs="仿宋_GB2312"/>
                <w:color w:val="auto"/>
                <w:sz w:val="24"/>
                <w:highlight w:val="none"/>
              </w:rPr>
            </w:pPr>
          </w:p>
        </w:tc>
      </w:tr>
      <w:tr w14:paraId="39C768A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14:paraId="6DC71D7B">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2、个人简历</w:t>
            </w:r>
          </w:p>
        </w:tc>
      </w:tr>
      <w:tr w14:paraId="6313545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54039EB0">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  间</w:t>
            </w:r>
          </w:p>
        </w:tc>
        <w:tc>
          <w:tcPr>
            <w:tcW w:w="8070" w:type="dxa"/>
            <w:gridSpan w:val="6"/>
            <w:tcBorders>
              <w:top w:val="single" w:color="auto" w:sz="4" w:space="0"/>
              <w:bottom w:val="single" w:color="auto" w:sz="4" w:space="0"/>
            </w:tcBorders>
            <w:noWrap w:val="0"/>
            <w:vAlign w:val="center"/>
          </w:tcPr>
          <w:p w14:paraId="25AE6992">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专业工作经历</w:t>
            </w:r>
          </w:p>
        </w:tc>
      </w:tr>
      <w:tr w14:paraId="05521A8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0E6E7CD9">
            <w:pPr>
              <w:spacing w:line="360" w:lineRule="exact"/>
              <w:rPr>
                <w:rFonts w:hint="eastAsia" w:ascii="仿宋_GB2312" w:hAnsi="仿宋_GB2312" w:eastAsia="仿宋_GB2312" w:cs="仿宋_GB2312"/>
                <w:color w:val="auto"/>
                <w:sz w:val="24"/>
                <w:highlight w:val="none"/>
              </w:rPr>
            </w:pPr>
          </w:p>
        </w:tc>
        <w:tc>
          <w:tcPr>
            <w:tcW w:w="8070" w:type="dxa"/>
            <w:gridSpan w:val="6"/>
            <w:tcBorders>
              <w:top w:val="single" w:color="auto" w:sz="4" w:space="0"/>
              <w:bottom w:val="single" w:color="auto" w:sz="4" w:space="0"/>
            </w:tcBorders>
            <w:noWrap w:val="0"/>
            <w:vAlign w:val="center"/>
          </w:tcPr>
          <w:p w14:paraId="538444F1">
            <w:pPr>
              <w:spacing w:line="360" w:lineRule="exact"/>
              <w:rPr>
                <w:rFonts w:hint="eastAsia" w:ascii="仿宋_GB2312" w:hAnsi="仿宋_GB2312" w:eastAsia="仿宋_GB2312" w:cs="仿宋_GB2312"/>
                <w:color w:val="auto"/>
                <w:sz w:val="24"/>
                <w:highlight w:val="none"/>
              </w:rPr>
            </w:pPr>
          </w:p>
        </w:tc>
      </w:tr>
      <w:tr w14:paraId="5C69919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14:paraId="2CCF0642">
            <w:pPr>
              <w:spacing w:line="360" w:lineRule="exact"/>
              <w:rPr>
                <w:rFonts w:hint="eastAsia" w:ascii="仿宋_GB2312" w:hAnsi="仿宋_GB2312" w:eastAsia="仿宋_GB2312" w:cs="仿宋_GB2312"/>
                <w:color w:val="auto"/>
                <w:sz w:val="24"/>
                <w:highlight w:val="none"/>
              </w:rPr>
            </w:pPr>
          </w:p>
        </w:tc>
        <w:tc>
          <w:tcPr>
            <w:tcW w:w="8070" w:type="dxa"/>
            <w:gridSpan w:val="6"/>
            <w:tcBorders>
              <w:top w:val="single" w:color="auto" w:sz="4" w:space="0"/>
              <w:bottom w:val="single" w:color="auto" w:sz="4" w:space="0"/>
            </w:tcBorders>
            <w:noWrap w:val="0"/>
            <w:vAlign w:val="center"/>
          </w:tcPr>
          <w:p w14:paraId="3A4A7917">
            <w:pPr>
              <w:spacing w:line="360" w:lineRule="exact"/>
              <w:rPr>
                <w:rFonts w:hint="eastAsia" w:ascii="仿宋_GB2312" w:hAnsi="仿宋_GB2312" w:eastAsia="仿宋_GB2312" w:cs="仿宋_GB2312"/>
                <w:color w:val="auto"/>
                <w:sz w:val="24"/>
                <w:highlight w:val="none"/>
              </w:rPr>
            </w:pPr>
          </w:p>
        </w:tc>
      </w:tr>
      <w:tr w14:paraId="38931BE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14:paraId="224D5F78">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3、项目负责人业绩</w:t>
            </w:r>
          </w:p>
        </w:tc>
      </w:tr>
      <w:tr w14:paraId="37EA5F0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0A1386CB">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3427" w:type="dxa"/>
            <w:gridSpan w:val="3"/>
            <w:tcBorders>
              <w:top w:val="single" w:color="auto" w:sz="4" w:space="0"/>
              <w:bottom w:val="single" w:color="auto" w:sz="4" w:space="0"/>
            </w:tcBorders>
            <w:noWrap w:val="0"/>
            <w:vAlign w:val="center"/>
          </w:tcPr>
          <w:p w14:paraId="65DB890C">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  目  名  称</w:t>
            </w:r>
          </w:p>
        </w:tc>
        <w:tc>
          <w:tcPr>
            <w:tcW w:w="1440" w:type="dxa"/>
            <w:gridSpan w:val="2"/>
            <w:tcBorders>
              <w:top w:val="single" w:color="auto" w:sz="4" w:space="0"/>
              <w:bottom w:val="single" w:color="auto" w:sz="4" w:space="0"/>
            </w:tcBorders>
            <w:noWrap w:val="0"/>
            <w:vAlign w:val="center"/>
          </w:tcPr>
          <w:p w14:paraId="723944CA">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完成年份</w:t>
            </w:r>
          </w:p>
        </w:tc>
        <w:tc>
          <w:tcPr>
            <w:tcW w:w="3642" w:type="dxa"/>
            <w:gridSpan w:val="2"/>
            <w:tcBorders>
              <w:top w:val="single" w:color="auto" w:sz="4" w:space="0"/>
              <w:bottom w:val="single" w:color="auto" w:sz="4" w:space="0"/>
            </w:tcBorders>
            <w:noWrap w:val="0"/>
            <w:vAlign w:val="center"/>
          </w:tcPr>
          <w:p w14:paraId="7D9BA6E2">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获奖情况</w:t>
            </w:r>
          </w:p>
        </w:tc>
      </w:tr>
      <w:tr w14:paraId="4249F1D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623289C3">
            <w:pPr>
              <w:spacing w:line="360" w:lineRule="exact"/>
              <w:rPr>
                <w:rFonts w:hint="eastAsia" w:ascii="仿宋_GB2312" w:hAnsi="仿宋_GB2312" w:eastAsia="仿宋_GB2312" w:cs="仿宋_GB2312"/>
                <w:color w:val="auto"/>
                <w:sz w:val="24"/>
                <w:highlight w:val="none"/>
              </w:rPr>
            </w:pPr>
          </w:p>
        </w:tc>
        <w:tc>
          <w:tcPr>
            <w:tcW w:w="3427" w:type="dxa"/>
            <w:gridSpan w:val="3"/>
            <w:tcBorders>
              <w:top w:val="single" w:color="auto" w:sz="4" w:space="0"/>
              <w:bottom w:val="single" w:color="auto" w:sz="4" w:space="0"/>
            </w:tcBorders>
            <w:noWrap w:val="0"/>
            <w:vAlign w:val="center"/>
          </w:tcPr>
          <w:p w14:paraId="78ABA0EF">
            <w:pPr>
              <w:spacing w:line="360" w:lineRule="exact"/>
              <w:rPr>
                <w:rFonts w:hint="eastAsia" w:ascii="仿宋_GB2312" w:hAnsi="仿宋_GB2312" w:eastAsia="仿宋_GB2312" w:cs="仿宋_GB2312"/>
                <w:color w:val="auto"/>
                <w:sz w:val="24"/>
                <w:highlight w:val="none"/>
              </w:rPr>
            </w:pPr>
          </w:p>
        </w:tc>
        <w:tc>
          <w:tcPr>
            <w:tcW w:w="1440" w:type="dxa"/>
            <w:gridSpan w:val="2"/>
            <w:tcBorders>
              <w:top w:val="single" w:color="auto" w:sz="4" w:space="0"/>
              <w:bottom w:val="single" w:color="auto" w:sz="4" w:space="0"/>
            </w:tcBorders>
            <w:noWrap w:val="0"/>
            <w:vAlign w:val="center"/>
          </w:tcPr>
          <w:p w14:paraId="78D4228F">
            <w:pPr>
              <w:spacing w:line="360" w:lineRule="exact"/>
              <w:rPr>
                <w:rFonts w:hint="eastAsia" w:ascii="仿宋_GB2312" w:hAnsi="仿宋_GB2312" w:eastAsia="仿宋_GB2312" w:cs="仿宋_GB2312"/>
                <w:color w:val="auto"/>
                <w:sz w:val="24"/>
                <w:highlight w:val="none"/>
              </w:rPr>
            </w:pPr>
          </w:p>
        </w:tc>
        <w:tc>
          <w:tcPr>
            <w:tcW w:w="3642" w:type="dxa"/>
            <w:gridSpan w:val="2"/>
            <w:tcBorders>
              <w:top w:val="single" w:color="auto" w:sz="4" w:space="0"/>
              <w:bottom w:val="single" w:color="auto" w:sz="4" w:space="0"/>
            </w:tcBorders>
            <w:noWrap w:val="0"/>
            <w:vAlign w:val="center"/>
          </w:tcPr>
          <w:p w14:paraId="5F34C553">
            <w:pPr>
              <w:spacing w:line="360" w:lineRule="exact"/>
              <w:rPr>
                <w:rFonts w:hint="eastAsia" w:ascii="仿宋_GB2312" w:hAnsi="仿宋_GB2312" w:eastAsia="仿宋_GB2312" w:cs="仿宋_GB2312"/>
                <w:color w:val="auto"/>
                <w:sz w:val="24"/>
                <w:highlight w:val="none"/>
              </w:rPr>
            </w:pPr>
          </w:p>
        </w:tc>
      </w:tr>
      <w:tr w14:paraId="516AE96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617A639F">
            <w:pPr>
              <w:spacing w:line="360" w:lineRule="exact"/>
              <w:rPr>
                <w:rFonts w:hint="eastAsia" w:ascii="仿宋_GB2312" w:hAnsi="仿宋_GB2312" w:eastAsia="仿宋_GB2312" w:cs="仿宋_GB2312"/>
                <w:color w:val="auto"/>
                <w:sz w:val="24"/>
                <w:highlight w:val="none"/>
              </w:rPr>
            </w:pPr>
          </w:p>
        </w:tc>
        <w:tc>
          <w:tcPr>
            <w:tcW w:w="3427" w:type="dxa"/>
            <w:gridSpan w:val="3"/>
            <w:tcBorders>
              <w:top w:val="single" w:color="auto" w:sz="4" w:space="0"/>
              <w:bottom w:val="single" w:color="auto" w:sz="4" w:space="0"/>
            </w:tcBorders>
            <w:noWrap w:val="0"/>
            <w:vAlign w:val="center"/>
          </w:tcPr>
          <w:p w14:paraId="43AE9660">
            <w:pPr>
              <w:spacing w:line="360" w:lineRule="exact"/>
              <w:rPr>
                <w:rFonts w:hint="eastAsia" w:ascii="仿宋_GB2312" w:hAnsi="仿宋_GB2312" w:eastAsia="仿宋_GB2312" w:cs="仿宋_GB2312"/>
                <w:color w:val="auto"/>
                <w:sz w:val="24"/>
                <w:highlight w:val="none"/>
              </w:rPr>
            </w:pPr>
          </w:p>
        </w:tc>
        <w:tc>
          <w:tcPr>
            <w:tcW w:w="1440" w:type="dxa"/>
            <w:gridSpan w:val="2"/>
            <w:tcBorders>
              <w:top w:val="single" w:color="auto" w:sz="4" w:space="0"/>
              <w:bottom w:val="single" w:color="auto" w:sz="4" w:space="0"/>
            </w:tcBorders>
            <w:noWrap w:val="0"/>
            <w:vAlign w:val="center"/>
          </w:tcPr>
          <w:p w14:paraId="3D47FA94">
            <w:pPr>
              <w:spacing w:line="360" w:lineRule="exact"/>
              <w:rPr>
                <w:rFonts w:hint="eastAsia" w:ascii="仿宋_GB2312" w:hAnsi="仿宋_GB2312" w:eastAsia="仿宋_GB2312" w:cs="仿宋_GB2312"/>
                <w:color w:val="auto"/>
                <w:sz w:val="24"/>
                <w:highlight w:val="none"/>
              </w:rPr>
            </w:pPr>
          </w:p>
        </w:tc>
        <w:tc>
          <w:tcPr>
            <w:tcW w:w="3642" w:type="dxa"/>
            <w:gridSpan w:val="2"/>
            <w:tcBorders>
              <w:top w:val="single" w:color="auto" w:sz="4" w:space="0"/>
              <w:bottom w:val="single" w:color="auto" w:sz="4" w:space="0"/>
            </w:tcBorders>
            <w:noWrap w:val="0"/>
            <w:vAlign w:val="center"/>
          </w:tcPr>
          <w:p w14:paraId="4F6CAF9C">
            <w:pPr>
              <w:spacing w:line="360" w:lineRule="exact"/>
              <w:rPr>
                <w:rFonts w:hint="eastAsia" w:ascii="仿宋_GB2312" w:hAnsi="仿宋_GB2312" w:eastAsia="仿宋_GB2312" w:cs="仿宋_GB2312"/>
                <w:color w:val="auto"/>
                <w:sz w:val="24"/>
                <w:highlight w:val="none"/>
              </w:rPr>
            </w:pPr>
          </w:p>
        </w:tc>
      </w:tr>
      <w:tr w14:paraId="1155E82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14:paraId="320A5803">
            <w:pPr>
              <w:spacing w:line="360" w:lineRule="exact"/>
              <w:rPr>
                <w:rFonts w:hint="eastAsia" w:ascii="仿宋_GB2312" w:hAnsi="仿宋_GB2312" w:eastAsia="仿宋_GB2312" w:cs="仿宋_GB2312"/>
                <w:color w:val="auto"/>
                <w:sz w:val="24"/>
                <w:highlight w:val="none"/>
              </w:rPr>
            </w:pPr>
          </w:p>
        </w:tc>
        <w:tc>
          <w:tcPr>
            <w:tcW w:w="3427" w:type="dxa"/>
            <w:gridSpan w:val="3"/>
            <w:tcBorders>
              <w:top w:val="single" w:color="auto" w:sz="4" w:space="0"/>
              <w:bottom w:val="single" w:color="auto" w:sz="4" w:space="0"/>
            </w:tcBorders>
            <w:noWrap w:val="0"/>
            <w:vAlign w:val="center"/>
          </w:tcPr>
          <w:p w14:paraId="37E3C54B">
            <w:pPr>
              <w:spacing w:line="360" w:lineRule="exact"/>
              <w:rPr>
                <w:rFonts w:hint="eastAsia" w:ascii="仿宋_GB2312" w:hAnsi="仿宋_GB2312" w:eastAsia="仿宋_GB2312" w:cs="仿宋_GB2312"/>
                <w:color w:val="auto"/>
                <w:sz w:val="24"/>
                <w:highlight w:val="none"/>
              </w:rPr>
            </w:pPr>
          </w:p>
        </w:tc>
        <w:tc>
          <w:tcPr>
            <w:tcW w:w="1440" w:type="dxa"/>
            <w:gridSpan w:val="2"/>
            <w:tcBorders>
              <w:top w:val="single" w:color="auto" w:sz="4" w:space="0"/>
              <w:bottom w:val="single" w:color="auto" w:sz="4" w:space="0"/>
            </w:tcBorders>
            <w:noWrap w:val="0"/>
            <w:vAlign w:val="center"/>
          </w:tcPr>
          <w:p w14:paraId="2AC012AB">
            <w:pPr>
              <w:spacing w:line="360" w:lineRule="exact"/>
              <w:rPr>
                <w:rFonts w:hint="eastAsia" w:ascii="仿宋_GB2312" w:hAnsi="仿宋_GB2312" w:eastAsia="仿宋_GB2312" w:cs="仿宋_GB2312"/>
                <w:color w:val="auto"/>
                <w:sz w:val="24"/>
                <w:highlight w:val="none"/>
              </w:rPr>
            </w:pPr>
          </w:p>
        </w:tc>
        <w:tc>
          <w:tcPr>
            <w:tcW w:w="3642" w:type="dxa"/>
            <w:gridSpan w:val="2"/>
            <w:tcBorders>
              <w:top w:val="single" w:color="auto" w:sz="4" w:space="0"/>
              <w:bottom w:val="single" w:color="auto" w:sz="4" w:space="0"/>
            </w:tcBorders>
            <w:noWrap w:val="0"/>
            <w:vAlign w:val="center"/>
          </w:tcPr>
          <w:p w14:paraId="155AB449">
            <w:pPr>
              <w:spacing w:line="360" w:lineRule="exact"/>
              <w:rPr>
                <w:rFonts w:hint="eastAsia" w:ascii="仿宋_GB2312" w:hAnsi="仿宋_GB2312" w:eastAsia="仿宋_GB2312" w:cs="仿宋_GB2312"/>
                <w:color w:val="auto"/>
                <w:sz w:val="24"/>
                <w:highlight w:val="none"/>
              </w:rPr>
            </w:pPr>
          </w:p>
        </w:tc>
      </w:tr>
      <w:tr w14:paraId="5D382E3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14:paraId="4F3C4BD6">
            <w:pPr>
              <w:spacing w:line="360" w:lineRule="exact"/>
              <w:rPr>
                <w:rFonts w:hint="eastAsia" w:ascii="仿宋_GB2312" w:hAnsi="仿宋_GB2312" w:eastAsia="仿宋_GB2312" w:cs="仿宋_GB2312"/>
                <w:color w:val="auto"/>
                <w:sz w:val="24"/>
                <w:highlight w:val="none"/>
              </w:rPr>
            </w:pPr>
          </w:p>
        </w:tc>
        <w:tc>
          <w:tcPr>
            <w:tcW w:w="3427" w:type="dxa"/>
            <w:gridSpan w:val="3"/>
            <w:tcBorders>
              <w:top w:val="single" w:color="auto" w:sz="4" w:space="0"/>
              <w:bottom w:val="single" w:color="auto" w:sz="12" w:space="0"/>
            </w:tcBorders>
            <w:noWrap w:val="0"/>
            <w:vAlign w:val="center"/>
          </w:tcPr>
          <w:p w14:paraId="1F8E058F">
            <w:pPr>
              <w:spacing w:line="360" w:lineRule="exact"/>
              <w:rPr>
                <w:rFonts w:hint="eastAsia" w:ascii="仿宋_GB2312" w:hAnsi="仿宋_GB2312" w:eastAsia="仿宋_GB2312" w:cs="仿宋_GB2312"/>
                <w:color w:val="auto"/>
                <w:sz w:val="24"/>
                <w:highlight w:val="none"/>
              </w:rPr>
            </w:pPr>
          </w:p>
        </w:tc>
        <w:tc>
          <w:tcPr>
            <w:tcW w:w="1440" w:type="dxa"/>
            <w:gridSpan w:val="2"/>
            <w:tcBorders>
              <w:top w:val="single" w:color="auto" w:sz="4" w:space="0"/>
              <w:bottom w:val="single" w:color="auto" w:sz="12" w:space="0"/>
            </w:tcBorders>
            <w:noWrap w:val="0"/>
            <w:vAlign w:val="center"/>
          </w:tcPr>
          <w:p w14:paraId="6E96AE2A">
            <w:pPr>
              <w:spacing w:line="360" w:lineRule="exact"/>
              <w:rPr>
                <w:rFonts w:hint="eastAsia" w:ascii="仿宋_GB2312" w:hAnsi="仿宋_GB2312" w:eastAsia="仿宋_GB2312" w:cs="仿宋_GB2312"/>
                <w:color w:val="auto"/>
                <w:sz w:val="24"/>
                <w:highlight w:val="none"/>
              </w:rPr>
            </w:pPr>
          </w:p>
        </w:tc>
        <w:tc>
          <w:tcPr>
            <w:tcW w:w="3642" w:type="dxa"/>
            <w:gridSpan w:val="2"/>
            <w:tcBorders>
              <w:top w:val="single" w:color="auto" w:sz="4" w:space="0"/>
              <w:bottom w:val="single" w:color="auto" w:sz="12" w:space="0"/>
            </w:tcBorders>
            <w:noWrap w:val="0"/>
            <w:vAlign w:val="center"/>
          </w:tcPr>
          <w:p w14:paraId="1D57F977">
            <w:pPr>
              <w:spacing w:line="360" w:lineRule="exact"/>
              <w:rPr>
                <w:rFonts w:hint="eastAsia" w:ascii="仿宋_GB2312" w:hAnsi="仿宋_GB2312" w:eastAsia="仿宋_GB2312" w:cs="仿宋_GB2312"/>
                <w:color w:val="auto"/>
                <w:sz w:val="24"/>
                <w:highlight w:val="none"/>
              </w:rPr>
            </w:pPr>
          </w:p>
        </w:tc>
      </w:tr>
    </w:tbl>
    <w:p w14:paraId="67C23029">
      <w:pPr>
        <w:tabs>
          <w:tab w:val="left" w:pos="780"/>
        </w:tabs>
        <w:spacing w:line="400" w:lineRule="exact"/>
        <w:ind w:left="1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注：1.此表所列人员如需更换，须经采购人同意。</w:t>
      </w:r>
    </w:p>
    <w:p w14:paraId="0CB97A66">
      <w:pPr>
        <w:pStyle w:val="3"/>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2.须按商务技术文件评定表中的要求提供证明材料。</w:t>
      </w:r>
    </w:p>
    <w:p w14:paraId="57675C07">
      <w:pPr>
        <w:jc w:val="left"/>
        <w:rPr>
          <w:rFonts w:hint="eastAsia" w:ascii="仿宋_GB2312" w:hAnsi="仿宋_GB2312" w:eastAsia="仿宋_GB2312" w:cs="仿宋_GB2312"/>
          <w:color w:val="auto"/>
          <w:sz w:val="24"/>
          <w:highlight w:val="none"/>
        </w:rPr>
      </w:pPr>
    </w:p>
    <w:p w14:paraId="07F533F8">
      <w:pPr>
        <w:jc w:val="left"/>
        <w:rPr>
          <w:rFonts w:hint="eastAsia" w:ascii="仿宋_GB2312" w:hAnsi="仿宋_GB2312" w:eastAsia="仿宋_GB2312" w:cs="仿宋_GB2312"/>
          <w:color w:val="auto"/>
          <w:sz w:val="24"/>
          <w:highlight w:val="none"/>
        </w:rPr>
      </w:pPr>
    </w:p>
    <w:p w14:paraId="1DFE82AB">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292FE6E2">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164FC3F0">
      <w:pPr>
        <w:tabs>
          <w:tab w:val="left" w:pos="780"/>
        </w:tabs>
        <w:spacing w:line="400" w:lineRule="exact"/>
        <w:ind w:left="18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br w:type="page"/>
      </w:r>
      <w:r>
        <w:rPr>
          <w:rFonts w:hint="eastAsia" w:ascii="仿宋_GB2312" w:hAnsi="仿宋_GB2312" w:eastAsia="仿宋_GB2312" w:cs="仿宋_GB2312"/>
          <w:b/>
          <w:bCs/>
          <w:color w:val="auto"/>
          <w:sz w:val="24"/>
          <w:highlight w:val="none"/>
        </w:rPr>
        <w:t>（2）项目服务人员汇总表</w:t>
      </w:r>
    </w:p>
    <w:p w14:paraId="13D648D7">
      <w:pPr>
        <w:spacing w:line="380" w:lineRule="exact"/>
        <w:jc w:val="center"/>
        <w:rPr>
          <w:rFonts w:hint="eastAsia" w:ascii="仿宋_GB2312" w:hAnsi="仿宋_GB2312" w:eastAsia="仿宋_GB2312" w:cs="仿宋_GB2312"/>
          <w:b/>
          <w:bCs/>
          <w:color w:val="auto"/>
          <w:sz w:val="24"/>
          <w:highlight w:val="none"/>
        </w:rPr>
      </w:pPr>
    </w:p>
    <w:p w14:paraId="6D7673A2">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项目名称：                                         项目编号：</w:t>
      </w:r>
      <w:r>
        <w:rPr>
          <w:rFonts w:hint="eastAsia" w:ascii="仿宋_GB2312" w:hAnsi="仿宋_GB2312" w:eastAsia="仿宋_GB2312" w:cs="仿宋_GB2312"/>
          <w:color w:val="auto"/>
          <w:sz w:val="24"/>
          <w:highlight w:val="none"/>
        </w:rPr>
        <w:t xml:space="preserve"> </w:t>
      </w:r>
    </w:p>
    <w:tbl>
      <w:tblPr>
        <w:tblStyle w:val="6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30538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5C111561">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958" w:type="dxa"/>
            <w:noWrap w:val="0"/>
            <w:vAlign w:val="center"/>
          </w:tcPr>
          <w:p w14:paraId="6A7CF814">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958" w:type="dxa"/>
            <w:noWrap w:val="0"/>
            <w:vAlign w:val="center"/>
          </w:tcPr>
          <w:p w14:paraId="3BB83EAD">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767" w:type="dxa"/>
            <w:noWrap w:val="0"/>
            <w:vAlign w:val="center"/>
          </w:tcPr>
          <w:p w14:paraId="5EB9F0DE">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767" w:type="dxa"/>
            <w:noWrap w:val="0"/>
            <w:vAlign w:val="center"/>
          </w:tcPr>
          <w:p w14:paraId="1E4CC175">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340" w:type="dxa"/>
            <w:noWrap w:val="0"/>
            <w:vAlign w:val="center"/>
          </w:tcPr>
          <w:p w14:paraId="327A085D">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职称/职务</w:t>
            </w:r>
          </w:p>
        </w:tc>
        <w:tc>
          <w:tcPr>
            <w:tcW w:w="1326" w:type="dxa"/>
            <w:noWrap w:val="0"/>
            <w:vAlign w:val="center"/>
          </w:tcPr>
          <w:p w14:paraId="011BEF0C">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本项目中的岗位</w:t>
            </w:r>
          </w:p>
        </w:tc>
        <w:tc>
          <w:tcPr>
            <w:tcW w:w="1825" w:type="dxa"/>
            <w:noWrap w:val="0"/>
            <w:vAlign w:val="center"/>
          </w:tcPr>
          <w:p w14:paraId="229396A2">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从事专业年限</w:t>
            </w:r>
          </w:p>
        </w:tc>
        <w:tc>
          <w:tcPr>
            <w:tcW w:w="1147" w:type="dxa"/>
            <w:noWrap w:val="0"/>
            <w:vAlign w:val="center"/>
          </w:tcPr>
          <w:p w14:paraId="2FDA4F9E">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6DC06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CDF7A28">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3A0BB4F4">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162F32AB">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37492188">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549C7EC0">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11DD93D6">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3D416788">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715549B6">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01B3FE40">
            <w:pPr>
              <w:spacing w:line="360" w:lineRule="auto"/>
              <w:jc w:val="center"/>
              <w:rPr>
                <w:rFonts w:hint="eastAsia" w:ascii="仿宋_GB2312" w:hAnsi="仿宋_GB2312" w:eastAsia="仿宋_GB2312" w:cs="仿宋_GB2312"/>
                <w:color w:val="auto"/>
                <w:sz w:val="24"/>
                <w:highlight w:val="none"/>
              </w:rPr>
            </w:pPr>
          </w:p>
        </w:tc>
      </w:tr>
      <w:tr w14:paraId="3EEA3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FF163C5">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14C68128">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65A6E5FC">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4E8A10A">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4DACEC2F">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500D0F20">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6A793194">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029FD167">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318419BA">
            <w:pPr>
              <w:spacing w:line="360" w:lineRule="auto"/>
              <w:jc w:val="center"/>
              <w:rPr>
                <w:rFonts w:hint="eastAsia" w:ascii="仿宋_GB2312" w:hAnsi="仿宋_GB2312" w:eastAsia="仿宋_GB2312" w:cs="仿宋_GB2312"/>
                <w:color w:val="auto"/>
                <w:sz w:val="24"/>
                <w:highlight w:val="none"/>
              </w:rPr>
            </w:pPr>
          </w:p>
        </w:tc>
      </w:tr>
      <w:tr w14:paraId="60B47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571F954">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6E293E38">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62AA25DD">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6049CB59">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F6E9A10">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740AC4E0">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55447038">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2B2E7219">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37E3ED71">
            <w:pPr>
              <w:spacing w:line="360" w:lineRule="auto"/>
              <w:jc w:val="center"/>
              <w:rPr>
                <w:rFonts w:hint="eastAsia" w:ascii="仿宋_GB2312" w:hAnsi="仿宋_GB2312" w:eastAsia="仿宋_GB2312" w:cs="仿宋_GB2312"/>
                <w:color w:val="auto"/>
                <w:sz w:val="24"/>
                <w:highlight w:val="none"/>
              </w:rPr>
            </w:pPr>
          </w:p>
        </w:tc>
      </w:tr>
      <w:tr w14:paraId="0CB6E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25FA3BA">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03F2EDEF">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2C50CEFB">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3F3428C2">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40A70A77">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010EBB2A">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423F811A">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3C895FE8">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3CE9B63F">
            <w:pPr>
              <w:spacing w:line="360" w:lineRule="auto"/>
              <w:jc w:val="center"/>
              <w:rPr>
                <w:rFonts w:hint="eastAsia" w:ascii="仿宋_GB2312" w:hAnsi="仿宋_GB2312" w:eastAsia="仿宋_GB2312" w:cs="仿宋_GB2312"/>
                <w:color w:val="auto"/>
                <w:sz w:val="24"/>
                <w:highlight w:val="none"/>
              </w:rPr>
            </w:pPr>
          </w:p>
        </w:tc>
      </w:tr>
      <w:tr w14:paraId="42E19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9E40A3E">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08135A3E">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53328983">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88DCCB2">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A2BE3F4">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7D9D2145">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20F52D79">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1C005D4E">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1D1F751A">
            <w:pPr>
              <w:spacing w:line="360" w:lineRule="auto"/>
              <w:jc w:val="center"/>
              <w:rPr>
                <w:rFonts w:hint="eastAsia" w:ascii="仿宋_GB2312" w:hAnsi="仿宋_GB2312" w:eastAsia="仿宋_GB2312" w:cs="仿宋_GB2312"/>
                <w:color w:val="auto"/>
                <w:sz w:val="24"/>
                <w:highlight w:val="none"/>
              </w:rPr>
            </w:pPr>
          </w:p>
        </w:tc>
      </w:tr>
      <w:tr w14:paraId="72482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63B21FB">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7B3BB8F8">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37A1A917">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51AD52A8">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6D8B583C">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6504E982">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7DCA9B23">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6C9ECB93">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1C42040B">
            <w:pPr>
              <w:spacing w:line="360" w:lineRule="auto"/>
              <w:jc w:val="center"/>
              <w:rPr>
                <w:rFonts w:hint="eastAsia" w:ascii="仿宋_GB2312" w:hAnsi="仿宋_GB2312" w:eastAsia="仿宋_GB2312" w:cs="仿宋_GB2312"/>
                <w:color w:val="auto"/>
                <w:sz w:val="24"/>
                <w:highlight w:val="none"/>
              </w:rPr>
            </w:pPr>
          </w:p>
        </w:tc>
      </w:tr>
      <w:tr w14:paraId="476A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5B2886C">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765053A3">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22E0E5B6">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5E055654">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6CA71BE0">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6B051387">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4848A5E7">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599B561A">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351E744A">
            <w:pPr>
              <w:spacing w:line="360" w:lineRule="auto"/>
              <w:jc w:val="center"/>
              <w:rPr>
                <w:rFonts w:hint="eastAsia" w:ascii="仿宋_GB2312" w:hAnsi="仿宋_GB2312" w:eastAsia="仿宋_GB2312" w:cs="仿宋_GB2312"/>
                <w:color w:val="auto"/>
                <w:sz w:val="24"/>
                <w:highlight w:val="none"/>
              </w:rPr>
            </w:pPr>
          </w:p>
        </w:tc>
      </w:tr>
      <w:tr w14:paraId="0B69F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73829E8">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19B79ABD">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170E7C81">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72108CE6">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1FADD5D9">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458BA0BD">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19988CF9">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5179EC84">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329FC142">
            <w:pPr>
              <w:spacing w:line="360" w:lineRule="auto"/>
              <w:jc w:val="center"/>
              <w:rPr>
                <w:rFonts w:hint="eastAsia" w:ascii="仿宋_GB2312" w:hAnsi="仿宋_GB2312" w:eastAsia="仿宋_GB2312" w:cs="仿宋_GB2312"/>
                <w:color w:val="auto"/>
                <w:sz w:val="24"/>
                <w:highlight w:val="none"/>
              </w:rPr>
            </w:pPr>
          </w:p>
        </w:tc>
      </w:tr>
      <w:tr w14:paraId="40D2D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5484F94">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506CD24B">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7F912916">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4BC4B794">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04D05F90">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5E82B7C3">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396C3B7D">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494BE836">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7D9EA1DE">
            <w:pPr>
              <w:spacing w:line="360" w:lineRule="auto"/>
              <w:jc w:val="center"/>
              <w:rPr>
                <w:rFonts w:hint="eastAsia" w:ascii="仿宋_GB2312" w:hAnsi="仿宋_GB2312" w:eastAsia="仿宋_GB2312" w:cs="仿宋_GB2312"/>
                <w:color w:val="auto"/>
                <w:sz w:val="24"/>
                <w:highlight w:val="none"/>
              </w:rPr>
            </w:pPr>
          </w:p>
        </w:tc>
      </w:tr>
      <w:tr w14:paraId="33BBA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CE66CA9">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5637D9E7">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79AA28DE">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6A2E4E0C">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47335E19">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77437FC4">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731D1D71">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0791FD5F">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5E6999C8">
            <w:pPr>
              <w:spacing w:line="360" w:lineRule="auto"/>
              <w:jc w:val="center"/>
              <w:rPr>
                <w:rFonts w:hint="eastAsia" w:ascii="仿宋_GB2312" w:hAnsi="仿宋_GB2312" w:eastAsia="仿宋_GB2312" w:cs="仿宋_GB2312"/>
                <w:color w:val="auto"/>
                <w:sz w:val="24"/>
                <w:highlight w:val="none"/>
              </w:rPr>
            </w:pPr>
          </w:p>
        </w:tc>
      </w:tr>
      <w:tr w14:paraId="0A5CD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3902AAF">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44E7145E">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2FA9943F">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E146289">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0B1FA53A">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0D710CDA">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108054B6">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53041ADA">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2CF31D7A">
            <w:pPr>
              <w:spacing w:line="360" w:lineRule="auto"/>
              <w:jc w:val="center"/>
              <w:rPr>
                <w:rFonts w:hint="eastAsia" w:ascii="仿宋_GB2312" w:hAnsi="仿宋_GB2312" w:eastAsia="仿宋_GB2312" w:cs="仿宋_GB2312"/>
                <w:color w:val="auto"/>
                <w:sz w:val="24"/>
                <w:highlight w:val="none"/>
              </w:rPr>
            </w:pPr>
          </w:p>
        </w:tc>
      </w:tr>
      <w:tr w14:paraId="187AD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B31DE88">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0AC0E485">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3F94B540">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5EC98E29">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7D0A92BC">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773DA1B6">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090E0C7C">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37CD505B">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1427090B">
            <w:pPr>
              <w:spacing w:line="360" w:lineRule="auto"/>
              <w:jc w:val="center"/>
              <w:rPr>
                <w:rFonts w:hint="eastAsia" w:ascii="仿宋_GB2312" w:hAnsi="仿宋_GB2312" w:eastAsia="仿宋_GB2312" w:cs="仿宋_GB2312"/>
                <w:color w:val="auto"/>
                <w:sz w:val="24"/>
                <w:highlight w:val="none"/>
              </w:rPr>
            </w:pPr>
          </w:p>
        </w:tc>
      </w:tr>
      <w:tr w14:paraId="71C6E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236173F">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4A914552">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59C67030">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487B2333">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123A457D">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52DB67A7">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143FE473">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57B3438D">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7934FB06">
            <w:pPr>
              <w:spacing w:line="360" w:lineRule="auto"/>
              <w:jc w:val="center"/>
              <w:rPr>
                <w:rFonts w:hint="eastAsia" w:ascii="仿宋_GB2312" w:hAnsi="仿宋_GB2312" w:eastAsia="仿宋_GB2312" w:cs="仿宋_GB2312"/>
                <w:color w:val="auto"/>
                <w:sz w:val="24"/>
                <w:highlight w:val="none"/>
              </w:rPr>
            </w:pPr>
          </w:p>
        </w:tc>
      </w:tr>
      <w:tr w14:paraId="6CDF4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A5999AD">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2BFA5F7C">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5BB19EF4">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D0B8379">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2DCB9B8D">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0F9EA959">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7B4132CE">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00744659">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3DA87F8A">
            <w:pPr>
              <w:spacing w:line="360" w:lineRule="auto"/>
              <w:jc w:val="center"/>
              <w:rPr>
                <w:rFonts w:hint="eastAsia" w:ascii="仿宋_GB2312" w:hAnsi="仿宋_GB2312" w:eastAsia="仿宋_GB2312" w:cs="仿宋_GB2312"/>
                <w:color w:val="auto"/>
                <w:sz w:val="24"/>
                <w:highlight w:val="none"/>
              </w:rPr>
            </w:pPr>
          </w:p>
        </w:tc>
      </w:tr>
      <w:tr w14:paraId="63D87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974654A">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39821DFA">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3A14A8E7">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0B50472C">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6B18F209">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5B45F557">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013652D9">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28C99E7F">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590A9AA0">
            <w:pPr>
              <w:spacing w:line="360" w:lineRule="auto"/>
              <w:jc w:val="center"/>
              <w:rPr>
                <w:rFonts w:hint="eastAsia" w:ascii="仿宋_GB2312" w:hAnsi="仿宋_GB2312" w:eastAsia="仿宋_GB2312" w:cs="仿宋_GB2312"/>
                <w:color w:val="auto"/>
                <w:sz w:val="24"/>
                <w:highlight w:val="none"/>
              </w:rPr>
            </w:pPr>
          </w:p>
        </w:tc>
      </w:tr>
      <w:tr w14:paraId="19255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4285B7C">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7F56F4DE">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49F715C2">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7E8A43BB">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412D780C">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647FB772">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58407014">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50973058">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6BF0DA0D">
            <w:pPr>
              <w:spacing w:line="360" w:lineRule="auto"/>
              <w:jc w:val="center"/>
              <w:rPr>
                <w:rFonts w:hint="eastAsia" w:ascii="仿宋_GB2312" w:hAnsi="仿宋_GB2312" w:eastAsia="仿宋_GB2312" w:cs="仿宋_GB2312"/>
                <w:color w:val="auto"/>
                <w:sz w:val="24"/>
                <w:highlight w:val="none"/>
              </w:rPr>
            </w:pPr>
          </w:p>
        </w:tc>
      </w:tr>
      <w:tr w14:paraId="332B9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3BCB4E7">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5CC8841A">
            <w:pPr>
              <w:spacing w:line="360" w:lineRule="auto"/>
              <w:jc w:val="center"/>
              <w:rPr>
                <w:rFonts w:hint="eastAsia" w:ascii="仿宋_GB2312" w:hAnsi="仿宋_GB2312" w:eastAsia="仿宋_GB2312" w:cs="仿宋_GB2312"/>
                <w:color w:val="auto"/>
                <w:sz w:val="24"/>
                <w:highlight w:val="none"/>
              </w:rPr>
            </w:pPr>
          </w:p>
        </w:tc>
        <w:tc>
          <w:tcPr>
            <w:tcW w:w="958" w:type="dxa"/>
            <w:noWrap w:val="0"/>
            <w:vAlign w:val="center"/>
          </w:tcPr>
          <w:p w14:paraId="73AD64FA">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765B6897">
            <w:pPr>
              <w:spacing w:line="360" w:lineRule="auto"/>
              <w:jc w:val="center"/>
              <w:rPr>
                <w:rFonts w:hint="eastAsia" w:ascii="仿宋_GB2312" w:hAnsi="仿宋_GB2312" w:eastAsia="仿宋_GB2312" w:cs="仿宋_GB2312"/>
                <w:color w:val="auto"/>
                <w:sz w:val="24"/>
                <w:highlight w:val="none"/>
              </w:rPr>
            </w:pPr>
          </w:p>
        </w:tc>
        <w:tc>
          <w:tcPr>
            <w:tcW w:w="767" w:type="dxa"/>
            <w:noWrap w:val="0"/>
            <w:vAlign w:val="center"/>
          </w:tcPr>
          <w:p w14:paraId="58F68286">
            <w:pPr>
              <w:spacing w:line="360" w:lineRule="auto"/>
              <w:jc w:val="center"/>
              <w:rPr>
                <w:rFonts w:hint="eastAsia" w:ascii="仿宋_GB2312" w:hAnsi="仿宋_GB2312" w:eastAsia="仿宋_GB2312" w:cs="仿宋_GB2312"/>
                <w:color w:val="auto"/>
                <w:sz w:val="24"/>
                <w:highlight w:val="none"/>
              </w:rPr>
            </w:pPr>
          </w:p>
        </w:tc>
        <w:tc>
          <w:tcPr>
            <w:tcW w:w="1340" w:type="dxa"/>
            <w:noWrap w:val="0"/>
            <w:vAlign w:val="center"/>
          </w:tcPr>
          <w:p w14:paraId="2040E35A">
            <w:pPr>
              <w:spacing w:line="360" w:lineRule="auto"/>
              <w:jc w:val="center"/>
              <w:rPr>
                <w:rFonts w:hint="eastAsia" w:ascii="仿宋_GB2312" w:hAnsi="仿宋_GB2312" w:eastAsia="仿宋_GB2312" w:cs="仿宋_GB2312"/>
                <w:color w:val="auto"/>
                <w:sz w:val="24"/>
                <w:highlight w:val="none"/>
              </w:rPr>
            </w:pPr>
          </w:p>
        </w:tc>
        <w:tc>
          <w:tcPr>
            <w:tcW w:w="1326" w:type="dxa"/>
            <w:noWrap w:val="0"/>
            <w:vAlign w:val="center"/>
          </w:tcPr>
          <w:p w14:paraId="6D41BC86">
            <w:pPr>
              <w:spacing w:line="360" w:lineRule="auto"/>
              <w:jc w:val="center"/>
              <w:rPr>
                <w:rFonts w:hint="eastAsia" w:ascii="仿宋_GB2312" w:hAnsi="仿宋_GB2312" w:eastAsia="仿宋_GB2312" w:cs="仿宋_GB2312"/>
                <w:color w:val="auto"/>
                <w:sz w:val="24"/>
                <w:highlight w:val="none"/>
              </w:rPr>
            </w:pPr>
          </w:p>
        </w:tc>
        <w:tc>
          <w:tcPr>
            <w:tcW w:w="1825" w:type="dxa"/>
            <w:noWrap w:val="0"/>
            <w:vAlign w:val="top"/>
          </w:tcPr>
          <w:p w14:paraId="61B50605">
            <w:pPr>
              <w:spacing w:line="360" w:lineRule="auto"/>
              <w:jc w:val="center"/>
              <w:rPr>
                <w:rFonts w:hint="eastAsia" w:ascii="仿宋_GB2312" w:hAnsi="仿宋_GB2312" w:eastAsia="仿宋_GB2312" w:cs="仿宋_GB2312"/>
                <w:color w:val="auto"/>
                <w:sz w:val="24"/>
                <w:highlight w:val="none"/>
              </w:rPr>
            </w:pPr>
          </w:p>
        </w:tc>
        <w:tc>
          <w:tcPr>
            <w:tcW w:w="1147" w:type="dxa"/>
            <w:noWrap w:val="0"/>
            <w:vAlign w:val="center"/>
          </w:tcPr>
          <w:p w14:paraId="079446A3">
            <w:pPr>
              <w:spacing w:line="360" w:lineRule="auto"/>
              <w:jc w:val="center"/>
              <w:rPr>
                <w:rFonts w:hint="eastAsia" w:ascii="仿宋_GB2312" w:hAnsi="仿宋_GB2312" w:eastAsia="仿宋_GB2312" w:cs="仿宋_GB2312"/>
                <w:color w:val="auto"/>
                <w:sz w:val="24"/>
                <w:highlight w:val="none"/>
              </w:rPr>
            </w:pPr>
          </w:p>
        </w:tc>
      </w:tr>
    </w:tbl>
    <w:p w14:paraId="2D656150">
      <w:pPr>
        <w:pStyle w:val="37"/>
        <w:spacing w:line="400" w:lineRule="atLeast"/>
        <w:ind w:left="720" w:hanging="720" w:hanging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注：此表仅提供了表格形式，供应商可按此表格复制。</w:t>
      </w:r>
    </w:p>
    <w:p w14:paraId="5B37177D">
      <w:pPr>
        <w:pStyle w:val="37"/>
        <w:spacing w:line="400" w:lineRule="atLeast"/>
        <w:ind w:left="720" w:hanging="720" w:hangingChars="300"/>
        <w:rPr>
          <w:rFonts w:hint="eastAsia" w:ascii="仿宋_GB2312" w:hAnsi="仿宋_GB2312" w:eastAsia="仿宋_GB2312" w:cs="仿宋_GB2312"/>
          <w:color w:val="auto"/>
          <w:sz w:val="24"/>
          <w:szCs w:val="24"/>
          <w:highlight w:val="none"/>
        </w:rPr>
      </w:pPr>
    </w:p>
    <w:p w14:paraId="0212091E">
      <w:pPr>
        <w:jc w:val="left"/>
        <w:rPr>
          <w:rFonts w:hint="eastAsia" w:ascii="仿宋_GB2312" w:hAnsi="仿宋_GB2312" w:eastAsia="仿宋_GB2312" w:cs="仿宋_GB2312"/>
          <w:color w:val="auto"/>
          <w:sz w:val="24"/>
          <w:highlight w:val="none"/>
        </w:rPr>
      </w:pPr>
    </w:p>
    <w:p w14:paraId="790D67F1">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2A4D086F">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4A6B3D2D">
      <w:pPr>
        <w:spacing w:line="460" w:lineRule="exact"/>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r>
        <w:rPr>
          <w:rFonts w:hint="eastAsia" w:ascii="仿宋_GB2312" w:hAnsi="仿宋_GB2312" w:eastAsia="仿宋_GB2312" w:cs="仿宋_GB2312"/>
          <w:b/>
          <w:color w:val="auto"/>
          <w:sz w:val="24"/>
          <w:highlight w:val="none"/>
        </w:rPr>
        <w:t>供应商同类项目业绩</w:t>
      </w:r>
      <w:bookmarkEnd w:id="97"/>
    </w:p>
    <w:p w14:paraId="548EF445">
      <w:pPr>
        <w:spacing w:line="46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                                              项目编号：</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430"/>
        <w:gridCol w:w="2160"/>
        <w:gridCol w:w="1440"/>
        <w:gridCol w:w="1260"/>
        <w:gridCol w:w="1320"/>
      </w:tblGrid>
      <w:tr w14:paraId="0DC4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53D61B6C">
            <w:pPr>
              <w:spacing w:line="3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430" w:type="dxa"/>
            <w:noWrap w:val="0"/>
            <w:vAlign w:val="center"/>
          </w:tcPr>
          <w:p w14:paraId="55EFD2A8">
            <w:pPr>
              <w:spacing w:line="3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2160" w:type="dxa"/>
            <w:noWrap w:val="0"/>
            <w:vAlign w:val="center"/>
          </w:tcPr>
          <w:p w14:paraId="31A33C6E">
            <w:pPr>
              <w:spacing w:line="3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用户单位</w:t>
            </w:r>
          </w:p>
        </w:tc>
        <w:tc>
          <w:tcPr>
            <w:tcW w:w="1440" w:type="dxa"/>
            <w:noWrap w:val="0"/>
            <w:vAlign w:val="center"/>
          </w:tcPr>
          <w:p w14:paraId="0AC4C80D">
            <w:pPr>
              <w:spacing w:line="3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合同金额</w:t>
            </w:r>
          </w:p>
        </w:tc>
        <w:tc>
          <w:tcPr>
            <w:tcW w:w="1260" w:type="dxa"/>
            <w:noWrap w:val="0"/>
            <w:vAlign w:val="center"/>
          </w:tcPr>
          <w:p w14:paraId="3F2E9623">
            <w:pPr>
              <w:spacing w:line="3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合同日期</w:t>
            </w:r>
          </w:p>
        </w:tc>
        <w:tc>
          <w:tcPr>
            <w:tcW w:w="1320" w:type="dxa"/>
            <w:noWrap w:val="0"/>
            <w:vAlign w:val="center"/>
          </w:tcPr>
          <w:p w14:paraId="21F84FFA">
            <w:pPr>
              <w:spacing w:line="3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联系人及联系方式</w:t>
            </w:r>
          </w:p>
        </w:tc>
      </w:tr>
      <w:tr w14:paraId="34B1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7C8C5F0C">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5317DF45">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21D29D2D">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25E81C58">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7C58F443">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01038B83">
            <w:pPr>
              <w:spacing w:line="380" w:lineRule="exact"/>
              <w:jc w:val="left"/>
              <w:rPr>
                <w:rFonts w:hint="eastAsia" w:ascii="仿宋_GB2312" w:hAnsi="仿宋_GB2312" w:eastAsia="仿宋_GB2312" w:cs="仿宋_GB2312"/>
                <w:color w:val="auto"/>
                <w:sz w:val="24"/>
                <w:highlight w:val="none"/>
              </w:rPr>
            </w:pPr>
          </w:p>
        </w:tc>
      </w:tr>
      <w:tr w14:paraId="5E98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A61B5FC">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5823404E">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03FE21D9">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0102763C">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63C17607">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0FDFFA37">
            <w:pPr>
              <w:spacing w:line="380" w:lineRule="exact"/>
              <w:jc w:val="left"/>
              <w:rPr>
                <w:rFonts w:hint="eastAsia" w:ascii="仿宋_GB2312" w:hAnsi="仿宋_GB2312" w:eastAsia="仿宋_GB2312" w:cs="仿宋_GB2312"/>
                <w:color w:val="auto"/>
                <w:sz w:val="24"/>
                <w:highlight w:val="none"/>
              </w:rPr>
            </w:pPr>
          </w:p>
        </w:tc>
      </w:tr>
      <w:tr w14:paraId="3E37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67A54D0F">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36803276">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11B55218">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66B23DF9">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5C243E7C">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22C925DE">
            <w:pPr>
              <w:spacing w:line="380" w:lineRule="exact"/>
              <w:jc w:val="left"/>
              <w:rPr>
                <w:rFonts w:hint="eastAsia" w:ascii="仿宋_GB2312" w:hAnsi="仿宋_GB2312" w:eastAsia="仿宋_GB2312" w:cs="仿宋_GB2312"/>
                <w:color w:val="auto"/>
                <w:sz w:val="24"/>
                <w:highlight w:val="none"/>
              </w:rPr>
            </w:pPr>
          </w:p>
        </w:tc>
      </w:tr>
      <w:tr w14:paraId="6644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10D6363">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24BD3F4F">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4A11BBAA">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24AF0953">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71FFAF11">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6FDBF747">
            <w:pPr>
              <w:spacing w:line="380" w:lineRule="exact"/>
              <w:jc w:val="left"/>
              <w:rPr>
                <w:rFonts w:hint="eastAsia" w:ascii="仿宋_GB2312" w:hAnsi="仿宋_GB2312" w:eastAsia="仿宋_GB2312" w:cs="仿宋_GB2312"/>
                <w:color w:val="auto"/>
                <w:sz w:val="24"/>
                <w:highlight w:val="none"/>
              </w:rPr>
            </w:pPr>
          </w:p>
        </w:tc>
      </w:tr>
      <w:tr w14:paraId="26DC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6568FD1">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4D8C0BD0">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6CFED28D">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6F44F25A">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21106950">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06DC69EC">
            <w:pPr>
              <w:spacing w:line="380" w:lineRule="exact"/>
              <w:jc w:val="left"/>
              <w:rPr>
                <w:rFonts w:hint="eastAsia" w:ascii="仿宋_GB2312" w:hAnsi="仿宋_GB2312" w:eastAsia="仿宋_GB2312" w:cs="仿宋_GB2312"/>
                <w:color w:val="auto"/>
                <w:sz w:val="24"/>
                <w:highlight w:val="none"/>
              </w:rPr>
            </w:pPr>
          </w:p>
        </w:tc>
      </w:tr>
      <w:tr w14:paraId="6255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EF22E72">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7494152F">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4DF1D0BD">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2A3201DA">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6C91FA5B">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7B9A3925">
            <w:pPr>
              <w:spacing w:line="380" w:lineRule="exact"/>
              <w:jc w:val="left"/>
              <w:rPr>
                <w:rFonts w:hint="eastAsia" w:ascii="仿宋_GB2312" w:hAnsi="仿宋_GB2312" w:eastAsia="仿宋_GB2312" w:cs="仿宋_GB2312"/>
                <w:color w:val="auto"/>
                <w:sz w:val="24"/>
                <w:highlight w:val="none"/>
              </w:rPr>
            </w:pPr>
          </w:p>
        </w:tc>
      </w:tr>
      <w:tr w14:paraId="78DA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6AA8761E">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2A083759">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7331A9F7">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3B030454">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37BA0909">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6B086311">
            <w:pPr>
              <w:spacing w:line="380" w:lineRule="exact"/>
              <w:jc w:val="left"/>
              <w:rPr>
                <w:rFonts w:hint="eastAsia" w:ascii="仿宋_GB2312" w:hAnsi="仿宋_GB2312" w:eastAsia="仿宋_GB2312" w:cs="仿宋_GB2312"/>
                <w:color w:val="auto"/>
                <w:sz w:val="24"/>
                <w:highlight w:val="none"/>
              </w:rPr>
            </w:pPr>
          </w:p>
        </w:tc>
      </w:tr>
      <w:tr w14:paraId="7C23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6E6E75A7">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24163EE8">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5A21A562">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5964D43E">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1C8F5BA3">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334F4E15">
            <w:pPr>
              <w:spacing w:line="380" w:lineRule="exact"/>
              <w:jc w:val="left"/>
              <w:rPr>
                <w:rFonts w:hint="eastAsia" w:ascii="仿宋_GB2312" w:hAnsi="仿宋_GB2312" w:eastAsia="仿宋_GB2312" w:cs="仿宋_GB2312"/>
                <w:color w:val="auto"/>
                <w:sz w:val="24"/>
                <w:highlight w:val="none"/>
              </w:rPr>
            </w:pPr>
          </w:p>
        </w:tc>
      </w:tr>
      <w:tr w14:paraId="67C3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EE923BE">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757F8850">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1B111F8D">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64036155">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785DECA4">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0D2D6E0D">
            <w:pPr>
              <w:spacing w:line="380" w:lineRule="exact"/>
              <w:jc w:val="left"/>
              <w:rPr>
                <w:rFonts w:hint="eastAsia" w:ascii="仿宋_GB2312" w:hAnsi="仿宋_GB2312" w:eastAsia="仿宋_GB2312" w:cs="仿宋_GB2312"/>
                <w:color w:val="auto"/>
                <w:sz w:val="24"/>
                <w:highlight w:val="none"/>
              </w:rPr>
            </w:pPr>
          </w:p>
        </w:tc>
      </w:tr>
      <w:tr w14:paraId="16A9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04218B18">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054CC498">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7224BC28">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057AE0C9">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46BF9C5C">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287F3681">
            <w:pPr>
              <w:spacing w:line="380" w:lineRule="exact"/>
              <w:jc w:val="left"/>
              <w:rPr>
                <w:rFonts w:hint="eastAsia" w:ascii="仿宋_GB2312" w:hAnsi="仿宋_GB2312" w:eastAsia="仿宋_GB2312" w:cs="仿宋_GB2312"/>
                <w:color w:val="auto"/>
                <w:sz w:val="24"/>
                <w:highlight w:val="none"/>
              </w:rPr>
            </w:pPr>
          </w:p>
        </w:tc>
      </w:tr>
      <w:tr w14:paraId="3422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noWrap w:val="0"/>
            <w:vAlign w:val="center"/>
          </w:tcPr>
          <w:p w14:paraId="49493062">
            <w:pPr>
              <w:spacing w:line="380" w:lineRule="exact"/>
              <w:jc w:val="left"/>
              <w:rPr>
                <w:rFonts w:hint="eastAsia" w:ascii="仿宋_GB2312" w:hAnsi="仿宋_GB2312" w:eastAsia="仿宋_GB2312" w:cs="仿宋_GB2312"/>
                <w:color w:val="auto"/>
                <w:sz w:val="24"/>
                <w:highlight w:val="none"/>
              </w:rPr>
            </w:pPr>
          </w:p>
        </w:tc>
        <w:tc>
          <w:tcPr>
            <w:tcW w:w="2430" w:type="dxa"/>
            <w:noWrap w:val="0"/>
            <w:vAlign w:val="center"/>
          </w:tcPr>
          <w:p w14:paraId="35CD1C2B">
            <w:pPr>
              <w:spacing w:line="380" w:lineRule="exact"/>
              <w:jc w:val="left"/>
              <w:rPr>
                <w:rFonts w:hint="eastAsia" w:ascii="仿宋_GB2312" w:hAnsi="仿宋_GB2312" w:eastAsia="仿宋_GB2312" w:cs="仿宋_GB2312"/>
                <w:color w:val="auto"/>
                <w:sz w:val="24"/>
                <w:highlight w:val="none"/>
              </w:rPr>
            </w:pPr>
          </w:p>
        </w:tc>
        <w:tc>
          <w:tcPr>
            <w:tcW w:w="2160" w:type="dxa"/>
            <w:noWrap w:val="0"/>
            <w:vAlign w:val="center"/>
          </w:tcPr>
          <w:p w14:paraId="14484D20">
            <w:pPr>
              <w:spacing w:line="380" w:lineRule="exact"/>
              <w:jc w:val="left"/>
              <w:rPr>
                <w:rFonts w:hint="eastAsia" w:ascii="仿宋_GB2312" w:hAnsi="仿宋_GB2312" w:eastAsia="仿宋_GB2312" w:cs="仿宋_GB2312"/>
                <w:color w:val="auto"/>
                <w:sz w:val="24"/>
                <w:highlight w:val="none"/>
              </w:rPr>
            </w:pPr>
          </w:p>
        </w:tc>
        <w:tc>
          <w:tcPr>
            <w:tcW w:w="1440" w:type="dxa"/>
            <w:noWrap w:val="0"/>
            <w:vAlign w:val="center"/>
          </w:tcPr>
          <w:p w14:paraId="45B1741F">
            <w:pPr>
              <w:spacing w:line="380" w:lineRule="exact"/>
              <w:jc w:val="left"/>
              <w:rPr>
                <w:rFonts w:hint="eastAsia" w:ascii="仿宋_GB2312" w:hAnsi="仿宋_GB2312" w:eastAsia="仿宋_GB2312" w:cs="仿宋_GB2312"/>
                <w:color w:val="auto"/>
                <w:sz w:val="24"/>
                <w:highlight w:val="none"/>
              </w:rPr>
            </w:pPr>
          </w:p>
        </w:tc>
        <w:tc>
          <w:tcPr>
            <w:tcW w:w="1260" w:type="dxa"/>
            <w:noWrap w:val="0"/>
            <w:vAlign w:val="center"/>
          </w:tcPr>
          <w:p w14:paraId="060F9297">
            <w:pPr>
              <w:spacing w:line="380" w:lineRule="exact"/>
              <w:jc w:val="left"/>
              <w:rPr>
                <w:rFonts w:hint="eastAsia" w:ascii="仿宋_GB2312" w:hAnsi="仿宋_GB2312" w:eastAsia="仿宋_GB2312" w:cs="仿宋_GB2312"/>
                <w:color w:val="auto"/>
                <w:sz w:val="24"/>
                <w:highlight w:val="none"/>
              </w:rPr>
            </w:pPr>
          </w:p>
        </w:tc>
        <w:tc>
          <w:tcPr>
            <w:tcW w:w="1320" w:type="dxa"/>
            <w:noWrap w:val="0"/>
            <w:vAlign w:val="center"/>
          </w:tcPr>
          <w:p w14:paraId="125D6641">
            <w:pPr>
              <w:spacing w:line="380" w:lineRule="exact"/>
              <w:jc w:val="left"/>
              <w:rPr>
                <w:rFonts w:hint="eastAsia" w:ascii="仿宋_GB2312" w:hAnsi="仿宋_GB2312" w:eastAsia="仿宋_GB2312" w:cs="仿宋_GB2312"/>
                <w:color w:val="auto"/>
                <w:sz w:val="24"/>
                <w:highlight w:val="none"/>
              </w:rPr>
            </w:pPr>
          </w:p>
        </w:tc>
      </w:tr>
    </w:tbl>
    <w:p w14:paraId="054A073E">
      <w:pPr>
        <w:spacing w:line="460" w:lineRule="exact"/>
        <w:ind w:left="823" w:hanging="823" w:hangingChars="343"/>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根据评分细则要求提供相关证明材料（复印件加盖公章）。</w:t>
      </w:r>
    </w:p>
    <w:p w14:paraId="1329E703">
      <w:pPr>
        <w:spacing w:line="380" w:lineRule="exact"/>
        <w:ind w:firstLine="470"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投标供应商未提供业绩证明将视为无业绩。</w:t>
      </w:r>
    </w:p>
    <w:p w14:paraId="649A9146">
      <w:pPr>
        <w:spacing w:line="380" w:lineRule="exact"/>
        <w:ind w:firstLine="470"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投标供应商可按此表格式复制。</w:t>
      </w:r>
    </w:p>
    <w:p w14:paraId="5001073E">
      <w:pPr>
        <w:adjustRightInd w:val="0"/>
        <w:spacing w:line="360" w:lineRule="auto"/>
        <w:jc w:val="left"/>
        <w:rPr>
          <w:rFonts w:hint="eastAsia" w:ascii="仿宋_GB2312" w:hAnsi="仿宋_GB2312" w:eastAsia="仿宋_GB2312" w:cs="仿宋_GB2312"/>
          <w:color w:val="auto"/>
          <w:sz w:val="24"/>
          <w:highlight w:val="none"/>
        </w:rPr>
      </w:pPr>
    </w:p>
    <w:p w14:paraId="721AEDC4">
      <w:pPr>
        <w:adjustRightInd w:val="0"/>
        <w:spacing w:line="360" w:lineRule="auto"/>
        <w:jc w:val="left"/>
        <w:rPr>
          <w:rFonts w:hint="eastAsia" w:ascii="仿宋_GB2312" w:hAnsi="仿宋_GB2312" w:eastAsia="仿宋_GB2312" w:cs="仿宋_GB2312"/>
          <w:color w:val="auto"/>
          <w:sz w:val="24"/>
          <w:highlight w:val="none"/>
        </w:rPr>
      </w:pPr>
    </w:p>
    <w:p w14:paraId="1E3B31EC">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0E228936">
      <w:pPr>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115B707D">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br w:type="page"/>
      </w:r>
      <w:r>
        <w:rPr>
          <w:rFonts w:hint="eastAsia" w:ascii="仿宋_GB2312" w:hAnsi="仿宋_GB2312" w:eastAsia="仿宋_GB2312" w:cs="仿宋_GB2312"/>
          <w:b/>
          <w:color w:val="auto"/>
          <w:sz w:val="24"/>
          <w:highlight w:val="none"/>
        </w:rPr>
        <w:t>节能环保产品证明材料（如有）</w:t>
      </w:r>
    </w:p>
    <w:p w14:paraId="7D447E17">
      <w:pPr>
        <w:spacing w:line="36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14:paraId="1A81E083">
      <w:pPr>
        <w:numPr>
          <w:ilvl w:val="0"/>
          <w:numId w:val="4"/>
        </w:numPr>
        <w:tabs>
          <w:tab w:val="clear" w:pos="360"/>
        </w:tabs>
        <w:spacing w:line="360" w:lineRule="exact"/>
        <w:ind w:left="0" w:firstLine="0"/>
        <w:jc w:val="lef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color w:val="auto"/>
          <w:sz w:val="24"/>
          <w:highlight w:val="none"/>
        </w:rPr>
        <w:t>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市场监管总局关于调整优化节能产品、环境标志产品政府采购执行机制的通知财库〔2019〕9号文件要求，供应商所投产品如属于节能产品政府采购品目清单或环境标志产品政府采购品目清单内的（详见：</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b/>
          <w:color w:val="auto"/>
          <w:sz w:val="24"/>
          <w:highlight w:val="none"/>
        </w:rPr>
        <w:t>关于印发环境标志产品政府采购品目清单的通知（财库〔2019〕18号）</w:t>
      </w:r>
      <w:r>
        <w:rPr>
          <w:rFonts w:hint="eastAsia" w:ascii="仿宋_GB2312" w:hAnsi="仿宋_GB2312" w:eastAsia="仿宋_GB2312" w:cs="仿宋_GB2312"/>
          <w:b/>
          <w:color w:val="auto"/>
          <w:sz w:val="24"/>
          <w:highlight w:val="none"/>
        </w:rPr>
        <w:fldChar w:fldCharType="end"/>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HYPERLINK "http://www.ccgp.gov.cn/zcfg/mof/201903/t20190330_11833800.htm"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b/>
          <w:color w:val="auto"/>
          <w:sz w:val="24"/>
          <w:highlight w:val="none"/>
        </w:rPr>
        <w:t>http://www.ccgp.gov.cn/zcfg/mof/201903/t20190330_11833800.htm</w:t>
      </w:r>
      <w:r>
        <w:rPr>
          <w:rFonts w:hint="eastAsia" w:ascii="仿宋_GB2312" w:hAnsi="仿宋_GB2312" w:eastAsia="仿宋_GB2312" w:cs="仿宋_GB2312"/>
          <w:b/>
          <w:color w:val="auto"/>
          <w:sz w:val="24"/>
          <w:highlight w:val="none"/>
        </w:rPr>
        <w:fldChar w:fldCharType="end"/>
      </w:r>
      <w:r>
        <w:rPr>
          <w:rFonts w:hint="eastAsia" w:ascii="仿宋_GB2312" w:hAnsi="仿宋_GB2312" w:eastAsia="仿宋_GB2312" w:cs="仿宋_GB2312"/>
          <w:b/>
          <w:color w:val="auto"/>
          <w:sz w:val="24"/>
          <w:highlight w:val="none"/>
        </w:rPr>
        <w:t>和</w:t>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HYPERLINK "http://www.ccgp.gov.cn/zcfg/mof/201904/t20190403_11849836.htm" \t "http://www.ccgp.gov.cn/jnhb/jnhbqd/_blank" \o "关于印发节能产品政府采购品目清单的通知（财库〔2019〕19号）"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b/>
          <w:color w:val="auto"/>
          <w:sz w:val="24"/>
          <w:highlight w:val="none"/>
        </w:rPr>
        <w:t>关于印发节能产品政府采购品目清单的通知（财库〔2019〕19号）</w:t>
      </w:r>
      <w:r>
        <w:rPr>
          <w:rFonts w:hint="eastAsia" w:ascii="仿宋_GB2312" w:hAnsi="仿宋_GB2312" w:eastAsia="仿宋_GB2312" w:cs="仿宋_GB2312"/>
          <w:b/>
          <w:color w:val="auto"/>
          <w:sz w:val="24"/>
          <w:highlight w:val="none"/>
        </w:rPr>
        <w:fldChar w:fldCharType="end"/>
      </w:r>
      <w:r>
        <w:rPr>
          <w:rFonts w:hint="eastAsia" w:ascii="仿宋_GB2312" w:hAnsi="仿宋_GB2312" w:eastAsia="仿宋_GB2312" w:cs="仿宋_GB2312"/>
          <w:color w:val="auto"/>
          <w:sz w:val="24"/>
          <w:highlight w:val="none"/>
        </w:rPr>
        <w:fldChar w:fldCharType="begin"/>
      </w:r>
      <w:r>
        <w:rPr>
          <w:rFonts w:hint="eastAsia" w:ascii="仿宋_GB2312" w:hAnsi="仿宋_GB2312" w:eastAsia="仿宋_GB2312" w:cs="仿宋_GB2312"/>
          <w:color w:val="auto"/>
          <w:sz w:val="24"/>
          <w:highlight w:val="none"/>
        </w:rPr>
        <w:instrText xml:space="preserve"> HYPERLINK "http://www.ccgp.gov.cn/zcfg/mof/201904/t20190403_11849836.htm" </w:instrText>
      </w:r>
      <w:r>
        <w:rPr>
          <w:rFonts w:hint="eastAsia" w:ascii="仿宋_GB2312" w:hAnsi="仿宋_GB2312" w:eastAsia="仿宋_GB2312" w:cs="仿宋_GB2312"/>
          <w:color w:val="auto"/>
          <w:sz w:val="24"/>
          <w:highlight w:val="none"/>
        </w:rPr>
        <w:fldChar w:fldCharType="separate"/>
      </w:r>
      <w:r>
        <w:rPr>
          <w:rFonts w:hint="eastAsia" w:ascii="仿宋_GB2312" w:hAnsi="仿宋_GB2312" w:eastAsia="仿宋_GB2312" w:cs="仿宋_GB2312"/>
          <w:b/>
          <w:color w:val="auto"/>
          <w:sz w:val="24"/>
          <w:highlight w:val="none"/>
        </w:rPr>
        <w:t>http://www.ccgp.gov.cn/zcfg/mof/201904/t20190403_11849836.htm</w:t>
      </w:r>
      <w:r>
        <w:rPr>
          <w:rFonts w:hint="eastAsia" w:ascii="仿宋_GB2312" w:hAnsi="仿宋_GB2312" w:eastAsia="仿宋_GB2312" w:cs="仿宋_GB2312"/>
          <w:b/>
          <w:color w:val="auto"/>
          <w:sz w:val="24"/>
          <w:highlight w:val="none"/>
        </w:rPr>
        <w:fldChar w:fldCharType="end"/>
      </w:r>
      <w:r>
        <w:rPr>
          <w:rFonts w:hint="eastAsia" w:ascii="仿宋_GB2312" w:hAnsi="仿宋_GB2312" w:eastAsia="仿宋_GB2312" w:cs="仿宋_GB2312"/>
          <w:b/>
          <w:color w:val="auto"/>
          <w:sz w:val="24"/>
          <w:highlight w:val="none"/>
        </w:rPr>
        <w:t>），供应商提供投标产品经国家确定的认证机构（市场监管总局关于发布参与实施政府采购节能产品、环境标志产品认证机构名录的公告（2019年第16号）http://www.ccgp.gov.cn/zcfg/bwfile/201904/t20190403_11853998.htm）出具的处于有效期之内的</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节能产品、环境标志产品认证证书”或“投标产品在‘中国政府采购网’上节能产品或环境标志产品查询截图”；</w:t>
      </w:r>
    </w:p>
    <w:p w14:paraId="5B60AB0B">
      <w:pPr>
        <w:spacing w:line="360" w:lineRule="exact"/>
        <w:jc w:val="lef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注：采购需求中要求提供的产品属于节能产品政府采购品目清单中强制采购的，供应商须提供该清单内产品，并按上款要求提供节能产品认证证书或规定网站证书查询截图，否则其投标无效。</w:t>
      </w:r>
    </w:p>
    <w:p w14:paraId="0F1B6438">
      <w:pPr>
        <w:spacing w:line="36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2、评审小组成员审查此项只根据响应文件本身的内容，不再寻求其他的外部证据。</w:t>
      </w:r>
    </w:p>
    <w:p w14:paraId="097302AD">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w:t>
      </w:r>
    </w:p>
    <w:p w14:paraId="7F37B501">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（1）投标产品中节能产品明细清单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41"/>
        <w:gridCol w:w="1342"/>
        <w:gridCol w:w="1342"/>
        <w:gridCol w:w="1342"/>
        <w:gridCol w:w="1920"/>
        <w:gridCol w:w="764"/>
        <w:gridCol w:w="816"/>
      </w:tblGrid>
      <w:tr w14:paraId="7444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CE07A7E">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33ADFCB0">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3257359">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B758576">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526FEEC">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240160A">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251B087">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认证机构</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21103D6">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w:t>
            </w:r>
          </w:p>
        </w:tc>
      </w:tr>
      <w:tr w14:paraId="3C6D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5280FFE5">
            <w:pPr>
              <w:spacing w:line="360" w:lineRule="exact"/>
              <w:jc w:val="center"/>
              <w:rPr>
                <w:rFonts w:hint="eastAsia" w:ascii="仿宋_GB2312" w:hAnsi="仿宋_GB2312" w:eastAsia="仿宋_GB2312" w:cs="仿宋_GB2312"/>
                <w:color w:val="auto"/>
                <w:sz w:val="24"/>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55AC03C">
            <w:pPr>
              <w:spacing w:line="360" w:lineRule="exact"/>
              <w:jc w:val="center"/>
              <w:rPr>
                <w:rFonts w:hint="eastAsia" w:ascii="仿宋_GB2312" w:hAnsi="仿宋_GB2312" w:eastAsia="仿宋_GB2312" w:cs="仿宋_GB2312"/>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9C0E4EB">
            <w:pPr>
              <w:spacing w:line="360" w:lineRule="exact"/>
              <w:jc w:val="center"/>
              <w:rPr>
                <w:rFonts w:hint="eastAsia" w:ascii="仿宋_GB2312" w:hAnsi="仿宋_GB2312" w:eastAsia="仿宋_GB2312" w:cs="仿宋_GB2312"/>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141A24B">
            <w:pPr>
              <w:spacing w:line="360" w:lineRule="exact"/>
              <w:jc w:val="center"/>
              <w:rPr>
                <w:rFonts w:hint="eastAsia" w:ascii="仿宋_GB2312" w:hAnsi="仿宋_GB2312" w:eastAsia="仿宋_GB2312" w:cs="仿宋_GB2312"/>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AFB1DE6">
            <w:pPr>
              <w:spacing w:line="360" w:lineRule="exact"/>
              <w:jc w:val="center"/>
              <w:rPr>
                <w:rFonts w:hint="eastAsia" w:ascii="仿宋_GB2312" w:hAnsi="仿宋_GB2312" w:eastAsia="仿宋_GB2312" w:cs="仿宋_GB2312"/>
                <w:color w:val="auto"/>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047EDB7">
            <w:pPr>
              <w:spacing w:line="360" w:lineRule="exact"/>
              <w:jc w:val="center"/>
              <w:rPr>
                <w:rFonts w:hint="eastAsia" w:ascii="仿宋_GB2312" w:hAnsi="仿宋_GB2312" w:eastAsia="仿宋_GB2312" w:cs="仿宋_GB2312"/>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A5E8DAA">
            <w:pPr>
              <w:spacing w:line="360" w:lineRule="exact"/>
              <w:jc w:val="center"/>
              <w:rPr>
                <w:rFonts w:hint="eastAsia" w:ascii="仿宋_GB2312" w:hAnsi="仿宋_GB2312" w:eastAsia="仿宋_GB2312" w:cs="仿宋_GB2312"/>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D45CDE">
            <w:pPr>
              <w:spacing w:line="360" w:lineRule="exact"/>
              <w:jc w:val="center"/>
              <w:rPr>
                <w:rFonts w:hint="eastAsia" w:ascii="仿宋_GB2312" w:hAnsi="仿宋_GB2312" w:eastAsia="仿宋_GB2312" w:cs="仿宋_GB2312"/>
                <w:color w:val="auto"/>
                <w:sz w:val="24"/>
                <w:highlight w:val="none"/>
              </w:rPr>
            </w:pPr>
          </w:p>
        </w:tc>
      </w:tr>
      <w:tr w14:paraId="657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C41B052">
            <w:pPr>
              <w:spacing w:line="360" w:lineRule="exact"/>
              <w:jc w:val="center"/>
              <w:rPr>
                <w:rFonts w:hint="eastAsia" w:ascii="仿宋_GB2312" w:hAnsi="仿宋_GB2312" w:eastAsia="仿宋_GB2312" w:cs="仿宋_GB2312"/>
                <w:color w:val="auto"/>
                <w:sz w:val="24"/>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20C0D7C">
            <w:pPr>
              <w:spacing w:line="360" w:lineRule="exact"/>
              <w:jc w:val="center"/>
              <w:rPr>
                <w:rFonts w:hint="eastAsia" w:ascii="仿宋_GB2312" w:hAnsi="仿宋_GB2312" w:eastAsia="仿宋_GB2312" w:cs="仿宋_GB2312"/>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0BA41F8">
            <w:pPr>
              <w:spacing w:line="360" w:lineRule="exact"/>
              <w:jc w:val="center"/>
              <w:rPr>
                <w:rFonts w:hint="eastAsia" w:ascii="仿宋_GB2312" w:hAnsi="仿宋_GB2312" w:eastAsia="仿宋_GB2312" w:cs="仿宋_GB2312"/>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2024036">
            <w:pPr>
              <w:spacing w:line="360" w:lineRule="exact"/>
              <w:jc w:val="center"/>
              <w:rPr>
                <w:rFonts w:hint="eastAsia" w:ascii="仿宋_GB2312" w:hAnsi="仿宋_GB2312" w:eastAsia="仿宋_GB2312" w:cs="仿宋_GB2312"/>
                <w:color w:val="auto"/>
                <w:sz w:val="24"/>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60F4797">
            <w:pPr>
              <w:spacing w:line="360" w:lineRule="exact"/>
              <w:jc w:val="center"/>
              <w:rPr>
                <w:rFonts w:hint="eastAsia" w:ascii="仿宋_GB2312" w:hAnsi="仿宋_GB2312" w:eastAsia="仿宋_GB2312" w:cs="仿宋_GB2312"/>
                <w:color w:val="auto"/>
                <w:sz w:val="24"/>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F3B1469">
            <w:pPr>
              <w:spacing w:line="360" w:lineRule="exact"/>
              <w:jc w:val="center"/>
              <w:rPr>
                <w:rFonts w:hint="eastAsia" w:ascii="仿宋_GB2312" w:hAnsi="仿宋_GB2312" w:eastAsia="仿宋_GB2312" w:cs="仿宋_GB2312"/>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4B31CFCD">
            <w:pPr>
              <w:spacing w:line="360" w:lineRule="exact"/>
              <w:jc w:val="center"/>
              <w:rPr>
                <w:rFonts w:hint="eastAsia" w:ascii="仿宋_GB2312" w:hAnsi="仿宋_GB2312" w:eastAsia="仿宋_GB2312" w:cs="仿宋_GB2312"/>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2A11BE6">
            <w:pPr>
              <w:spacing w:line="360" w:lineRule="exact"/>
              <w:jc w:val="center"/>
              <w:rPr>
                <w:rFonts w:hint="eastAsia" w:ascii="仿宋_GB2312" w:hAnsi="仿宋_GB2312" w:eastAsia="仿宋_GB2312" w:cs="仿宋_GB2312"/>
                <w:color w:val="auto"/>
                <w:sz w:val="24"/>
                <w:highlight w:val="none"/>
              </w:rPr>
            </w:pPr>
          </w:p>
        </w:tc>
      </w:tr>
    </w:tbl>
    <w:p w14:paraId="60CD5A27">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（2）投标产品中环保产品明细清单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6F3F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126631E">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制造商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DFDEFB4">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品牌</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33773A6">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6D13E1A">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EEF4ADC">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90B6034">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F5135F0">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认证机构</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04E105F">
            <w:pPr>
              <w:spacing w:line="3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w:t>
            </w:r>
          </w:p>
        </w:tc>
      </w:tr>
      <w:tr w14:paraId="52A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653EA17">
            <w:pPr>
              <w:spacing w:line="360" w:lineRule="exact"/>
              <w:jc w:val="center"/>
              <w:rPr>
                <w:rFonts w:hint="eastAsia" w:ascii="仿宋_GB2312" w:hAnsi="仿宋_GB2312" w:eastAsia="仿宋_GB2312" w:cs="仿宋_GB2312"/>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978A908">
            <w:pPr>
              <w:spacing w:line="360" w:lineRule="exact"/>
              <w:jc w:val="center"/>
              <w:rPr>
                <w:rFonts w:hint="eastAsia" w:ascii="仿宋_GB2312" w:hAnsi="仿宋_GB2312" w:eastAsia="仿宋_GB2312" w:cs="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0E5F59C">
            <w:pPr>
              <w:spacing w:line="360" w:lineRule="exact"/>
              <w:jc w:val="center"/>
              <w:rPr>
                <w:rFonts w:hint="eastAsia" w:ascii="仿宋_GB2312" w:hAnsi="仿宋_GB2312" w:eastAsia="仿宋_GB2312" w:cs="仿宋_GB2312"/>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CEFF524">
            <w:pPr>
              <w:spacing w:line="360" w:lineRule="exact"/>
              <w:jc w:val="center"/>
              <w:rPr>
                <w:rFonts w:hint="eastAsia" w:ascii="仿宋_GB2312" w:hAnsi="仿宋_GB2312" w:eastAsia="仿宋_GB2312" w:cs="仿宋_GB2312"/>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2769FF0">
            <w:pPr>
              <w:spacing w:line="360" w:lineRule="exact"/>
              <w:jc w:val="center"/>
              <w:rPr>
                <w:rFonts w:hint="eastAsia" w:ascii="仿宋_GB2312" w:hAnsi="仿宋_GB2312" w:eastAsia="仿宋_GB2312" w:cs="仿宋_GB2312"/>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A2113B3">
            <w:pPr>
              <w:spacing w:line="360" w:lineRule="exact"/>
              <w:jc w:val="center"/>
              <w:rPr>
                <w:rFonts w:hint="eastAsia" w:ascii="仿宋_GB2312" w:hAnsi="仿宋_GB2312" w:eastAsia="仿宋_GB2312" w:cs="仿宋_GB2312"/>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3E42967">
            <w:pPr>
              <w:spacing w:line="360" w:lineRule="exact"/>
              <w:jc w:val="center"/>
              <w:rPr>
                <w:rFonts w:hint="eastAsia" w:ascii="仿宋_GB2312" w:hAnsi="仿宋_GB2312" w:eastAsia="仿宋_GB2312" w:cs="仿宋_GB2312"/>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702648D7">
            <w:pPr>
              <w:spacing w:line="360" w:lineRule="exact"/>
              <w:jc w:val="center"/>
              <w:rPr>
                <w:rFonts w:hint="eastAsia" w:ascii="仿宋_GB2312" w:hAnsi="仿宋_GB2312" w:eastAsia="仿宋_GB2312" w:cs="仿宋_GB2312"/>
                <w:color w:val="auto"/>
                <w:sz w:val="24"/>
                <w:highlight w:val="none"/>
              </w:rPr>
            </w:pPr>
          </w:p>
        </w:tc>
      </w:tr>
      <w:tr w14:paraId="667E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C9812FF">
            <w:pPr>
              <w:spacing w:line="360" w:lineRule="exact"/>
              <w:jc w:val="center"/>
              <w:rPr>
                <w:rFonts w:hint="eastAsia" w:ascii="仿宋_GB2312" w:hAnsi="仿宋_GB2312" w:eastAsia="仿宋_GB2312" w:cs="仿宋_GB2312"/>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0F0C9212">
            <w:pPr>
              <w:spacing w:line="360" w:lineRule="exact"/>
              <w:jc w:val="center"/>
              <w:rPr>
                <w:rFonts w:hint="eastAsia" w:ascii="仿宋_GB2312" w:hAnsi="仿宋_GB2312" w:eastAsia="仿宋_GB2312" w:cs="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06039C">
            <w:pPr>
              <w:spacing w:line="360" w:lineRule="exact"/>
              <w:jc w:val="center"/>
              <w:rPr>
                <w:rFonts w:hint="eastAsia" w:ascii="仿宋_GB2312" w:hAnsi="仿宋_GB2312" w:eastAsia="仿宋_GB2312" w:cs="仿宋_GB2312"/>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13F033E">
            <w:pPr>
              <w:spacing w:line="360" w:lineRule="exact"/>
              <w:jc w:val="center"/>
              <w:rPr>
                <w:rFonts w:hint="eastAsia" w:ascii="仿宋_GB2312" w:hAnsi="仿宋_GB2312" w:eastAsia="仿宋_GB2312" w:cs="仿宋_GB2312"/>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F34B797">
            <w:pPr>
              <w:spacing w:line="360" w:lineRule="exact"/>
              <w:jc w:val="center"/>
              <w:rPr>
                <w:rFonts w:hint="eastAsia" w:ascii="仿宋_GB2312" w:hAnsi="仿宋_GB2312" w:eastAsia="仿宋_GB2312" w:cs="仿宋_GB2312"/>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B62351B">
            <w:pPr>
              <w:spacing w:line="360" w:lineRule="exact"/>
              <w:jc w:val="center"/>
              <w:rPr>
                <w:rFonts w:hint="eastAsia" w:ascii="仿宋_GB2312" w:hAnsi="仿宋_GB2312" w:eastAsia="仿宋_GB2312" w:cs="仿宋_GB2312"/>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60DAC9C">
            <w:pPr>
              <w:spacing w:line="360" w:lineRule="exact"/>
              <w:jc w:val="center"/>
              <w:rPr>
                <w:rFonts w:hint="eastAsia" w:ascii="仿宋_GB2312" w:hAnsi="仿宋_GB2312" w:eastAsia="仿宋_GB2312" w:cs="仿宋_GB2312"/>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243D51B4">
            <w:pPr>
              <w:spacing w:line="360" w:lineRule="exact"/>
              <w:jc w:val="center"/>
              <w:rPr>
                <w:rFonts w:hint="eastAsia" w:ascii="仿宋_GB2312" w:hAnsi="仿宋_GB2312" w:eastAsia="仿宋_GB2312" w:cs="仿宋_GB2312"/>
                <w:color w:val="auto"/>
                <w:sz w:val="24"/>
                <w:highlight w:val="none"/>
              </w:rPr>
            </w:pPr>
          </w:p>
        </w:tc>
      </w:tr>
    </w:tbl>
    <w:p w14:paraId="6BC3818B">
      <w:pPr>
        <w:spacing w:line="360" w:lineRule="exact"/>
        <w:rPr>
          <w:rFonts w:hint="eastAsia" w:ascii="仿宋_GB2312" w:hAnsi="仿宋_GB2312" w:eastAsia="仿宋_GB2312" w:cs="仿宋_GB2312"/>
          <w:color w:val="auto"/>
          <w:sz w:val="24"/>
          <w:highlight w:val="none"/>
        </w:rPr>
      </w:pPr>
    </w:p>
    <w:p w14:paraId="76608DCF">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备注：节能产品、环境标志产品认证证书或查询截图附后</w:t>
      </w:r>
    </w:p>
    <w:p w14:paraId="3E1382A3">
      <w:pPr>
        <w:spacing w:line="460" w:lineRule="exact"/>
        <w:jc w:val="center"/>
        <w:outlineLvl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br w:type="page"/>
      </w:r>
      <w:bookmarkStart w:id="98" w:name="_Toc23231"/>
      <w:r>
        <w:rPr>
          <w:rFonts w:hint="eastAsia" w:ascii="仿宋_GB2312" w:hAnsi="仿宋_GB2312" w:eastAsia="仿宋_GB2312" w:cs="仿宋_GB2312"/>
          <w:b/>
          <w:bCs/>
          <w:color w:val="auto"/>
          <w:sz w:val="24"/>
          <w:highlight w:val="none"/>
        </w:rPr>
        <w:t>报价响应文件附件</w:t>
      </w:r>
      <w:bookmarkEnd w:id="98"/>
    </w:p>
    <w:p w14:paraId="7FD12A9E">
      <w:pPr>
        <w:spacing w:line="400" w:lineRule="exact"/>
        <w:jc w:val="center"/>
        <w:rPr>
          <w:rFonts w:hint="eastAsia" w:ascii="仿宋_GB2312" w:hAnsi="仿宋_GB2312" w:eastAsia="仿宋_GB2312" w:cs="仿宋_GB2312"/>
          <w:b/>
          <w:bCs/>
          <w:color w:val="auto"/>
          <w:sz w:val="24"/>
          <w:highlight w:val="none"/>
        </w:rPr>
      </w:pPr>
    </w:p>
    <w:p w14:paraId="7E667360">
      <w:pPr>
        <w:spacing w:line="40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开标一览表</w:t>
      </w:r>
    </w:p>
    <w:p w14:paraId="2420B616">
      <w:pPr>
        <w:spacing w:line="380" w:lineRule="exact"/>
        <w:jc w:val="center"/>
        <w:rPr>
          <w:rFonts w:hint="eastAsia" w:ascii="仿宋_GB2312" w:hAnsi="仿宋_GB2312" w:eastAsia="仿宋_GB2312" w:cs="仿宋_GB2312"/>
          <w:b/>
          <w:bCs/>
          <w:color w:val="auto"/>
          <w:sz w:val="24"/>
          <w:highlight w:val="none"/>
        </w:rPr>
      </w:pPr>
    </w:p>
    <w:p w14:paraId="2C8C2018">
      <w:pPr>
        <w:pStyle w:val="21"/>
        <w:spacing w:line="400" w:lineRule="exact"/>
        <w:ind w:firstLine="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项目编号：                        </w:t>
      </w:r>
      <w:r>
        <w:rPr>
          <w:rFonts w:hint="eastAsia" w:ascii="仿宋_GB2312" w:hAnsi="仿宋_GB2312" w:eastAsia="仿宋_GB2312" w:cs="仿宋_GB2312"/>
          <w:bCs/>
          <w:color w:val="auto"/>
          <w:sz w:val="24"/>
          <w:szCs w:val="24"/>
          <w:highlight w:val="none"/>
        </w:rPr>
        <w:t xml:space="preserve">            </w:t>
      </w:r>
      <w:r>
        <w:rPr>
          <w:rFonts w:hint="eastAsia" w:ascii="仿宋_GB2312" w:hAnsi="仿宋_GB2312" w:eastAsia="仿宋_GB2312" w:cs="仿宋_GB2312"/>
          <w:color w:val="auto"/>
          <w:sz w:val="24"/>
          <w:szCs w:val="24"/>
          <w:highlight w:val="none"/>
        </w:rPr>
        <w:t xml:space="preserve">         （价格单位：人民币元）</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32"/>
        <w:gridCol w:w="5078"/>
        <w:gridCol w:w="1348"/>
      </w:tblGrid>
      <w:tr w14:paraId="6109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77" w:type="dxa"/>
            <w:noWrap w:val="0"/>
            <w:vAlign w:val="center"/>
          </w:tcPr>
          <w:p w14:paraId="202EA802">
            <w:pPr>
              <w:spacing w:line="38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序号</w:t>
            </w:r>
          </w:p>
        </w:tc>
        <w:tc>
          <w:tcPr>
            <w:tcW w:w="1532" w:type="dxa"/>
            <w:noWrap w:val="0"/>
            <w:vAlign w:val="center"/>
          </w:tcPr>
          <w:p w14:paraId="393B5216">
            <w:pPr>
              <w:spacing w:line="38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项目名称</w:t>
            </w:r>
          </w:p>
        </w:tc>
        <w:tc>
          <w:tcPr>
            <w:tcW w:w="5078" w:type="dxa"/>
            <w:noWrap w:val="0"/>
            <w:vAlign w:val="center"/>
          </w:tcPr>
          <w:p w14:paraId="2C1182DF">
            <w:pPr>
              <w:spacing w:line="38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投标报价</w:t>
            </w:r>
          </w:p>
        </w:tc>
        <w:tc>
          <w:tcPr>
            <w:tcW w:w="1348" w:type="dxa"/>
            <w:noWrap w:val="0"/>
            <w:vAlign w:val="center"/>
          </w:tcPr>
          <w:p w14:paraId="2B07E64D">
            <w:pPr>
              <w:spacing w:line="38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交付时间</w:t>
            </w:r>
          </w:p>
        </w:tc>
      </w:tr>
      <w:tr w14:paraId="645A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77" w:type="dxa"/>
            <w:vMerge w:val="restart"/>
            <w:noWrap w:val="0"/>
            <w:vAlign w:val="center"/>
          </w:tcPr>
          <w:p w14:paraId="79DDC366">
            <w:pPr>
              <w:spacing w:line="380" w:lineRule="exact"/>
              <w:jc w:val="center"/>
              <w:rPr>
                <w:rFonts w:hint="eastAsia" w:ascii="仿宋_GB2312" w:hAnsi="仿宋_GB2312" w:eastAsia="仿宋_GB2312" w:cs="仿宋_GB2312"/>
                <w:bCs/>
                <w:color w:val="auto"/>
                <w:sz w:val="24"/>
                <w:highlight w:val="none"/>
              </w:rPr>
            </w:pPr>
          </w:p>
        </w:tc>
        <w:tc>
          <w:tcPr>
            <w:tcW w:w="1532" w:type="dxa"/>
            <w:vMerge w:val="restart"/>
            <w:noWrap w:val="0"/>
            <w:vAlign w:val="center"/>
          </w:tcPr>
          <w:p w14:paraId="5549EF0D">
            <w:pPr>
              <w:spacing w:line="380" w:lineRule="exact"/>
              <w:jc w:val="center"/>
              <w:rPr>
                <w:rFonts w:hint="eastAsia" w:ascii="仿宋_GB2312" w:hAnsi="仿宋_GB2312" w:eastAsia="仿宋_GB2312" w:cs="仿宋_GB2312"/>
                <w:color w:val="auto"/>
                <w:kern w:val="0"/>
                <w:sz w:val="24"/>
                <w:highlight w:val="none"/>
              </w:rPr>
            </w:pPr>
          </w:p>
        </w:tc>
        <w:tc>
          <w:tcPr>
            <w:tcW w:w="5078" w:type="dxa"/>
            <w:noWrap w:val="0"/>
            <w:vAlign w:val="center"/>
          </w:tcPr>
          <w:p w14:paraId="4C01F057">
            <w:pPr>
              <w:spacing w:line="38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小写：￥</w:t>
            </w:r>
          </w:p>
        </w:tc>
        <w:tc>
          <w:tcPr>
            <w:tcW w:w="1348" w:type="dxa"/>
            <w:vMerge w:val="restart"/>
            <w:noWrap w:val="0"/>
            <w:vAlign w:val="center"/>
          </w:tcPr>
          <w:p w14:paraId="53D959AE">
            <w:pPr>
              <w:spacing w:line="380" w:lineRule="exact"/>
              <w:jc w:val="center"/>
              <w:rPr>
                <w:rFonts w:hint="eastAsia" w:ascii="仿宋_GB2312" w:hAnsi="仿宋_GB2312" w:eastAsia="仿宋_GB2312" w:cs="仿宋_GB2312"/>
                <w:bCs/>
                <w:color w:val="auto"/>
                <w:sz w:val="24"/>
                <w:highlight w:val="none"/>
              </w:rPr>
            </w:pPr>
          </w:p>
        </w:tc>
      </w:tr>
      <w:tr w14:paraId="3EBA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77" w:type="dxa"/>
            <w:vMerge w:val="continue"/>
            <w:noWrap w:val="0"/>
            <w:vAlign w:val="center"/>
          </w:tcPr>
          <w:p w14:paraId="0081460E">
            <w:pPr>
              <w:spacing w:line="380" w:lineRule="exact"/>
              <w:jc w:val="center"/>
              <w:rPr>
                <w:rFonts w:hint="eastAsia" w:ascii="仿宋_GB2312" w:hAnsi="仿宋_GB2312" w:eastAsia="仿宋_GB2312" w:cs="仿宋_GB2312"/>
                <w:color w:val="auto"/>
                <w:kern w:val="0"/>
                <w:sz w:val="24"/>
                <w:highlight w:val="none"/>
              </w:rPr>
            </w:pPr>
          </w:p>
        </w:tc>
        <w:tc>
          <w:tcPr>
            <w:tcW w:w="1532" w:type="dxa"/>
            <w:vMerge w:val="continue"/>
            <w:noWrap w:val="0"/>
            <w:vAlign w:val="center"/>
          </w:tcPr>
          <w:p w14:paraId="5A93A4C2">
            <w:pPr>
              <w:spacing w:line="380" w:lineRule="exact"/>
              <w:jc w:val="center"/>
              <w:rPr>
                <w:rFonts w:hint="eastAsia" w:ascii="仿宋_GB2312" w:hAnsi="仿宋_GB2312" w:eastAsia="仿宋_GB2312" w:cs="仿宋_GB2312"/>
                <w:color w:val="auto"/>
                <w:kern w:val="0"/>
                <w:sz w:val="24"/>
                <w:highlight w:val="none"/>
              </w:rPr>
            </w:pPr>
          </w:p>
        </w:tc>
        <w:tc>
          <w:tcPr>
            <w:tcW w:w="5078" w:type="dxa"/>
            <w:noWrap w:val="0"/>
            <w:vAlign w:val="center"/>
          </w:tcPr>
          <w:p w14:paraId="176FCBA5">
            <w:pPr>
              <w:spacing w:line="38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大写：人民币</w:t>
            </w:r>
          </w:p>
        </w:tc>
        <w:tc>
          <w:tcPr>
            <w:tcW w:w="1348" w:type="dxa"/>
            <w:vMerge w:val="continue"/>
            <w:noWrap w:val="0"/>
            <w:vAlign w:val="center"/>
          </w:tcPr>
          <w:p w14:paraId="42DD08CB">
            <w:pPr>
              <w:spacing w:line="380" w:lineRule="exact"/>
              <w:jc w:val="center"/>
              <w:rPr>
                <w:rFonts w:hint="eastAsia" w:ascii="仿宋_GB2312" w:hAnsi="仿宋_GB2312" w:eastAsia="仿宋_GB2312" w:cs="仿宋_GB2312"/>
                <w:bCs/>
                <w:color w:val="auto"/>
                <w:sz w:val="24"/>
                <w:highlight w:val="none"/>
              </w:rPr>
            </w:pPr>
          </w:p>
        </w:tc>
      </w:tr>
    </w:tbl>
    <w:p w14:paraId="3525912C">
      <w:pPr>
        <w:spacing w:line="440" w:lineRule="exact"/>
        <w:rPr>
          <w:rFonts w:hint="eastAsia" w:ascii="仿宋_GB2312" w:hAnsi="仿宋_GB2312" w:eastAsia="仿宋_GB2312" w:cs="仿宋_GB2312"/>
          <w:b/>
          <w:bCs/>
          <w:color w:val="auto"/>
          <w:sz w:val="24"/>
          <w:highlight w:val="none"/>
        </w:rPr>
      </w:pPr>
    </w:p>
    <w:p w14:paraId="55F370AF">
      <w:pPr>
        <w:spacing w:line="440" w:lineRule="exact"/>
        <w:ind w:left="-359"/>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说明：</w:t>
      </w:r>
    </w:p>
    <w:p w14:paraId="7FF911FF">
      <w:pPr>
        <w:spacing w:line="440" w:lineRule="exact"/>
        <w:ind w:left="-359" w:leftChars="-171" w:firstLine="472" w:firstLineChars="196"/>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rPr>
        <w:t>1.此栏内的投标报价应与 “投标分项报价表”中的总计价相一致。</w:t>
      </w:r>
    </w:p>
    <w:p w14:paraId="3946FBE0">
      <w:pPr>
        <w:spacing w:line="440" w:lineRule="exact"/>
        <w:ind w:left="-359" w:leftChars="-171" w:firstLine="472" w:firstLineChars="196"/>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w:t>
      </w:r>
      <w:r>
        <w:rPr>
          <w:rFonts w:hint="eastAsia" w:ascii="仿宋_GB2312" w:hAnsi="仿宋_GB2312" w:eastAsia="仿宋_GB2312" w:cs="仿宋_GB2312"/>
          <w:b/>
          <w:bCs/>
          <w:color w:val="auto"/>
          <w:sz w:val="24"/>
          <w:highlight w:val="none"/>
          <w:u w:val="single"/>
        </w:rPr>
        <w:t>▲不提供开标一览表的投标文件将被视为未实质性响应招标文件。</w:t>
      </w:r>
    </w:p>
    <w:p w14:paraId="28CACC9B">
      <w:pPr>
        <w:spacing w:line="360" w:lineRule="auto"/>
        <w:ind w:left="929"/>
        <w:rPr>
          <w:rFonts w:hint="eastAsia" w:ascii="仿宋_GB2312" w:hAnsi="仿宋_GB2312" w:eastAsia="仿宋_GB2312" w:cs="仿宋_GB2312"/>
          <w:b/>
          <w:bCs/>
          <w:color w:val="auto"/>
          <w:sz w:val="24"/>
          <w:highlight w:val="none"/>
        </w:rPr>
      </w:pPr>
    </w:p>
    <w:p w14:paraId="085DF7BE">
      <w:pPr>
        <w:spacing w:before="120" w:beforeLines="50" w:after="120" w:afterLines="50" w:line="360" w:lineRule="auto"/>
        <w:ind w:right="-21" w:rightChars="-10"/>
        <w:rPr>
          <w:rFonts w:hint="eastAsia" w:ascii="仿宋_GB2312" w:hAnsi="仿宋_GB2312" w:eastAsia="仿宋_GB2312" w:cs="仿宋_GB2312"/>
          <w:color w:val="auto"/>
          <w:sz w:val="24"/>
          <w:highlight w:val="none"/>
        </w:rPr>
      </w:pPr>
    </w:p>
    <w:p w14:paraId="21B67EE3">
      <w:pPr>
        <w:spacing w:line="360" w:lineRule="auto"/>
        <w:ind w:right="-21" w:rightChars="-1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30F699EC">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5581E4FE">
      <w:pPr>
        <w:spacing w:line="40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br w:type="page"/>
      </w:r>
      <w:r>
        <w:rPr>
          <w:rFonts w:hint="eastAsia" w:ascii="仿宋_GB2312" w:hAnsi="仿宋_GB2312" w:eastAsia="仿宋_GB2312" w:cs="仿宋_GB2312"/>
          <w:b/>
          <w:bCs/>
          <w:color w:val="auto"/>
          <w:sz w:val="24"/>
          <w:highlight w:val="none"/>
        </w:rPr>
        <w:t>投标分项报价表</w:t>
      </w:r>
    </w:p>
    <w:p w14:paraId="382C3D52">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项目名称：   </w:t>
      </w:r>
      <w:r>
        <w:rPr>
          <w:rFonts w:hint="eastAsia" w:ascii="仿宋_GB2312" w:hAnsi="仿宋_GB2312" w:eastAsia="仿宋_GB2312" w:cs="仿宋_GB2312"/>
          <w:bCs/>
          <w:color w:val="auto"/>
          <w:sz w:val="24"/>
          <w:highlight w:val="none"/>
        </w:rPr>
        <w:t xml:space="preserve">         </w:t>
      </w:r>
      <w:r>
        <w:rPr>
          <w:rFonts w:hint="eastAsia" w:ascii="仿宋_GB2312" w:hAnsi="仿宋_GB2312" w:eastAsia="仿宋_GB2312" w:cs="仿宋_GB2312"/>
          <w:color w:val="auto"/>
          <w:sz w:val="24"/>
          <w:highlight w:val="none"/>
        </w:rPr>
        <w:t xml:space="preserve">         项目编号：               （价格单位：人民币元）</w:t>
      </w:r>
    </w:p>
    <w:tbl>
      <w:tblPr>
        <w:tblStyle w:val="6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828"/>
        <w:gridCol w:w="1673"/>
        <w:gridCol w:w="1365"/>
        <w:gridCol w:w="1455"/>
        <w:gridCol w:w="1158"/>
      </w:tblGrid>
      <w:tr w14:paraId="13DF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12" w:space="0"/>
              <w:left w:val="single" w:color="auto" w:sz="12" w:space="0"/>
              <w:bottom w:val="single" w:color="auto" w:sz="12" w:space="0"/>
            </w:tcBorders>
            <w:noWrap w:val="0"/>
            <w:vAlign w:val="center"/>
          </w:tcPr>
          <w:p w14:paraId="6483BA68">
            <w:pPr>
              <w:ind w:right="-11"/>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2828" w:type="dxa"/>
            <w:tcBorders>
              <w:top w:val="single" w:color="auto" w:sz="12" w:space="0"/>
              <w:bottom w:val="single" w:color="auto" w:sz="12" w:space="0"/>
            </w:tcBorders>
            <w:noWrap w:val="0"/>
            <w:vAlign w:val="center"/>
          </w:tcPr>
          <w:p w14:paraId="7FDB76FA">
            <w:pPr>
              <w:ind w:right="-11"/>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服务内容</w:t>
            </w:r>
          </w:p>
        </w:tc>
        <w:tc>
          <w:tcPr>
            <w:tcW w:w="1673" w:type="dxa"/>
            <w:tcBorders>
              <w:top w:val="single" w:color="auto" w:sz="12" w:space="0"/>
              <w:bottom w:val="single" w:color="auto" w:sz="12" w:space="0"/>
            </w:tcBorders>
            <w:noWrap w:val="0"/>
            <w:vAlign w:val="center"/>
          </w:tcPr>
          <w:p w14:paraId="2B26B094">
            <w:pPr>
              <w:ind w:right="-11"/>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数量/单位</w:t>
            </w:r>
          </w:p>
        </w:tc>
        <w:tc>
          <w:tcPr>
            <w:tcW w:w="1365" w:type="dxa"/>
            <w:tcBorders>
              <w:top w:val="single" w:color="auto" w:sz="12" w:space="0"/>
              <w:bottom w:val="single" w:color="auto" w:sz="12" w:space="0"/>
            </w:tcBorders>
            <w:noWrap w:val="0"/>
            <w:vAlign w:val="center"/>
          </w:tcPr>
          <w:p w14:paraId="0A40294D">
            <w:pPr>
              <w:ind w:right="-11"/>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单价</w:t>
            </w:r>
          </w:p>
          <w:p w14:paraId="3C18A6D5">
            <w:pPr>
              <w:ind w:right="-11"/>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（含税）</w:t>
            </w:r>
          </w:p>
        </w:tc>
        <w:tc>
          <w:tcPr>
            <w:tcW w:w="1455" w:type="dxa"/>
            <w:tcBorders>
              <w:top w:val="single" w:color="auto" w:sz="12" w:space="0"/>
              <w:bottom w:val="single" w:color="auto" w:sz="12" w:space="0"/>
            </w:tcBorders>
            <w:noWrap w:val="0"/>
            <w:vAlign w:val="center"/>
          </w:tcPr>
          <w:p w14:paraId="4F07FC04">
            <w:pPr>
              <w:ind w:right="-11"/>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总价</w:t>
            </w:r>
          </w:p>
          <w:p w14:paraId="50D7F4BE">
            <w:pPr>
              <w:ind w:right="-11"/>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（含税）</w:t>
            </w:r>
          </w:p>
        </w:tc>
        <w:tc>
          <w:tcPr>
            <w:tcW w:w="1158" w:type="dxa"/>
            <w:tcBorders>
              <w:top w:val="single" w:color="auto" w:sz="12" w:space="0"/>
              <w:bottom w:val="single" w:color="auto" w:sz="12" w:space="0"/>
            </w:tcBorders>
            <w:noWrap w:val="0"/>
            <w:vAlign w:val="center"/>
          </w:tcPr>
          <w:p w14:paraId="7FED4085">
            <w:pPr>
              <w:ind w:right="-11"/>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备注</w:t>
            </w:r>
          </w:p>
        </w:tc>
      </w:tr>
      <w:tr w14:paraId="7632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76E30B9D">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4F788943">
            <w:pPr>
              <w:jc w:val="left"/>
              <w:rPr>
                <w:rFonts w:hint="eastAsia" w:ascii="仿宋_GB2312" w:hAnsi="仿宋_GB2312" w:eastAsia="仿宋_GB2312" w:cs="仿宋_GB2312"/>
                <w:color w:val="auto"/>
                <w:sz w:val="24"/>
                <w:highlight w:val="none"/>
              </w:rPr>
            </w:pPr>
          </w:p>
        </w:tc>
        <w:tc>
          <w:tcPr>
            <w:tcW w:w="1673" w:type="dxa"/>
            <w:noWrap w:val="0"/>
            <w:vAlign w:val="center"/>
          </w:tcPr>
          <w:p w14:paraId="6DB885E1">
            <w:pPr>
              <w:jc w:val="left"/>
              <w:rPr>
                <w:rFonts w:hint="eastAsia" w:ascii="仿宋_GB2312" w:hAnsi="仿宋_GB2312" w:eastAsia="仿宋_GB2312" w:cs="仿宋_GB2312"/>
                <w:color w:val="auto"/>
                <w:sz w:val="24"/>
                <w:highlight w:val="none"/>
              </w:rPr>
            </w:pPr>
          </w:p>
        </w:tc>
        <w:tc>
          <w:tcPr>
            <w:tcW w:w="1365" w:type="dxa"/>
            <w:noWrap w:val="0"/>
            <w:vAlign w:val="center"/>
          </w:tcPr>
          <w:p w14:paraId="06F46811">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7B102527">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38CDD50C">
            <w:pPr>
              <w:ind w:right="-11"/>
              <w:jc w:val="left"/>
              <w:rPr>
                <w:rFonts w:hint="eastAsia" w:ascii="仿宋_GB2312" w:hAnsi="仿宋_GB2312" w:eastAsia="仿宋_GB2312" w:cs="仿宋_GB2312"/>
                <w:color w:val="auto"/>
                <w:sz w:val="24"/>
                <w:highlight w:val="none"/>
              </w:rPr>
            </w:pPr>
          </w:p>
        </w:tc>
      </w:tr>
      <w:tr w14:paraId="7CF7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1B1773E2">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4FE68BF2">
            <w:pPr>
              <w:jc w:val="left"/>
              <w:rPr>
                <w:rFonts w:hint="eastAsia" w:ascii="仿宋_GB2312" w:hAnsi="仿宋_GB2312" w:eastAsia="仿宋_GB2312" w:cs="仿宋_GB2312"/>
                <w:color w:val="auto"/>
                <w:sz w:val="24"/>
                <w:highlight w:val="none"/>
              </w:rPr>
            </w:pPr>
          </w:p>
        </w:tc>
        <w:tc>
          <w:tcPr>
            <w:tcW w:w="1673" w:type="dxa"/>
            <w:noWrap w:val="0"/>
            <w:vAlign w:val="center"/>
          </w:tcPr>
          <w:p w14:paraId="408DB362">
            <w:pPr>
              <w:jc w:val="left"/>
              <w:rPr>
                <w:rFonts w:hint="eastAsia" w:ascii="仿宋_GB2312" w:hAnsi="仿宋_GB2312" w:eastAsia="仿宋_GB2312" w:cs="仿宋_GB2312"/>
                <w:color w:val="auto"/>
                <w:sz w:val="24"/>
                <w:highlight w:val="none"/>
              </w:rPr>
            </w:pPr>
          </w:p>
        </w:tc>
        <w:tc>
          <w:tcPr>
            <w:tcW w:w="1365" w:type="dxa"/>
            <w:noWrap w:val="0"/>
            <w:vAlign w:val="center"/>
          </w:tcPr>
          <w:p w14:paraId="0D98CDD2">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6F3DAA15">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5F549768">
            <w:pPr>
              <w:ind w:right="-11"/>
              <w:jc w:val="left"/>
              <w:rPr>
                <w:rFonts w:hint="eastAsia" w:ascii="仿宋_GB2312" w:hAnsi="仿宋_GB2312" w:eastAsia="仿宋_GB2312" w:cs="仿宋_GB2312"/>
                <w:color w:val="auto"/>
                <w:sz w:val="24"/>
                <w:highlight w:val="none"/>
              </w:rPr>
            </w:pPr>
          </w:p>
        </w:tc>
      </w:tr>
      <w:tr w14:paraId="4CC5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1BE2F60E">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6DA01463">
            <w:pPr>
              <w:jc w:val="left"/>
              <w:rPr>
                <w:rFonts w:hint="eastAsia" w:ascii="仿宋_GB2312" w:hAnsi="仿宋_GB2312" w:eastAsia="仿宋_GB2312" w:cs="仿宋_GB2312"/>
                <w:color w:val="auto"/>
                <w:sz w:val="24"/>
                <w:highlight w:val="none"/>
              </w:rPr>
            </w:pPr>
          </w:p>
        </w:tc>
        <w:tc>
          <w:tcPr>
            <w:tcW w:w="1673" w:type="dxa"/>
            <w:noWrap w:val="0"/>
            <w:vAlign w:val="center"/>
          </w:tcPr>
          <w:p w14:paraId="78AB5E90">
            <w:pPr>
              <w:jc w:val="left"/>
              <w:rPr>
                <w:rFonts w:hint="eastAsia" w:ascii="仿宋_GB2312" w:hAnsi="仿宋_GB2312" w:eastAsia="仿宋_GB2312" w:cs="仿宋_GB2312"/>
                <w:color w:val="auto"/>
                <w:sz w:val="24"/>
                <w:highlight w:val="none"/>
              </w:rPr>
            </w:pPr>
          </w:p>
        </w:tc>
        <w:tc>
          <w:tcPr>
            <w:tcW w:w="1365" w:type="dxa"/>
            <w:noWrap w:val="0"/>
            <w:vAlign w:val="center"/>
          </w:tcPr>
          <w:p w14:paraId="766863FC">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165257F3">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6F466AA3">
            <w:pPr>
              <w:ind w:right="-11"/>
              <w:jc w:val="left"/>
              <w:rPr>
                <w:rFonts w:hint="eastAsia" w:ascii="仿宋_GB2312" w:hAnsi="仿宋_GB2312" w:eastAsia="仿宋_GB2312" w:cs="仿宋_GB2312"/>
                <w:color w:val="auto"/>
                <w:sz w:val="24"/>
                <w:highlight w:val="none"/>
              </w:rPr>
            </w:pPr>
          </w:p>
        </w:tc>
      </w:tr>
      <w:tr w14:paraId="2CEA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24BDCB70">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57FCB862">
            <w:pPr>
              <w:jc w:val="left"/>
              <w:rPr>
                <w:rFonts w:hint="eastAsia" w:ascii="仿宋_GB2312" w:hAnsi="仿宋_GB2312" w:eastAsia="仿宋_GB2312" w:cs="仿宋_GB2312"/>
                <w:color w:val="auto"/>
                <w:sz w:val="24"/>
                <w:highlight w:val="none"/>
              </w:rPr>
            </w:pPr>
          </w:p>
        </w:tc>
        <w:tc>
          <w:tcPr>
            <w:tcW w:w="1673" w:type="dxa"/>
            <w:noWrap w:val="0"/>
            <w:vAlign w:val="center"/>
          </w:tcPr>
          <w:p w14:paraId="0E022B36">
            <w:pPr>
              <w:jc w:val="left"/>
              <w:rPr>
                <w:rFonts w:hint="eastAsia" w:ascii="仿宋_GB2312" w:hAnsi="仿宋_GB2312" w:eastAsia="仿宋_GB2312" w:cs="仿宋_GB2312"/>
                <w:color w:val="auto"/>
                <w:sz w:val="24"/>
                <w:highlight w:val="none"/>
              </w:rPr>
            </w:pPr>
          </w:p>
        </w:tc>
        <w:tc>
          <w:tcPr>
            <w:tcW w:w="1365" w:type="dxa"/>
            <w:noWrap w:val="0"/>
            <w:vAlign w:val="center"/>
          </w:tcPr>
          <w:p w14:paraId="17E43F50">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20A5E081">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46005E79">
            <w:pPr>
              <w:ind w:right="-11"/>
              <w:jc w:val="left"/>
              <w:rPr>
                <w:rFonts w:hint="eastAsia" w:ascii="仿宋_GB2312" w:hAnsi="仿宋_GB2312" w:eastAsia="仿宋_GB2312" w:cs="仿宋_GB2312"/>
                <w:color w:val="auto"/>
                <w:sz w:val="24"/>
                <w:highlight w:val="none"/>
              </w:rPr>
            </w:pPr>
          </w:p>
        </w:tc>
      </w:tr>
      <w:tr w14:paraId="5183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614170B1">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557F7946">
            <w:pPr>
              <w:jc w:val="left"/>
              <w:rPr>
                <w:rFonts w:hint="eastAsia" w:ascii="仿宋_GB2312" w:hAnsi="仿宋_GB2312" w:eastAsia="仿宋_GB2312" w:cs="仿宋_GB2312"/>
                <w:color w:val="auto"/>
                <w:sz w:val="24"/>
                <w:highlight w:val="none"/>
              </w:rPr>
            </w:pPr>
          </w:p>
        </w:tc>
        <w:tc>
          <w:tcPr>
            <w:tcW w:w="1673" w:type="dxa"/>
            <w:noWrap w:val="0"/>
            <w:vAlign w:val="center"/>
          </w:tcPr>
          <w:p w14:paraId="278546BC">
            <w:pPr>
              <w:jc w:val="left"/>
              <w:rPr>
                <w:rFonts w:hint="eastAsia" w:ascii="仿宋_GB2312" w:hAnsi="仿宋_GB2312" w:eastAsia="仿宋_GB2312" w:cs="仿宋_GB2312"/>
                <w:color w:val="auto"/>
                <w:sz w:val="24"/>
                <w:highlight w:val="none"/>
              </w:rPr>
            </w:pPr>
          </w:p>
        </w:tc>
        <w:tc>
          <w:tcPr>
            <w:tcW w:w="1365" w:type="dxa"/>
            <w:noWrap w:val="0"/>
            <w:vAlign w:val="center"/>
          </w:tcPr>
          <w:p w14:paraId="672F8C86">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2FB13277">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44262453">
            <w:pPr>
              <w:ind w:right="-11"/>
              <w:jc w:val="left"/>
              <w:rPr>
                <w:rFonts w:hint="eastAsia" w:ascii="仿宋_GB2312" w:hAnsi="仿宋_GB2312" w:eastAsia="仿宋_GB2312" w:cs="仿宋_GB2312"/>
                <w:color w:val="auto"/>
                <w:sz w:val="24"/>
                <w:highlight w:val="none"/>
              </w:rPr>
            </w:pPr>
          </w:p>
        </w:tc>
      </w:tr>
      <w:tr w14:paraId="170E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077351FA">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5166CD65">
            <w:pPr>
              <w:jc w:val="left"/>
              <w:rPr>
                <w:rFonts w:hint="eastAsia" w:ascii="仿宋_GB2312" w:hAnsi="仿宋_GB2312" w:eastAsia="仿宋_GB2312" w:cs="仿宋_GB2312"/>
                <w:color w:val="auto"/>
                <w:sz w:val="24"/>
                <w:highlight w:val="none"/>
              </w:rPr>
            </w:pPr>
          </w:p>
        </w:tc>
        <w:tc>
          <w:tcPr>
            <w:tcW w:w="1673" w:type="dxa"/>
            <w:noWrap w:val="0"/>
            <w:vAlign w:val="center"/>
          </w:tcPr>
          <w:p w14:paraId="7C533306">
            <w:pPr>
              <w:jc w:val="left"/>
              <w:rPr>
                <w:rFonts w:hint="eastAsia" w:ascii="仿宋_GB2312" w:hAnsi="仿宋_GB2312" w:eastAsia="仿宋_GB2312" w:cs="仿宋_GB2312"/>
                <w:color w:val="auto"/>
                <w:sz w:val="24"/>
                <w:highlight w:val="none"/>
              </w:rPr>
            </w:pPr>
          </w:p>
        </w:tc>
        <w:tc>
          <w:tcPr>
            <w:tcW w:w="1365" w:type="dxa"/>
            <w:noWrap w:val="0"/>
            <w:vAlign w:val="center"/>
          </w:tcPr>
          <w:p w14:paraId="7AF2EA8F">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22D3C1A0">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61E85331">
            <w:pPr>
              <w:ind w:right="-11"/>
              <w:jc w:val="left"/>
              <w:rPr>
                <w:rFonts w:hint="eastAsia" w:ascii="仿宋_GB2312" w:hAnsi="仿宋_GB2312" w:eastAsia="仿宋_GB2312" w:cs="仿宋_GB2312"/>
                <w:color w:val="auto"/>
                <w:sz w:val="24"/>
                <w:highlight w:val="none"/>
              </w:rPr>
            </w:pPr>
          </w:p>
        </w:tc>
      </w:tr>
      <w:tr w14:paraId="7E12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4" w:type="dxa"/>
            <w:tcBorders>
              <w:left w:val="single" w:color="auto" w:sz="12" w:space="0"/>
            </w:tcBorders>
            <w:noWrap w:val="0"/>
            <w:vAlign w:val="center"/>
          </w:tcPr>
          <w:p w14:paraId="5A1487A0">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3C154368">
            <w:pPr>
              <w:jc w:val="left"/>
              <w:rPr>
                <w:rFonts w:hint="eastAsia" w:ascii="仿宋_GB2312" w:hAnsi="仿宋_GB2312" w:eastAsia="仿宋_GB2312" w:cs="仿宋_GB2312"/>
                <w:color w:val="auto"/>
                <w:sz w:val="24"/>
                <w:highlight w:val="none"/>
              </w:rPr>
            </w:pPr>
          </w:p>
        </w:tc>
        <w:tc>
          <w:tcPr>
            <w:tcW w:w="1673" w:type="dxa"/>
            <w:noWrap w:val="0"/>
            <w:vAlign w:val="center"/>
          </w:tcPr>
          <w:p w14:paraId="23AF892C">
            <w:pPr>
              <w:jc w:val="left"/>
              <w:rPr>
                <w:rFonts w:hint="eastAsia" w:ascii="仿宋_GB2312" w:hAnsi="仿宋_GB2312" w:eastAsia="仿宋_GB2312" w:cs="仿宋_GB2312"/>
                <w:color w:val="auto"/>
                <w:sz w:val="24"/>
                <w:highlight w:val="none"/>
              </w:rPr>
            </w:pPr>
          </w:p>
        </w:tc>
        <w:tc>
          <w:tcPr>
            <w:tcW w:w="1365" w:type="dxa"/>
            <w:noWrap w:val="0"/>
            <w:vAlign w:val="center"/>
          </w:tcPr>
          <w:p w14:paraId="34A59B55">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1C733547">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6CE7D133">
            <w:pPr>
              <w:ind w:right="-11"/>
              <w:jc w:val="left"/>
              <w:rPr>
                <w:rFonts w:hint="eastAsia" w:ascii="仿宋_GB2312" w:hAnsi="仿宋_GB2312" w:eastAsia="仿宋_GB2312" w:cs="仿宋_GB2312"/>
                <w:color w:val="auto"/>
                <w:sz w:val="24"/>
                <w:highlight w:val="none"/>
              </w:rPr>
            </w:pPr>
          </w:p>
        </w:tc>
      </w:tr>
      <w:tr w14:paraId="6E75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0C074BC0">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515B7684">
            <w:pPr>
              <w:jc w:val="left"/>
              <w:rPr>
                <w:rFonts w:hint="eastAsia" w:ascii="仿宋_GB2312" w:hAnsi="仿宋_GB2312" w:eastAsia="仿宋_GB2312" w:cs="仿宋_GB2312"/>
                <w:color w:val="auto"/>
                <w:sz w:val="24"/>
                <w:highlight w:val="none"/>
              </w:rPr>
            </w:pPr>
          </w:p>
        </w:tc>
        <w:tc>
          <w:tcPr>
            <w:tcW w:w="1673" w:type="dxa"/>
            <w:noWrap w:val="0"/>
            <w:vAlign w:val="center"/>
          </w:tcPr>
          <w:p w14:paraId="51B9F41A">
            <w:pPr>
              <w:jc w:val="left"/>
              <w:rPr>
                <w:rFonts w:hint="eastAsia" w:ascii="仿宋_GB2312" w:hAnsi="仿宋_GB2312" w:eastAsia="仿宋_GB2312" w:cs="仿宋_GB2312"/>
                <w:color w:val="auto"/>
                <w:sz w:val="24"/>
                <w:highlight w:val="none"/>
              </w:rPr>
            </w:pPr>
          </w:p>
        </w:tc>
        <w:tc>
          <w:tcPr>
            <w:tcW w:w="1365" w:type="dxa"/>
            <w:noWrap w:val="0"/>
            <w:vAlign w:val="center"/>
          </w:tcPr>
          <w:p w14:paraId="2D618E22">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6887F863">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3FFECFB0">
            <w:pPr>
              <w:ind w:right="-11"/>
              <w:jc w:val="left"/>
              <w:rPr>
                <w:rFonts w:hint="eastAsia" w:ascii="仿宋_GB2312" w:hAnsi="仿宋_GB2312" w:eastAsia="仿宋_GB2312" w:cs="仿宋_GB2312"/>
                <w:color w:val="auto"/>
                <w:sz w:val="24"/>
                <w:highlight w:val="none"/>
              </w:rPr>
            </w:pPr>
          </w:p>
        </w:tc>
      </w:tr>
      <w:tr w14:paraId="3830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323944E4">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4F8733A3">
            <w:pPr>
              <w:jc w:val="left"/>
              <w:rPr>
                <w:rFonts w:hint="eastAsia" w:ascii="仿宋_GB2312" w:hAnsi="仿宋_GB2312" w:eastAsia="仿宋_GB2312" w:cs="仿宋_GB2312"/>
                <w:color w:val="auto"/>
                <w:sz w:val="24"/>
                <w:highlight w:val="none"/>
              </w:rPr>
            </w:pPr>
          </w:p>
        </w:tc>
        <w:tc>
          <w:tcPr>
            <w:tcW w:w="1673" w:type="dxa"/>
            <w:noWrap w:val="0"/>
            <w:vAlign w:val="center"/>
          </w:tcPr>
          <w:p w14:paraId="5F0AED8F">
            <w:pPr>
              <w:jc w:val="left"/>
              <w:rPr>
                <w:rFonts w:hint="eastAsia" w:ascii="仿宋_GB2312" w:hAnsi="仿宋_GB2312" w:eastAsia="仿宋_GB2312" w:cs="仿宋_GB2312"/>
                <w:color w:val="auto"/>
                <w:sz w:val="24"/>
                <w:highlight w:val="none"/>
              </w:rPr>
            </w:pPr>
          </w:p>
        </w:tc>
        <w:tc>
          <w:tcPr>
            <w:tcW w:w="1365" w:type="dxa"/>
            <w:noWrap w:val="0"/>
            <w:vAlign w:val="center"/>
          </w:tcPr>
          <w:p w14:paraId="33DBFBDB">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697A9DD6">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65870714">
            <w:pPr>
              <w:ind w:right="-11"/>
              <w:jc w:val="left"/>
              <w:rPr>
                <w:rFonts w:hint="eastAsia" w:ascii="仿宋_GB2312" w:hAnsi="仿宋_GB2312" w:eastAsia="仿宋_GB2312" w:cs="仿宋_GB2312"/>
                <w:color w:val="auto"/>
                <w:sz w:val="24"/>
                <w:highlight w:val="none"/>
              </w:rPr>
            </w:pPr>
          </w:p>
        </w:tc>
      </w:tr>
      <w:tr w14:paraId="04DF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4E29DC25">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74590E9E">
            <w:pPr>
              <w:jc w:val="left"/>
              <w:rPr>
                <w:rFonts w:hint="eastAsia" w:ascii="仿宋_GB2312" w:hAnsi="仿宋_GB2312" w:eastAsia="仿宋_GB2312" w:cs="仿宋_GB2312"/>
                <w:color w:val="auto"/>
                <w:sz w:val="24"/>
                <w:highlight w:val="none"/>
              </w:rPr>
            </w:pPr>
          </w:p>
        </w:tc>
        <w:tc>
          <w:tcPr>
            <w:tcW w:w="1673" w:type="dxa"/>
            <w:noWrap w:val="0"/>
            <w:vAlign w:val="center"/>
          </w:tcPr>
          <w:p w14:paraId="69685845">
            <w:pPr>
              <w:jc w:val="left"/>
              <w:rPr>
                <w:rFonts w:hint="eastAsia" w:ascii="仿宋_GB2312" w:hAnsi="仿宋_GB2312" w:eastAsia="仿宋_GB2312" w:cs="仿宋_GB2312"/>
                <w:color w:val="auto"/>
                <w:sz w:val="24"/>
                <w:highlight w:val="none"/>
              </w:rPr>
            </w:pPr>
          </w:p>
        </w:tc>
        <w:tc>
          <w:tcPr>
            <w:tcW w:w="1365" w:type="dxa"/>
            <w:noWrap w:val="0"/>
            <w:vAlign w:val="center"/>
          </w:tcPr>
          <w:p w14:paraId="36861C35">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1DC447F5">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235EBE21">
            <w:pPr>
              <w:ind w:right="-11"/>
              <w:jc w:val="left"/>
              <w:rPr>
                <w:rFonts w:hint="eastAsia" w:ascii="仿宋_GB2312" w:hAnsi="仿宋_GB2312" w:eastAsia="仿宋_GB2312" w:cs="仿宋_GB2312"/>
                <w:color w:val="auto"/>
                <w:sz w:val="24"/>
                <w:highlight w:val="none"/>
              </w:rPr>
            </w:pPr>
          </w:p>
        </w:tc>
      </w:tr>
      <w:tr w14:paraId="42C9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217EEF3B">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538151D4">
            <w:pPr>
              <w:jc w:val="left"/>
              <w:rPr>
                <w:rFonts w:hint="eastAsia" w:ascii="仿宋_GB2312" w:hAnsi="仿宋_GB2312" w:eastAsia="仿宋_GB2312" w:cs="仿宋_GB2312"/>
                <w:color w:val="auto"/>
                <w:sz w:val="24"/>
                <w:highlight w:val="none"/>
              </w:rPr>
            </w:pPr>
          </w:p>
        </w:tc>
        <w:tc>
          <w:tcPr>
            <w:tcW w:w="1673" w:type="dxa"/>
            <w:noWrap w:val="0"/>
            <w:vAlign w:val="center"/>
          </w:tcPr>
          <w:p w14:paraId="7EDE327E">
            <w:pPr>
              <w:jc w:val="left"/>
              <w:rPr>
                <w:rFonts w:hint="eastAsia" w:ascii="仿宋_GB2312" w:hAnsi="仿宋_GB2312" w:eastAsia="仿宋_GB2312" w:cs="仿宋_GB2312"/>
                <w:color w:val="auto"/>
                <w:sz w:val="24"/>
                <w:highlight w:val="none"/>
              </w:rPr>
            </w:pPr>
          </w:p>
        </w:tc>
        <w:tc>
          <w:tcPr>
            <w:tcW w:w="1365" w:type="dxa"/>
            <w:noWrap w:val="0"/>
            <w:vAlign w:val="center"/>
          </w:tcPr>
          <w:p w14:paraId="3DE00A70">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3604CDC5">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49FF02EB">
            <w:pPr>
              <w:ind w:right="-11"/>
              <w:jc w:val="left"/>
              <w:rPr>
                <w:rFonts w:hint="eastAsia" w:ascii="仿宋_GB2312" w:hAnsi="仿宋_GB2312" w:eastAsia="仿宋_GB2312" w:cs="仿宋_GB2312"/>
                <w:color w:val="auto"/>
                <w:sz w:val="24"/>
                <w:highlight w:val="none"/>
              </w:rPr>
            </w:pPr>
          </w:p>
        </w:tc>
      </w:tr>
      <w:tr w14:paraId="7C3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48511C67">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3B5DA6D0">
            <w:pPr>
              <w:jc w:val="left"/>
              <w:rPr>
                <w:rFonts w:hint="eastAsia" w:ascii="仿宋_GB2312" w:hAnsi="仿宋_GB2312" w:eastAsia="仿宋_GB2312" w:cs="仿宋_GB2312"/>
                <w:color w:val="auto"/>
                <w:sz w:val="24"/>
                <w:highlight w:val="none"/>
              </w:rPr>
            </w:pPr>
          </w:p>
        </w:tc>
        <w:tc>
          <w:tcPr>
            <w:tcW w:w="1673" w:type="dxa"/>
            <w:noWrap w:val="0"/>
            <w:vAlign w:val="center"/>
          </w:tcPr>
          <w:p w14:paraId="3C701B5A">
            <w:pPr>
              <w:jc w:val="left"/>
              <w:rPr>
                <w:rFonts w:hint="eastAsia" w:ascii="仿宋_GB2312" w:hAnsi="仿宋_GB2312" w:eastAsia="仿宋_GB2312" w:cs="仿宋_GB2312"/>
                <w:color w:val="auto"/>
                <w:sz w:val="24"/>
                <w:highlight w:val="none"/>
              </w:rPr>
            </w:pPr>
          </w:p>
        </w:tc>
        <w:tc>
          <w:tcPr>
            <w:tcW w:w="1365" w:type="dxa"/>
            <w:noWrap w:val="0"/>
            <w:vAlign w:val="center"/>
          </w:tcPr>
          <w:p w14:paraId="32D31F65">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087D539F">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679ACE9B">
            <w:pPr>
              <w:ind w:right="-11"/>
              <w:jc w:val="left"/>
              <w:rPr>
                <w:rFonts w:hint="eastAsia" w:ascii="仿宋_GB2312" w:hAnsi="仿宋_GB2312" w:eastAsia="仿宋_GB2312" w:cs="仿宋_GB2312"/>
                <w:color w:val="auto"/>
                <w:sz w:val="24"/>
                <w:highlight w:val="none"/>
              </w:rPr>
            </w:pPr>
          </w:p>
        </w:tc>
      </w:tr>
      <w:tr w14:paraId="19F4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51A36CA8">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713A5311">
            <w:pPr>
              <w:jc w:val="left"/>
              <w:rPr>
                <w:rFonts w:hint="eastAsia" w:ascii="仿宋_GB2312" w:hAnsi="仿宋_GB2312" w:eastAsia="仿宋_GB2312" w:cs="仿宋_GB2312"/>
                <w:color w:val="auto"/>
                <w:sz w:val="24"/>
                <w:highlight w:val="none"/>
              </w:rPr>
            </w:pPr>
          </w:p>
        </w:tc>
        <w:tc>
          <w:tcPr>
            <w:tcW w:w="1673" w:type="dxa"/>
            <w:noWrap w:val="0"/>
            <w:vAlign w:val="center"/>
          </w:tcPr>
          <w:p w14:paraId="49C7CC87">
            <w:pPr>
              <w:jc w:val="left"/>
              <w:rPr>
                <w:rFonts w:hint="eastAsia" w:ascii="仿宋_GB2312" w:hAnsi="仿宋_GB2312" w:eastAsia="仿宋_GB2312" w:cs="仿宋_GB2312"/>
                <w:color w:val="auto"/>
                <w:sz w:val="24"/>
                <w:highlight w:val="none"/>
              </w:rPr>
            </w:pPr>
          </w:p>
        </w:tc>
        <w:tc>
          <w:tcPr>
            <w:tcW w:w="1365" w:type="dxa"/>
            <w:noWrap w:val="0"/>
            <w:vAlign w:val="center"/>
          </w:tcPr>
          <w:p w14:paraId="70958D88">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2D97B5C4">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533B316D">
            <w:pPr>
              <w:ind w:right="-11"/>
              <w:jc w:val="left"/>
              <w:rPr>
                <w:rFonts w:hint="eastAsia" w:ascii="仿宋_GB2312" w:hAnsi="仿宋_GB2312" w:eastAsia="仿宋_GB2312" w:cs="仿宋_GB2312"/>
                <w:color w:val="auto"/>
                <w:sz w:val="24"/>
                <w:highlight w:val="none"/>
              </w:rPr>
            </w:pPr>
          </w:p>
        </w:tc>
      </w:tr>
      <w:tr w14:paraId="6772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left w:val="single" w:color="auto" w:sz="12" w:space="0"/>
            </w:tcBorders>
            <w:noWrap w:val="0"/>
            <w:vAlign w:val="center"/>
          </w:tcPr>
          <w:p w14:paraId="4956F8CF">
            <w:pPr>
              <w:ind w:right="-11"/>
              <w:jc w:val="left"/>
              <w:rPr>
                <w:rFonts w:hint="eastAsia" w:ascii="仿宋_GB2312" w:hAnsi="仿宋_GB2312" w:eastAsia="仿宋_GB2312" w:cs="仿宋_GB2312"/>
                <w:color w:val="auto"/>
                <w:sz w:val="24"/>
                <w:highlight w:val="none"/>
              </w:rPr>
            </w:pPr>
          </w:p>
        </w:tc>
        <w:tc>
          <w:tcPr>
            <w:tcW w:w="2828" w:type="dxa"/>
            <w:noWrap w:val="0"/>
            <w:vAlign w:val="center"/>
          </w:tcPr>
          <w:p w14:paraId="1B1E1DB9">
            <w:pPr>
              <w:jc w:val="left"/>
              <w:rPr>
                <w:rFonts w:hint="eastAsia" w:ascii="仿宋_GB2312" w:hAnsi="仿宋_GB2312" w:eastAsia="仿宋_GB2312" w:cs="仿宋_GB2312"/>
                <w:color w:val="auto"/>
                <w:sz w:val="24"/>
                <w:highlight w:val="none"/>
              </w:rPr>
            </w:pPr>
          </w:p>
        </w:tc>
        <w:tc>
          <w:tcPr>
            <w:tcW w:w="1673" w:type="dxa"/>
            <w:noWrap w:val="0"/>
            <w:vAlign w:val="center"/>
          </w:tcPr>
          <w:p w14:paraId="58F76BF4">
            <w:pPr>
              <w:jc w:val="left"/>
              <w:rPr>
                <w:rFonts w:hint="eastAsia" w:ascii="仿宋_GB2312" w:hAnsi="仿宋_GB2312" w:eastAsia="仿宋_GB2312" w:cs="仿宋_GB2312"/>
                <w:color w:val="auto"/>
                <w:sz w:val="24"/>
                <w:highlight w:val="none"/>
              </w:rPr>
            </w:pPr>
          </w:p>
        </w:tc>
        <w:tc>
          <w:tcPr>
            <w:tcW w:w="1365" w:type="dxa"/>
            <w:noWrap w:val="0"/>
            <w:vAlign w:val="center"/>
          </w:tcPr>
          <w:p w14:paraId="56B1235E">
            <w:pPr>
              <w:ind w:right="-11"/>
              <w:jc w:val="left"/>
              <w:rPr>
                <w:rFonts w:hint="eastAsia" w:ascii="仿宋_GB2312" w:hAnsi="仿宋_GB2312" w:eastAsia="仿宋_GB2312" w:cs="仿宋_GB2312"/>
                <w:color w:val="auto"/>
                <w:sz w:val="24"/>
                <w:highlight w:val="none"/>
              </w:rPr>
            </w:pPr>
          </w:p>
        </w:tc>
        <w:tc>
          <w:tcPr>
            <w:tcW w:w="1455" w:type="dxa"/>
            <w:noWrap w:val="0"/>
            <w:vAlign w:val="center"/>
          </w:tcPr>
          <w:p w14:paraId="30F9E1D8">
            <w:pPr>
              <w:ind w:right="-11"/>
              <w:jc w:val="left"/>
              <w:rPr>
                <w:rFonts w:hint="eastAsia" w:ascii="仿宋_GB2312" w:hAnsi="仿宋_GB2312" w:eastAsia="仿宋_GB2312" w:cs="仿宋_GB2312"/>
                <w:color w:val="auto"/>
                <w:sz w:val="24"/>
                <w:highlight w:val="none"/>
              </w:rPr>
            </w:pPr>
          </w:p>
        </w:tc>
        <w:tc>
          <w:tcPr>
            <w:tcW w:w="1158" w:type="dxa"/>
            <w:noWrap w:val="0"/>
            <w:vAlign w:val="center"/>
          </w:tcPr>
          <w:p w14:paraId="200121F8">
            <w:pPr>
              <w:ind w:right="-11"/>
              <w:jc w:val="left"/>
              <w:rPr>
                <w:rFonts w:hint="eastAsia" w:ascii="仿宋_GB2312" w:hAnsi="仿宋_GB2312" w:eastAsia="仿宋_GB2312" w:cs="仿宋_GB2312"/>
                <w:color w:val="auto"/>
                <w:sz w:val="24"/>
                <w:highlight w:val="none"/>
              </w:rPr>
            </w:pPr>
          </w:p>
        </w:tc>
      </w:tr>
      <w:tr w14:paraId="5455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2" w:type="dxa"/>
            <w:gridSpan w:val="2"/>
            <w:tcBorders>
              <w:left w:val="single" w:color="auto" w:sz="12" w:space="0"/>
            </w:tcBorders>
            <w:noWrap w:val="0"/>
            <w:vAlign w:val="center"/>
          </w:tcPr>
          <w:p w14:paraId="297D8D4B">
            <w:pPr>
              <w:ind w:right="-11"/>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   计   价</w:t>
            </w:r>
          </w:p>
        </w:tc>
        <w:tc>
          <w:tcPr>
            <w:tcW w:w="5651" w:type="dxa"/>
            <w:gridSpan w:val="4"/>
            <w:noWrap w:val="0"/>
            <w:vAlign w:val="center"/>
          </w:tcPr>
          <w:p w14:paraId="15922812">
            <w:pPr>
              <w:ind w:right="-10"/>
              <w:jc w:val="left"/>
              <w:rPr>
                <w:rFonts w:hint="eastAsia" w:ascii="仿宋_GB2312" w:hAnsi="仿宋_GB2312" w:eastAsia="仿宋_GB2312" w:cs="仿宋_GB2312"/>
                <w:color w:val="auto"/>
                <w:sz w:val="24"/>
                <w:highlight w:val="none"/>
              </w:rPr>
            </w:pPr>
          </w:p>
        </w:tc>
      </w:tr>
    </w:tbl>
    <w:p w14:paraId="0EB333BD">
      <w:pPr>
        <w:rPr>
          <w:rFonts w:hint="eastAsia" w:ascii="仿宋_GB2312" w:hAnsi="仿宋_GB2312" w:eastAsia="仿宋_GB2312" w:cs="仿宋_GB2312"/>
          <w:color w:val="auto"/>
          <w:sz w:val="24"/>
          <w:highlight w:val="none"/>
        </w:rPr>
      </w:pPr>
    </w:p>
    <w:p w14:paraId="70B6671F">
      <w:pPr>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说明：</w:t>
      </w:r>
      <w:r>
        <w:rPr>
          <w:rFonts w:hint="eastAsia" w:ascii="仿宋_GB2312" w:hAnsi="仿宋_GB2312" w:eastAsia="仿宋_GB2312" w:cs="仿宋_GB2312"/>
          <w:color w:val="auto"/>
          <w:sz w:val="24"/>
          <w:highlight w:val="none"/>
        </w:rPr>
        <w:t>1.不提供详细分项报价将视为没有实质性响应招标文件。</w:t>
      </w:r>
    </w:p>
    <w:p w14:paraId="6B0F1B8A">
      <w:pPr>
        <w:spacing w:line="440" w:lineRule="exact"/>
        <w:ind w:firstLine="7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2.此表的</w:t>
      </w:r>
      <w:r>
        <w:rPr>
          <w:rFonts w:hint="eastAsia" w:ascii="仿宋_GB2312" w:hAnsi="仿宋_GB2312" w:eastAsia="仿宋_GB2312" w:cs="仿宋_GB2312"/>
          <w:bCs/>
          <w:color w:val="auto"/>
          <w:sz w:val="24"/>
          <w:highlight w:val="none"/>
        </w:rPr>
        <w:t>总计</w:t>
      </w:r>
      <w:r>
        <w:rPr>
          <w:rFonts w:hint="eastAsia" w:ascii="仿宋_GB2312" w:hAnsi="仿宋_GB2312" w:eastAsia="仿宋_GB2312" w:cs="仿宋_GB2312"/>
          <w:color w:val="auto"/>
          <w:sz w:val="24"/>
          <w:highlight w:val="none"/>
        </w:rPr>
        <w:t>价应与“开标一览表”相应的投标报价相一致。</w:t>
      </w:r>
    </w:p>
    <w:p w14:paraId="4C9E2C5A">
      <w:pPr>
        <w:rPr>
          <w:rFonts w:hint="eastAsia" w:ascii="仿宋_GB2312" w:hAnsi="仿宋_GB2312" w:eastAsia="仿宋_GB2312" w:cs="仿宋_GB2312"/>
          <w:b/>
          <w:color w:val="auto"/>
          <w:sz w:val="24"/>
          <w:highlight w:val="none"/>
        </w:rPr>
      </w:pPr>
    </w:p>
    <w:p w14:paraId="56B1A1EC">
      <w:pPr>
        <w:rPr>
          <w:rFonts w:hint="eastAsia" w:ascii="仿宋_GB2312" w:hAnsi="仿宋_GB2312" w:eastAsia="仿宋_GB2312" w:cs="仿宋_GB2312"/>
          <w:b/>
          <w:color w:val="auto"/>
          <w:sz w:val="24"/>
          <w:highlight w:val="none"/>
        </w:rPr>
      </w:pPr>
    </w:p>
    <w:p w14:paraId="121E1666">
      <w:pPr>
        <w:spacing w:line="360" w:lineRule="auto"/>
        <w:ind w:firstLine="120" w:firstLineChars="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投标供应商全称（盖章或电子签章）：</w:t>
      </w:r>
    </w:p>
    <w:p w14:paraId="005BB307">
      <w:pPr>
        <w:spacing w:line="360" w:lineRule="auto"/>
        <w:ind w:firstLine="120" w:firstLineChars="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日 期：  年  月  日</w:t>
      </w:r>
    </w:p>
    <w:p w14:paraId="72781B6E">
      <w:pPr>
        <w:tabs>
          <w:tab w:val="left" w:pos="1620"/>
        </w:tabs>
        <w:spacing w:line="460" w:lineRule="exact"/>
        <w:jc w:val="center"/>
        <w:outlineLvl w:val="3"/>
        <w:rPr>
          <w:rFonts w:hint="eastAsia" w:ascii="仿宋_GB2312" w:hAnsi="仿宋_GB2312" w:eastAsia="仿宋_GB2312" w:cs="仿宋_GB2312"/>
          <w:b/>
          <w:color w:val="auto"/>
          <w:sz w:val="24"/>
          <w:highlight w:val="none"/>
        </w:rPr>
      </w:pPr>
      <w:bookmarkStart w:id="99" w:name="_Toc9048"/>
      <w:r>
        <w:rPr>
          <w:rFonts w:hint="eastAsia" w:ascii="仿宋_GB2312" w:hAnsi="仿宋_GB2312" w:eastAsia="仿宋_GB2312" w:cs="仿宋_GB2312"/>
          <w:b/>
          <w:color w:val="auto"/>
          <w:sz w:val="24"/>
          <w:highlight w:val="none"/>
        </w:rPr>
        <w:br w:type="page"/>
      </w:r>
      <w:r>
        <w:rPr>
          <w:rFonts w:hint="eastAsia" w:ascii="仿宋_GB2312" w:hAnsi="仿宋_GB2312" w:eastAsia="仿宋_GB2312" w:cs="仿宋_GB2312"/>
          <w:b/>
          <w:color w:val="auto"/>
          <w:sz w:val="24"/>
          <w:highlight w:val="none"/>
        </w:rPr>
        <w:t>中小企业证明材料</w:t>
      </w:r>
    </w:p>
    <w:p w14:paraId="48E7CACE">
      <w:pPr>
        <w:tabs>
          <w:tab w:val="left" w:pos="1620"/>
        </w:tabs>
        <w:spacing w:line="460" w:lineRule="exact"/>
        <w:jc w:val="center"/>
        <w:outlineLvl w:val="3"/>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（1）中小企业声明函（服务/工程）</w:t>
      </w:r>
    </w:p>
    <w:p w14:paraId="123001FC">
      <w:pPr>
        <w:pStyle w:val="11"/>
        <w:ind w:firstLine="240"/>
        <w:rPr>
          <w:rFonts w:hint="eastAsia" w:ascii="仿宋_GB2312" w:hAnsi="仿宋_GB2312" w:eastAsia="仿宋_GB2312" w:cs="仿宋_GB2312"/>
          <w:color w:val="auto"/>
          <w:sz w:val="24"/>
          <w:highlight w:val="none"/>
        </w:rPr>
      </w:pPr>
    </w:p>
    <w:p w14:paraId="3F142193">
      <w:pPr>
        <w:spacing w:after="120" w:line="381"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本公司郑重声明，根据《政府采购促进中小企业发展管理办法》（财库（2020）46号）的规定，本公司参加</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单</w:t>
      </w:r>
      <w:r>
        <w:rPr>
          <w:rFonts w:hint="eastAsia" w:ascii="仿宋_GB2312" w:hAnsi="仿宋_GB2312" w:eastAsia="仿宋_GB2312" w:cs="仿宋_GB2312"/>
          <w:color w:val="auto"/>
          <w:sz w:val="24"/>
          <w:szCs w:val="24"/>
          <w:highlight w:val="none"/>
          <w:u w:val="single"/>
        </w:rPr>
        <w:t>位名称）</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采购</w:t>
      </w:r>
      <w:r>
        <w:rPr>
          <w:rFonts w:hint="eastAsia" w:ascii="仿宋_GB2312" w:hAnsi="仿宋_GB2312" w:eastAsia="仿宋_GB2312" w:cs="仿宋_GB2312"/>
          <w:color w:val="auto"/>
          <w:sz w:val="24"/>
          <w:szCs w:val="24"/>
          <w:highlight w:val="none"/>
          <w:lang w:val="zh-CN" w:eastAsia="zh-CN" w:bidi="zh-CN"/>
        </w:rPr>
        <w:t>活动，</w:t>
      </w:r>
      <w:r>
        <w:rPr>
          <w:rFonts w:hint="eastAsia" w:ascii="仿宋_GB2312" w:hAnsi="仿宋_GB2312" w:eastAsia="仿宋_GB2312" w:cs="仿宋_GB2312"/>
          <w:color w:val="auto"/>
          <w:sz w:val="24"/>
          <w:szCs w:val="24"/>
          <w:highlight w:val="none"/>
        </w:rPr>
        <w:t>服务全部由符合政策要求的中小企业承接。相关企业的具体情况如下：</w:t>
      </w:r>
    </w:p>
    <w:p w14:paraId="08E3FA32">
      <w:pPr>
        <w:tabs>
          <w:tab w:val="left" w:pos="879"/>
        </w:tabs>
        <w:spacing w:after="0" w:line="381"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1.     </w:t>
      </w:r>
      <w:r>
        <w:rPr>
          <w:rFonts w:hint="eastAsia" w:ascii="仿宋_GB2312" w:hAnsi="仿宋_GB2312" w:eastAsia="仿宋_GB2312" w:cs="仿宋_GB2312"/>
          <w:color w:val="auto"/>
          <w:sz w:val="24"/>
          <w:szCs w:val="24"/>
          <w:highlight w:val="none"/>
          <w:u w:val="single"/>
        </w:rPr>
        <w:t>（标的名称）</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（采购文件中明确的所属行业）</w:t>
      </w:r>
      <w:r>
        <w:rPr>
          <w:rFonts w:hint="eastAsia" w:ascii="仿宋_GB2312" w:hAnsi="仿宋_GB2312" w:eastAsia="仿宋_GB2312" w:cs="仿宋_GB2312"/>
          <w:color w:val="auto"/>
          <w:sz w:val="24"/>
          <w:szCs w:val="24"/>
          <w:highlight w:val="none"/>
          <w:lang w:val="en-US" w:eastAsia="zh-CN" w:bidi="en-US"/>
        </w:rPr>
        <w:t>；</w:t>
      </w:r>
      <w:r>
        <w:rPr>
          <w:rFonts w:hint="eastAsia" w:ascii="仿宋_GB2312" w:hAnsi="仿宋_GB2312" w:eastAsia="仿宋_GB2312" w:cs="仿宋_GB2312"/>
          <w:color w:val="auto"/>
          <w:sz w:val="24"/>
          <w:szCs w:val="24"/>
          <w:highlight w:val="none"/>
        </w:rPr>
        <w:t>承建（承接）企业为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（企业名称）</w:t>
      </w:r>
      <w:r>
        <w:rPr>
          <w:rFonts w:hint="eastAsia" w:ascii="仿宋_GB2312" w:hAnsi="仿宋_GB2312" w:eastAsia="仿宋_GB2312" w:cs="仿宋_GB2312"/>
          <w:i/>
          <w:iCs/>
          <w:color w:val="auto"/>
          <w:sz w:val="24"/>
          <w:szCs w:val="24"/>
          <w:highlight w:val="none"/>
        </w:rPr>
        <w:t>,</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lang w:val="en-US" w:eastAsia="zh-CN" w:bidi="zh-CN"/>
        </w:rPr>
        <w:t xml:space="preserve">     </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万元</w:t>
      </w:r>
      <w:r>
        <w:rPr>
          <w:rStyle w:val="78"/>
          <w:rFonts w:hint="eastAsia" w:ascii="仿宋_GB2312" w:hAnsi="仿宋_GB2312" w:eastAsia="仿宋_GB2312" w:cs="仿宋_GB2312"/>
          <w:color w:val="auto"/>
          <w:sz w:val="24"/>
          <w:szCs w:val="24"/>
          <w:highlight w:val="none"/>
        </w:rPr>
        <w:footnoteReference w:id="0"/>
      </w:r>
      <w:r>
        <w:rPr>
          <w:rFonts w:hint="eastAsia" w:ascii="仿宋_GB2312" w:hAnsi="仿宋_GB2312" w:eastAsia="仿宋_GB2312" w:cs="仿宋_GB2312"/>
          <w:color w:val="auto"/>
          <w:sz w:val="24"/>
          <w:szCs w:val="24"/>
          <w:highlight w:val="none"/>
          <w:lang w:val="en-US" w:eastAsia="zh-CN" w:bidi="en-US"/>
        </w:rPr>
        <w:t>，</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（中型企业、 小型企业、微型企业）</w:t>
      </w:r>
      <w:r>
        <w:rPr>
          <w:rFonts w:hint="eastAsia" w:ascii="仿宋_GB2312" w:hAnsi="仿宋_GB2312" w:eastAsia="仿宋_GB2312" w:cs="仿宋_GB2312"/>
          <w:color w:val="auto"/>
          <w:sz w:val="24"/>
          <w:szCs w:val="24"/>
          <w:highlight w:val="none"/>
          <w:lang w:eastAsia="zh-CN"/>
        </w:rPr>
        <w:t>；</w:t>
      </w:r>
    </w:p>
    <w:p w14:paraId="5410E07C">
      <w:pPr>
        <w:tabs>
          <w:tab w:val="left" w:pos="879"/>
          <w:tab w:val="left" w:pos="1136"/>
          <w:tab w:val="left" w:pos="3461"/>
        </w:tabs>
        <w:spacing w:after="0" w:line="381"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2.     </w:t>
      </w:r>
      <w:r>
        <w:rPr>
          <w:rFonts w:hint="eastAsia" w:ascii="仿宋_GB2312" w:hAnsi="仿宋_GB2312" w:eastAsia="仿宋_GB2312" w:cs="仿宋_GB2312"/>
          <w:color w:val="auto"/>
          <w:sz w:val="24"/>
          <w:szCs w:val="24"/>
          <w:highlight w:val="none"/>
          <w:u w:val="single"/>
        </w:rPr>
        <w:t>（标的名称）</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（采购文件中明确的所属行业</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承建（承接）企业为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（企业名称）</w:t>
      </w:r>
      <w:r>
        <w:rPr>
          <w:rFonts w:hint="eastAsia" w:ascii="仿宋_GB2312" w:hAnsi="仿宋_GB2312" w:eastAsia="仿宋_GB2312" w:cs="仿宋_GB2312"/>
          <w:i/>
          <w:iCs/>
          <w:color w:val="auto"/>
          <w:sz w:val="24"/>
          <w:szCs w:val="24"/>
          <w:highlight w:val="none"/>
        </w:rPr>
        <w:t>、</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lang w:val="en-US" w:eastAsia="zh-CN" w:bidi="zh-CN"/>
        </w:rPr>
        <w:t xml:space="preserve">     </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万元，</w:t>
      </w:r>
      <w:r>
        <w:rPr>
          <w:rFonts w:hint="eastAsia" w:ascii="仿宋_GB2312" w:hAnsi="仿宋_GB2312" w:eastAsia="仿宋_GB2312" w:cs="仿宋_GB2312"/>
          <w:i/>
          <w:iCs/>
          <w:color w:val="auto"/>
          <w:sz w:val="24"/>
          <w:szCs w:val="24"/>
          <w:highlight w:val="none"/>
        </w:rPr>
        <w:t>属于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（中型企业、</w:t>
      </w:r>
      <w:r>
        <w:rPr>
          <w:rFonts w:hint="eastAsia" w:ascii="仿宋_GB2312" w:hAnsi="仿宋_GB2312" w:eastAsia="仿宋_GB2312" w:cs="仿宋_GB2312"/>
          <w:color w:val="auto"/>
          <w:sz w:val="24"/>
          <w:szCs w:val="24"/>
          <w:highlight w:val="none"/>
          <w:u w:val="single"/>
          <w:lang w:val="zh-CN" w:eastAsia="zh-CN" w:bidi="zh-CN"/>
        </w:rPr>
        <w:t>小型</w:t>
      </w:r>
      <w:r>
        <w:rPr>
          <w:rFonts w:hint="eastAsia" w:ascii="仿宋_GB2312" w:hAnsi="仿宋_GB2312" w:eastAsia="仿宋_GB2312" w:cs="仿宋_GB2312"/>
          <w:color w:val="auto"/>
          <w:sz w:val="24"/>
          <w:szCs w:val="24"/>
          <w:highlight w:val="none"/>
          <w:u w:val="single"/>
        </w:rPr>
        <w:t>企业、微型企业）</w:t>
      </w:r>
      <w:r>
        <w:rPr>
          <w:rFonts w:hint="eastAsia" w:ascii="仿宋_GB2312" w:hAnsi="仿宋_GB2312" w:eastAsia="仿宋_GB2312" w:cs="仿宋_GB2312"/>
          <w:color w:val="auto"/>
          <w:sz w:val="24"/>
          <w:szCs w:val="24"/>
          <w:highlight w:val="none"/>
          <w:lang w:eastAsia="zh-CN"/>
        </w:rPr>
        <w:t>；</w:t>
      </w:r>
    </w:p>
    <w:p w14:paraId="1233C2F9">
      <w:pPr>
        <w:tabs>
          <w:tab w:val="left" w:pos="879"/>
          <w:tab w:val="left" w:pos="1136"/>
          <w:tab w:val="left" w:pos="3461"/>
        </w:tabs>
        <w:spacing w:after="0" w:line="381" w:lineRule="exact"/>
        <w:ind w:left="480" w:firstLine="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w:t>
      </w:r>
    </w:p>
    <w:p w14:paraId="506FD85D">
      <w:pPr>
        <w:tabs>
          <w:tab w:val="left" w:leader="dot" w:pos="-4890"/>
        </w:tabs>
        <w:spacing w:after="0" w:line="374"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2EE65B90">
      <w:pPr>
        <w:spacing w:after="0" w:line="374"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本企业对上述声明内容的真实性负责。如有虚假，将依法承担相应责任。</w:t>
      </w:r>
    </w:p>
    <w:p w14:paraId="3B14824D">
      <w:pPr>
        <w:spacing w:after="0" w:line="374" w:lineRule="exact"/>
        <w:ind w:firstLine="0"/>
        <w:jc w:val="center"/>
        <w:rPr>
          <w:rFonts w:hint="eastAsia" w:ascii="仿宋_GB2312" w:hAnsi="仿宋_GB2312" w:eastAsia="仿宋_GB2312" w:cs="仿宋_GB2312"/>
          <w:color w:val="auto"/>
          <w:sz w:val="24"/>
          <w:szCs w:val="24"/>
          <w:highlight w:val="none"/>
        </w:rPr>
      </w:pPr>
    </w:p>
    <w:p w14:paraId="104A2B39">
      <w:pPr>
        <w:spacing w:after="0" w:line="374" w:lineRule="exact"/>
        <w:ind w:firstLine="0"/>
        <w:jc w:val="center"/>
        <w:rPr>
          <w:rFonts w:hint="eastAsia" w:ascii="仿宋_GB2312" w:hAnsi="仿宋_GB2312" w:eastAsia="仿宋_GB2312" w:cs="仿宋_GB2312"/>
          <w:color w:val="auto"/>
          <w:sz w:val="24"/>
          <w:szCs w:val="24"/>
          <w:highlight w:val="none"/>
        </w:rPr>
      </w:pPr>
    </w:p>
    <w:p w14:paraId="35247EB1">
      <w:pPr>
        <w:spacing w:after="0" w:line="374" w:lineRule="exact"/>
        <w:ind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企业名称（盖章）：</w:t>
      </w:r>
    </w:p>
    <w:p w14:paraId="1C3DAF86">
      <w:pPr>
        <w:spacing w:after="0" w:line="374" w:lineRule="exact"/>
        <w:ind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p>
    <w:p w14:paraId="61486B10">
      <w:pPr>
        <w:jc w:val="center"/>
        <w:rPr>
          <w:rFonts w:hint="eastAsia" w:ascii="仿宋_GB2312" w:hAnsi="仿宋_GB2312" w:eastAsia="仿宋_GB2312" w:cs="仿宋_GB2312"/>
          <w:b/>
          <w:bCs/>
          <w:color w:val="auto"/>
          <w:sz w:val="24"/>
          <w:highlight w:val="none"/>
        </w:rPr>
      </w:pPr>
    </w:p>
    <w:p w14:paraId="7AE97AE1">
      <w:pPr>
        <w:tabs>
          <w:tab w:val="left" w:pos="662"/>
          <w:tab w:val="left" w:pos="908"/>
          <w:tab w:val="left" w:pos="2945"/>
        </w:tabs>
        <w:spacing w:after="0" w:line="370" w:lineRule="exact"/>
        <w:ind w:firstLine="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w:t>
      </w: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从业人员、营业收入、资产总额填报上一年度数据，无上一年度数据的新成立企业可不填报。</w:t>
      </w:r>
    </w:p>
    <w:p w14:paraId="354D6445">
      <w:pPr>
        <w:tabs>
          <w:tab w:val="left" w:pos="662"/>
          <w:tab w:val="left" w:pos="908"/>
          <w:tab w:val="left" w:pos="2945"/>
        </w:tabs>
        <w:spacing w:after="0" w:line="37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lang w:eastAsia="zh-CN"/>
        </w:rPr>
        <w:t>供应商提供中小企业声明函且符合《关于进一步加大政府采购支持中小企业力度的通知》（财库〔2022〕19号）文件规定的要求并符合《工业和信息化部、国家统计局、国家发展和改革委员会、财政部关于印发中小企业划型标准规定的通知》（工信部联企业〔2011〕300号）规定的小、微企业的划型标准规定。</w:t>
      </w:r>
    </w:p>
    <w:p w14:paraId="734F5F6F">
      <w:pPr>
        <w:tabs>
          <w:tab w:val="left" w:pos="662"/>
          <w:tab w:val="left" w:pos="908"/>
          <w:tab w:val="left" w:pos="2945"/>
        </w:tabs>
        <w:spacing w:after="0" w:line="370" w:lineRule="exact"/>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在服务采购项目中，服务由中小企业承接，即提供服务的人员为中小企业依照《中华人民共和国民法典》订立劳动合同的从业人员。</w:t>
      </w:r>
    </w:p>
    <w:p w14:paraId="30AF9E41">
      <w:pPr>
        <w:tabs>
          <w:tab w:val="left" w:pos="662"/>
          <w:tab w:val="left" w:pos="908"/>
          <w:tab w:val="left" w:pos="2945"/>
        </w:tabs>
        <w:spacing w:after="0" w:line="37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4.如成交供应商声明为小微企业，本声明函将随中标(成交)结果同时公告，接受社会监督。</w:t>
      </w:r>
    </w:p>
    <w:p w14:paraId="5F0AA425">
      <w:pPr>
        <w:spacing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br w:type="page"/>
      </w:r>
      <w:r>
        <w:rPr>
          <w:rFonts w:hint="eastAsia" w:ascii="仿宋_GB2312" w:hAnsi="仿宋_GB2312" w:eastAsia="仿宋_GB2312" w:cs="仿宋_GB2312"/>
          <w:b/>
          <w:bCs/>
          <w:color w:val="auto"/>
          <w:sz w:val="24"/>
          <w:highlight w:val="none"/>
        </w:rPr>
        <w:t>（2）供应商为监狱企业的证明文件</w:t>
      </w:r>
    </w:p>
    <w:p w14:paraId="7012FA71">
      <w:pPr>
        <w:spacing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省级以上监狱管理局、戒毒管理局（含新疆生产建设兵团）出具属于监狱企业的证明文件</w:t>
      </w:r>
    </w:p>
    <w:p w14:paraId="0BD9FD4D">
      <w:pPr>
        <w:tabs>
          <w:tab w:val="left" w:pos="1620"/>
        </w:tabs>
        <w:spacing w:line="460" w:lineRule="exact"/>
        <w:outlineLvl w:val="3"/>
        <w:rPr>
          <w:rFonts w:hint="eastAsia" w:ascii="仿宋_GB2312" w:hAnsi="仿宋_GB2312" w:eastAsia="仿宋_GB2312" w:cs="仿宋_GB2312"/>
          <w:b/>
          <w:bCs/>
          <w:color w:val="auto"/>
          <w:sz w:val="24"/>
          <w:highlight w:val="none"/>
        </w:rPr>
      </w:pPr>
    </w:p>
    <w:p w14:paraId="0075CD67">
      <w:pPr>
        <w:tabs>
          <w:tab w:val="left" w:pos="1620"/>
        </w:tabs>
        <w:spacing w:line="460" w:lineRule="exact"/>
        <w:outlineLvl w:val="3"/>
        <w:rPr>
          <w:rFonts w:hint="eastAsia" w:ascii="仿宋_GB2312" w:hAnsi="仿宋_GB2312" w:eastAsia="仿宋_GB2312" w:cs="仿宋_GB2312"/>
          <w:b/>
          <w:bCs/>
          <w:color w:val="auto"/>
          <w:sz w:val="24"/>
          <w:highlight w:val="none"/>
        </w:rPr>
      </w:pPr>
    </w:p>
    <w:p w14:paraId="13C9C606">
      <w:pPr>
        <w:tabs>
          <w:tab w:val="left" w:pos="1620"/>
        </w:tabs>
        <w:spacing w:line="460" w:lineRule="exact"/>
        <w:outlineLvl w:val="3"/>
        <w:rPr>
          <w:rFonts w:hint="eastAsia" w:ascii="仿宋_GB2312" w:hAnsi="仿宋_GB2312" w:eastAsia="仿宋_GB2312" w:cs="仿宋_GB2312"/>
          <w:b/>
          <w:bCs/>
          <w:color w:val="auto"/>
          <w:sz w:val="24"/>
          <w:highlight w:val="none"/>
        </w:rPr>
      </w:pPr>
    </w:p>
    <w:p w14:paraId="6A51B080">
      <w:pPr>
        <w:spacing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br w:type="page"/>
      </w:r>
      <w:r>
        <w:rPr>
          <w:rFonts w:hint="eastAsia" w:ascii="仿宋_GB2312" w:hAnsi="仿宋_GB2312" w:eastAsia="仿宋_GB2312" w:cs="仿宋_GB2312"/>
          <w:b/>
          <w:bCs/>
          <w:color w:val="auto"/>
          <w:sz w:val="24"/>
          <w:highlight w:val="none"/>
        </w:rPr>
        <w:t>（3）残疾人福利性单位声明函</w:t>
      </w:r>
    </w:p>
    <w:p w14:paraId="376720A7">
      <w:pPr>
        <w:spacing w:line="588" w:lineRule="exact"/>
        <w:rPr>
          <w:rFonts w:hint="eastAsia" w:ascii="仿宋_GB2312" w:hAnsi="仿宋_GB2312" w:eastAsia="仿宋_GB2312" w:cs="仿宋_GB2312"/>
          <w:b/>
          <w:color w:val="auto"/>
          <w:spacing w:val="6"/>
          <w:sz w:val="24"/>
          <w:highlight w:val="none"/>
        </w:rPr>
      </w:pPr>
    </w:p>
    <w:p w14:paraId="2FC8FAAB">
      <w:pPr>
        <w:spacing w:line="480" w:lineRule="auto"/>
        <w:ind w:firstLine="504" w:firstLineChars="200"/>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本单位郑重声明，根据《财政部 民政部 中国残疾人联合会关于促进残疾人就业政府采购政策的通知》（财库</w:t>
      </w:r>
      <w:r>
        <w:rPr>
          <w:rFonts w:hint="eastAsia" w:ascii="仿宋_GB2312" w:hAnsi="仿宋_GB2312" w:eastAsia="仿宋_GB2312" w:cs="仿宋_GB2312"/>
          <w:color w:val="auto"/>
          <w:sz w:val="24"/>
          <w:highlight w:val="none"/>
        </w:rPr>
        <w:t>〔2017〕 141</w:t>
      </w:r>
      <w:r>
        <w:rPr>
          <w:rFonts w:hint="eastAsia" w:ascii="仿宋_GB2312" w:hAnsi="仿宋_GB2312" w:eastAsia="仿宋_GB2312" w:cs="仿宋_GB2312"/>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0D1FA8">
      <w:pPr>
        <w:spacing w:line="480" w:lineRule="auto"/>
        <w:ind w:firstLine="504" w:firstLineChars="200"/>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本单位对上述声明的真实性负责。如有虚假，将依法承担相应责任。</w:t>
      </w:r>
    </w:p>
    <w:p w14:paraId="62A746D9">
      <w:pPr>
        <w:spacing w:line="480" w:lineRule="auto"/>
        <w:ind w:firstLine="504" w:firstLineChars="200"/>
        <w:rPr>
          <w:rFonts w:hint="eastAsia" w:ascii="仿宋_GB2312" w:hAnsi="仿宋_GB2312" w:eastAsia="仿宋_GB2312" w:cs="仿宋_GB2312"/>
          <w:color w:val="auto"/>
          <w:spacing w:val="6"/>
          <w:sz w:val="24"/>
          <w:highlight w:val="none"/>
        </w:rPr>
      </w:pPr>
    </w:p>
    <w:p w14:paraId="5C5D7CC4">
      <w:pPr>
        <w:tabs>
          <w:tab w:val="left" w:pos="4860"/>
        </w:tabs>
        <w:spacing w:line="480" w:lineRule="auto"/>
        <w:ind w:right="1560" w:firstLine="504" w:firstLineChars="200"/>
        <w:jc w:val="center"/>
        <w:rPr>
          <w:rFonts w:hint="eastAsia"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 xml:space="preserve">                               投标供应商名称（盖章）：</w:t>
      </w:r>
    </w:p>
    <w:p w14:paraId="565451D0">
      <w:pPr>
        <w:tabs>
          <w:tab w:val="left" w:pos="4860"/>
        </w:tabs>
        <w:spacing w:line="480" w:lineRule="auto"/>
        <w:ind w:right="1560" w:firstLine="504"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 xml:space="preserve">                           日        期：</w:t>
      </w:r>
    </w:p>
    <w:p w14:paraId="75D40CB0">
      <w:pPr>
        <w:spacing w:line="360" w:lineRule="auto"/>
        <w:rPr>
          <w:rFonts w:hint="eastAsia" w:ascii="仿宋_GB2312" w:hAnsi="仿宋_GB2312" w:eastAsia="仿宋_GB2312" w:cs="仿宋_GB2312"/>
          <w:b/>
          <w:color w:val="auto"/>
          <w:sz w:val="24"/>
          <w:highlight w:val="none"/>
        </w:rPr>
      </w:pPr>
    </w:p>
    <w:p w14:paraId="3674EBF0">
      <w:pPr>
        <w:spacing w:line="40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14:paraId="1E73A100">
      <w:pPr>
        <w:numPr>
          <w:ilvl w:val="0"/>
          <w:numId w:val="0"/>
        </w:num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t>1.</w:t>
      </w:r>
      <w:r>
        <w:rPr>
          <w:rFonts w:hint="eastAsia" w:ascii="仿宋_GB2312" w:hAnsi="仿宋_GB2312" w:eastAsia="仿宋_GB2312" w:cs="仿宋_GB2312"/>
          <w:b/>
          <w:bCs/>
          <w:color w:val="auto"/>
          <w:sz w:val="24"/>
          <w:highlight w:val="none"/>
        </w:rPr>
        <w:t>供应商如为符合条件的残疾人福利性单位，且响应产品为本企业的，投标文件中须出具《残疾人福利性单位声明函》。</w:t>
      </w:r>
    </w:p>
    <w:p w14:paraId="7E7F9A2C">
      <w:pPr>
        <w:numPr>
          <w:ilvl w:val="0"/>
          <w:numId w:val="0"/>
        </w:num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t>2.</w:t>
      </w:r>
      <w:r>
        <w:rPr>
          <w:rFonts w:hint="eastAsia" w:ascii="仿宋_GB2312" w:hAnsi="仿宋_GB2312" w:eastAsia="仿宋_GB2312" w:cs="仿宋_GB2312"/>
          <w:b/>
          <w:bCs/>
          <w:color w:val="auto"/>
          <w:sz w:val="24"/>
          <w:highlight w:val="none"/>
        </w:rPr>
        <w:t>供应商如为残疾人福利性单位且响应产品为其他残疾人福利性单位制造的，所代理品牌制造商的《残疾人福利性单位声明函》也需提供。</w:t>
      </w:r>
    </w:p>
    <w:p w14:paraId="2CBC3601">
      <w:pPr>
        <w:numPr>
          <w:ilvl w:val="0"/>
          <w:numId w:val="0"/>
        </w:num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t>3.</w:t>
      </w:r>
      <w:r>
        <w:rPr>
          <w:rFonts w:hint="eastAsia" w:ascii="仿宋_GB2312" w:hAnsi="仿宋_GB2312" w:eastAsia="仿宋_GB2312" w:cs="仿宋_GB2312"/>
          <w:b/>
          <w:bCs/>
          <w:color w:val="auto"/>
          <w:sz w:val="24"/>
          <w:highlight w:val="none"/>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5D358129">
      <w:pPr>
        <w:numPr>
          <w:ilvl w:val="0"/>
          <w:numId w:val="0"/>
        </w:numPr>
        <w:spacing w:line="40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t>4.</w:t>
      </w:r>
      <w:r>
        <w:rPr>
          <w:rFonts w:hint="eastAsia" w:ascii="仿宋_GB2312" w:hAnsi="仿宋_GB2312" w:eastAsia="仿宋_GB2312" w:cs="仿宋_GB2312"/>
          <w:b/>
          <w:bCs/>
          <w:color w:val="auto"/>
          <w:sz w:val="24"/>
          <w:highlight w:val="none"/>
        </w:rPr>
        <w:t>供应商不属于残疾人福利性单位的，无需提供此声明函，如提供所引起的后果由供应商承担。</w:t>
      </w:r>
    </w:p>
    <w:p w14:paraId="6D71343E">
      <w:pPr>
        <w:spacing w:line="380" w:lineRule="exact"/>
        <w:rPr>
          <w:rFonts w:hint="eastAsia" w:ascii="仿宋_GB2312" w:hAnsi="仿宋_GB2312" w:eastAsia="仿宋_GB2312" w:cs="仿宋_GB2312"/>
          <w:b/>
          <w:bCs/>
          <w:color w:val="auto"/>
          <w:sz w:val="24"/>
          <w:highlight w:val="none"/>
        </w:rPr>
      </w:pPr>
    </w:p>
    <w:p w14:paraId="76D9653E">
      <w:pPr>
        <w:pStyle w:val="37"/>
        <w:snapToGrid w:val="0"/>
        <w:spacing w:after="120" w:line="400" w:lineRule="exact"/>
        <w:ind w:firstLine="44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 xml:space="preserve"> </w:t>
      </w:r>
    </w:p>
    <w:p w14:paraId="3CA9DDA5">
      <w:pPr>
        <w:spacing w:before="240" w:beforeLines="100" w:line="360" w:lineRule="exact"/>
        <w:jc w:val="center"/>
        <w:rPr>
          <w:rFonts w:hint="eastAsia" w:ascii="仿宋_GB2312" w:hAnsi="仿宋_GB2312" w:eastAsia="仿宋_GB2312" w:cs="仿宋_GB2312"/>
          <w:color w:val="auto"/>
          <w:sz w:val="24"/>
          <w:highlight w:val="none"/>
        </w:rPr>
      </w:pPr>
    </w:p>
    <w:p w14:paraId="5E60D255">
      <w:pPr>
        <w:pStyle w:val="6"/>
        <w:tabs>
          <w:tab w:val="clear" w:pos="840"/>
        </w:tabs>
        <w:adjustRightInd/>
        <w:snapToGrid/>
        <w:spacing w:before="120" w:after="120" w:line="5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r>
        <w:rPr>
          <w:rFonts w:hint="eastAsia" w:ascii="仿宋_GB2312" w:hAnsi="仿宋_GB2312" w:eastAsia="仿宋_GB2312" w:cs="仿宋_GB2312"/>
          <w:color w:val="auto"/>
          <w:szCs w:val="24"/>
          <w:highlight w:val="none"/>
        </w:rPr>
        <w:t>第四部分   采购内容及要求</w:t>
      </w:r>
      <w:bookmarkEnd w:id="99"/>
    </w:p>
    <w:p w14:paraId="0372FF7F">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一、项目概况</w:t>
      </w:r>
    </w:p>
    <w:p w14:paraId="2DF71BDD">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（一）项目名称</w:t>
      </w:r>
    </w:p>
    <w:p w14:paraId="40316F6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项目名称：温州市沿海视频监控系统升级改造项目</w:t>
      </w:r>
    </w:p>
    <w:p w14:paraId="39C2042A">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（二）项目背景</w:t>
      </w:r>
    </w:p>
    <w:p w14:paraId="4A4AA3A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1.国家</w:t>
      </w:r>
    </w:p>
    <w:p w14:paraId="7EA9324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自1994年国务院批复同意《关于清理、取缔“三无”船舶的通告》以来，国家以“零容忍”的态度持续开展清理、取缔涉渔“三无”船舶，并指导各地广泛开展水陆联合执法，露头就打、穷追猛打、反复敲打，严厉打击涉渔“三无”船舶非法捕捞、妨碍公务、套牌冒牌等行为。</w:t>
      </w:r>
    </w:p>
    <w:p w14:paraId="67D0F61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2021年10月，为严厉查处、打击利用“三无”船舶实施走私、非法运输、非法捕捞、非法采砂、偷渡等各类水上违法犯罪活动，海关总署、公安部、交通运输部、农业农村部、海警局五部门联合制定印发了《“三无”船舶联合认定办法》，为精准认定“三无”船舶提供了政策依据。 </w:t>
      </w:r>
    </w:p>
    <w:p w14:paraId="120757C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2021年10月8日，农业农村部、工业和信息化部、公安部、交通运输部、海关总署、市场监管总局和中国海警局七部门联合出台《关于加强涉渔船舶审批修造检验监管工作的意见》（农渔发〔2021〕18号）提出要求盯住船舶修造、拆解、标识、检验四个环节，继续加力，综合施治，从源头掐断“三无”船舶的产生渠道。</w:t>
      </w:r>
    </w:p>
    <w:p w14:paraId="6AC944D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2.浙江省</w:t>
      </w:r>
    </w:p>
    <w:p w14:paraId="480D1C3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2024年4月2日，浙江省人民政府发布了《浙江省推动大规模设备更新和消费品以旧换新若干举措》提出：推动安防设备更新改造。开展前端物联感知设备智能化升级，加快交通枢纽、交通道路等重点场所视频监控和卡口类配套安防设备更新改造，到2027年新建或改建城市前端设备智能化比例达到100%，农村重点部位视频监控无盲区。</w:t>
      </w:r>
    </w:p>
    <w:p w14:paraId="18332C6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2024年4月30日，浙江省农业厅联合浙江省海洋经济发展厅发布了《关于印发“中国渔政亮剑2024”系列专项执法行动浙江省实施方案的通知》，提出包含“海洋伏季休渔专项行动”“清理取缔涉渔‘三无’船筏和‘绝户网’专项行动”“八大流域禁渔专项行动”等九个专项行动，明确提出要运用好渔港沿岸视频监控系统等信息化手段，开展动态船位监测，及时分析研判渔船违法违规行为，实现精准打击。</w:t>
      </w:r>
    </w:p>
    <w:p w14:paraId="0B0A0AD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3.温州市</w:t>
      </w:r>
    </w:p>
    <w:p w14:paraId="1CAE143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2023年4月11日，温州市人民政府办公室发布了《关于印发温州市海洋强市建设行动计划的通知》（温政办〔2023〕43号）提出“加强海域、海岛精细化管理，构建海陆统筹的海洋空间治理体系”的要求。</w:t>
      </w:r>
    </w:p>
    <w:p w14:paraId="181AD12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2023年8月10日，为进一步强化我市防汛防台能力，市农业农村局编制了《关于海上渔船台风“杜苏苪”“卡努”防御应对复盘总结报告》提出要实施海上“补盲”工程，并获得了时任温州市市长张振丰和王彩莲副市长的批示支持。</w:t>
      </w:r>
    </w:p>
    <w:p w14:paraId="287CDDC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2024年3月27日，为深入推进浙江省涉海涉渔专委办《2024年涉海涉渔领域安全生产工作要点》（浙海渔专委办〔2024〕3号）各项任务落实，温州市涉海涉渔安全专业委员会办公室制定了《2024年温州市涉海涉渔领域安全生产工作要点》提出：加快沿岸视频监控升级，实现沿岸监控范围全覆盖、违法预警自动化的目标。</w:t>
      </w:r>
    </w:p>
    <w:p w14:paraId="26D6079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2024年3月29日，为贯彻落实国务院安委会、省安委会和市委、市政府工作部署，温州市安全生产委员会办公室印发《温州市安全生产治本攻坚三年行动实施方案（2024-2026年）》在落实“技防”举措中明确提出：加快沿岸视频监控升级、改造和新增前端监控点位、建设涉渔违法行为AI算法模型、打造全市沿岸视频监控“一张网”，基本实现沿岸监控范围全覆盖、违法预警自动化的目标，本质上提升涉海涉渔领域侦察监视、快速反应和应急处突能力。</w:t>
      </w:r>
    </w:p>
    <w:p w14:paraId="2F9FBE03">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（三）项目目标</w:t>
      </w:r>
    </w:p>
    <w:p w14:paraId="2781591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现有海域监控点位为基础，通过沿海视频监控补盲，基本实现全市渔港码头、岙口、岸线、岛屿等重点海域视频监控“全覆盖”，并依托人工智能视觉分析技术，构建全市统一的沿海视频监控管理与AI算法平台，同时基于“海上斑马线”应用集成开发视频预警相关业务功能并打通纵向业务渠道，实现市、县、乡镇三级渔业部门“第一时间识别、第一时间预警、第一时间派单、第一时间处置”，全面提升农业农村部门涉海涉渔领域侦察监视、快速反应和应急处突能力，有效打击温州海域各类海上违法违规行为，切实维护海上安全和渔区稳定，为温州市建设海洋强市提供有力支撑。</w:t>
      </w:r>
    </w:p>
    <w:p w14:paraId="43F33A09">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（四）运维服务期限要求</w:t>
      </w:r>
    </w:p>
    <w:p w14:paraId="4D77EE6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根据《温州市市本级党政机关信息化项目建设管理办法》（温政办〔2021〕19号）要求，本次项目涉及的硬件部分免费质保期为</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年，算法及软件部分免费质保期为3年，前端点位及风光互补系统等巡检维护服务期为1年。</w:t>
      </w:r>
      <w:r>
        <w:rPr>
          <w:rFonts w:hint="eastAsia" w:ascii="仿宋_GB2312" w:hAnsi="仿宋_GB2312" w:eastAsia="仿宋_GB2312" w:cs="仿宋_GB2312"/>
          <w:color w:val="auto"/>
          <w:kern w:val="0"/>
          <w:sz w:val="24"/>
          <w:highlight w:val="none"/>
        </w:rPr>
        <w:t>（技术参数另有说明的按技术参数执行）</w:t>
      </w:r>
    </w:p>
    <w:p w14:paraId="7C542430">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二、项目硬件部分</w:t>
      </w:r>
    </w:p>
    <w:p w14:paraId="13C42245">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基础设施体系建设内容</w:t>
      </w:r>
    </w:p>
    <w:p w14:paraId="02CC1E4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1.前端点位新建与升级</w:t>
      </w:r>
    </w:p>
    <w:p w14:paraId="77F9471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温州市领导的“科学应对，措施有力。正视短板，提升能力”和“下一步针对复盘中暴露的问题，要逐一研究，查漏补缺，坚决织密筑牢防台海上防线。”批示要求，本次项目将在温州全市沿海岸线新增点位约2</w:t>
      </w:r>
      <w:r>
        <w:rPr>
          <w:rFonts w:hint="eastAsia" w:ascii="仿宋_GB2312" w:hAnsi="仿宋_GB2312" w:eastAsia="仿宋_GB2312" w:cs="仿宋_GB2312"/>
          <w:color w:val="auto"/>
          <w:kern w:val="0"/>
          <w:sz w:val="24"/>
          <w:highlight w:val="none"/>
          <w:lang w:val="en-US" w:eastAsia="zh-CN"/>
        </w:rPr>
        <w:t>21</w:t>
      </w:r>
      <w:r>
        <w:rPr>
          <w:rFonts w:hint="eastAsia" w:ascii="仿宋_GB2312" w:hAnsi="仿宋_GB2312" w:eastAsia="仿宋_GB2312" w:cs="仿宋_GB2312"/>
          <w:color w:val="auto"/>
          <w:kern w:val="0"/>
          <w:sz w:val="24"/>
          <w:highlight w:val="none"/>
        </w:rPr>
        <w:t>个（其中，海岸补盲点位约</w:t>
      </w:r>
      <w:r>
        <w:rPr>
          <w:rFonts w:hint="eastAsia" w:ascii="仿宋_GB2312" w:hAnsi="仿宋_GB2312" w:eastAsia="仿宋_GB2312" w:cs="仿宋_GB2312"/>
          <w:color w:val="auto"/>
          <w:kern w:val="0"/>
          <w:sz w:val="24"/>
          <w:highlight w:val="none"/>
          <w:lang w:val="en-US" w:eastAsia="zh-CN"/>
        </w:rPr>
        <w:t>18</w:t>
      </w:r>
      <w:r>
        <w:rPr>
          <w:rFonts w:hint="eastAsia" w:ascii="仿宋_GB2312" w:hAnsi="仿宋_GB2312" w:eastAsia="仿宋_GB2312" w:cs="仿宋_GB2312"/>
          <w:color w:val="auto"/>
          <w:kern w:val="0"/>
          <w:sz w:val="24"/>
          <w:highlight w:val="none"/>
        </w:rPr>
        <w:t>5个、海岛和高空点位</w:t>
      </w:r>
      <w:r>
        <w:rPr>
          <w:rFonts w:hint="eastAsia" w:ascii="仿宋_GB2312" w:hAnsi="仿宋_GB2312" w:eastAsia="仿宋_GB2312" w:cs="仿宋_GB2312"/>
          <w:color w:val="auto"/>
          <w:kern w:val="0"/>
          <w:sz w:val="24"/>
          <w:highlight w:val="none"/>
          <w:lang w:val="en-US" w:eastAsia="zh-CN"/>
        </w:rPr>
        <w:t>28</w:t>
      </w:r>
      <w:r>
        <w:rPr>
          <w:rFonts w:hint="eastAsia" w:ascii="仿宋_GB2312" w:hAnsi="仿宋_GB2312" w:eastAsia="仿宋_GB2312" w:cs="仿宋_GB2312"/>
          <w:color w:val="auto"/>
          <w:kern w:val="0"/>
          <w:sz w:val="24"/>
          <w:highlight w:val="none"/>
        </w:rPr>
        <w:t>个），同时对现有的老旧监控点位1</w:t>
      </w:r>
      <w:r>
        <w:rPr>
          <w:rFonts w:hint="eastAsia" w:ascii="仿宋_GB2312" w:hAnsi="仿宋_GB2312" w:eastAsia="仿宋_GB2312" w:cs="仿宋_GB2312"/>
          <w:color w:val="auto"/>
          <w:kern w:val="0"/>
          <w:sz w:val="24"/>
          <w:highlight w:val="none"/>
          <w:lang w:val="en-US" w:eastAsia="zh-CN"/>
        </w:rPr>
        <w:t>27</w:t>
      </w:r>
      <w:r>
        <w:rPr>
          <w:rFonts w:hint="eastAsia" w:ascii="仿宋_GB2312" w:hAnsi="仿宋_GB2312" w:eastAsia="仿宋_GB2312" w:cs="仿宋_GB2312"/>
          <w:color w:val="auto"/>
          <w:kern w:val="0"/>
          <w:sz w:val="24"/>
          <w:highlight w:val="none"/>
        </w:rPr>
        <w:t>个点位设备进行升级和链路改造。主要包括高清摄像机、激光重载云台、基础杆件、专线链路、无线网桥、供电保障、AIS基站等设施。</w:t>
      </w:r>
    </w:p>
    <w:p w14:paraId="293D733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1.1前端选点原则</w:t>
      </w:r>
    </w:p>
    <w:p w14:paraId="43AEEAB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温州市沿海视频监控系统升级改造项目建设主要目标是以现有海域监控点位为基础，通过沿海视频监控补盲，实现全市重点海域视频监控“全覆盖”，并依托人工智能技术，来助推市县两级农业农村部门涉海涉渔领域侦察监视、快速反应和应急处突能力的全面提升。为此，前端选点需坚持以下几个原则：</w:t>
      </w:r>
    </w:p>
    <w:p w14:paraId="398C705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业务需求导向：前端点位选择必须从海洋渔业监管业务需求出发，围绕打击涉渔“三无”船舶非法捕捞、妨碍公务、套牌冒牌等行为，确定设置监控点的位置。</w:t>
      </w:r>
    </w:p>
    <w:p w14:paraId="3B47D70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大化覆盖范围：以“零容忍”的态度打击全市“三无”船舶、非法捕捞等各类海上违法违规行为为目标，最大化设置监控点，确保港口、码头、航道等船舶活动频繁、安全隐患较多的海岸线关键区域，以及渔港、养殖场等渔业活动区实现“全覆盖”。</w:t>
      </w:r>
    </w:p>
    <w:p w14:paraId="05FF5C1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扩展性与易维护性：考虑到未来可能的扩展和升级需求，以及日常巡检与维护需求，为此应选择易于维护和升级的位置。</w:t>
      </w:r>
    </w:p>
    <w:p w14:paraId="401E458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共建共享：选点尽量考虑利用现有杆件、基础等设施和资源，避免重复建设。</w:t>
      </w:r>
    </w:p>
    <w:p w14:paraId="1AACB9D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1.2前端监控点设计依据及要求</w:t>
      </w:r>
    </w:p>
    <w:p w14:paraId="294A462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本次项目前端点位建设设计需符合国家和地方标准要求，同时还需考虑点位的业务功能和环境因素等。</w:t>
      </w:r>
    </w:p>
    <w:p w14:paraId="6361F7D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国家和地方相关标准：需遵循《海况视频监控系统技术规范》（HY/T0285-2020）、《渔港视频监控系统建设规范（试行）》《港口及航道视频监控系统建设技术规范》(DB33/T 2061-2017)、《安全防范视频监控联网系统信息传输、交换、控制技术要求》（GB/T28181-2011）等国家和地方关于视频监控系统的设计和安装标准。</w:t>
      </w:r>
    </w:p>
    <w:p w14:paraId="17A5B82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点位业务功能要求：根据点位监控目标范围与远近来确定每个监控点的具体设计，如近岸监控点选用枪机、球机或枪球一体机，监控远处航道或海域的选用重载云台设备，监控小范围片区的则选用鹰眼。</w:t>
      </w:r>
    </w:p>
    <w:p w14:paraId="1B68E70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环境因素要求：考虑到沿海环境的特殊性（如盐雾、湿度、风浪等），应选择合适的设备和安装方式，如摄像头应具有防水、防尘、抗盐雾等功能，杆件与基础应综合考虑耐腐蚀性能、抗风载稳定性、杆件结构设计、基础地质勘察、基础混凝土强度、防雷接地系统、电气安全标准、安装施工规范等因素，确保系统的安全、稳定和可靠运行。</w:t>
      </w:r>
    </w:p>
    <w:p w14:paraId="45755C8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1.3前端监控点位设计</w:t>
      </w:r>
    </w:p>
    <w:p w14:paraId="51555813">
      <w:pPr>
        <w:tabs>
          <w:tab w:val="left" w:pos="720"/>
          <w:tab w:val="left" w:pos="5355"/>
        </w:tabs>
        <w:spacing w:line="430" w:lineRule="exact"/>
        <w:ind w:firstLine="470" w:firstLineChars="196"/>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温州市沿海视频监控系统升级改造项目</w:t>
      </w:r>
      <w:r>
        <w:rPr>
          <w:rFonts w:hint="eastAsia" w:ascii="仿宋_GB2312" w:hAnsi="仿宋_GB2312" w:eastAsia="仿宋_GB2312" w:cs="仿宋_GB2312"/>
          <w:color w:val="auto"/>
          <w:sz w:val="24"/>
          <w:highlight w:val="none"/>
          <w:lang w:val="en-US" w:eastAsia="zh-CN"/>
        </w:rPr>
        <w:t>批复</w:t>
      </w:r>
      <w:r>
        <w:rPr>
          <w:rFonts w:hint="eastAsia" w:ascii="仿宋_GB2312" w:hAnsi="仿宋_GB2312" w:eastAsia="仿宋_GB2312" w:cs="仿宋_GB2312"/>
          <w:color w:val="auto"/>
          <w:sz w:val="24"/>
          <w:highlight w:val="none"/>
        </w:rPr>
        <w:t>前端监控点位共计43</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sz w:val="24"/>
          <w:highlight w:val="none"/>
        </w:rPr>
        <w:t>个，其中新建点位27</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sz w:val="24"/>
          <w:highlight w:val="none"/>
        </w:rPr>
        <w:t>个（海岸补盲点位约235个、海岛和高空点位3</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个），改造点位166个，主要分布在乐清市、洞头区、龙湾区、瑞安市、平阳县、龙港市、苍南县等七个县（市、区）的海域沿岸、岛屿等。</w:t>
      </w:r>
      <w:r>
        <w:rPr>
          <w:rFonts w:hint="eastAsia" w:ascii="仿宋_GB2312" w:hAnsi="仿宋_GB2312" w:eastAsia="仿宋_GB2312" w:cs="仿宋_GB2312"/>
          <w:color w:val="auto"/>
          <w:sz w:val="24"/>
          <w:highlight w:val="none"/>
          <w:lang w:val="en-US" w:eastAsia="zh-CN"/>
        </w:rPr>
        <w:t>本项目不包含苍南县点位。</w:t>
      </w:r>
    </w:p>
    <w:p w14:paraId="4FC66608">
      <w:pPr>
        <w:tabs>
          <w:tab w:val="left" w:pos="720"/>
          <w:tab w:val="left" w:pos="5355"/>
        </w:tabs>
        <w:spacing w:line="430" w:lineRule="exact"/>
        <w:ind w:firstLine="470" w:firstLineChars="196"/>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1.3.1海岸补盲点位</w:t>
      </w:r>
    </w:p>
    <w:p w14:paraId="3D24D243">
      <w:pPr>
        <w:tabs>
          <w:tab w:val="left" w:pos="720"/>
          <w:tab w:val="left" w:pos="5355"/>
        </w:tabs>
        <w:spacing w:line="430" w:lineRule="exact"/>
        <w:ind w:firstLine="470" w:firstLineChars="196"/>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本次项目海岸补盲点位共计235个，其中乐清市34个、洞头区40个、龙湾区19个、瑞安市39个、平阳县30个、龙港市23个、苍南县50个。</w:t>
      </w:r>
      <w:r>
        <w:rPr>
          <w:rFonts w:hint="eastAsia" w:ascii="仿宋_GB2312" w:hAnsi="仿宋_GB2312" w:eastAsia="仿宋_GB2312" w:cs="仿宋_GB2312"/>
          <w:color w:val="auto"/>
          <w:sz w:val="24"/>
          <w:highlight w:val="none"/>
          <w:lang w:val="en-US" w:eastAsia="zh-CN"/>
        </w:rPr>
        <w:t>本项目不包含苍南县点位。</w:t>
      </w:r>
    </w:p>
    <w:p w14:paraId="2B3B4DF8">
      <w:pPr>
        <w:tabs>
          <w:tab w:val="left" w:pos="720"/>
          <w:tab w:val="left" w:pos="5355"/>
        </w:tabs>
        <w:spacing w:line="430" w:lineRule="exact"/>
        <w:ind w:firstLine="470" w:firstLineChars="196"/>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1.3.2改造点位</w:t>
      </w:r>
    </w:p>
    <w:p w14:paraId="770D4F92">
      <w:pPr>
        <w:tabs>
          <w:tab w:val="left" w:pos="720"/>
          <w:tab w:val="left" w:pos="5355"/>
        </w:tabs>
        <w:spacing w:line="430" w:lineRule="exact"/>
        <w:ind w:firstLine="470" w:firstLineChars="196"/>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本次项目共计改造点位166个，其中乐清市20个、洞头区51个、龙湾区2个、瑞安市18个、平阳县9个、龙港市24个、苍南县39个，市本级3个。主要改造内容包括增加固定/活动视角摄像机、原有摄像机更换、抱杆箱更换、链路改造、物联网网关安装等。</w:t>
      </w:r>
      <w:r>
        <w:rPr>
          <w:rFonts w:hint="eastAsia" w:ascii="仿宋_GB2312" w:hAnsi="仿宋_GB2312" w:eastAsia="仿宋_GB2312" w:cs="仿宋_GB2312"/>
          <w:color w:val="auto"/>
          <w:sz w:val="24"/>
          <w:highlight w:val="none"/>
          <w:lang w:val="en-US" w:eastAsia="zh-CN"/>
        </w:rPr>
        <w:t>本项目不包含苍南县点位。</w:t>
      </w:r>
    </w:p>
    <w:p w14:paraId="3F02CD89">
      <w:pPr>
        <w:tabs>
          <w:tab w:val="left" w:pos="720"/>
          <w:tab w:val="left" w:pos="5355"/>
        </w:tabs>
        <w:spacing w:line="430" w:lineRule="exact"/>
        <w:ind w:firstLine="470" w:firstLineChars="196"/>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1.3.3海岛和高空点位</w:t>
      </w:r>
    </w:p>
    <w:p w14:paraId="2EC5262A">
      <w:pPr>
        <w:tabs>
          <w:tab w:val="left" w:pos="720"/>
          <w:tab w:val="left" w:pos="5355"/>
        </w:tabs>
        <w:spacing w:line="430" w:lineRule="exact"/>
        <w:ind w:firstLine="470" w:firstLineChars="196"/>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color w:val="auto"/>
          <w:sz w:val="24"/>
          <w:highlight w:val="none"/>
        </w:rPr>
        <w:t>本次项目海岛和高空点位共计3</w:t>
      </w:r>
      <w:r>
        <w:rPr>
          <w:rFonts w:hint="eastAsia" w:ascii="仿宋_GB2312" w:hAnsi="仿宋_GB2312" w:eastAsia="仿宋_GB2312" w:cs="仿宋_GB2312"/>
          <w:color w:val="auto"/>
          <w:kern w:val="0"/>
          <w:sz w:val="24"/>
          <w:highlight w:val="none"/>
          <w:lang w:val="en-US" w:eastAsia="zh-CN"/>
        </w:rPr>
        <w:t>6</w:t>
      </w:r>
      <w:r>
        <w:rPr>
          <w:rFonts w:hint="eastAsia" w:ascii="仿宋_GB2312" w:hAnsi="仿宋_GB2312" w:eastAsia="仿宋_GB2312" w:cs="仿宋_GB2312"/>
          <w:color w:val="auto"/>
          <w:sz w:val="24"/>
          <w:highlight w:val="none"/>
        </w:rPr>
        <w:t>个（含高空点位2</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sz w:val="24"/>
          <w:highlight w:val="none"/>
        </w:rPr>
        <w:t>个，岛屿点位13个），其中乐清市2个、洞头区14个、龙湾区1个、瑞安市</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sz w:val="24"/>
          <w:highlight w:val="none"/>
        </w:rPr>
        <w:t>个、平阳县2个、龙港市2个、苍南县</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sz w:val="24"/>
          <w:highlight w:val="none"/>
        </w:rPr>
        <w:t>个。</w:t>
      </w:r>
      <w:r>
        <w:rPr>
          <w:rFonts w:hint="eastAsia" w:ascii="仿宋_GB2312" w:hAnsi="仿宋_GB2312" w:eastAsia="仿宋_GB2312" w:cs="仿宋_GB2312"/>
          <w:color w:val="auto"/>
          <w:sz w:val="24"/>
          <w:highlight w:val="none"/>
          <w:lang w:val="en-US" w:eastAsia="zh-CN"/>
        </w:rPr>
        <w:t>本项目不包含苍南县点位。</w:t>
      </w:r>
    </w:p>
    <w:p w14:paraId="17871E2D">
      <w:pPr>
        <w:tabs>
          <w:tab w:val="left" w:pos="720"/>
          <w:tab w:val="left" w:pos="5355"/>
        </w:tabs>
        <w:spacing w:line="430" w:lineRule="exact"/>
        <w:ind w:firstLine="470" w:firstLineChars="196"/>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1.3.4各区县摄像机数量清单</w:t>
      </w:r>
    </w:p>
    <w:tbl>
      <w:tblPr>
        <w:tblStyle w:val="65"/>
        <w:tblW w:w="5460" w:type="pct"/>
        <w:jc w:val="center"/>
        <w:tblLayout w:type="fixed"/>
        <w:tblCellMar>
          <w:top w:w="0" w:type="dxa"/>
          <w:left w:w="108" w:type="dxa"/>
          <w:bottom w:w="0" w:type="dxa"/>
          <w:right w:w="108" w:type="dxa"/>
        </w:tblCellMar>
      </w:tblPr>
      <w:tblGrid>
        <w:gridCol w:w="911"/>
        <w:gridCol w:w="684"/>
        <w:gridCol w:w="773"/>
        <w:gridCol w:w="840"/>
        <w:gridCol w:w="870"/>
        <w:gridCol w:w="824"/>
        <w:gridCol w:w="870"/>
        <w:gridCol w:w="870"/>
        <w:gridCol w:w="870"/>
        <w:gridCol w:w="901"/>
        <w:gridCol w:w="873"/>
        <w:gridCol w:w="854"/>
      </w:tblGrid>
      <w:tr w14:paraId="72634B23">
        <w:tblPrEx>
          <w:tblCellMar>
            <w:top w:w="0" w:type="dxa"/>
            <w:left w:w="108" w:type="dxa"/>
            <w:bottom w:w="0" w:type="dxa"/>
            <w:right w:w="108" w:type="dxa"/>
          </w:tblCellMar>
        </w:tblPrEx>
        <w:trPr>
          <w:trHeight w:val="840" w:hRule="atLeast"/>
          <w:tblHeader/>
          <w:jc w:val="center"/>
        </w:trPr>
        <w:tc>
          <w:tcPr>
            <w:tcW w:w="912" w:type="dxa"/>
            <w:tcBorders>
              <w:top w:val="single" w:color="auto" w:sz="4" w:space="0"/>
              <w:left w:val="single" w:color="auto" w:sz="4" w:space="0"/>
              <w:bottom w:val="single" w:color="auto" w:sz="4" w:space="0"/>
              <w:right w:val="single" w:color="auto" w:sz="4" w:space="0"/>
            </w:tcBorders>
            <w:noWrap w:val="0"/>
            <w:vAlign w:val="center"/>
          </w:tcPr>
          <w:p w14:paraId="3F761CDB">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区域</w:t>
            </w:r>
          </w:p>
        </w:tc>
        <w:tc>
          <w:tcPr>
            <w:tcW w:w="684" w:type="dxa"/>
            <w:tcBorders>
              <w:top w:val="single" w:color="auto" w:sz="4" w:space="0"/>
              <w:left w:val="nil"/>
              <w:bottom w:val="single" w:color="auto" w:sz="4" w:space="0"/>
              <w:right w:val="single" w:color="auto" w:sz="4" w:space="0"/>
            </w:tcBorders>
            <w:noWrap w:val="0"/>
            <w:vAlign w:val="center"/>
          </w:tcPr>
          <w:p w14:paraId="3566047D">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55倍中载台</w:t>
            </w:r>
          </w:p>
        </w:tc>
        <w:tc>
          <w:tcPr>
            <w:tcW w:w="773" w:type="dxa"/>
            <w:tcBorders>
              <w:top w:val="single" w:color="auto" w:sz="4" w:space="0"/>
              <w:left w:val="nil"/>
              <w:bottom w:val="single" w:color="auto" w:sz="4" w:space="0"/>
              <w:right w:val="single" w:color="auto" w:sz="4" w:space="0"/>
            </w:tcBorders>
            <w:noWrap w:val="0"/>
            <w:vAlign w:val="center"/>
          </w:tcPr>
          <w:p w14:paraId="75613DBE">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80倍重载云台</w:t>
            </w:r>
          </w:p>
        </w:tc>
        <w:tc>
          <w:tcPr>
            <w:tcW w:w="840" w:type="dxa"/>
            <w:tcBorders>
              <w:top w:val="single" w:color="auto" w:sz="4" w:space="0"/>
              <w:left w:val="nil"/>
              <w:bottom w:val="single" w:color="auto" w:sz="4" w:space="0"/>
              <w:right w:val="single" w:color="auto" w:sz="4" w:space="0"/>
            </w:tcBorders>
            <w:noWrap w:val="0"/>
            <w:vAlign w:val="center"/>
          </w:tcPr>
          <w:p w14:paraId="3116900B">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全彩双目80倍云台</w:t>
            </w:r>
          </w:p>
        </w:tc>
        <w:tc>
          <w:tcPr>
            <w:tcW w:w="870" w:type="dxa"/>
            <w:tcBorders>
              <w:top w:val="single" w:color="auto" w:sz="4" w:space="0"/>
              <w:left w:val="nil"/>
              <w:bottom w:val="single" w:color="auto" w:sz="4" w:space="0"/>
              <w:right w:val="single" w:color="auto" w:sz="4" w:space="0"/>
            </w:tcBorders>
            <w:noWrap w:val="0"/>
            <w:vAlign w:val="center"/>
          </w:tcPr>
          <w:p w14:paraId="39365102">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100倍双光谱转台</w:t>
            </w:r>
          </w:p>
        </w:tc>
        <w:tc>
          <w:tcPr>
            <w:tcW w:w="824" w:type="dxa"/>
            <w:tcBorders>
              <w:top w:val="single" w:color="auto" w:sz="4" w:space="0"/>
              <w:left w:val="nil"/>
              <w:bottom w:val="single" w:color="auto" w:sz="4" w:space="0"/>
              <w:right w:val="single" w:color="auto" w:sz="4" w:space="0"/>
            </w:tcBorders>
            <w:noWrap w:val="0"/>
            <w:vAlign w:val="center"/>
          </w:tcPr>
          <w:p w14:paraId="7C559559">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鹰眼摄像机</w:t>
            </w:r>
          </w:p>
        </w:tc>
        <w:tc>
          <w:tcPr>
            <w:tcW w:w="870" w:type="dxa"/>
            <w:tcBorders>
              <w:top w:val="single" w:color="auto" w:sz="4" w:space="0"/>
              <w:left w:val="nil"/>
              <w:bottom w:val="single" w:color="auto" w:sz="4" w:space="0"/>
              <w:right w:val="single" w:color="auto" w:sz="4" w:space="0"/>
            </w:tcBorders>
            <w:noWrap w:val="0"/>
            <w:vAlign w:val="center"/>
          </w:tcPr>
          <w:p w14:paraId="3F184AF6">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400W全彩筒机</w:t>
            </w:r>
          </w:p>
        </w:tc>
        <w:tc>
          <w:tcPr>
            <w:tcW w:w="870" w:type="dxa"/>
            <w:tcBorders>
              <w:top w:val="single" w:color="auto" w:sz="4" w:space="0"/>
              <w:left w:val="nil"/>
              <w:bottom w:val="single" w:color="auto" w:sz="4" w:space="0"/>
              <w:right w:val="single" w:color="auto" w:sz="4" w:space="0"/>
            </w:tcBorders>
            <w:noWrap w:val="0"/>
            <w:vAlign w:val="center"/>
          </w:tcPr>
          <w:p w14:paraId="13E8A47F">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400W球型摄像机</w:t>
            </w:r>
          </w:p>
        </w:tc>
        <w:tc>
          <w:tcPr>
            <w:tcW w:w="870" w:type="dxa"/>
            <w:tcBorders>
              <w:top w:val="single" w:color="auto" w:sz="4" w:space="0"/>
              <w:left w:val="nil"/>
              <w:bottom w:val="single" w:color="auto" w:sz="4" w:space="0"/>
              <w:right w:val="single" w:color="auto" w:sz="4" w:space="0"/>
            </w:tcBorders>
            <w:noWrap w:val="0"/>
            <w:vAlign w:val="center"/>
          </w:tcPr>
          <w:p w14:paraId="378C3DAE">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双400W枪球一体机</w:t>
            </w:r>
          </w:p>
        </w:tc>
        <w:tc>
          <w:tcPr>
            <w:tcW w:w="901" w:type="dxa"/>
            <w:tcBorders>
              <w:top w:val="single" w:color="auto" w:sz="4" w:space="0"/>
              <w:left w:val="nil"/>
              <w:bottom w:val="single" w:color="auto" w:sz="4" w:space="0"/>
              <w:right w:val="single" w:color="auto" w:sz="4" w:space="0"/>
            </w:tcBorders>
            <w:noWrap w:val="0"/>
            <w:vAlign w:val="center"/>
          </w:tcPr>
          <w:p w14:paraId="70304AD3">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600W拼接枪球一体机</w:t>
            </w:r>
          </w:p>
        </w:tc>
        <w:tc>
          <w:tcPr>
            <w:tcW w:w="873" w:type="dxa"/>
            <w:tcBorders>
              <w:top w:val="single" w:color="auto" w:sz="4" w:space="0"/>
              <w:left w:val="nil"/>
              <w:bottom w:val="single" w:color="auto" w:sz="4" w:space="0"/>
              <w:right w:val="single" w:color="auto" w:sz="4" w:space="0"/>
            </w:tcBorders>
            <w:noWrap w:val="0"/>
            <w:vAlign w:val="center"/>
          </w:tcPr>
          <w:p w14:paraId="4DCED5A5">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热成像摄像机</w:t>
            </w:r>
          </w:p>
        </w:tc>
        <w:tc>
          <w:tcPr>
            <w:tcW w:w="854" w:type="dxa"/>
            <w:tcBorders>
              <w:top w:val="single" w:color="auto" w:sz="4" w:space="0"/>
              <w:left w:val="nil"/>
              <w:bottom w:val="single" w:color="auto" w:sz="4" w:space="0"/>
              <w:right w:val="single" w:color="auto" w:sz="4" w:space="0"/>
            </w:tcBorders>
            <w:noWrap w:val="0"/>
            <w:vAlign w:val="center"/>
          </w:tcPr>
          <w:p w14:paraId="0DBA202F">
            <w:pPr>
              <w:tabs>
                <w:tab w:val="left" w:pos="720"/>
                <w:tab w:val="left" w:pos="5355"/>
              </w:tabs>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雷视联动一体机</w:t>
            </w:r>
          </w:p>
        </w:tc>
      </w:tr>
      <w:tr w14:paraId="70BD961C">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72FF2785">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市本级</w:t>
            </w:r>
          </w:p>
        </w:tc>
        <w:tc>
          <w:tcPr>
            <w:tcW w:w="684" w:type="dxa"/>
            <w:tcBorders>
              <w:top w:val="nil"/>
              <w:left w:val="nil"/>
              <w:bottom w:val="single" w:color="auto" w:sz="4" w:space="0"/>
              <w:right w:val="single" w:color="auto" w:sz="4" w:space="0"/>
            </w:tcBorders>
            <w:noWrap w:val="0"/>
            <w:vAlign w:val="center"/>
          </w:tcPr>
          <w:p w14:paraId="17335876">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773" w:type="dxa"/>
            <w:tcBorders>
              <w:top w:val="nil"/>
              <w:left w:val="nil"/>
              <w:bottom w:val="single" w:color="auto" w:sz="4" w:space="0"/>
              <w:right w:val="single" w:color="auto" w:sz="4" w:space="0"/>
            </w:tcBorders>
            <w:noWrap w:val="0"/>
            <w:vAlign w:val="center"/>
          </w:tcPr>
          <w:p w14:paraId="2B3DE6B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40" w:type="dxa"/>
            <w:tcBorders>
              <w:top w:val="nil"/>
              <w:left w:val="nil"/>
              <w:bottom w:val="single" w:color="auto" w:sz="4" w:space="0"/>
              <w:right w:val="single" w:color="auto" w:sz="4" w:space="0"/>
            </w:tcBorders>
            <w:noWrap w:val="0"/>
            <w:vAlign w:val="center"/>
          </w:tcPr>
          <w:p w14:paraId="391853E2">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4BCBAA23">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24" w:type="dxa"/>
            <w:tcBorders>
              <w:top w:val="nil"/>
              <w:left w:val="nil"/>
              <w:bottom w:val="single" w:color="auto" w:sz="4" w:space="0"/>
              <w:right w:val="single" w:color="auto" w:sz="4" w:space="0"/>
            </w:tcBorders>
            <w:noWrap w:val="0"/>
            <w:vAlign w:val="center"/>
          </w:tcPr>
          <w:p w14:paraId="09C6B15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39A45959">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2F5F5707">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453BA98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901" w:type="dxa"/>
            <w:tcBorders>
              <w:top w:val="nil"/>
              <w:left w:val="nil"/>
              <w:bottom w:val="single" w:color="auto" w:sz="4" w:space="0"/>
              <w:right w:val="single" w:color="auto" w:sz="4" w:space="0"/>
            </w:tcBorders>
            <w:noWrap w:val="0"/>
            <w:vAlign w:val="center"/>
          </w:tcPr>
          <w:p w14:paraId="74EB06C0">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3" w:type="dxa"/>
            <w:tcBorders>
              <w:top w:val="nil"/>
              <w:left w:val="nil"/>
              <w:bottom w:val="single" w:color="auto" w:sz="4" w:space="0"/>
              <w:right w:val="single" w:color="auto" w:sz="4" w:space="0"/>
            </w:tcBorders>
            <w:noWrap w:val="0"/>
            <w:vAlign w:val="center"/>
          </w:tcPr>
          <w:p w14:paraId="7D3AA698">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54" w:type="dxa"/>
            <w:tcBorders>
              <w:top w:val="nil"/>
              <w:left w:val="nil"/>
              <w:bottom w:val="single" w:color="auto" w:sz="4" w:space="0"/>
              <w:right w:val="single" w:color="auto" w:sz="4" w:space="0"/>
            </w:tcBorders>
            <w:noWrap w:val="0"/>
            <w:vAlign w:val="center"/>
          </w:tcPr>
          <w:p w14:paraId="76290620">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r>
      <w:tr w14:paraId="722065E2">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0DE0FBBE">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苍南县</w:t>
            </w:r>
          </w:p>
          <w:p w14:paraId="0F98DEC7">
            <w:pPr>
              <w:pStyle w:val="2"/>
              <w:spacing w:after="0"/>
              <w:ind w:left="0" w:leftChars="0" w:firstLine="0" w:firstLineChars="0"/>
              <w:rPr>
                <w:rFonts w:hint="eastAsia" w:eastAsia="仿宋_GB2312"/>
                <w:color w:val="auto"/>
                <w:highlight w:val="none"/>
                <w:lang w:eastAsia="zh-CN"/>
              </w:rPr>
            </w:pP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lang w:val="en-US" w:eastAsia="zh-CN"/>
              </w:rPr>
              <w:t>不包含</w:t>
            </w:r>
            <w:r>
              <w:rPr>
                <w:rFonts w:hint="eastAsia" w:ascii="仿宋_GB2312" w:hAnsi="仿宋_GB2312" w:eastAsia="仿宋_GB2312" w:cs="仿宋_GB2312"/>
                <w:color w:val="auto"/>
                <w:kern w:val="0"/>
                <w:sz w:val="22"/>
                <w:szCs w:val="22"/>
                <w:highlight w:val="none"/>
                <w:lang w:eastAsia="zh-CN"/>
              </w:rPr>
              <w:t>）</w:t>
            </w:r>
          </w:p>
        </w:tc>
        <w:tc>
          <w:tcPr>
            <w:tcW w:w="684" w:type="dxa"/>
            <w:tcBorders>
              <w:top w:val="nil"/>
              <w:left w:val="nil"/>
              <w:bottom w:val="single" w:color="auto" w:sz="4" w:space="0"/>
              <w:right w:val="single" w:color="auto" w:sz="4" w:space="0"/>
            </w:tcBorders>
            <w:shd w:val="clear" w:color="auto" w:fill="D7D7D7" w:themeFill="background1" w:themeFillShade="D8"/>
            <w:noWrap w:val="0"/>
            <w:vAlign w:val="center"/>
          </w:tcPr>
          <w:p w14:paraId="7AD66D3E">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shd w:val="clear" w:color="auto" w:fill="auto"/>
              </w:rPr>
            </w:pPr>
          </w:p>
        </w:tc>
        <w:tc>
          <w:tcPr>
            <w:tcW w:w="773" w:type="dxa"/>
            <w:tcBorders>
              <w:top w:val="nil"/>
              <w:left w:val="nil"/>
              <w:bottom w:val="single" w:color="auto" w:sz="4" w:space="0"/>
              <w:right w:val="single" w:color="auto" w:sz="4" w:space="0"/>
            </w:tcBorders>
            <w:shd w:val="clear" w:color="auto" w:fill="D7D7D7" w:themeFill="background1" w:themeFillShade="D8"/>
            <w:noWrap w:val="0"/>
            <w:vAlign w:val="center"/>
          </w:tcPr>
          <w:p w14:paraId="45BF1370">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r>
              <w:rPr>
                <w:rFonts w:hint="eastAsia" w:ascii="仿宋_GB2312" w:hAnsi="仿宋_GB2312" w:eastAsia="仿宋_GB2312" w:cs="仿宋_GB2312"/>
                <w:strike w:val="0"/>
                <w:color w:val="auto"/>
                <w:kern w:val="0"/>
                <w:sz w:val="22"/>
                <w:szCs w:val="22"/>
                <w:highlight w:val="none"/>
                <w:shd w:val="clear" w:color="auto" w:fill="auto"/>
              </w:rPr>
              <w:t>5</w:t>
            </w:r>
          </w:p>
        </w:tc>
        <w:tc>
          <w:tcPr>
            <w:tcW w:w="840" w:type="dxa"/>
            <w:tcBorders>
              <w:top w:val="nil"/>
              <w:left w:val="nil"/>
              <w:bottom w:val="single" w:color="auto" w:sz="4" w:space="0"/>
              <w:right w:val="single" w:color="auto" w:sz="4" w:space="0"/>
            </w:tcBorders>
            <w:shd w:val="clear" w:color="auto" w:fill="D7D7D7" w:themeFill="background1" w:themeFillShade="D8"/>
            <w:noWrap w:val="0"/>
            <w:vAlign w:val="center"/>
          </w:tcPr>
          <w:p w14:paraId="24723CF0">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r>
              <w:rPr>
                <w:rFonts w:hint="eastAsia" w:ascii="仿宋_GB2312" w:hAnsi="仿宋_GB2312" w:eastAsia="仿宋_GB2312" w:cs="仿宋_GB2312"/>
                <w:strike w:val="0"/>
                <w:color w:val="auto"/>
                <w:kern w:val="0"/>
                <w:sz w:val="22"/>
                <w:szCs w:val="22"/>
                <w:highlight w:val="none"/>
                <w:shd w:val="clear" w:color="auto" w:fill="auto"/>
              </w:rPr>
              <w:t>3</w:t>
            </w:r>
          </w:p>
        </w:tc>
        <w:tc>
          <w:tcPr>
            <w:tcW w:w="870" w:type="dxa"/>
            <w:tcBorders>
              <w:top w:val="nil"/>
              <w:left w:val="nil"/>
              <w:bottom w:val="single" w:color="auto" w:sz="4" w:space="0"/>
              <w:right w:val="single" w:color="auto" w:sz="4" w:space="0"/>
            </w:tcBorders>
            <w:shd w:val="clear" w:color="auto" w:fill="D7D7D7" w:themeFill="background1" w:themeFillShade="D8"/>
            <w:noWrap w:val="0"/>
            <w:vAlign w:val="center"/>
          </w:tcPr>
          <w:p w14:paraId="25CBFC31">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p>
        </w:tc>
        <w:tc>
          <w:tcPr>
            <w:tcW w:w="824" w:type="dxa"/>
            <w:tcBorders>
              <w:top w:val="nil"/>
              <w:left w:val="nil"/>
              <w:bottom w:val="single" w:color="auto" w:sz="4" w:space="0"/>
              <w:right w:val="single" w:color="auto" w:sz="4" w:space="0"/>
            </w:tcBorders>
            <w:shd w:val="clear" w:color="auto" w:fill="D7D7D7" w:themeFill="background1" w:themeFillShade="D8"/>
            <w:noWrap w:val="0"/>
            <w:vAlign w:val="center"/>
          </w:tcPr>
          <w:p w14:paraId="7892CC3C">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lang w:eastAsia="zh-CN"/>
              </w:rPr>
            </w:pPr>
            <w:r>
              <w:rPr>
                <w:rFonts w:hint="eastAsia" w:ascii="仿宋_GB2312" w:hAnsi="仿宋_GB2312" w:eastAsia="仿宋_GB2312" w:cs="仿宋_GB2312"/>
                <w:strike w:val="0"/>
                <w:color w:val="auto"/>
                <w:kern w:val="0"/>
                <w:sz w:val="22"/>
                <w:szCs w:val="22"/>
                <w:highlight w:val="none"/>
                <w:shd w:val="clear" w:color="auto" w:fill="auto"/>
                <w:lang w:val="en-US" w:eastAsia="zh-CN"/>
              </w:rPr>
              <w:t>8</w:t>
            </w:r>
          </w:p>
        </w:tc>
        <w:tc>
          <w:tcPr>
            <w:tcW w:w="870" w:type="dxa"/>
            <w:tcBorders>
              <w:top w:val="nil"/>
              <w:left w:val="nil"/>
              <w:bottom w:val="single" w:color="auto" w:sz="4" w:space="0"/>
              <w:right w:val="single" w:color="auto" w:sz="4" w:space="0"/>
            </w:tcBorders>
            <w:shd w:val="clear" w:color="auto" w:fill="D7D7D7" w:themeFill="background1" w:themeFillShade="D8"/>
            <w:noWrap w:val="0"/>
            <w:vAlign w:val="center"/>
          </w:tcPr>
          <w:p w14:paraId="16D08169">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r>
              <w:rPr>
                <w:rFonts w:hint="eastAsia" w:ascii="仿宋_GB2312" w:hAnsi="仿宋_GB2312" w:eastAsia="仿宋_GB2312" w:cs="仿宋_GB2312"/>
                <w:strike w:val="0"/>
                <w:color w:val="auto"/>
                <w:kern w:val="0"/>
                <w:sz w:val="22"/>
                <w:szCs w:val="22"/>
                <w:highlight w:val="none"/>
                <w:shd w:val="clear" w:color="auto" w:fill="auto"/>
              </w:rPr>
              <w:t>39</w:t>
            </w:r>
          </w:p>
        </w:tc>
        <w:tc>
          <w:tcPr>
            <w:tcW w:w="870" w:type="dxa"/>
            <w:tcBorders>
              <w:top w:val="nil"/>
              <w:left w:val="nil"/>
              <w:bottom w:val="single" w:color="auto" w:sz="4" w:space="0"/>
              <w:right w:val="single" w:color="auto" w:sz="4" w:space="0"/>
            </w:tcBorders>
            <w:shd w:val="clear" w:color="auto" w:fill="D7D7D7" w:themeFill="background1" w:themeFillShade="D8"/>
            <w:noWrap w:val="0"/>
            <w:vAlign w:val="center"/>
          </w:tcPr>
          <w:p w14:paraId="34B8F453">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p>
        </w:tc>
        <w:tc>
          <w:tcPr>
            <w:tcW w:w="870" w:type="dxa"/>
            <w:tcBorders>
              <w:top w:val="nil"/>
              <w:left w:val="nil"/>
              <w:bottom w:val="single" w:color="auto" w:sz="4" w:space="0"/>
              <w:right w:val="single" w:color="auto" w:sz="4" w:space="0"/>
            </w:tcBorders>
            <w:shd w:val="clear" w:color="auto" w:fill="D7D7D7" w:themeFill="background1" w:themeFillShade="D8"/>
            <w:noWrap w:val="0"/>
            <w:vAlign w:val="center"/>
          </w:tcPr>
          <w:p w14:paraId="2284C493">
            <w:pPr>
              <w:tabs>
                <w:tab w:val="left" w:pos="720"/>
                <w:tab w:val="left" w:pos="5355"/>
              </w:tabs>
              <w:spacing w:line="430" w:lineRule="exact"/>
              <w:jc w:val="center"/>
              <w:rPr>
                <w:rFonts w:hint="default" w:ascii="仿宋_GB2312" w:hAnsi="仿宋_GB2312" w:eastAsia="仿宋_GB2312" w:cs="仿宋_GB2312"/>
                <w:strike w:val="0"/>
                <w:color w:val="auto"/>
                <w:kern w:val="0"/>
                <w:sz w:val="22"/>
                <w:szCs w:val="22"/>
                <w:highlight w:val="none"/>
                <w:shd w:val="clear" w:color="auto" w:fill="auto"/>
                <w:lang w:val="en-US" w:eastAsia="zh-CN"/>
              </w:rPr>
            </w:pPr>
            <w:r>
              <w:rPr>
                <w:rFonts w:hint="eastAsia" w:ascii="仿宋_GB2312" w:hAnsi="仿宋_GB2312" w:eastAsia="仿宋_GB2312" w:cs="仿宋_GB2312"/>
                <w:strike w:val="0"/>
                <w:color w:val="auto"/>
                <w:kern w:val="0"/>
                <w:sz w:val="22"/>
                <w:szCs w:val="22"/>
                <w:highlight w:val="none"/>
                <w:shd w:val="clear" w:color="auto" w:fill="auto"/>
                <w:lang w:val="en-US" w:eastAsia="zh-CN"/>
              </w:rPr>
              <w:t>33</w:t>
            </w:r>
          </w:p>
        </w:tc>
        <w:tc>
          <w:tcPr>
            <w:tcW w:w="901" w:type="dxa"/>
            <w:tcBorders>
              <w:top w:val="nil"/>
              <w:left w:val="nil"/>
              <w:bottom w:val="single" w:color="auto" w:sz="4" w:space="0"/>
              <w:right w:val="single" w:color="auto" w:sz="4" w:space="0"/>
            </w:tcBorders>
            <w:shd w:val="clear" w:color="auto" w:fill="D7D7D7" w:themeFill="background1" w:themeFillShade="D8"/>
            <w:noWrap w:val="0"/>
            <w:vAlign w:val="center"/>
          </w:tcPr>
          <w:p w14:paraId="4B63308D">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r>
              <w:rPr>
                <w:rFonts w:hint="eastAsia" w:ascii="仿宋_GB2312" w:hAnsi="仿宋_GB2312" w:eastAsia="仿宋_GB2312" w:cs="仿宋_GB2312"/>
                <w:strike w:val="0"/>
                <w:color w:val="auto"/>
                <w:kern w:val="0"/>
                <w:sz w:val="22"/>
                <w:szCs w:val="22"/>
                <w:highlight w:val="none"/>
                <w:shd w:val="clear" w:color="auto" w:fill="auto"/>
              </w:rPr>
              <w:t>8</w:t>
            </w:r>
          </w:p>
        </w:tc>
        <w:tc>
          <w:tcPr>
            <w:tcW w:w="873" w:type="dxa"/>
            <w:tcBorders>
              <w:top w:val="nil"/>
              <w:left w:val="nil"/>
              <w:bottom w:val="single" w:color="auto" w:sz="4" w:space="0"/>
              <w:right w:val="single" w:color="auto" w:sz="4" w:space="0"/>
            </w:tcBorders>
            <w:shd w:val="clear" w:color="auto" w:fill="D7D7D7" w:themeFill="background1" w:themeFillShade="D8"/>
            <w:noWrap w:val="0"/>
            <w:vAlign w:val="center"/>
          </w:tcPr>
          <w:p w14:paraId="1D7D54DB">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rPr>
            </w:pPr>
          </w:p>
        </w:tc>
        <w:tc>
          <w:tcPr>
            <w:tcW w:w="854" w:type="dxa"/>
            <w:tcBorders>
              <w:top w:val="nil"/>
              <w:left w:val="nil"/>
              <w:bottom w:val="single" w:color="auto" w:sz="4" w:space="0"/>
              <w:right w:val="single" w:color="auto" w:sz="4" w:space="0"/>
            </w:tcBorders>
            <w:shd w:val="clear" w:color="auto" w:fill="D7D7D7" w:themeFill="background1" w:themeFillShade="D8"/>
            <w:noWrap w:val="0"/>
            <w:vAlign w:val="center"/>
          </w:tcPr>
          <w:p w14:paraId="5EACB06E">
            <w:pPr>
              <w:tabs>
                <w:tab w:val="left" w:pos="720"/>
                <w:tab w:val="left" w:pos="5355"/>
              </w:tabs>
              <w:spacing w:line="430" w:lineRule="exact"/>
              <w:jc w:val="center"/>
              <w:rPr>
                <w:rFonts w:hint="eastAsia" w:ascii="仿宋_GB2312" w:hAnsi="仿宋_GB2312" w:eastAsia="仿宋_GB2312" w:cs="仿宋_GB2312"/>
                <w:strike w:val="0"/>
                <w:color w:val="auto"/>
                <w:kern w:val="0"/>
                <w:sz w:val="22"/>
                <w:szCs w:val="22"/>
                <w:highlight w:val="none"/>
                <w:shd w:val="clear" w:color="auto" w:fill="auto"/>
                <w:lang w:eastAsia="zh-CN"/>
              </w:rPr>
            </w:pPr>
            <w:r>
              <w:rPr>
                <w:rFonts w:hint="eastAsia" w:ascii="仿宋_GB2312" w:hAnsi="仿宋_GB2312" w:eastAsia="仿宋_GB2312" w:cs="仿宋_GB2312"/>
                <w:strike w:val="0"/>
                <w:color w:val="auto"/>
                <w:kern w:val="0"/>
                <w:sz w:val="22"/>
                <w:szCs w:val="22"/>
                <w:highlight w:val="none"/>
                <w:shd w:val="clear" w:color="auto" w:fill="auto"/>
                <w:lang w:val="en-US" w:eastAsia="zh-CN"/>
              </w:rPr>
              <w:t>1</w:t>
            </w:r>
          </w:p>
        </w:tc>
      </w:tr>
      <w:tr w14:paraId="7EE9EE43">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61D775DD">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瑞安市</w:t>
            </w:r>
          </w:p>
        </w:tc>
        <w:tc>
          <w:tcPr>
            <w:tcW w:w="684" w:type="dxa"/>
            <w:tcBorders>
              <w:top w:val="nil"/>
              <w:left w:val="nil"/>
              <w:bottom w:val="single" w:color="auto" w:sz="4" w:space="0"/>
              <w:right w:val="single" w:color="auto" w:sz="4" w:space="0"/>
            </w:tcBorders>
            <w:noWrap w:val="0"/>
            <w:vAlign w:val="center"/>
          </w:tcPr>
          <w:p w14:paraId="388D2586">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773" w:type="dxa"/>
            <w:tcBorders>
              <w:top w:val="nil"/>
              <w:left w:val="nil"/>
              <w:bottom w:val="single" w:color="auto" w:sz="4" w:space="0"/>
              <w:right w:val="single" w:color="auto" w:sz="4" w:space="0"/>
            </w:tcBorders>
            <w:noWrap w:val="0"/>
            <w:vAlign w:val="center"/>
          </w:tcPr>
          <w:p w14:paraId="51E7B22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840" w:type="dxa"/>
            <w:tcBorders>
              <w:top w:val="nil"/>
              <w:left w:val="nil"/>
              <w:bottom w:val="single" w:color="auto" w:sz="4" w:space="0"/>
              <w:right w:val="single" w:color="auto" w:sz="4" w:space="0"/>
            </w:tcBorders>
            <w:noWrap w:val="0"/>
            <w:vAlign w:val="center"/>
          </w:tcPr>
          <w:p w14:paraId="3DEDE44C">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870" w:type="dxa"/>
            <w:tcBorders>
              <w:top w:val="nil"/>
              <w:left w:val="nil"/>
              <w:bottom w:val="single" w:color="auto" w:sz="4" w:space="0"/>
              <w:right w:val="single" w:color="auto" w:sz="4" w:space="0"/>
            </w:tcBorders>
            <w:noWrap w:val="0"/>
            <w:vAlign w:val="center"/>
          </w:tcPr>
          <w:p w14:paraId="7E257008">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24" w:type="dxa"/>
            <w:tcBorders>
              <w:top w:val="nil"/>
              <w:left w:val="nil"/>
              <w:bottom w:val="single" w:color="auto" w:sz="4" w:space="0"/>
              <w:right w:val="single" w:color="auto" w:sz="4" w:space="0"/>
            </w:tcBorders>
            <w:noWrap w:val="0"/>
            <w:vAlign w:val="center"/>
          </w:tcPr>
          <w:p w14:paraId="552FE016">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4</w:t>
            </w:r>
          </w:p>
        </w:tc>
        <w:tc>
          <w:tcPr>
            <w:tcW w:w="870" w:type="dxa"/>
            <w:tcBorders>
              <w:top w:val="nil"/>
              <w:left w:val="nil"/>
              <w:bottom w:val="single" w:color="auto" w:sz="4" w:space="0"/>
              <w:right w:val="single" w:color="auto" w:sz="4" w:space="0"/>
            </w:tcBorders>
            <w:noWrap w:val="0"/>
            <w:vAlign w:val="center"/>
          </w:tcPr>
          <w:p w14:paraId="48DE471C">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17</w:t>
            </w:r>
          </w:p>
        </w:tc>
        <w:tc>
          <w:tcPr>
            <w:tcW w:w="870" w:type="dxa"/>
            <w:tcBorders>
              <w:top w:val="nil"/>
              <w:left w:val="nil"/>
              <w:bottom w:val="single" w:color="auto" w:sz="4" w:space="0"/>
              <w:right w:val="single" w:color="auto" w:sz="4" w:space="0"/>
            </w:tcBorders>
            <w:noWrap w:val="0"/>
            <w:vAlign w:val="center"/>
          </w:tcPr>
          <w:p w14:paraId="1A5077B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4204240F">
            <w:pPr>
              <w:tabs>
                <w:tab w:val="left" w:pos="720"/>
                <w:tab w:val="left" w:pos="5355"/>
              </w:tabs>
              <w:spacing w:line="430" w:lineRule="exac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30</w:t>
            </w:r>
          </w:p>
        </w:tc>
        <w:tc>
          <w:tcPr>
            <w:tcW w:w="901" w:type="dxa"/>
            <w:tcBorders>
              <w:top w:val="nil"/>
              <w:left w:val="nil"/>
              <w:bottom w:val="single" w:color="auto" w:sz="4" w:space="0"/>
              <w:right w:val="single" w:color="auto" w:sz="4" w:space="0"/>
            </w:tcBorders>
            <w:noWrap w:val="0"/>
            <w:vAlign w:val="center"/>
          </w:tcPr>
          <w:p w14:paraId="1B16C1C3">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5</w:t>
            </w:r>
          </w:p>
        </w:tc>
        <w:tc>
          <w:tcPr>
            <w:tcW w:w="873" w:type="dxa"/>
            <w:tcBorders>
              <w:top w:val="nil"/>
              <w:left w:val="nil"/>
              <w:bottom w:val="single" w:color="auto" w:sz="4" w:space="0"/>
              <w:right w:val="single" w:color="auto" w:sz="4" w:space="0"/>
            </w:tcBorders>
            <w:noWrap w:val="0"/>
            <w:vAlign w:val="center"/>
          </w:tcPr>
          <w:p w14:paraId="16F953D9">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54" w:type="dxa"/>
            <w:tcBorders>
              <w:top w:val="nil"/>
              <w:left w:val="nil"/>
              <w:bottom w:val="single" w:color="auto" w:sz="4" w:space="0"/>
              <w:right w:val="single" w:color="auto" w:sz="4" w:space="0"/>
            </w:tcBorders>
            <w:noWrap w:val="0"/>
            <w:vAlign w:val="center"/>
          </w:tcPr>
          <w:p w14:paraId="3000DA46">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1</w:t>
            </w:r>
          </w:p>
        </w:tc>
      </w:tr>
      <w:tr w14:paraId="1049978D">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5F198E3F">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龙港市</w:t>
            </w:r>
          </w:p>
        </w:tc>
        <w:tc>
          <w:tcPr>
            <w:tcW w:w="684" w:type="dxa"/>
            <w:tcBorders>
              <w:top w:val="nil"/>
              <w:left w:val="nil"/>
              <w:bottom w:val="single" w:color="auto" w:sz="4" w:space="0"/>
              <w:right w:val="single" w:color="auto" w:sz="4" w:space="0"/>
            </w:tcBorders>
            <w:noWrap w:val="0"/>
            <w:vAlign w:val="center"/>
          </w:tcPr>
          <w:p w14:paraId="371700A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773" w:type="dxa"/>
            <w:tcBorders>
              <w:top w:val="nil"/>
              <w:left w:val="nil"/>
              <w:bottom w:val="single" w:color="auto" w:sz="4" w:space="0"/>
              <w:right w:val="single" w:color="auto" w:sz="4" w:space="0"/>
            </w:tcBorders>
            <w:noWrap w:val="0"/>
            <w:vAlign w:val="center"/>
          </w:tcPr>
          <w:p w14:paraId="391A562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840" w:type="dxa"/>
            <w:tcBorders>
              <w:top w:val="nil"/>
              <w:left w:val="nil"/>
              <w:bottom w:val="single" w:color="auto" w:sz="4" w:space="0"/>
              <w:right w:val="single" w:color="auto" w:sz="4" w:space="0"/>
            </w:tcBorders>
            <w:noWrap w:val="0"/>
            <w:vAlign w:val="center"/>
          </w:tcPr>
          <w:p w14:paraId="7489421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41F1C278">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24" w:type="dxa"/>
            <w:tcBorders>
              <w:top w:val="nil"/>
              <w:left w:val="nil"/>
              <w:bottom w:val="single" w:color="auto" w:sz="4" w:space="0"/>
              <w:right w:val="single" w:color="auto" w:sz="4" w:space="0"/>
            </w:tcBorders>
            <w:noWrap w:val="0"/>
            <w:vAlign w:val="center"/>
          </w:tcPr>
          <w:p w14:paraId="1F08B8C5">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2</w:t>
            </w:r>
          </w:p>
        </w:tc>
        <w:tc>
          <w:tcPr>
            <w:tcW w:w="870" w:type="dxa"/>
            <w:tcBorders>
              <w:top w:val="nil"/>
              <w:left w:val="nil"/>
              <w:bottom w:val="single" w:color="auto" w:sz="4" w:space="0"/>
              <w:right w:val="single" w:color="auto" w:sz="4" w:space="0"/>
            </w:tcBorders>
            <w:noWrap w:val="0"/>
            <w:vAlign w:val="center"/>
          </w:tcPr>
          <w:p w14:paraId="3B91F406">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22</w:t>
            </w:r>
          </w:p>
        </w:tc>
        <w:tc>
          <w:tcPr>
            <w:tcW w:w="870" w:type="dxa"/>
            <w:tcBorders>
              <w:top w:val="nil"/>
              <w:left w:val="nil"/>
              <w:bottom w:val="single" w:color="auto" w:sz="4" w:space="0"/>
              <w:right w:val="single" w:color="auto" w:sz="4" w:space="0"/>
            </w:tcBorders>
            <w:noWrap w:val="0"/>
            <w:vAlign w:val="center"/>
          </w:tcPr>
          <w:p w14:paraId="07DF121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70" w:type="dxa"/>
            <w:tcBorders>
              <w:top w:val="nil"/>
              <w:left w:val="nil"/>
              <w:bottom w:val="single" w:color="auto" w:sz="4" w:space="0"/>
              <w:right w:val="single" w:color="auto" w:sz="4" w:space="0"/>
            </w:tcBorders>
            <w:noWrap w:val="0"/>
            <w:vAlign w:val="center"/>
          </w:tcPr>
          <w:p w14:paraId="22DA3B55">
            <w:pPr>
              <w:tabs>
                <w:tab w:val="left" w:pos="720"/>
                <w:tab w:val="left" w:pos="5355"/>
              </w:tabs>
              <w:spacing w:line="430" w:lineRule="exac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17</w:t>
            </w:r>
          </w:p>
        </w:tc>
        <w:tc>
          <w:tcPr>
            <w:tcW w:w="901" w:type="dxa"/>
            <w:tcBorders>
              <w:top w:val="nil"/>
              <w:left w:val="nil"/>
              <w:bottom w:val="single" w:color="auto" w:sz="4" w:space="0"/>
              <w:right w:val="single" w:color="auto" w:sz="4" w:space="0"/>
            </w:tcBorders>
            <w:noWrap w:val="0"/>
            <w:vAlign w:val="center"/>
          </w:tcPr>
          <w:p w14:paraId="02E7B59A">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873" w:type="dxa"/>
            <w:tcBorders>
              <w:top w:val="nil"/>
              <w:left w:val="nil"/>
              <w:bottom w:val="single" w:color="auto" w:sz="4" w:space="0"/>
              <w:right w:val="single" w:color="auto" w:sz="4" w:space="0"/>
            </w:tcBorders>
            <w:noWrap w:val="0"/>
            <w:vAlign w:val="center"/>
          </w:tcPr>
          <w:p w14:paraId="67A106AD">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54" w:type="dxa"/>
            <w:tcBorders>
              <w:top w:val="nil"/>
              <w:left w:val="nil"/>
              <w:bottom w:val="single" w:color="auto" w:sz="4" w:space="0"/>
              <w:right w:val="single" w:color="auto" w:sz="4" w:space="0"/>
            </w:tcBorders>
            <w:noWrap w:val="0"/>
            <w:vAlign w:val="center"/>
          </w:tcPr>
          <w:p w14:paraId="594F465A">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r>
      <w:tr w14:paraId="30255FC9">
        <w:tblPrEx>
          <w:tblCellMar>
            <w:top w:w="0" w:type="dxa"/>
            <w:left w:w="108" w:type="dxa"/>
            <w:bottom w:w="0" w:type="dxa"/>
            <w:right w:w="108" w:type="dxa"/>
          </w:tblCellMar>
        </w:tblPrEx>
        <w:trPr>
          <w:trHeight w:val="336" w:hRule="atLeast"/>
          <w:jc w:val="center"/>
        </w:trPr>
        <w:tc>
          <w:tcPr>
            <w:tcW w:w="912" w:type="dxa"/>
            <w:tcBorders>
              <w:top w:val="nil"/>
              <w:left w:val="single" w:color="auto" w:sz="4" w:space="0"/>
              <w:bottom w:val="single" w:color="auto" w:sz="4" w:space="0"/>
              <w:right w:val="single" w:color="auto" w:sz="4" w:space="0"/>
            </w:tcBorders>
            <w:noWrap w:val="0"/>
            <w:vAlign w:val="center"/>
          </w:tcPr>
          <w:p w14:paraId="041745C3">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平阳县</w:t>
            </w:r>
          </w:p>
        </w:tc>
        <w:tc>
          <w:tcPr>
            <w:tcW w:w="684" w:type="dxa"/>
            <w:tcBorders>
              <w:top w:val="nil"/>
              <w:left w:val="nil"/>
              <w:bottom w:val="single" w:color="auto" w:sz="4" w:space="0"/>
              <w:right w:val="single" w:color="auto" w:sz="4" w:space="0"/>
            </w:tcBorders>
            <w:noWrap w:val="0"/>
            <w:vAlign w:val="center"/>
          </w:tcPr>
          <w:p w14:paraId="7CA234D3">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773" w:type="dxa"/>
            <w:tcBorders>
              <w:top w:val="nil"/>
              <w:left w:val="nil"/>
              <w:bottom w:val="single" w:color="auto" w:sz="4" w:space="0"/>
              <w:right w:val="single" w:color="auto" w:sz="4" w:space="0"/>
            </w:tcBorders>
            <w:noWrap w:val="0"/>
            <w:vAlign w:val="center"/>
          </w:tcPr>
          <w:p w14:paraId="11896E3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40" w:type="dxa"/>
            <w:tcBorders>
              <w:top w:val="nil"/>
              <w:left w:val="nil"/>
              <w:bottom w:val="single" w:color="auto" w:sz="4" w:space="0"/>
              <w:right w:val="single" w:color="auto" w:sz="4" w:space="0"/>
            </w:tcBorders>
            <w:noWrap w:val="0"/>
            <w:vAlign w:val="center"/>
          </w:tcPr>
          <w:p w14:paraId="2B14F476">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70" w:type="dxa"/>
            <w:tcBorders>
              <w:top w:val="nil"/>
              <w:left w:val="nil"/>
              <w:bottom w:val="single" w:color="auto" w:sz="4" w:space="0"/>
              <w:right w:val="single" w:color="auto" w:sz="4" w:space="0"/>
            </w:tcBorders>
            <w:noWrap w:val="0"/>
            <w:vAlign w:val="center"/>
          </w:tcPr>
          <w:p w14:paraId="1458BA6D">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24" w:type="dxa"/>
            <w:tcBorders>
              <w:top w:val="nil"/>
              <w:left w:val="nil"/>
              <w:bottom w:val="single" w:color="auto" w:sz="4" w:space="0"/>
              <w:right w:val="single" w:color="auto" w:sz="4" w:space="0"/>
            </w:tcBorders>
            <w:noWrap w:val="0"/>
            <w:vAlign w:val="center"/>
          </w:tcPr>
          <w:p w14:paraId="46A28CF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870" w:type="dxa"/>
            <w:tcBorders>
              <w:top w:val="nil"/>
              <w:left w:val="nil"/>
              <w:bottom w:val="single" w:color="auto" w:sz="4" w:space="0"/>
              <w:right w:val="single" w:color="auto" w:sz="4" w:space="0"/>
            </w:tcBorders>
            <w:noWrap w:val="0"/>
            <w:vAlign w:val="center"/>
          </w:tcPr>
          <w:p w14:paraId="1761B3EE">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6</w:t>
            </w:r>
          </w:p>
        </w:tc>
        <w:tc>
          <w:tcPr>
            <w:tcW w:w="870" w:type="dxa"/>
            <w:tcBorders>
              <w:top w:val="nil"/>
              <w:left w:val="nil"/>
              <w:bottom w:val="single" w:color="auto" w:sz="4" w:space="0"/>
              <w:right w:val="single" w:color="auto" w:sz="4" w:space="0"/>
            </w:tcBorders>
            <w:noWrap w:val="0"/>
            <w:vAlign w:val="center"/>
          </w:tcPr>
          <w:p w14:paraId="194E832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3</w:t>
            </w:r>
          </w:p>
        </w:tc>
        <w:tc>
          <w:tcPr>
            <w:tcW w:w="870" w:type="dxa"/>
            <w:tcBorders>
              <w:top w:val="nil"/>
              <w:left w:val="nil"/>
              <w:bottom w:val="single" w:color="auto" w:sz="4" w:space="0"/>
              <w:right w:val="single" w:color="auto" w:sz="4" w:space="0"/>
            </w:tcBorders>
            <w:noWrap w:val="0"/>
            <w:vAlign w:val="center"/>
          </w:tcPr>
          <w:p w14:paraId="15A73E97">
            <w:pPr>
              <w:tabs>
                <w:tab w:val="left" w:pos="720"/>
                <w:tab w:val="left" w:pos="5355"/>
              </w:tabs>
              <w:spacing w:line="430" w:lineRule="exac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23</w:t>
            </w:r>
          </w:p>
        </w:tc>
        <w:tc>
          <w:tcPr>
            <w:tcW w:w="901" w:type="dxa"/>
            <w:tcBorders>
              <w:top w:val="nil"/>
              <w:left w:val="nil"/>
              <w:bottom w:val="single" w:color="auto" w:sz="4" w:space="0"/>
              <w:right w:val="single" w:color="auto" w:sz="4" w:space="0"/>
            </w:tcBorders>
            <w:noWrap w:val="0"/>
            <w:vAlign w:val="center"/>
          </w:tcPr>
          <w:p w14:paraId="1409E4D3">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873" w:type="dxa"/>
            <w:tcBorders>
              <w:top w:val="nil"/>
              <w:left w:val="nil"/>
              <w:bottom w:val="single" w:color="auto" w:sz="4" w:space="0"/>
              <w:right w:val="single" w:color="auto" w:sz="4" w:space="0"/>
            </w:tcBorders>
            <w:noWrap w:val="0"/>
            <w:vAlign w:val="center"/>
          </w:tcPr>
          <w:p w14:paraId="4BA7BFE7">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54" w:type="dxa"/>
            <w:tcBorders>
              <w:top w:val="nil"/>
              <w:left w:val="nil"/>
              <w:bottom w:val="single" w:color="auto" w:sz="4" w:space="0"/>
              <w:right w:val="single" w:color="auto" w:sz="4" w:space="0"/>
            </w:tcBorders>
            <w:noWrap w:val="0"/>
            <w:vAlign w:val="center"/>
          </w:tcPr>
          <w:p w14:paraId="70D89AB5">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r>
      <w:tr w14:paraId="6CBCA8AD">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12F09DA5">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洞头区</w:t>
            </w:r>
          </w:p>
        </w:tc>
        <w:tc>
          <w:tcPr>
            <w:tcW w:w="684" w:type="dxa"/>
            <w:tcBorders>
              <w:top w:val="nil"/>
              <w:left w:val="nil"/>
              <w:bottom w:val="single" w:color="auto" w:sz="4" w:space="0"/>
              <w:right w:val="single" w:color="auto" w:sz="4" w:space="0"/>
            </w:tcBorders>
            <w:noWrap w:val="0"/>
            <w:vAlign w:val="center"/>
          </w:tcPr>
          <w:p w14:paraId="7219AE29">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12</w:t>
            </w:r>
          </w:p>
        </w:tc>
        <w:tc>
          <w:tcPr>
            <w:tcW w:w="773" w:type="dxa"/>
            <w:tcBorders>
              <w:top w:val="nil"/>
              <w:left w:val="nil"/>
              <w:bottom w:val="single" w:color="auto" w:sz="4" w:space="0"/>
              <w:right w:val="single" w:color="auto" w:sz="4" w:space="0"/>
            </w:tcBorders>
            <w:noWrap w:val="0"/>
            <w:vAlign w:val="center"/>
          </w:tcPr>
          <w:p w14:paraId="7426C48A">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40" w:type="dxa"/>
            <w:tcBorders>
              <w:top w:val="nil"/>
              <w:left w:val="nil"/>
              <w:bottom w:val="single" w:color="auto" w:sz="4" w:space="0"/>
              <w:right w:val="single" w:color="auto" w:sz="4" w:space="0"/>
            </w:tcBorders>
            <w:noWrap w:val="0"/>
            <w:vAlign w:val="center"/>
          </w:tcPr>
          <w:p w14:paraId="48676BA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70" w:type="dxa"/>
            <w:tcBorders>
              <w:top w:val="nil"/>
              <w:left w:val="nil"/>
              <w:bottom w:val="single" w:color="auto" w:sz="4" w:space="0"/>
              <w:right w:val="single" w:color="auto" w:sz="4" w:space="0"/>
            </w:tcBorders>
            <w:noWrap w:val="0"/>
            <w:vAlign w:val="center"/>
          </w:tcPr>
          <w:p w14:paraId="26953D1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24" w:type="dxa"/>
            <w:tcBorders>
              <w:top w:val="nil"/>
              <w:left w:val="nil"/>
              <w:bottom w:val="single" w:color="auto" w:sz="4" w:space="0"/>
              <w:right w:val="single" w:color="auto" w:sz="4" w:space="0"/>
            </w:tcBorders>
            <w:noWrap w:val="0"/>
            <w:vAlign w:val="center"/>
          </w:tcPr>
          <w:p w14:paraId="21510A2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870" w:type="dxa"/>
            <w:tcBorders>
              <w:top w:val="nil"/>
              <w:left w:val="nil"/>
              <w:bottom w:val="single" w:color="auto" w:sz="4" w:space="0"/>
              <w:right w:val="single" w:color="auto" w:sz="4" w:space="0"/>
            </w:tcBorders>
            <w:noWrap w:val="0"/>
            <w:vAlign w:val="center"/>
          </w:tcPr>
          <w:p w14:paraId="7B289EB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27</w:t>
            </w:r>
          </w:p>
        </w:tc>
        <w:tc>
          <w:tcPr>
            <w:tcW w:w="870" w:type="dxa"/>
            <w:tcBorders>
              <w:top w:val="nil"/>
              <w:left w:val="nil"/>
              <w:bottom w:val="single" w:color="auto" w:sz="4" w:space="0"/>
              <w:right w:val="single" w:color="auto" w:sz="4" w:space="0"/>
            </w:tcBorders>
            <w:noWrap w:val="0"/>
            <w:vAlign w:val="center"/>
          </w:tcPr>
          <w:p w14:paraId="411FDABE">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0DE4FF39">
            <w:pPr>
              <w:tabs>
                <w:tab w:val="left" w:pos="720"/>
                <w:tab w:val="left" w:pos="5355"/>
              </w:tabs>
              <w:spacing w:line="430" w:lineRule="exac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54</w:t>
            </w:r>
          </w:p>
        </w:tc>
        <w:tc>
          <w:tcPr>
            <w:tcW w:w="901" w:type="dxa"/>
            <w:tcBorders>
              <w:top w:val="nil"/>
              <w:left w:val="nil"/>
              <w:bottom w:val="single" w:color="auto" w:sz="4" w:space="0"/>
              <w:right w:val="single" w:color="auto" w:sz="4" w:space="0"/>
            </w:tcBorders>
            <w:noWrap w:val="0"/>
            <w:vAlign w:val="center"/>
          </w:tcPr>
          <w:p w14:paraId="55E2D67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7</w:t>
            </w:r>
          </w:p>
        </w:tc>
        <w:tc>
          <w:tcPr>
            <w:tcW w:w="873" w:type="dxa"/>
            <w:tcBorders>
              <w:top w:val="nil"/>
              <w:left w:val="nil"/>
              <w:bottom w:val="single" w:color="auto" w:sz="4" w:space="0"/>
              <w:right w:val="single" w:color="auto" w:sz="4" w:space="0"/>
            </w:tcBorders>
            <w:noWrap w:val="0"/>
            <w:vAlign w:val="center"/>
          </w:tcPr>
          <w:p w14:paraId="3947800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54" w:type="dxa"/>
            <w:tcBorders>
              <w:top w:val="nil"/>
              <w:left w:val="nil"/>
              <w:bottom w:val="single" w:color="auto" w:sz="4" w:space="0"/>
              <w:right w:val="single" w:color="auto" w:sz="4" w:space="0"/>
            </w:tcBorders>
            <w:noWrap w:val="0"/>
            <w:vAlign w:val="center"/>
          </w:tcPr>
          <w:p w14:paraId="52FCEA50">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1</w:t>
            </w:r>
          </w:p>
        </w:tc>
      </w:tr>
      <w:tr w14:paraId="6140C12D">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2A802E16">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乐清市</w:t>
            </w:r>
          </w:p>
        </w:tc>
        <w:tc>
          <w:tcPr>
            <w:tcW w:w="684" w:type="dxa"/>
            <w:tcBorders>
              <w:top w:val="nil"/>
              <w:left w:val="nil"/>
              <w:bottom w:val="single" w:color="auto" w:sz="4" w:space="0"/>
              <w:right w:val="single" w:color="auto" w:sz="4" w:space="0"/>
            </w:tcBorders>
            <w:noWrap w:val="0"/>
            <w:vAlign w:val="center"/>
          </w:tcPr>
          <w:p w14:paraId="64223AF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773" w:type="dxa"/>
            <w:tcBorders>
              <w:top w:val="nil"/>
              <w:left w:val="nil"/>
              <w:bottom w:val="single" w:color="auto" w:sz="4" w:space="0"/>
              <w:right w:val="single" w:color="auto" w:sz="4" w:space="0"/>
            </w:tcBorders>
            <w:noWrap w:val="0"/>
            <w:vAlign w:val="center"/>
          </w:tcPr>
          <w:p w14:paraId="0EEC8C4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40" w:type="dxa"/>
            <w:tcBorders>
              <w:top w:val="nil"/>
              <w:left w:val="nil"/>
              <w:bottom w:val="single" w:color="auto" w:sz="4" w:space="0"/>
              <w:right w:val="single" w:color="auto" w:sz="4" w:space="0"/>
            </w:tcBorders>
            <w:noWrap w:val="0"/>
            <w:vAlign w:val="center"/>
          </w:tcPr>
          <w:p w14:paraId="50EE5DA3">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70" w:type="dxa"/>
            <w:tcBorders>
              <w:top w:val="nil"/>
              <w:left w:val="nil"/>
              <w:bottom w:val="single" w:color="auto" w:sz="4" w:space="0"/>
              <w:right w:val="single" w:color="auto" w:sz="4" w:space="0"/>
            </w:tcBorders>
            <w:noWrap w:val="0"/>
            <w:vAlign w:val="center"/>
          </w:tcPr>
          <w:p w14:paraId="03688EDD">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24" w:type="dxa"/>
            <w:tcBorders>
              <w:top w:val="nil"/>
              <w:left w:val="nil"/>
              <w:bottom w:val="single" w:color="auto" w:sz="4" w:space="0"/>
              <w:right w:val="single" w:color="auto" w:sz="4" w:space="0"/>
            </w:tcBorders>
            <w:noWrap w:val="0"/>
            <w:vAlign w:val="center"/>
          </w:tcPr>
          <w:p w14:paraId="22F0A924">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870" w:type="dxa"/>
            <w:tcBorders>
              <w:top w:val="nil"/>
              <w:left w:val="nil"/>
              <w:bottom w:val="single" w:color="auto" w:sz="4" w:space="0"/>
              <w:right w:val="single" w:color="auto" w:sz="4" w:space="0"/>
            </w:tcBorders>
            <w:noWrap w:val="0"/>
            <w:vAlign w:val="center"/>
          </w:tcPr>
          <w:p w14:paraId="15089A50">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16</w:t>
            </w:r>
          </w:p>
        </w:tc>
        <w:tc>
          <w:tcPr>
            <w:tcW w:w="870" w:type="dxa"/>
            <w:tcBorders>
              <w:top w:val="nil"/>
              <w:left w:val="nil"/>
              <w:bottom w:val="single" w:color="auto" w:sz="4" w:space="0"/>
              <w:right w:val="single" w:color="auto" w:sz="4" w:space="0"/>
            </w:tcBorders>
            <w:noWrap w:val="0"/>
            <w:vAlign w:val="center"/>
          </w:tcPr>
          <w:p w14:paraId="2CB0D06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4284ED5C">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27</w:t>
            </w:r>
          </w:p>
        </w:tc>
        <w:tc>
          <w:tcPr>
            <w:tcW w:w="901" w:type="dxa"/>
            <w:tcBorders>
              <w:top w:val="nil"/>
              <w:left w:val="nil"/>
              <w:bottom w:val="single" w:color="auto" w:sz="4" w:space="0"/>
              <w:right w:val="single" w:color="auto" w:sz="4" w:space="0"/>
            </w:tcBorders>
            <w:noWrap w:val="0"/>
            <w:vAlign w:val="center"/>
          </w:tcPr>
          <w:p w14:paraId="041D259E">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5</w:t>
            </w:r>
          </w:p>
        </w:tc>
        <w:tc>
          <w:tcPr>
            <w:tcW w:w="873" w:type="dxa"/>
            <w:tcBorders>
              <w:top w:val="nil"/>
              <w:left w:val="nil"/>
              <w:bottom w:val="single" w:color="auto" w:sz="4" w:space="0"/>
              <w:right w:val="single" w:color="auto" w:sz="4" w:space="0"/>
            </w:tcBorders>
            <w:noWrap w:val="0"/>
            <w:vAlign w:val="center"/>
          </w:tcPr>
          <w:p w14:paraId="08C75D3A">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4</w:t>
            </w:r>
          </w:p>
        </w:tc>
        <w:tc>
          <w:tcPr>
            <w:tcW w:w="854" w:type="dxa"/>
            <w:tcBorders>
              <w:top w:val="nil"/>
              <w:left w:val="nil"/>
              <w:bottom w:val="single" w:color="auto" w:sz="4" w:space="0"/>
              <w:right w:val="single" w:color="auto" w:sz="4" w:space="0"/>
            </w:tcBorders>
            <w:noWrap w:val="0"/>
            <w:vAlign w:val="center"/>
          </w:tcPr>
          <w:p w14:paraId="0FCE416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r>
      <w:tr w14:paraId="1739A731">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19A47293">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龙湾区</w:t>
            </w:r>
          </w:p>
        </w:tc>
        <w:tc>
          <w:tcPr>
            <w:tcW w:w="684" w:type="dxa"/>
            <w:tcBorders>
              <w:top w:val="nil"/>
              <w:left w:val="nil"/>
              <w:bottom w:val="single" w:color="auto" w:sz="4" w:space="0"/>
              <w:right w:val="single" w:color="auto" w:sz="4" w:space="0"/>
            </w:tcBorders>
            <w:noWrap w:val="0"/>
            <w:vAlign w:val="center"/>
          </w:tcPr>
          <w:p w14:paraId="0F8968DC">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773" w:type="dxa"/>
            <w:tcBorders>
              <w:top w:val="nil"/>
              <w:left w:val="nil"/>
              <w:bottom w:val="single" w:color="auto" w:sz="4" w:space="0"/>
              <w:right w:val="single" w:color="auto" w:sz="4" w:space="0"/>
            </w:tcBorders>
            <w:noWrap w:val="0"/>
            <w:vAlign w:val="center"/>
          </w:tcPr>
          <w:p w14:paraId="71A01D0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40" w:type="dxa"/>
            <w:tcBorders>
              <w:top w:val="nil"/>
              <w:left w:val="nil"/>
              <w:bottom w:val="single" w:color="auto" w:sz="4" w:space="0"/>
              <w:right w:val="single" w:color="auto" w:sz="4" w:space="0"/>
            </w:tcBorders>
            <w:noWrap w:val="0"/>
            <w:vAlign w:val="center"/>
          </w:tcPr>
          <w:p w14:paraId="196ACF0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3D5E59E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24" w:type="dxa"/>
            <w:tcBorders>
              <w:top w:val="nil"/>
              <w:left w:val="nil"/>
              <w:bottom w:val="single" w:color="auto" w:sz="4" w:space="0"/>
              <w:right w:val="single" w:color="auto" w:sz="4" w:space="0"/>
            </w:tcBorders>
            <w:noWrap w:val="0"/>
            <w:vAlign w:val="center"/>
          </w:tcPr>
          <w:p w14:paraId="7E5C18DD">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lang w:val="en-US" w:eastAsia="zh-CN"/>
              </w:rPr>
              <w:t>1</w:t>
            </w:r>
          </w:p>
        </w:tc>
        <w:tc>
          <w:tcPr>
            <w:tcW w:w="870" w:type="dxa"/>
            <w:tcBorders>
              <w:top w:val="nil"/>
              <w:left w:val="nil"/>
              <w:bottom w:val="single" w:color="auto" w:sz="4" w:space="0"/>
              <w:right w:val="single" w:color="auto" w:sz="4" w:space="0"/>
            </w:tcBorders>
            <w:noWrap w:val="0"/>
            <w:vAlign w:val="center"/>
          </w:tcPr>
          <w:p w14:paraId="114CEE6B">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870" w:type="dxa"/>
            <w:tcBorders>
              <w:top w:val="nil"/>
              <w:left w:val="nil"/>
              <w:bottom w:val="single" w:color="auto" w:sz="4" w:space="0"/>
              <w:right w:val="single" w:color="auto" w:sz="4" w:space="0"/>
            </w:tcBorders>
            <w:noWrap w:val="0"/>
            <w:vAlign w:val="center"/>
          </w:tcPr>
          <w:p w14:paraId="7E5D3E6F">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p>
        </w:tc>
        <w:tc>
          <w:tcPr>
            <w:tcW w:w="870" w:type="dxa"/>
            <w:tcBorders>
              <w:top w:val="nil"/>
              <w:left w:val="nil"/>
              <w:bottom w:val="single" w:color="auto" w:sz="4" w:space="0"/>
              <w:right w:val="single" w:color="auto" w:sz="4" w:space="0"/>
            </w:tcBorders>
            <w:noWrap w:val="0"/>
            <w:vAlign w:val="center"/>
          </w:tcPr>
          <w:p w14:paraId="08F3E01F">
            <w:pPr>
              <w:tabs>
                <w:tab w:val="left" w:pos="720"/>
                <w:tab w:val="left" w:pos="5355"/>
              </w:tabs>
              <w:spacing w:line="430" w:lineRule="exact"/>
              <w:jc w:val="center"/>
              <w:rPr>
                <w:rFonts w:hint="default"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14</w:t>
            </w:r>
          </w:p>
        </w:tc>
        <w:tc>
          <w:tcPr>
            <w:tcW w:w="901" w:type="dxa"/>
            <w:tcBorders>
              <w:top w:val="nil"/>
              <w:left w:val="nil"/>
              <w:bottom w:val="single" w:color="auto" w:sz="4" w:space="0"/>
              <w:right w:val="single" w:color="auto" w:sz="4" w:space="0"/>
            </w:tcBorders>
            <w:noWrap w:val="0"/>
            <w:vAlign w:val="center"/>
          </w:tcPr>
          <w:p w14:paraId="4407F82C">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p>
        </w:tc>
        <w:tc>
          <w:tcPr>
            <w:tcW w:w="873" w:type="dxa"/>
            <w:tcBorders>
              <w:top w:val="nil"/>
              <w:left w:val="nil"/>
              <w:bottom w:val="single" w:color="auto" w:sz="4" w:space="0"/>
              <w:right w:val="single" w:color="auto" w:sz="4" w:space="0"/>
            </w:tcBorders>
            <w:noWrap w:val="0"/>
            <w:vAlign w:val="center"/>
          </w:tcPr>
          <w:p w14:paraId="6C61E595">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p>
        </w:tc>
        <w:tc>
          <w:tcPr>
            <w:tcW w:w="854" w:type="dxa"/>
            <w:tcBorders>
              <w:top w:val="nil"/>
              <w:left w:val="nil"/>
              <w:bottom w:val="single" w:color="auto" w:sz="4" w:space="0"/>
              <w:right w:val="single" w:color="auto" w:sz="4" w:space="0"/>
            </w:tcBorders>
            <w:noWrap w:val="0"/>
            <w:vAlign w:val="center"/>
          </w:tcPr>
          <w:p w14:paraId="2A7BE2A1">
            <w:pPr>
              <w:tabs>
                <w:tab w:val="left" w:pos="720"/>
                <w:tab w:val="left" w:pos="5355"/>
              </w:tabs>
              <w:spacing w:line="430" w:lineRule="exact"/>
              <w:jc w:val="center"/>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w:t>
            </w:r>
          </w:p>
        </w:tc>
      </w:tr>
      <w:tr w14:paraId="79FC82CB">
        <w:tblPrEx>
          <w:tblCellMar>
            <w:top w:w="0" w:type="dxa"/>
            <w:left w:w="108" w:type="dxa"/>
            <w:bottom w:w="0" w:type="dxa"/>
            <w:right w:w="108" w:type="dxa"/>
          </w:tblCellMar>
        </w:tblPrEx>
        <w:trPr>
          <w:trHeight w:val="280" w:hRule="atLeast"/>
          <w:jc w:val="center"/>
        </w:trPr>
        <w:tc>
          <w:tcPr>
            <w:tcW w:w="912" w:type="dxa"/>
            <w:tcBorders>
              <w:top w:val="nil"/>
              <w:left w:val="single" w:color="auto" w:sz="4" w:space="0"/>
              <w:bottom w:val="single" w:color="auto" w:sz="4" w:space="0"/>
              <w:right w:val="single" w:color="auto" w:sz="4" w:space="0"/>
            </w:tcBorders>
            <w:noWrap w:val="0"/>
            <w:vAlign w:val="center"/>
          </w:tcPr>
          <w:p w14:paraId="265FB714">
            <w:pPr>
              <w:tabs>
                <w:tab w:val="left" w:pos="720"/>
                <w:tab w:val="left" w:pos="5355"/>
              </w:tabs>
              <w:spacing w:line="430" w:lineRule="exac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合计</w:t>
            </w:r>
          </w:p>
          <w:p w14:paraId="2C3A6296">
            <w:pPr>
              <w:pStyle w:val="2"/>
              <w:spacing w:after="0"/>
              <w:ind w:left="0" w:leftChars="0" w:firstLine="0" w:firstLineChars="0"/>
              <w:rPr>
                <w:rFonts w:hint="eastAsia"/>
                <w:color w:val="auto"/>
                <w:highlight w:val="none"/>
              </w:rPr>
            </w:pPr>
            <w:r>
              <w:rPr>
                <w:rFonts w:hint="eastAsia"/>
                <w:color w:val="auto"/>
                <w:highlight w:val="none"/>
              </w:rPr>
              <w:t>（不包含苍南县）</w:t>
            </w:r>
          </w:p>
        </w:tc>
        <w:tc>
          <w:tcPr>
            <w:tcW w:w="684" w:type="dxa"/>
            <w:tcBorders>
              <w:top w:val="nil"/>
              <w:left w:val="nil"/>
              <w:bottom w:val="single" w:color="auto" w:sz="4" w:space="0"/>
              <w:right w:val="single" w:color="auto" w:sz="4" w:space="0"/>
            </w:tcBorders>
            <w:noWrap w:val="0"/>
            <w:vAlign w:val="center"/>
          </w:tcPr>
          <w:p w14:paraId="18B1EF7F">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w:t>
            </w:r>
          </w:p>
        </w:tc>
        <w:tc>
          <w:tcPr>
            <w:tcW w:w="773" w:type="dxa"/>
            <w:tcBorders>
              <w:top w:val="nil"/>
              <w:left w:val="nil"/>
              <w:bottom w:val="single" w:color="auto" w:sz="4" w:space="0"/>
              <w:right w:val="single" w:color="auto" w:sz="4" w:space="0"/>
            </w:tcBorders>
            <w:noWrap w:val="0"/>
            <w:vAlign w:val="center"/>
          </w:tcPr>
          <w:p w14:paraId="76253CD0">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9</w:t>
            </w:r>
          </w:p>
        </w:tc>
        <w:tc>
          <w:tcPr>
            <w:tcW w:w="840" w:type="dxa"/>
            <w:tcBorders>
              <w:top w:val="nil"/>
              <w:left w:val="nil"/>
              <w:bottom w:val="single" w:color="auto" w:sz="4" w:space="0"/>
              <w:right w:val="single" w:color="auto" w:sz="4" w:space="0"/>
            </w:tcBorders>
            <w:noWrap w:val="0"/>
            <w:vAlign w:val="center"/>
          </w:tcPr>
          <w:p w14:paraId="70930604">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6</w:t>
            </w:r>
          </w:p>
        </w:tc>
        <w:tc>
          <w:tcPr>
            <w:tcW w:w="870" w:type="dxa"/>
            <w:tcBorders>
              <w:top w:val="nil"/>
              <w:left w:val="nil"/>
              <w:bottom w:val="single" w:color="auto" w:sz="4" w:space="0"/>
              <w:right w:val="single" w:color="auto" w:sz="4" w:space="0"/>
            </w:tcBorders>
            <w:noWrap w:val="0"/>
            <w:vAlign w:val="center"/>
          </w:tcPr>
          <w:p w14:paraId="4AE8256C">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824" w:type="dxa"/>
            <w:tcBorders>
              <w:top w:val="nil"/>
              <w:left w:val="nil"/>
              <w:bottom w:val="single" w:color="auto" w:sz="4" w:space="0"/>
              <w:right w:val="single" w:color="auto" w:sz="4" w:space="0"/>
            </w:tcBorders>
            <w:noWrap w:val="0"/>
            <w:vAlign w:val="center"/>
          </w:tcPr>
          <w:p w14:paraId="15108E39">
            <w:pPr>
              <w:tabs>
                <w:tab w:val="left" w:pos="720"/>
                <w:tab w:val="left" w:pos="5355"/>
              </w:tabs>
              <w:spacing w:line="430" w:lineRule="exact"/>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13</w:t>
            </w:r>
          </w:p>
        </w:tc>
        <w:tc>
          <w:tcPr>
            <w:tcW w:w="870" w:type="dxa"/>
            <w:tcBorders>
              <w:top w:val="nil"/>
              <w:left w:val="nil"/>
              <w:bottom w:val="single" w:color="auto" w:sz="4" w:space="0"/>
              <w:right w:val="single" w:color="auto" w:sz="4" w:space="0"/>
            </w:tcBorders>
            <w:noWrap w:val="0"/>
            <w:vAlign w:val="center"/>
          </w:tcPr>
          <w:p w14:paraId="6A4A546D">
            <w:pPr>
              <w:tabs>
                <w:tab w:val="left" w:pos="720"/>
                <w:tab w:val="left" w:pos="5355"/>
              </w:tabs>
              <w:spacing w:line="430" w:lineRule="exact"/>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90</w:t>
            </w:r>
          </w:p>
        </w:tc>
        <w:tc>
          <w:tcPr>
            <w:tcW w:w="870" w:type="dxa"/>
            <w:tcBorders>
              <w:top w:val="nil"/>
              <w:left w:val="nil"/>
              <w:bottom w:val="single" w:color="auto" w:sz="4" w:space="0"/>
              <w:right w:val="single" w:color="auto" w:sz="4" w:space="0"/>
            </w:tcBorders>
            <w:noWrap w:val="0"/>
            <w:vAlign w:val="center"/>
          </w:tcPr>
          <w:p w14:paraId="029586E5">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870" w:type="dxa"/>
            <w:tcBorders>
              <w:top w:val="nil"/>
              <w:left w:val="nil"/>
              <w:bottom w:val="single" w:color="auto" w:sz="4" w:space="0"/>
              <w:right w:val="single" w:color="auto" w:sz="4" w:space="0"/>
            </w:tcBorders>
            <w:noWrap w:val="0"/>
            <w:vAlign w:val="center"/>
          </w:tcPr>
          <w:p w14:paraId="270E01C1">
            <w:pPr>
              <w:tabs>
                <w:tab w:val="left" w:pos="720"/>
                <w:tab w:val="left" w:pos="5355"/>
              </w:tabs>
              <w:spacing w:line="430" w:lineRule="exact"/>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168</w:t>
            </w:r>
          </w:p>
        </w:tc>
        <w:tc>
          <w:tcPr>
            <w:tcW w:w="901" w:type="dxa"/>
            <w:tcBorders>
              <w:top w:val="nil"/>
              <w:left w:val="nil"/>
              <w:bottom w:val="single" w:color="auto" w:sz="4" w:space="0"/>
              <w:right w:val="single" w:color="auto" w:sz="4" w:space="0"/>
            </w:tcBorders>
            <w:noWrap w:val="0"/>
            <w:vAlign w:val="center"/>
          </w:tcPr>
          <w:p w14:paraId="1DBFD67D">
            <w:pPr>
              <w:tabs>
                <w:tab w:val="left" w:pos="720"/>
                <w:tab w:val="left" w:pos="5355"/>
              </w:tabs>
              <w:spacing w:line="430" w:lineRule="exact"/>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27</w:t>
            </w:r>
          </w:p>
        </w:tc>
        <w:tc>
          <w:tcPr>
            <w:tcW w:w="873" w:type="dxa"/>
            <w:tcBorders>
              <w:top w:val="nil"/>
              <w:left w:val="nil"/>
              <w:bottom w:val="single" w:color="auto" w:sz="4" w:space="0"/>
              <w:right w:val="single" w:color="auto" w:sz="4" w:space="0"/>
            </w:tcBorders>
            <w:noWrap w:val="0"/>
            <w:vAlign w:val="center"/>
          </w:tcPr>
          <w:p w14:paraId="524AEC4C">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5</w:t>
            </w:r>
          </w:p>
        </w:tc>
        <w:tc>
          <w:tcPr>
            <w:tcW w:w="854" w:type="dxa"/>
            <w:tcBorders>
              <w:top w:val="nil"/>
              <w:left w:val="nil"/>
              <w:bottom w:val="single" w:color="auto" w:sz="4" w:space="0"/>
              <w:right w:val="single" w:color="auto" w:sz="4" w:space="0"/>
            </w:tcBorders>
            <w:noWrap w:val="0"/>
            <w:vAlign w:val="center"/>
          </w:tcPr>
          <w:p w14:paraId="1528C5F0">
            <w:pPr>
              <w:tabs>
                <w:tab w:val="left" w:pos="720"/>
                <w:tab w:val="left" w:pos="5355"/>
              </w:tabs>
              <w:spacing w:line="43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5</w:t>
            </w:r>
          </w:p>
        </w:tc>
      </w:tr>
    </w:tbl>
    <w:p w14:paraId="104E7FBC">
      <w:pPr>
        <w:tabs>
          <w:tab w:val="left" w:pos="720"/>
          <w:tab w:val="left" w:pos="5355"/>
        </w:tabs>
        <w:spacing w:line="430" w:lineRule="exact"/>
        <w:ind w:firstLine="470" w:firstLineChars="196"/>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1.4前端点位相关配套设施</w:t>
      </w:r>
    </w:p>
    <w:p w14:paraId="0C991AE2">
      <w:pPr>
        <w:spacing w:line="360" w:lineRule="auto"/>
        <w:ind w:firstLine="480" w:firstLineChars="20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b w:val="0"/>
          <w:bCs w:val="0"/>
          <w:color w:val="auto"/>
          <w:kern w:val="2"/>
          <w:sz w:val="24"/>
          <w:highlight w:val="none"/>
        </w:rPr>
        <w:t>1.4.1立杆与基础</w:t>
      </w:r>
    </w:p>
    <w:p w14:paraId="5069D1FD">
      <w:pPr>
        <w:spacing w:line="360" w:lineRule="auto"/>
        <w:ind w:firstLine="480" w:firstLineChars="200"/>
        <w:rPr>
          <w:rFonts w:hint="eastAsia" w:ascii="仿宋_GB2312" w:hAnsi="仿宋_GB2312" w:eastAsia="仿宋_GB2312" w:cs="仿宋_GB2312"/>
          <w:b/>
          <w:bCs/>
          <w:color w:val="auto"/>
          <w:kern w:val="2"/>
          <w:sz w:val="24"/>
          <w:highlight w:val="none"/>
        </w:rPr>
      </w:pPr>
      <w:r>
        <w:rPr>
          <w:rFonts w:hint="eastAsia" w:ascii="仿宋_GB2312" w:hAnsi="仿宋_GB2312" w:eastAsia="仿宋_GB2312" w:cs="仿宋_GB2312"/>
          <w:b w:val="0"/>
          <w:bCs w:val="0"/>
          <w:color w:val="auto"/>
          <w:kern w:val="2"/>
          <w:sz w:val="24"/>
          <w:highlight w:val="none"/>
        </w:rPr>
        <w:t>本次项目监控点位立杆方式主要包括4米立杆及基础施工</w:t>
      </w:r>
      <w:r>
        <w:rPr>
          <w:rFonts w:hint="eastAsia" w:ascii="仿宋_GB2312" w:hAnsi="仿宋_GB2312" w:eastAsia="仿宋_GB2312" w:cs="仿宋_GB2312"/>
          <w:b w:val="0"/>
          <w:bCs w:val="0"/>
          <w:color w:val="auto"/>
          <w:kern w:val="2"/>
          <w:sz w:val="24"/>
          <w:highlight w:val="none"/>
          <w:lang w:val="en-US" w:eastAsia="zh-CN"/>
        </w:rPr>
        <w:t>8</w:t>
      </w:r>
      <w:r>
        <w:rPr>
          <w:rFonts w:hint="eastAsia" w:ascii="仿宋_GB2312" w:hAnsi="仿宋_GB2312" w:eastAsia="仿宋_GB2312" w:cs="仿宋_GB2312"/>
          <w:b w:val="0"/>
          <w:bCs w:val="0"/>
          <w:color w:val="auto"/>
          <w:kern w:val="2"/>
          <w:sz w:val="24"/>
          <w:highlight w:val="none"/>
        </w:rPr>
        <w:t>套、6米立杆及基础施工</w:t>
      </w:r>
      <w:r>
        <w:rPr>
          <w:rFonts w:hint="eastAsia" w:ascii="仿宋_GB2312" w:hAnsi="仿宋_GB2312" w:eastAsia="仿宋_GB2312" w:cs="仿宋_GB2312"/>
          <w:b w:val="0"/>
          <w:bCs w:val="0"/>
          <w:color w:val="auto"/>
          <w:kern w:val="2"/>
          <w:sz w:val="24"/>
          <w:highlight w:val="none"/>
          <w:lang w:val="en-US" w:eastAsia="zh-CN"/>
        </w:rPr>
        <w:t>15</w:t>
      </w:r>
      <w:r>
        <w:rPr>
          <w:rFonts w:hint="eastAsia" w:ascii="仿宋_GB2312" w:hAnsi="仿宋_GB2312" w:eastAsia="仿宋_GB2312" w:cs="仿宋_GB2312"/>
          <w:b w:val="0"/>
          <w:bCs w:val="0"/>
          <w:color w:val="auto"/>
          <w:kern w:val="2"/>
          <w:sz w:val="24"/>
          <w:highlight w:val="none"/>
        </w:rPr>
        <w:t>套、8米立杆及基</w:t>
      </w:r>
      <w:r>
        <w:rPr>
          <w:rFonts w:hint="eastAsia" w:ascii="仿宋_GB2312" w:hAnsi="仿宋_GB2312" w:eastAsia="仿宋_GB2312" w:cs="仿宋_GB2312"/>
          <w:b w:val="0"/>
          <w:bCs w:val="0"/>
          <w:color w:val="auto"/>
          <w:kern w:val="0"/>
          <w:sz w:val="24"/>
          <w:highlight w:val="none"/>
        </w:rPr>
        <w:t>础施</w:t>
      </w:r>
      <w:r>
        <w:rPr>
          <w:rFonts w:hint="eastAsia" w:ascii="仿宋_GB2312" w:hAnsi="仿宋_GB2312" w:eastAsia="仿宋_GB2312" w:cs="仿宋_GB2312"/>
          <w:color w:val="auto"/>
          <w:kern w:val="0"/>
          <w:sz w:val="24"/>
          <w:highlight w:val="none"/>
        </w:rPr>
        <w:t>工</w:t>
      </w:r>
      <w:r>
        <w:rPr>
          <w:rFonts w:hint="eastAsia" w:ascii="仿宋_GB2312" w:hAnsi="仿宋_GB2312" w:eastAsia="仿宋_GB2312" w:cs="仿宋_GB2312"/>
          <w:color w:val="auto"/>
          <w:kern w:val="0"/>
          <w:sz w:val="24"/>
          <w:highlight w:val="none"/>
          <w:lang w:val="en-US" w:eastAsia="zh-CN"/>
        </w:rPr>
        <w:t>46</w:t>
      </w:r>
      <w:r>
        <w:rPr>
          <w:rFonts w:hint="eastAsia" w:ascii="仿宋_GB2312" w:hAnsi="仿宋_GB2312" w:eastAsia="仿宋_GB2312" w:cs="仿宋_GB2312"/>
          <w:color w:val="auto"/>
          <w:kern w:val="0"/>
          <w:sz w:val="24"/>
          <w:highlight w:val="none"/>
        </w:rPr>
        <w:t>套、借杆或借墙支架安装</w:t>
      </w:r>
      <w:r>
        <w:rPr>
          <w:rFonts w:hint="eastAsia" w:ascii="仿宋_GB2312" w:hAnsi="仿宋_GB2312" w:eastAsia="仿宋_GB2312" w:cs="仿宋_GB2312"/>
          <w:color w:val="auto"/>
          <w:kern w:val="0"/>
          <w:sz w:val="24"/>
          <w:highlight w:val="none"/>
          <w:lang w:val="en-US" w:eastAsia="zh-CN"/>
        </w:rPr>
        <w:t>215</w:t>
      </w:r>
      <w:r>
        <w:rPr>
          <w:rFonts w:hint="eastAsia" w:ascii="仿宋_GB2312" w:hAnsi="仿宋_GB2312" w:eastAsia="仿宋_GB2312" w:cs="仿宋_GB2312"/>
          <w:color w:val="auto"/>
          <w:kern w:val="0"/>
          <w:sz w:val="24"/>
          <w:highlight w:val="none"/>
        </w:rPr>
        <w:t>套、楼顶安装</w:t>
      </w:r>
      <w:r>
        <w:rPr>
          <w:rFonts w:hint="eastAsia" w:ascii="仿宋_GB2312" w:hAnsi="仿宋_GB2312" w:eastAsia="仿宋_GB2312" w:cs="仿宋_GB2312"/>
          <w:color w:val="auto"/>
          <w:kern w:val="0"/>
          <w:sz w:val="24"/>
          <w:highlight w:val="none"/>
          <w:lang w:val="en-US" w:eastAsia="zh-CN"/>
        </w:rPr>
        <w:t>28</w:t>
      </w:r>
      <w:r>
        <w:rPr>
          <w:rFonts w:hint="eastAsia" w:ascii="仿宋_GB2312" w:hAnsi="仿宋_GB2312" w:eastAsia="仿宋_GB2312" w:cs="仿宋_GB2312"/>
          <w:color w:val="auto"/>
          <w:kern w:val="0"/>
          <w:sz w:val="24"/>
          <w:highlight w:val="none"/>
        </w:rPr>
        <w:t>套、海岛及高空瞭望点位塔体安装</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套、海岛及高空瞭望点位杆件安装</w:t>
      </w:r>
      <w:r>
        <w:rPr>
          <w:rFonts w:hint="eastAsia" w:ascii="仿宋_GB2312" w:hAnsi="仿宋_GB2312" w:eastAsia="仿宋_GB2312" w:cs="仿宋_GB2312"/>
          <w:color w:val="auto"/>
          <w:kern w:val="0"/>
          <w:sz w:val="24"/>
          <w:highlight w:val="none"/>
          <w:lang w:val="en-US" w:eastAsia="zh-CN"/>
        </w:rPr>
        <w:t>19</w:t>
      </w:r>
      <w:r>
        <w:rPr>
          <w:rFonts w:hint="eastAsia" w:ascii="仿宋_GB2312" w:hAnsi="仿宋_GB2312" w:eastAsia="仿宋_GB2312" w:cs="仿宋_GB2312"/>
          <w:color w:val="auto"/>
          <w:kern w:val="0"/>
          <w:sz w:val="24"/>
          <w:highlight w:val="none"/>
        </w:rPr>
        <w:t>套等不同类型，立杆的具体式样可以具体考虑，但应考虑立杆和周围环境的协调</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b/>
          <w:bCs/>
          <w:color w:val="auto"/>
          <w:kern w:val="0"/>
          <w:sz w:val="24"/>
          <w:highlight w:val="none"/>
        </w:rPr>
        <w:t>（中标人现场勘探编制</w:t>
      </w:r>
      <w:r>
        <w:rPr>
          <w:rFonts w:hint="eastAsia" w:ascii="仿宋_GB2312" w:hAnsi="仿宋_GB2312" w:eastAsia="仿宋_GB2312" w:cs="仿宋_GB2312"/>
          <w:b/>
          <w:bCs/>
          <w:color w:val="auto"/>
          <w:kern w:val="2"/>
          <w:sz w:val="24"/>
          <w:highlight w:val="none"/>
        </w:rPr>
        <w:t>项目方案时应附现场照片及现场安装示意图；点位现场安装时应进行现场拍照取样；安装点位竣工后附竣工点位照片作为最终验收凭据。）</w:t>
      </w:r>
    </w:p>
    <w:p w14:paraId="50A0022C">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color w:val="auto"/>
          <w:sz w:val="24"/>
          <w:highlight w:val="none"/>
        </w:rPr>
        <w:t>（1）4米监控杆立杆与基础</w:t>
      </w:r>
    </w:p>
    <w:p w14:paraId="24DECA4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1.立杆采用圆杆Q235优质钢采用高热镀锌处理，高度4米、横臂1米，立杆下端外接圆直径应在200mm±10mm、上端外接圆对角直径应在140mm±5mm；</w:t>
      </w:r>
    </w:p>
    <w:p w14:paraId="7CD2D90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管壁厚度应4±0.15mm，具体壁厚根据材料的机械强度及设备重量设计，立杆应有较高强度抗台风、防摄像机抖动、防攀爬、防腐，安装好之后整体强度能防御12级以上台风、8级以上地震；立杆应做灌筑基础，基础深度应不小于1200mm，底部直径应不小于800mm；</w:t>
      </w:r>
    </w:p>
    <w:p w14:paraId="6B9DFF8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3.杆底端焊接固定法兰盘，预留拉线孔，地基应是硬质；立杆安装应牢固，不得歪斜，需用水平仪来测定；制作要美观，其顶部应做防水帽；</w:t>
      </w:r>
    </w:p>
    <w:p w14:paraId="7784D97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4.在杆的顶部设有避雷针，能够引导直击雷入地；每一根金属立杆都必须接地，其接地电阻小于10欧；</w:t>
      </w:r>
    </w:p>
    <w:p w14:paraId="57AF328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5.立杆底部用螺栓与基础固定，电源线和光缆从立杆底部进入，在杆的上部设有摄像机安装横杆，可吊装快球摄像机；杆的中下部有网络及电源设备箱，具备良好的防护、散热功能；</w:t>
      </w:r>
    </w:p>
    <w:p w14:paraId="3F93166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6.没有特殊情况所有监控立杆预埋件混凝土为C25砼，所配钢筋符合国标及受风要求。其中水泥为425号普通硅酸盐水泥。混凝土的配比和最小水泥用量应符合GBJ204-83的规定；</w:t>
      </w:r>
    </w:p>
    <w:p w14:paraId="3DB4336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7.杆件保证5年内雨淋、日晒不脱落、不会明显褪色。</w:t>
      </w:r>
    </w:p>
    <w:p w14:paraId="67614DA4">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（2）6米监控杆立杆与基础</w:t>
      </w:r>
    </w:p>
    <w:p w14:paraId="742D33B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1.6立杆采用八角Q235优质钢采用高热镀锌处理，高度6米、横臂1米，立杆下端外接圆直径应在240mm±10mm、上端外接圆对角直径应在180mm±5mm； </w:t>
      </w:r>
    </w:p>
    <w:p w14:paraId="77E9740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管壁厚度应6±0.15mm，具体壁厚根据材料的机械强度及设备重量设计，立杆应有较高强度抗台风、防摄像机抖动、防攀爬、防腐，安装好之后整体强度能防御12级以上台风、8级以上地震；立杆应做灌筑基础，基础深度应不小于1300mm，底部直径应不小于900mm； </w:t>
      </w:r>
    </w:p>
    <w:p w14:paraId="72060EC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3.杆底端焊接固定法兰盘，预留拉线孔，地基应是硬质；立杆安装应牢固，不得歪斜，需用水平仪来测定；制作要美观，其顶部应做防水帽；</w:t>
      </w:r>
    </w:p>
    <w:p w14:paraId="7B89FC3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4.在杆的顶部设有避雷针，能够引导直击雷入地；每一根金属立杆都必须接地，其接地电阻小于10欧；</w:t>
      </w:r>
    </w:p>
    <w:p w14:paraId="11926C1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5.立杆底部用螺栓与基础固定，电源线和光缆从立杆底部进入，在杆的上部设有摄像机安装横杆，可吊装快球摄像机；杆的中下部有网络及电源设备箱，具备良好的防护、散热功能；</w:t>
      </w:r>
    </w:p>
    <w:p w14:paraId="59A51D7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6.没有特殊情况所有监控立杆预埋件混凝土为C25砼，所配钢筋符合国标及受风要求。其中水泥为425号普通硅酸盐水泥。混凝土的配比和最小水泥用量应符合GBJ204-83的规定；</w:t>
      </w:r>
    </w:p>
    <w:p w14:paraId="3C89152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7.杆件保证5年内雨淋、日晒不脱落、不会明显褪色。</w:t>
      </w:r>
    </w:p>
    <w:p w14:paraId="643B9013">
      <w:pPr>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（3）8米监控杆立杆与基础</w:t>
      </w:r>
    </w:p>
    <w:p w14:paraId="5B7B04B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1.8米立杆采用八角Q235优质钢采用高热镀锌处理，高度8米、横臂1米，立杆下端外接圆直径应在280mm±10mm、上端外接圆对角直径应在180mm±5mm，加装爬梯；</w:t>
      </w:r>
    </w:p>
    <w:p w14:paraId="587D917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管壁厚度应6±0.15mm，具体壁厚根据材料的机械强度及设备重量设计，立杆应有较高强度抗台风、防摄像机抖动、防腐，安装好之后整体强度能防御12级以上台风、8级以上地震；立杆基础深度应不小于1500mm，底部直径应不小于1000mm；</w:t>
      </w:r>
    </w:p>
    <w:p w14:paraId="4D0FC58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3.杆底端焊接固定法兰盘，预留拉线孔，地基应是硬质；立杆安装应牢固，不得歪斜，需用水平仪来测定；制作要美观，其顶部应做防水帽；</w:t>
      </w:r>
    </w:p>
    <w:p w14:paraId="323325C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4.在杆的顶部设有避雷针，能够引导直击雷入地；每一根金属立杆都必须接地，其接地电阻小于10欧；</w:t>
      </w:r>
    </w:p>
    <w:p w14:paraId="29DE733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5.立杆底部用螺栓与基础固定，电源线和光缆从立杆底部进入，在杆的上部设有摄像机安装横杆，可吊装快球摄像机；杆的中下部有网络及电源设备箱，具备良好的防护、散热功能；</w:t>
      </w:r>
    </w:p>
    <w:p w14:paraId="66C89FB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6.没有特殊情况所有监控立杆预埋件混凝土为C25砼，所配钢筋符合国标及受风要求。其中水泥为425号普通硅酸盐水泥。混凝土的配比和最小水泥用量应符合GBJ204-83的规定；</w:t>
      </w:r>
    </w:p>
    <w:p w14:paraId="4BB9D07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7.杆件保证5年内雨淋、日晒不脱落、不会明显褪色。</w:t>
      </w:r>
    </w:p>
    <w:p w14:paraId="6E585B1F">
      <w:pPr>
        <w:spacing w:line="360" w:lineRule="auto"/>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（4）借杆、借墙支架安装</w:t>
      </w:r>
    </w:p>
    <w:p w14:paraId="67D3EA6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借杆、借墙点位支架采用无缝钢管及8#槽钢，支架所有材料均需进行表面热镀锌，并经喷塑处理，各焊接点应进行打磨、防锈等处理，所有望线孔、出线孔均需用盖板盖住，待用时再开启。</w:t>
      </w:r>
    </w:p>
    <w:p w14:paraId="1004A701">
      <w:pPr>
        <w:spacing w:line="360" w:lineRule="auto"/>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（5）楼顶支架安装</w:t>
      </w:r>
    </w:p>
    <w:p w14:paraId="44906FE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楼顶支架采用无缝钢管，钢管厚度不少于3mm，支架所有材料均需进行表面热镀锌，并经喷塑处理，各焊接点应进行打磨、防锈等处理。支架底板采用300×600mm长方形钢材，厚度为8mm，确保底部的稳定性和与墙体的附着力。</w:t>
      </w:r>
    </w:p>
    <w:p w14:paraId="55C4DCA9">
      <w:pPr>
        <w:spacing w:line="360" w:lineRule="auto"/>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（6）海岛及高空瞭望点位塔体与基础</w:t>
      </w:r>
    </w:p>
    <w:p w14:paraId="124C7F1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全塔采用角钢结构，铁塔高度为4米，顶部设置一个监控云台，塔顶下翻1米设计一个平台，平台设置一根避雷针。塔体为角钢，避雷针为钢管，角钢为Q235B钢，钢管为20号钢，支架要求抗风14级以上，其质量应分别符合GB700-2006和GB699-2015的规定，焊条采用T43型，质量标准应符合GB/T 5117-2012《非合金钢及细晶粒钢焊条》规定。</w:t>
      </w:r>
    </w:p>
    <w:p w14:paraId="2FBD824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铁塔基础须做灌筑基础，基础采用商品砼C25（搅拌混凝土）灌筑，深度大于0.8m，底部正方形边长应不小于1.6m，铁塔基础四个角位置预埋M24地脚螺栓，钢材采用Q235B钢，螺纹涂黄油并用麻布包扎。施工应严格按照《地基与基础工程施工及验收规范》及 《混凝土结构施工及验收规范》进行。</w:t>
      </w:r>
    </w:p>
    <w:p w14:paraId="32AE7E55">
      <w:pPr>
        <w:spacing w:line="360" w:lineRule="auto"/>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（7）海岛及高空瞭望点位杆件及基础</w:t>
      </w:r>
    </w:p>
    <w:p w14:paraId="1F3284C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1.根据部位与要求选择摄像机安装方式。立杆海岛及高空瞭望点位杆件采用八角Q235优质钢采用高热镀锌处理，高度6米立杆下端外接圆直径应在280mm±10mm、上端外接圆对角直径应在220mm±5mm</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加装爬梯；</w:t>
      </w:r>
    </w:p>
    <w:p w14:paraId="00C08CE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管壁厚度应6±0.15mm，具体壁厚根据材料的机械强度及设备重量设计，立杆应有较高强度抗台风、防摄像机抖动、防攀爬、防腐，安装好之后整体强度能防御14级以上台风、8级以上地震；立杆应做灌筑基础，基础深度应不小于1500mm，底部直径应不小于1300mm；</w:t>
      </w:r>
    </w:p>
    <w:p w14:paraId="0C137D8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3.杆底端焊接固定法兰盘，预留拉线孔，地基应是硬质；立杆安装应牢固，不得歪斜，需用水平仪来测定；制作要美观，其顶部应做防水帽；</w:t>
      </w:r>
    </w:p>
    <w:p w14:paraId="16A2533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4.在杆的顶部设有避雷针，能够引导直击雷入地；每一根金属立杆都必须接地，其接地电阻小于10欧；</w:t>
      </w:r>
    </w:p>
    <w:p w14:paraId="428F74E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5.立杆底部用螺栓与基础固定，电源线和光缆从立杆底部进入，在杆的上部设有摄像机安装横杆，可吊装快球摄像机；杆的中下部有网络及电源设备箱，具备良好的防护、散热功能；</w:t>
      </w:r>
    </w:p>
    <w:p w14:paraId="2C549F9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6.没有特殊情况所有监控立杆预埋件混凝土为C25砼，所配钢筋符合国标及受风要求。其中水泥为425号普通硅酸盐水泥。混凝土的配比和最小水泥用量应符合GBJ204-83的规定；</w:t>
      </w:r>
    </w:p>
    <w:p w14:paraId="470735A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7.杆件保证5年内雨淋、日晒不脱落、不会明显褪色。</w:t>
      </w:r>
    </w:p>
    <w:p w14:paraId="4029B0B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1.4.2室外机箱</w:t>
      </w:r>
    </w:p>
    <w:p w14:paraId="3CEA58D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室外机箱采用优质冷轧钢板材料，大小不低于0.4×0.5×0.3M，厚度1.0-1.2mm，离地3M左右使用抱箍方式安装在立杆上。根据各监控点位摄像机和其他接入设备要求，箱体内部应安装自动重合闸、接线排等设备，并预留网络传输设备放置空间。箱内所有线缆应整齐编扎、明确标识，全部固定捆扎在安装板后面，且留有一定的余量。电源线和信号线、控制线分开，走向顺直，无扭绞。用于箱体的金属材料应具备抵抗腐蚀、电化学反应、防酸雨能力，箱体结构为露天环境使用设计，应具有良好的防水、防尘、散热、防盗、防寒、防暴晒结构。机箱需印有所属建设单位字样。</w:t>
      </w:r>
    </w:p>
    <w:p w14:paraId="27A3D0A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1.4.3防雷接地</w:t>
      </w:r>
    </w:p>
    <w:p w14:paraId="3B5F993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保护摄像机不受到直接雷击而在立杆上设计安装避雷针，避雷针采用不小于φ25mm的圆钢，并和立杆一次成型。在设备箱内需对电源、信号线安装二合一防雷模块的防感应雷。需要严格执行国家的有关标准和规范，立杆防雷接地电阻≦10Ω。接地网布置依据地形进行设计。立杆的基础由钢筋网加混凝土构成，首先用四根Ф50毫米的钢管或50×50×5mm的角钢作为接地极，同时用镀锌扁钢把四根接地极焊接形成接地网的一部分，再把接地网与法兰盘进行焊接，钢管或角钢需经过热镀锌工艺处理，以增加抗腐性能和提高其导电性能。当土壤电阻率太高而不能满足要求时，采用垂直接地极＋减阻剂的方法使地网接地电阻符合要求。</w:t>
      </w:r>
    </w:p>
    <w:p w14:paraId="1E80231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云台铁塔的防雷接地应于云台铁塔基础一起施工，接地网埋在室外地平面以下且深度不小于500mm。上端与铁塔地脚板焊接相连，下端与水平接地带焊接相连，焊缝长度不小于80mm，焊缝高度4mm。避雷引下线沿塔柱或爬梯两侧引下，与1个塔脚和防雷网焊接连通。接地电阻不得大于10欧姆，如砂石土质不能满足要求时，应增加接地极数量或加降阻抗。</w:t>
      </w:r>
    </w:p>
    <w:p w14:paraId="3661A6E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1.4.4前端设备供电</w:t>
      </w:r>
    </w:p>
    <w:p w14:paraId="01FBDEC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由于项目前端摄像机点位数量多、分布广，且全部在沿海岸线及岛屿，不可能采用统一的集中供电方式。根据现场勘察的实际情况，确定前端监控点的供电方式，岸线及有人居住岛屿采用就近取电，由就近城、乡、村等公共配电箱引电或铁塔基站就近引电，通过架空、直埋等方式将电引导至立杆上，给设备供电。无人岛屿点位则采用风光互补供电。前端设备采用单相交流供电方式，标称值为AC220V、50Hz。</w:t>
      </w:r>
    </w:p>
    <w:p w14:paraId="535B985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（1）风光互补供电</w:t>
      </w:r>
    </w:p>
    <w:p w14:paraId="0FB60E9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本次项目的岛屿点位将采用风光互补供电的方式，系统主要包括风力发电、光电板、光电互补控制器、蓄电池组和逆变器等。本次项目将在</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个岛屿监控点位部署</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套风光互补系统。</w:t>
      </w:r>
    </w:p>
    <w:p w14:paraId="363C513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1.4.5网络传输</w:t>
      </w:r>
    </w:p>
    <w:p w14:paraId="6BBFE15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本次项目前端监控点位链路将根据点位现场情况，采取不同方式进行网络传输。针对一般岸线监控点位链路采用裸光纤接入，针对无人岛屿或光纤链路无法到达的监控点位则采用无线网桥的方式进行网络传输。</w:t>
      </w:r>
      <w:r>
        <w:rPr>
          <w:rFonts w:hint="eastAsia" w:ascii="仿宋_GB2312" w:hAnsi="仿宋_GB2312" w:eastAsia="仿宋_GB2312" w:cs="仿宋_GB2312"/>
          <w:color w:val="auto"/>
          <w:kern w:val="0"/>
          <w:sz w:val="24"/>
          <w:highlight w:val="none"/>
        </w:rPr>
        <w:t>本次项目采用光纤传输共计点位链路</w:t>
      </w:r>
      <w:r>
        <w:rPr>
          <w:rFonts w:hint="eastAsia" w:ascii="仿宋_GB2312" w:hAnsi="仿宋_GB2312" w:eastAsia="仿宋_GB2312" w:cs="仿宋_GB2312"/>
          <w:color w:val="auto"/>
          <w:kern w:val="0"/>
          <w:sz w:val="24"/>
          <w:highlight w:val="none"/>
          <w:lang w:val="en-US" w:eastAsia="zh-CN"/>
        </w:rPr>
        <w:t>335</w:t>
      </w:r>
      <w:r>
        <w:rPr>
          <w:rFonts w:hint="eastAsia" w:ascii="仿宋_GB2312" w:hAnsi="仿宋_GB2312" w:eastAsia="仿宋_GB2312" w:cs="仿宋_GB2312"/>
          <w:color w:val="auto"/>
          <w:kern w:val="0"/>
          <w:sz w:val="24"/>
          <w:highlight w:val="none"/>
        </w:rPr>
        <w:t>条，其中海岸补盲点位链路</w:t>
      </w:r>
      <w:r>
        <w:rPr>
          <w:rFonts w:hint="eastAsia" w:ascii="仿宋_GB2312" w:hAnsi="仿宋_GB2312" w:eastAsia="仿宋_GB2312" w:cs="仿宋_GB2312"/>
          <w:color w:val="auto"/>
          <w:kern w:val="0"/>
          <w:sz w:val="24"/>
          <w:highlight w:val="none"/>
          <w:lang w:val="en-US" w:eastAsia="zh-CN"/>
        </w:rPr>
        <w:t>185</w:t>
      </w:r>
      <w:r>
        <w:rPr>
          <w:rFonts w:hint="eastAsia" w:ascii="仿宋_GB2312" w:hAnsi="仿宋_GB2312" w:eastAsia="仿宋_GB2312" w:cs="仿宋_GB2312"/>
          <w:color w:val="auto"/>
          <w:kern w:val="0"/>
          <w:sz w:val="24"/>
          <w:highlight w:val="none"/>
        </w:rPr>
        <w:t>条，海岛和高空点位链路</w:t>
      </w:r>
      <w:r>
        <w:rPr>
          <w:rFonts w:hint="eastAsia" w:ascii="仿宋_GB2312" w:hAnsi="仿宋_GB2312" w:eastAsia="仿宋_GB2312" w:cs="仿宋_GB2312"/>
          <w:color w:val="auto"/>
          <w:kern w:val="0"/>
          <w:sz w:val="24"/>
          <w:highlight w:val="none"/>
          <w:lang w:val="en-US" w:eastAsia="zh-CN"/>
        </w:rPr>
        <w:t>28</w:t>
      </w:r>
      <w:r>
        <w:rPr>
          <w:rFonts w:hint="eastAsia" w:ascii="仿宋_GB2312" w:hAnsi="仿宋_GB2312" w:eastAsia="仿宋_GB2312" w:cs="仿宋_GB2312"/>
          <w:color w:val="auto"/>
          <w:kern w:val="0"/>
          <w:sz w:val="24"/>
          <w:highlight w:val="none"/>
        </w:rPr>
        <w:t>条，改造点位链路</w:t>
      </w:r>
      <w:r>
        <w:rPr>
          <w:rFonts w:hint="eastAsia" w:ascii="仿宋_GB2312" w:hAnsi="仿宋_GB2312" w:eastAsia="仿宋_GB2312" w:cs="仿宋_GB2312"/>
          <w:color w:val="auto"/>
          <w:kern w:val="0"/>
          <w:sz w:val="24"/>
          <w:highlight w:val="none"/>
          <w:lang w:val="en-US" w:eastAsia="zh-CN"/>
        </w:rPr>
        <w:t>127</w:t>
      </w:r>
      <w:r>
        <w:rPr>
          <w:rFonts w:hint="eastAsia" w:ascii="仿宋_GB2312" w:hAnsi="仿宋_GB2312" w:eastAsia="仿宋_GB2312" w:cs="仿宋_GB2312"/>
          <w:color w:val="auto"/>
          <w:kern w:val="0"/>
          <w:sz w:val="24"/>
          <w:highlight w:val="none"/>
        </w:rPr>
        <w:t>条；另外9个岛屿点位需通过无线网桥进行数据传输。</w:t>
      </w:r>
    </w:p>
    <w:p w14:paraId="20356ED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1.4.6 AIS基站</w:t>
      </w:r>
    </w:p>
    <w:p w14:paraId="4B77A5C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为进一步强化对全市范围船舶AIS的动态监管，本次项目计划在龙港市、瑞安市、龙湾区、乐清市、洞头区等海域新增部署</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rPr>
        <w:t>套AIS接收机及天线，确保对全市海域</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除苍南县</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的港口、岙口、航道等进行AIS基本覆盖。AIS接收器及天线将基于视频监控点位的杆件、箱体和链路等进行部署。</w:t>
      </w:r>
    </w:p>
    <w:p w14:paraId="4214CAB4">
      <w:pPr>
        <w:spacing w:line="360" w:lineRule="auto"/>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各县（市、区）AIS基站点位清单</w:t>
      </w:r>
    </w:p>
    <w:tbl>
      <w:tblPr>
        <w:tblStyle w:val="65"/>
        <w:tblW w:w="7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06"/>
        <w:gridCol w:w="2137"/>
        <w:gridCol w:w="1600"/>
        <w:gridCol w:w="1828"/>
      </w:tblGrid>
      <w:tr w14:paraId="166D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1" w:type="dxa"/>
            <w:noWrap w:val="0"/>
            <w:vAlign w:val="center"/>
          </w:tcPr>
          <w:p w14:paraId="29814350">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1106" w:type="dxa"/>
            <w:noWrap w:val="0"/>
            <w:vAlign w:val="center"/>
          </w:tcPr>
          <w:p w14:paraId="6BE0586B">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属地</w:t>
            </w:r>
          </w:p>
        </w:tc>
        <w:tc>
          <w:tcPr>
            <w:tcW w:w="2137" w:type="dxa"/>
            <w:noWrap w:val="0"/>
            <w:vAlign w:val="center"/>
          </w:tcPr>
          <w:p w14:paraId="7B357EC1">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点位位置</w:t>
            </w:r>
          </w:p>
        </w:tc>
        <w:tc>
          <w:tcPr>
            <w:tcW w:w="1600" w:type="dxa"/>
            <w:noWrap w:val="0"/>
            <w:vAlign w:val="center"/>
          </w:tcPr>
          <w:p w14:paraId="5B76950F">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数量（套）</w:t>
            </w:r>
          </w:p>
        </w:tc>
        <w:tc>
          <w:tcPr>
            <w:tcW w:w="1828" w:type="dxa"/>
            <w:noWrap w:val="0"/>
            <w:vAlign w:val="center"/>
          </w:tcPr>
          <w:p w14:paraId="09511142">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覆盖范围</w:t>
            </w:r>
          </w:p>
        </w:tc>
      </w:tr>
      <w:tr w14:paraId="4479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6B17F949">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1</w:t>
            </w:r>
          </w:p>
        </w:tc>
        <w:tc>
          <w:tcPr>
            <w:tcW w:w="1106" w:type="dxa"/>
            <w:noWrap w:val="0"/>
            <w:vAlign w:val="center"/>
          </w:tcPr>
          <w:p w14:paraId="0000BB9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龙港市</w:t>
            </w:r>
          </w:p>
        </w:tc>
        <w:tc>
          <w:tcPr>
            <w:tcW w:w="2137" w:type="dxa"/>
            <w:noWrap w:val="0"/>
            <w:vAlign w:val="center"/>
          </w:tcPr>
          <w:p w14:paraId="5D4DA05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鳌江-巴曹港一带</w:t>
            </w:r>
          </w:p>
        </w:tc>
        <w:tc>
          <w:tcPr>
            <w:tcW w:w="1600" w:type="dxa"/>
            <w:noWrap w:val="0"/>
            <w:vAlign w:val="center"/>
          </w:tcPr>
          <w:p w14:paraId="5FC15F3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3D18C4D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r w14:paraId="77CA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0DE43493">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2</w:t>
            </w:r>
          </w:p>
        </w:tc>
        <w:tc>
          <w:tcPr>
            <w:tcW w:w="1106" w:type="dxa"/>
            <w:noWrap w:val="0"/>
            <w:vAlign w:val="center"/>
          </w:tcPr>
          <w:p w14:paraId="5803DA5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瑞安市</w:t>
            </w:r>
          </w:p>
        </w:tc>
        <w:tc>
          <w:tcPr>
            <w:tcW w:w="2137" w:type="dxa"/>
            <w:noWrap w:val="0"/>
            <w:vAlign w:val="center"/>
          </w:tcPr>
          <w:p w14:paraId="683FA85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瑞安飞云江一带</w:t>
            </w:r>
          </w:p>
        </w:tc>
        <w:tc>
          <w:tcPr>
            <w:tcW w:w="1600" w:type="dxa"/>
            <w:noWrap w:val="0"/>
            <w:vAlign w:val="center"/>
          </w:tcPr>
          <w:p w14:paraId="346AD28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57273BB9">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r w14:paraId="1DE6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68678B8A">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3</w:t>
            </w:r>
          </w:p>
        </w:tc>
        <w:tc>
          <w:tcPr>
            <w:tcW w:w="1106" w:type="dxa"/>
            <w:noWrap w:val="0"/>
            <w:vAlign w:val="center"/>
          </w:tcPr>
          <w:p w14:paraId="24502BE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瑞安市</w:t>
            </w:r>
          </w:p>
        </w:tc>
        <w:tc>
          <w:tcPr>
            <w:tcW w:w="2137" w:type="dxa"/>
            <w:noWrap w:val="0"/>
            <w:vAlign w:val="center"/>
          </w:tcPr>
          <w:p w14:paraId="130BBA9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北麂岛</w:t>
            </w:r>
          </w:p>
        </w:tc>
        <w:tc>
          <w:tcPr>
            <w:tcW w:w="1600" w:type="dxa"/>
            <w:noWrap w:val="0"/>
            <w:vAlign w:val="center"/>
          </w:tcPr>
          <w:p w14:paraId="4E53BC2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4CF9D34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r w14:paraId="45E1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637BC841">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4</w:t>
            </w:r>
          </w:p>
        </w:tc>
        <w:tc>
          <w:tcPr>
            <w:tcW w:w="1106" w:type="dxa"/>
            <w:noWrap w:val="0"/>
            <w:vAlign w:val="center"/>
          </w:tcPr>
          <w:p w14:paraId="6715FA8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龙湾区</w:t>
            </w:r>
          </w:p>
        </w:tc>
        <w:tc>
          <w:tcPr>
            <w:tcW w:w="2137" w:type="dxa"/>
            <w:noWrap w:val="0"/>
            <w:vAlign w:val="center"/>
          </w:tcPr>
          <w:p w14:paraId="05C65D1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瓯江下游沿线</w:t>
            </w:r>
          </w:p>
        </w:tc>
        <w:tc>
          <w:tcPr>
            <w:tcW w:w="1600" w:type="dxa"/>
            <w:noWrap w:val="0"/>
            <w:vAlign w:val="center"/>
          </w:tcPr>
          <w:p w14:paraId="00CCE62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64132CA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r w14:paraId="19D1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4B95A00B">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5</w:t>
            </w:r>
          </w:p>
        </w:tc>
        <w:tc>
          <w:tcPr>
            <w:tcW w:w="1106" w:type="dxa"/>
            <w:noWrap w:val="0"/>
            <w:vAlign w:val="center"/>
          </w:tcPr>
          <w:p w14:paraId="72F4EE2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乐清市</w:t>
            </w:r>
          </w:p>
        </w:tc>
        <w:tc>
          <w:tcPr>
            <w:tcW w:w="2137" w:type="dxa"/>
            <w:noWrap w:val="0"/>
            <w:vAlign w:val="center"/>
          </w:tcPr>
          <w:p w14:paraId="340C1D4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乐清湾一带</w:t>
            </w:r>
          </w:p>
        </w:tc>
        <w:tc>
          <w:tcPr>
            <w:tcW w:w="1600" w:type="dxa"/>
            <w:noWrap w:val="0"/>
            <w:vAlign w:val="center"/>
          </w:tcPr>
          <w:p w14:paraId="778E77D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14B9410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r w14:paraId="453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323E43B6">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6</w:t>
            </w:r>
          </w:p>
        </w:tc>
        <w:tc>
          <w:tcPr>
            <w:tcW w:w="1106" w:type="dxa"/>
            <w:noWrap w:val="0"/>
            <w:vAlign w:val="center"/>
          </w:tcPr>
          <w:p w14:paraId="6544C96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洞头区</w:t>
            </w:r>
          </w:p>
        </w:tc>
        <w:tc>
          <w:tcPr>
            <w:tcW w:w="2137" w:type="dxa"/>
            <w:noWrap w:val="0"/>
            <w:vAlign w:val="center"/>
          </w:tcPr>
          <w:p w14:paraId="0D9A1C0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霓屿山顶</w:t>
            </w:r>
          </w:p>
        </w:tc>
        <w:tc>
          <w:tcPr>
            <w:tcW w:w="1600" w:type="dxa"/>
            <w:noWrap w:val="0"/>
            <w:vAlign w:val="center"/>
          </w:tcPr>
          <w:p w14:paraId="13031B3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68CD6D0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r w14:paraId="1398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1" w:type="dxa"/>
            <w:noWrap w:val="0"/>
            <w:vAlign w:val="center"/>
          </w:tcPr>
          <w:p w14:paraId="77F286BB">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7</w:t>
            </w:r>
          </w:p>
        </w:tc>
        <w:tc>
          <w:tcPr>
            <w:tcW w:w="1106" w:type="dxa"/>
            <w:noWrap w:val="0"/>
            <w:vAlign w:val="center"/>
          </w:tcPr>
          <w:p w14:paraId="10FDB2F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洞头区</w:t>
            </w:r>
          </w:p>
        </w:tc>
        <w:tc>
          <w:tcPr>
            <w:tcW w:w="2137" w:type="dxa"/>
            <w:noWrap w:val="0"/>
            <w:vAlign w:val="center"/>
          </w:tcPr>
          <w:p w14:paraId="181AD06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大小门岛</w:t>
            </w:r>
          </w:p>
        </w:tc>
        <w:tc>
          <w:tcPr>
            <w:tcW w:w="1600" w:type="dxa"/>
            <w:noWrap w:val="0"/>
            <w:vAlign w:val="center"/>
          </w:tcPr>
          <w:p w14:paraId="2A501C9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28" w:type="dxa"/>
            <w:noWrap w:val="0"/>
            <w:vAlign w:val="center"/>
          </w:tcPr>
          <w:p w14:paraId="6AE1E7C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10海里</w:t>
            </w:r>
          </w:p>
        </w:tc>
      </w:tr>
    </w:tbl>
    <w:p w14:paraId="051AD14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2.网络系统建设</w:t>
      </w:r>
    </w:p>
    <w:p w14:paraId="1A2C32E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前端监控点位通过裸光纤或无线网桥等方式接入到VPN专网，并通过VPN专线汇聚到</w:t>
      </w:r>
      <w:r>
        <w:rPr>
          <w:rFonts w:hint="eastAsia" w:ascii="仿宋_GB2312" w:hAnsi="仿宋_GB2312" w:eastAsia="仿宋_GB2312" w:cs="仿宋_GB2312"/>
          <w:color w:val="auto"/>
          <w:kern w:val="0"/>
          <w:sz w:val="24"/>
          <w:highlight w:val="none"/>
          <w:lang w:val="en-US" w:eastAsia="zh-CN"/>
        </w:rPr>
        <w:t>运营商IDC机房视频服务器</w:t>
      </w:r>
      <w:r>
        <w:rPr>
          <w:rFonts w:hint="eastAsia" w:ascii="仿宋_GB2312" w:hAnsi="仿宋_GB2312" w:eastAsia="仿宋_GB2312" w:cs="仿宋_GB2312"/>
          <w:color w:val="auto"/>
          <w:kern w:val="0"/>
          <w:sz w:val="24"/>
          <w:highlight w:val="none"/>
        </w:rPr>
        <w:t>，实现全市沿海视频监控系统一张网，并按照国家等保二级要求在网络边界部署防火墙、日志审计、终端安全及防病毒系统等安全设备，实现视频专网的网络安全防护；同时按需配备中心存储终端，实现全市沿海监控点位视频数据的集中存储和统一管理，并购买三</w:t>
      </w:r>
      <w:r>
        <w:rPr>
          <w:rFonts w:hint="eastAsia" w:ascii="仿宋_GB2312" w:hAnsi="仿宋_GB2312" w:eastAsia="仿宋_GB2312" w:cs="仿宋_GB2312"/>
          <w:color w:val="auto"/>
          <w:kern w:val="0"/>
          <w:sz w:val="24"/>
          <w:highlight w:val="none"/>
          <w:lang w:val="en-US" w:eastAsia="zh-CN"/>
        </w:rPr>
        <w:t>台</w:t>
      </w:r>
      <w:r>
        <w:rPr>
          <w:rFonts w:hint="eastAsia" w:ascii="仿宋_GB2312" w:hAnsi="仿宋_GB2312" w:eastAsia="仿宋_GB2312" w:cs="仿宋_GB2312"/>
          <w:color w:val="auto"/>
          <w:kern w:val="0"/>
          <w:sz w:val="24"/>
          <w:highlight w:val="none"/>
        </w:rPr>
        <w:t>AI算力</w:t>
      </w:r>
      <w:r>
        <w:rPr>
          <w:rFonts w:hint="eastAsia" w:ascii="仿宋_GB2312" w:hAnsi="仿宋_GB2312" w:eastAsia="仿宋_GB2312" w:cs="仿宋_GB2312"/>
          <w:color w:val="auto"/>
          <w:kern w:val="0"/>
          <w:sz w:val="24"/>
          <w:highlight w:val="none"/>
          <w:lang w:val="en-US" w:eastAsia="zh-CN"/>
        </w:rPr>
        <w:t>服务器</w:t>
      </w:r>
      <w:r>
        <w:rPr>
          <w:rFonts w:hint="eastAsia" w:ascii="仿宋_GB2312" w:hAnsi="仿宋_GB2312" w:eastAsia="仿宋_GB2312" w:cs="仿宋_GB2312"/>
          <w:color w:val="auto"/>
          <w:kern w:val="0"/>
          <w:sz w:val="24"/>
          <w:highlight w:val="none"/>
        </w:rPr>
        <w:t>，为本次项目的AI算法部署需求提供高性能计算资源。另外通过专线将所有点位视频推送至全市公共视频监控一体化系统，实现视频数据的共享。</w:t>
      </w:r>
    </w:p>
    <w:p w14:paraId="0FCA2B4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（1）前端点位通过VPN专线或无线网桥、5G等形式接入到视频专网（VPN专网），同时通过VPN专线汇聚到</w:t>
      </w:r>
      <w:r>
        <w:rPr>
          <w:rFonts w:hint="eastAsia" w:ascii="仿宋_GB2312" w:hAnsi="仿宋_GB2312" w:eastAsia="仿宋_GB2312" w:cs="仿宋_GB2312"/>
          <w:color w:val="auto"/>
          <w:kern w:val="0"/>
          <w:sz w:val="24"/>
          <w:highlight w:val="none"/>
          <w:lang w:val="en-US" w:eastAsia="zh-CN"/>
        </w:rPr>
        <w:t>运营商IDC机房视频服务器</w:t>
      </w:r>
      <w:r>
        <w:rPr>
          <w:rFonts w:hint="eastAsia" w:ascii="仿宋_GB2312" w:hAnsi="仿宋_GB2312" w:eastAsia="仿宋_GB2312" w:cs="仿宋_GB2312"/>
          <w:color w:val="auto"/>
          <w:kern w:val="0"/>
          <w:sz w:val="24"/>
          <w:highlight w:val="none"/>
        </w:rPr>
        <w:t>；</w:t>
      </w:r>
    </w:p>
    <w:p w14:paraId="257ED64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（2）算力算法中心通过专线从</w:t>
      </w:r>
      <w:r>
        <w:rPr>
          <w:rFonts w:hint="eastAsia" w:ascii="仿宋_GB2312" w:hAnsi="仿宋_GB2312" w:eastAsia="仿宋_GB2312" w:cs="仿宋_GB2312"/>
          <w:color w:val="auto"/>
          <w:kern w:val="0"/>
          <w:sz w:val="24"/>
          <w:highlight w:val="none"/>
          <w:lang w:val="en-US" w:eastAsia="zh-CN"/>
        </w:rPr>
        <w:t>运营商IDC机房视频服务器</w:t>
      </w:r>
      <w:r>
        <w:rPr>
          <w:rFonts w:hint="eastAsia" w:ascii="仿宋_GB2312" w:hAnsi="仿宋_GB2312" w:eastAsia="仿宋_GB2312" w:cs="仿宋_GB2312"/>
          <w:color w:val="auto"/>
          <w:kern w:val="0"/>
          <w:sz w:val="24"/>
          <w:highlight w:val="none"/>
        </w:rPr>
        <w:t>实时获取视频数据进行分析，同时将AI分析结果通过专线推送到温州市政务云（信创云）的“海上斑马线”应用；</w:t>
      </w:r>
    </w:p>
    <w:p w14:paraId="32BA57D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（3）市级、县级、乡镇级的各级用户和移动端用户则通过互联网访问“海上斑马线”应用；</w:t>
      </w:r>
    </w:p>
    <w:p w14:paraId="322DD71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（4）另外从</w:t>
      </w:r>
      <w:r>
        <w:rPr>
          <w:rFonts w:hint="eastAsia" w:ascii="仿宋_GB2312" w:hAnsi="仿宋_GB2312" w:eastAsia="仿宋_GB2312" w:cs="仿宋_GB2312"/>
          <w:color w:val="auto"/>
          <w:kern w:val="0"/>
          <w:sz w:val="24"/>
          <w:highlight w:val="none"/>
          <w:lang w:val="en-US" w:eastAsia="zh-CN"/>
        </w:rPr>
        <w:t>运营商IDC机房视频服务器</w:t>
      </w:r>
      <w:r>
        <w:rPr>
          <w:rFonts w:hint="eastAsia" w:ascii="仿宋_GB2312" w:hAnsi="仿宋_GB2312" w:eastAsia="仿宋_GB2312" w:cs="仿宋_GB2312"/>
          <w:color w:val="auto"/>
          <w:kern w:val="0"/>
          <w:sz w:val="24"/>
          <w:highlight w:val="none"/>
        </w:rPr>
        <w:t>拉一条专线到全市公共视频监控一体化系统，将所有监控点位数据推送至全市公共视频监控一体化系统，同时市级和县级的农业农村局用户通过政务外网，实现对辖区内视频监控画面进行实时查看。</w:t>
      </w:r>
    </w:p>
    <w:p w14:paraId="6C0AB77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2.1网络系统建设</w:t>
      </w:r>
    </w:p>
    <w:p w14:paraId="12D467D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本次项目网络系统建设主要包括视频专网建设、区县政务外网扩容和市级平台专线。</w:t>
      </w:r>
    </w:p>
    <w:p w14:paraId="614A8DB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2.1.1视频专网建设</w:t>
      </w:r>
    </w:p>
    <w:p w14:paraId="40BA3C0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前端沿岸监控点位通过50M VPN专线链路接入到VPN专网，岛屿点位通过无线网桥或5G接入到VPN专网，并通过新增2条3000M VPN专线汇聚到</w:t>
      </w:r>
      <w:r>
        <w:rPr>
          <w:rFonts w:hint="eastAsia" w:ascii="仿宋_GB2312" w:hAnsi="仿宋_GB2312" w:eastAsia="仿宋_GB2312" w:cs="仿宋_GB2312"/>
          <w:color w:val="auto"/>
          <w:kern w:val="0"/>
          <w:sz w:val="24"/>
          <w:highlight w:val="none"/>
          <w:lang w:val="en-US" w:eastAsia="zh-CN"/>
        </w:rPr>
        <w:t>运营商IDC机房</w:t>
      </w:r>
      <w:r>
        <w:rPr>
          <w:rFonts w:hint="eastAsia" w:ascii="仿宋_GB2312" w:hAnsi="仿宋_GB2312" w:eastAsia="仿宋_GB2312" w:cs="仿宋_GB2312"/>
          <w:color w:val="auto"/>
          <w:kern w:val="0"/>
          <w:sz w:val="24"/>
          <w:highlight w:val="none"/>
        </w:rPr>
        <w:t>。同时在</w:t>
      </w:r>
      <w:r>
        <w:rPr>
          <w:rFonts w:hint="eastAsia" w:ascii="仿宋_GB2312" w:hAnsi="仿宋_GB2312" w:eastAsia="仿宋_GB2312" w:cs="仿宋_GB2312"/>
          <w:color w:val="auto"/>
          <w:kern w:val="0"/>
          <w:sz w:val="24"/>
          <w:highlight w:val="none"/>
          <w:lang w:val="en-US" w:eastAsia="zh-CN"/>
        </w:rPr>
        <w:t>运营商IDC机房</w:t>
      </w:r>
      <w:r>
        <w:rPr>
          <w:rFonts w:hint="eastAsia" w:ascii="仿宋_GB2312" w:hAnsi="仿宋_GB2312" w:eastAsia="仿宋_GB2312" w:cs="仿宋_GB2312"/>
          <w:color w:val="auto"/>
          <w:kern w:val="0"/>
          <w:sz w:val="24"/>
          <w:highlight w:val="none"/>
        </w:rPr>
        <w:t>部署2台性能较好的48口万兆交换机，做负载均衡，用于存储设备、安全设备、前端点位等组网交换。交换机参数：交换容量≥2.56Tbps，包转发率≥1080Mpps，48个1/10G SFP Plus端口+2个QSFP端口，双电源（冗余），含模块。</w:t>
      </w:r>
    </w:p>
    <w:p w14:paraId="7C6CAA5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2.1.2区县政务外网扩容</w:t>
      </w:r>
    </w:p>
    <w:p w14:paraId="6B56D0E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满足各区县农业农村局通过市公共视频监控一体化系统实时查看本辖区监控点位的需求，同时也考虑到视频流量对网络带宽的需求较大，为此本次项目将对洞头、乐清、龙湾、瑞安、平阳、龙港等县（市、区）的农业农村局到政务外网现有的VPN专线网络带宽由100M升级到</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00M。</w:t>
      </w:r>
    </w:p>
    <w:p w14:paraId="436C005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2.1.3市级平台专线</w:t>
      </w:r>
    </w:p>
    <w:p w14:paraId="6982C48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配备</w:t>
      </w:r>
      <w:r>
        <w:rPr>
          <w:rFonts w:hint="eastAsia" w:ascii="仿宋_GB2312" w:hAnsi="仿宋_GB2312" w:eastAsia="仿宋_GB2312" w:cs="仿宋_GB2312"/>
          <w:color w:val="auto"/>
          <w:kern w:val="0"/>
          <w:sz w:val="24"/>
          <w:highlight w:val="none"/>
        </w:rPr>
        <w:t>1条从算力算法中心到</w:t>
      </w:r>
      <w:r>
        <w:rPr>
          <w:rFonts w:hint="eastAsia" w:ascii="仿宋_GB2312" w:hAnsi="仿宋_GB2312" w:eastAsia="仿宋_GB2312" w:cs="仿宋_GB2312"/>
          <w:color w:val="auto"/>
          <w:kern w:val="0"/>
          <w:sz w:val="24"/>
          <w:highlight w:val="none"/>
          <w:lang w:val="en-US" w:eastAsia="zh-CN"/>
        </w:rPr>
        <w:t>运营商IDC机房视频服务器</w:t>
      </w:r>
      <w:r>
        <w:rPr>
          <w:rFonts w:hint="eastAsia" w:ascii="仿宋_GB2312" w:hAnsi="仿宋_GB2312" w:eastAsia="仿宋_GB2312" w:cs="仿宋_GB2312"/>
          <w:color w:val="auto"/>
          <w:kern w:val="0"/>
          <w:sz w:val="24"/>
          <w:highlight w:val="none"/>
        </w:rPr>
        <w:t>的1000M VPN专线，实现算力算法中心从视频管理中心获取实时视频数据进行AI分析；同时本次将新增1条1000M VPN专线从</w:t>
      </w:r>
      <w:r>
        <w:rPr>
          <w:rFonts w:hint="eastAsia" w:ascii="仿宋_GB2312" w:hAnsi="仿宋_GB2312" w:eastAsia="仿宋_GB2312" w:cs="仿宋_GB2312"/>
          <w:color w:val="auto"/>
          <w:kern w:val="0"/>
          <w:sz w:val="24"/>
          <w:highlight w:val="none"/>
          <w:lang w:val="en-US" w:eastAsia="zh-CN"/>
        </w:rPr>
        <w:t>运营商IDC机房视频服务器</w:t>
      </w:r>
      <w:r>
        <w:rPr>
          <w:rFonts w:hint="eastAsia" w:ascii="仿宋_GB2312" w:hAnsi="仿宋_GB2312" w:eastAsia="仿宋_GB2312" w:cs="仿宋_GB2312"/>
          <w:color w:val="auto"/>
          <w:kern w:val="0"/>
          <w:sz w:val="24"/>
          <w:highlight w:val="none"/>
        </w:rPr>
        <w:t>到温州市政务云（信创云），实现将AI算法分析结果推送至部署在温州市政务云（信创云）的“海上斑马线”应用；另外还将新增1条</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000M专线从市渔业应急指挥中心机房到市公共视频监控一体化系统，实现沿海视频监控数据的共享；5G定制网至VPN专网链路200MIPLAN，对接移动端监控视频接入；平台互联网出口链路用于现场处置应用。</w:t>
      </w:r>
    </w:p>
    <w:p w14:paraId="7E4A079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2.2存储设备</w:t>
      </w:r>
    </w:p>
    <w:p w14:paraId="64D17B1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对</w:t>
      </w:r>
      <w:r>
        <w:rPr>
          <w:rFonts w:hint="eastAsia" w:ascii="仿宋_GB2312" w:hAnsi="仿宋_GB2312" w:eastAsia="仿宋_GB2312" w:cs="仿宋_GB2312"/>
          <w:color w:val="auto"/>
          <w:kern w:val="0"/>
          <w:sz w:val="24"/>
          <w:highlight w:val="none"/>
        </w:rPr>
        <w:t>在</w:t>
      </w:r>
      <w:r>
        <w:rPr>
          <w:rFonts w:hint="eastAsia" w:ascii="仿宋_GB2312" w:hAnsi="仿宋_GB2312" w:eastAsia="仿宋_GB2312" w:cs="仿宋_GB2312"/>
          <w:color w:val="auto"/>
          <w:kern w:val="0"/>
          <w:sz w:val="24"/>
          <w:highlight w:val="none"/>
          <w:lang w:val="en-US" w:eastAsia="zh-CN"/>
        </w:rPr>
        <w:t>运营商IDC机房</w:t>
      </w:r>
      <w:r>
        <w:rPr>
          <w:rFonts w:hint="eastAsia" w:ascii="仿宋_GB2312" w:hAnsi="仿宋_GB2312" w:eastAsia="仿宋_GB2312" w:cs="仿宋_GB2312"/>
          <w:color w:val="auto"/>
          <w:kern w:val="0"/>
          <w:sz w:val="24"/>
          <w:highlight w:val="none"/>
        </w:rPr>
        <w:t>新增部署存储终端及对现有存储进行扩容，用于视频数据存储与容量管理。同时通过</w:t>
      </w:r>
      <w:r>
        <w:rPr>
          <w:rFonts w:hint="eastAsia" w:ascii="仿宋_GB2312" w:hAnsi="仿宋_GB2312" w:eastAsia="仿宋_GB2312" w:cs="仿宋_GB2312"/>
          <w:color w:val="auto"/>
          <w:kern w:val="0"/>
          <w:sz w:val="24"/>
          <w:highlight w:val="none"/>
          <w:lang w:val="en-US" w:eastAsia="zh-CN"/>
        </w:rPr>
        <w:t>购买高性能</w:t>
      </w:r>
      <w:r>
        <w:rPr>
          <w:rFonts w:hint="eastAsia" w:ascii="仿宋_GB2312" w:hAnsi="仿宋_GB2312" w:eastAsia="仿宋_GB2312" w:cs="仿宋_GB2312"/>
          <w:color w:val="auto"/>
          <w:kern w:val="0"/>
          <w:sz w:val="24"/>
          <w:highlight w:val="none"/>
        </w:rPr>
        <w:t>AI</w:t>
      </w:r>
      <w:r>
        <w:rPr>
          <w:rFonts w:hint="eastAsia" w:ascii="仿宋_GB2312" w:hAnsi="仿宋_GB2312" w:eastAsia="仿宋_GB2312" w:cs="仿宋_GB2312"/>
          <w:color w:val="auto"/>
          <w:kern w:val="0"/>
          <w:sz w:val="24"/>
          <w:highlight w:val="none"/>
          <w:lang w:val="en-US" w:eastAsia="zh-CN"/>
        </w:rPr>
        <w:t>算力服务器</w:t>
      </w:r>
      <w:r>
        <w:rPr>
          <w:rFonts w:hint="eastAsia" w:ascii="仿宋_GB2312" w:hAnsi="仿宋_GB2312" w:eastAsia="仿宋_GB2312" w:cs="仿宋_GB2312"/>
          <w:color w:val="auto"/>
          <w:kern w:val="0"/>
          <w:sz w:val="24"/>
          <w:highlight w:val="none"/>
        </w:rPr>
        <w:t>，为本次项目的各类AI算法</w:t>
      </w:r>
      <w:r>
        <w:rPr>
          <w:rFonts w:hint="eastAsia" w:ascii="仿宋_GB2312" w:hAnsi="仿宋_GB2312" w:eastAsia="仿宋_GB2312" w:cs="仿宋_GB2312"/>
          <w:color w:val="auto"/>
          <w:kern w:val="0"/>
          <w:sz w:val="24"/>
          <w:highlight w:val="none"/>
          <w:lang w:val="en-US" w:eastAsia="zh-CN"/>
        </w:rPr>
        <w:t>提供算力服务</w:t>
      </w:r>
      <w:r>
        <w:rPr>
          <w:rFonts w:hint="eastAsia" w:ascii="仿宋_GB2312" w:hAnsi="仿宋_GB2312" w:eastAsia="仿宋_GB2312" w:cs="仿宋_GB2312"/>
          <w:color w:val="auto"/>
          <w:kern w:val="0"/>
          <w:sz w:val="24"/>
          <w:highlight w:val="none"/>
        </w:rPr>
        <w:t>。</w:t>
      </w:r>
    </w:p>
    <w:p w14:paraId="571C0DC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2.2.1存储设备</w:t>
      </w:r>
    </w:p>
    <w:p w14:paraId="7534FDC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配备</w:t>
      </w:r>
      <w:r>
        <w:rPr>
          <w:rFonts w:hint="eastAsia" w:ascii="仿宋_GB2312" w:hAnsi="仿宋_GB2312" w:eastAsia="仿宋_GB2312" w:cs="仿宋_GB2312"/>
          <w:color w:val="auto"/>
          <w:kern w:val="0"/>
          <w:sz w:val="24"/>
          <w:highlight w:val="none"/>
        </w:rPr>
        <w:t>视频专网中2台存储管理</w:t>
      </w:r>
      <w:r>
        <w:rPr>
          <w:rFonts w:hint="eastAsia" w:ascii="仿宋_GB2312" w:hAnsi="仿宋_GB2312" w:eastAsia="仿宋_GB2312" w:cs="仿宋_GB2312"/>
          <w:color w:val="auto"/>
          <w:kern w:val="0"/>
          <w:sz w:val="24"/>
          <w:highlight w:val="none"/>
          <w:lang w:val="en-US" w:eastAsia="zh-CN"/>
        </w:rPr>
        <w:t>服务器</w:t>
      </w:r>
      <w:r>
        <w:rPr>
          <w:rFonts w:hint="eastAsia" w:ascii="仿宋_GB2312" w:hAnsi="仿宋_GB2312" w:eastAsia="仿宋_GB2312" w:cs="仿宋_GB2312"/>
          <w:color w:val="auto"/>
          <w:kern w:val="0"/>
          <w:sz w:val="24"/>
          <w:highlight w:val="none"/>
        </w:rPr>
        <w:t>，用于存储容量管理，同时将对现有3台24盘位存储设备进行扩容（新增20块8TB硬盘），同时新增3台48盘位的磁盘阵列</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满配16TB硬盘，用于为沿海视频监控点位提供统一大容量存储。</w:t>
      </w:r>
    </w:p>
    <w:p w14:paraId="187A5746">
      <w:pPr>
        <w:tabs>
          <w:tab w:val="left" w:pos="720"/>
          <w:tab w:val="left" w:pos="5355"/>
        </w:tabs>
        <w:spacing w:line="430" w:lineRule="exact"/>
        <w:ind w:firstLine="472" w:firstLineChars="196"/>
        <w:rPr>
          <w:rFonts w:hint="default" w:ascii="仿宋_GB2312" w:hAnsi="仿宋_GB2312" w:eastAsia="仿宋_GB2312" w:cs="仿宋_GB2312"/>
          <w:b/>
          <w:bCs/>
          <w:color w:val="auto"/>
          <w:kern w:val="0"/>
          <w:sz w:val="24"/>
          <w:highlight w:val="none"/>
          <w:u w:val="single"/>
          <w:lang w:val="en-US" w:eastAsia="zh-CN"/>
        </w:rPr>
      </w:pPr>
      <w:r>
        <w:rPr>
          <w:rFonts w:hint="eastAsia" w:ascii="仿宋_GB2312" w:hAnsi="仿宋_GB2312" w:eastAsia="仿宋_GB2312" w:cs="仿宋_GB2312"/>
          <w:b/>
          <w:bCs/>
          <w:color w:val="auto"/>
          <w:kern w:val="0"/>
          <w:sz w:val="24"/>
          <w:highlight w:val="none"/>
          <w:u w:val="single"/>
          <w:lang w:val="en-US" w:eastAsia="zh-CN"/>
        </w:rPr>
        <w:t>▲为了将扩容后的现有视频存储服务器3台24盘位的海康威视DS-A71024R无缝接入</w:t>
      </w:r>
      <w:r>
        <w:rPr>
          <w:rFonts w:hint="eastAsia" w:ascii="仿宋_GB2312" w:hAnsi="仿宋_GB2312" w:eastAsia="仿宋_GB2312" w:cs="仿宋_GB2312"/>
          <w:b/>
          <w:bCs/>
          <w:color w:val="auto"/>
          <w:kern w:val="0"/>
          <w:sz w:val="24"/>
          <w:highlight w:val="none"/>
          <w:u w:val="single"/>
        </w:rPr>
        <w:t>统一大容量存储</w:t>
      </w:r>
      <w:r>
        <w:rPr>
          <w:rFonts w:hint="eastAsia" w:ascii="仿宋_GB2312" w:hAnsi="仿宋_GB2312" w:eastAsia="仿宋_GB2312" w:cs="仿宋_GB2312"/>
          <w:b/>
          <w:bCs/>
          <w:color w:val="auto"/>
          <w:kern w:val="0"/>
          <w:sz w:val="24"/>
          <w:highlight w:val="none"/>
          <w:u w:val="single"/>
          <w:lang w:eastAsia="zh-CN"/>
        </w:rPr>
        <w:t>，</w:t>
      </w:r>
      <w:r>
        <w:rPr>
          <w:rFonts w:hint="eastAsia" w:ascii="仿宋_GB2312" w:hAnsi="仿宋_GB2312" w:eastAsia="仿宋_GB2312" w:cs="仿宋_GB2312"/>
          <w:b/>
          <w:bCs/>
          <w:color w:val="auto"/>
          <w:kern w:val="0"/>
          <w:sz w:val="24"/>
          <w:highlight w:val="none"/>
          <w:u w:val="single"/>
          <w:lang w:val="en-US" w:eastAsia="zh-CN"/>
        </w:rPr>
        <w:t>投标人应在投标清单中自行补足招标文件可能未完整列出的连接所需的所有物品，确保</w:t>
      </w:r>
      <w:r>
        <w:rPr>
          <w:rFonts w:hint="eastAsia" w:ascii="仿宋_GB2312" w:hAnsi="仿宋_GB2312" w:eastAsia="仿宋_GB2312" w:cs="仿宋_GB2312"/>
          <w:b/>
          <w:bCs/>
          <w:color w:val="auto"/>
          <w:kern w:val="0"/>
          <w:sz w:val="24"/>
          <w:highlight w:val="none"/>
          <w:u w:val="single"/>
        </w:rPr>
        <w:t>统一大容量存</w:t>
      </w:r>
      <w:r>
        <w:rPr>
          <w:rFonts w:hint="eastAsia" w:ascii="仿宋_GB2312" w:hAnsi="仿宋_GB2312" w:eastAsia="仿宋_GB2312" w:cs="仿宋_GB2312"/>
          <w:b/>
          <w:bCs/>
          <w:color w:val="auto"/>
          <w:kern w:val="0"/>
          <w:sz w:val="24"/>
          <w:highlight w:val="none"/>
          <w:u w:val="single"/>
          <w:lang w:val="en-US" w:eastAsia="zh-CN"/>
        </w:rPr>
        <w:t>的完整性，所有费用均需包含在投标总价中。投标人不得因招标文件未明确列出的连接现有存储所需物品向招标人索取费用补偿或工期补偿。</w:t>
      </w:r>
    </w:p>
    <w:p w14:paraId="33B93E3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2.2.3 AI算力资源</w:t>
      </w:r>
    </w:p>
    <w:p w14:paraId="1DB17FB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根据本次项目需要支撑82</w:t>
      </w:r>
      <w:r>
        <w:rPr>
          <w:rFonts w:hint="eastAsia" w:ascii="仿宋_GB2312" w:hAnsi="仿宋_GB2312" w:eastAsia="仿宋_GB2312" w:cs="仿宋_GB2312"/>
          <w:color w:val="auto"/>
          <w:kern w:val="0"/>
          <w:sz w:val="24"/>
          <w:highlight w:val="none"/>
          <w:lang w:val="en-US" w:eastAsia="zh-CN"/>
        </w:rPr>
        <w:t>0余</w:t>
      </w:r>
      <w:r>
        <w:rPr>
          <w:rFonts w:hint="eastAsia" w:ascii="仿宋_GB2312" w:hAnsi="仿宋_GB2312" w:eastAsia="仿宋_GB2312" w:cs="仿宋_GB2312"/>
          <w:color w:val="auto"/>
          <w:kern w:val="0"/>
          <w:sz w:val="24"/>
          <w:highlight w:val="none"/>
        </w:rPr>
        <w:t>路视频监控全部纳入AI算法识别的要求测算算力资源需求。因为AI模型在静态场景下最省算力，为此假设82</w:t>
      </w:r>
      <w:r>
        <w:rPr>
          <w:rFonts w:hint="eastAsia" w:ascii="仿宋_GB2312" w:hAnsi="仿宋_GB2312" w:eastAsia="仿宋_GB2312" w:cs="仿宋_GB2312"/>
          <w:color w:val="auto"/>
          <w:kern w:val="0"/>
          <w:sz w:val="24"/>
          <w:highlight w:val="none"/>
          <w:lang w:val="en-US" w:eastAsia="zh-CN"/>
        </w:rPr>
        <w:t>0余</w:t>
      </w:r>
      <w:r>
        <w:rPr>
          <w:rFonts w:hint="eastAsia" w:ascii="仿宋_GB2312" w:hAnsi="仿宋_GB2312" w:eastAsia="仿宋_GB2312" w:cs="仿宋_GB2312"/>
          <w:color w:val="auto"/>
          <w:kern w:val="0"/>
          <w:sz w:val="24"/>
          <w:highlight w:val="none"/>
        </w:rPr>
        <w:t>路监控画面全部处于静态模式，按静态场景10秒一帧对图像进行抽帧识别，则算力并发能力至少需要达到82个并发，按照单台8卡算力终端设备的配置性能，最大并发在64。为此本次项目至少需配置算力终端设备2台部署大模型，同时另需1台8卡终端设备用于部署图像识别、监控视频抽帧等小模型处理。</w:t>
      </w:r>
    </w:p>
    <w:p w14:paraId="2A7FDC8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2.3网络安全建设</w:t>
      </w:r>
    </w:p>
    <w:p w14:paraId="2FD4B37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按照国家网络安全等级保护要求，</w:t>
      </w:r>
      <w:r>
        <w:rPr>
          <w:rFonts w:hint="eastAsia" w:ascii="仿宋_GB2312" w:hAnsi="仿宋_GB2312" w:eastAsia="仿宋_GB2312" w:cs="仿宋_GB2312"/>
          <w:color w:val="auto"/>
          <w:kern w:val="0"/>
          <w:sz w:val="24"/>
          <w:highlight w:val="none"/>
          <w:lang w:eastAsia="zh-CN"/>
        </w:rPr>
        <w:t>配备</w:t>
      </w:r>
      <w:r>
        <w:rPr>
          <w:rFonts w:hint="eastAsia" w:ascii="仿宋_GB2312" w:hAnsi="仿宋_GB2312" w:eastAsia="仿宋_GB2312" w:cs="仿宋_GB2312"/>
          <w:color w:val="auto"/>
          <w:kern w:val="0"/>
          <w:sz w:val="24"/>
          <w:highlight w:val="none"/>
        </w:rPr>
        <w:t>沿海视频专网内部及网络边界部署1台防火墙、1台日志审计和1台终端安全及防病毒系统，用于沿海视频专网的安全防护。</w:t>
      </w:r>
    </w:p>
    <w:p w14:paraId="3E61647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防火墙：部署在</w:t>
      </w:r>
      <w:r>
        <w:rPr>
          <w:rFonts w:hint="eastAsia" w:ascii="仿宋_GB2312" w:hAnsi="仿宋_GB2312" w:eastAsia="仿宋_GB2312" w:cs="仿宋_GB2312"/>
          <w:color w:val="auto"/>
          <w:kern w:val="0"/>
          <w:sz w:val="24"/>
          <w:highlight w:val="none"/>
          <w:lang w:val="en-US" w:eastAsia="zh-CN"/>
        </w:rPr>
        <w:t>运营商IDC机房</w:t>
      </w:r>
      <w:r>
        <w:rPr>
          <w:rFonts w:hint="eastAsia" w:ascii="仿宋_GB2312" w:hAnsi="仿宋_GB2312" w:eastAsia="仿宋_GB2312" w:cs="仿宋_GB2312"/>
          <w:color w:val="auto"/>
          <w:kern w:val="0"/>
          <w:sz w:val="24"/>
          <w:highlight w:val="none"/>
        </w:rPr>
        <w:t>视频专网与外部网络的边界，用于对视频VPN专网接入，以及与全市公共视频监控一体化系统、温州市政务云和AI算力中心等专线接入的网络边界进行安全防护。</w:t>
      </w:r>
    </w:p>
    <w:p w14:paraId="74AE328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日志审计：部署在</w:t>
      </w:r>
      <w:r>
        <w:rPr>
          <w:rFonts w:hint="eastAsia" w:ascii="仿宋_GB2312" w:hAnsi="仿宋_GB2312" w:eastAsia="仿宋_GB2312" w:cs="仿宋_GB2312"/>
          <w:color w:val="auto"/>
          <w:kern w:val="0"/>
          <w:sz w:val="24"/>
          <w:highlight w:val="none"/>
          <w:lang w:val="en-US" w:eastAsia="zh-CN"/>
        </w:rPr>
        <w:t>运营商IDC机房</w:t>
      </w:r>
      <w:r>
        <w:rPr>
          <w:rFonts w:hint="eastAsia" w:ascii="仿宋_GB2312" w:hAnsi="仿宋_GB2312" w:eastAsia="仿宋_GB2312" w:cs="仿宋_GB2312"/>
          <w:color w:val="auto"/>
          <w:kern w:val="0"/>
          <w:sz w:val="24"/>
          <w:highlight w:val="none"/>
        </w:rPr>
        <w:t>视频专网内部，通过收集、存储和分析日志数据，全面监测视频专网数据，记录分析视频专网中可疑行为、违规操作、敏感信息等，帮助运维管理人员快速定位安全事件源头和追查取证。</w:t>
      </w:r>
    </w:p>
    <w:p w14:paraId="4B26EE8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终端安全及防病毒系统：部署在</w:t>
      </w:r>
      <w:r>
        <w:rPr>
          <w:rFonts w:hint="eastAsia" w:ascii="仿宋_GB2312" w:hAnsi="仿宋_GB2312" w:eastAsia="仿宋_GB2312" w:cs="仿宋_GB2312"/>
          <w:color w:val="auto"/>
          <w:kern w:val="0"/>
          <w:sz w:val="24"/>
          <w:highlight w:val="none"/>
          <w:lang w:val="en-US" w:eastAsia="zh-CN"/>
        </w:rPr>
        <w:t>运营商IDC机房</w:t>
      </w:r>
      <w:r>
        <w:rPr>
          <w:rFonts w:hint="eastAsia" w:ascii="仿宋_GB2312" w:hAnsi="仿宋_GB2312" w:eastAsia="仿宋_GB2312" w:cs="仿宋_GB2312"/>
          <w:color w:val="auto"/>
          <w:kern w:val="0"/>
          <w:sz w:val="24"/>
          <w:highlight w:val="none"/>
        </w:rPr>
        <w:t>视频专网内部，用于对视频专网中的终端和存储设备进行安全监控和病毒防范。4.监控中心配套设施</w:t>
      </w:r>
    </w:p>
    <w:p w14:paraId="1CBCD60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本次项目配备</w:t>
      </w:r>
      <w:r>
        <w:rPr>
          <w:rFonts w:hint="eastAsia" w:ascii="仿宋_GB2312" w:hAnsi="仿宋_GB2312" w:eastAsia="仿宋_GB2312" w:cs="仿宋_GB2312"/>
          <w:color w:val="auto"/>
          <w:kern w:val="0"/>
          <w:sz w:val="24"/>
          <w:highlight w:val="none"/>
          <w:lang w:val="en-US" w:eastAsia="zh-CN"/>
        </w:rPr>
        <w:t>3套</w:t>
      </w:r>
      <w:r>
        <w:rPr>
          <w:rFonts w:hint="eastAsia" w:ascii="仿宋_GB2312" w:hAnsi="仿宋_GB2312" w:eastAsia="仿宋_GB2312" w:cs="仿宋_GB2312"/>
          <w:strike w:val="0"/>
          <w:color w:val="auto"/>
          <w:sz w:val="24"/>
          <w:highlight w:val="none"/>
        </w:rPr>
        <w:t>综合指挥调度终端</w:t>
      </w:r>
      <w:r>
        <w:rPr>
          <w:rFonts w:hint="eastAsia" w:ascii="仿宋_GB2312" w:hAnsi="仿宋_GB2312" w:eastAsia="仿宋_GB2312" w:cs="仿宋_GB2312"/>
          <w:strike w:val="0"/>
          <w:color w:val="auto"/>
          <w:sz w:val="24"/>
          <w:highlight w:val="none"/>
          <w:lang w:eastAsia="zh-CN"/>
        </w:rPr>
        <w:t>、</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rPr>
        <w:t>套网络键盘控制器和</w:t>
      </w:r>
      <w:r>
        <w:rPr>
          <w:rFonts w:hint="eastAsia" w:ascii="仿宋_GB2312" w:hAnsi="仿宋_GB2312" w:eastAsia="仿宋_GB2312" w:cs="仿宋_GB2312"/>
          <w:color w:val="auto"/>
          <w:kern w:val="0"/>
          <w:sz w:val="24"/>
          <w:highlight w:val="none"/>
          <w:lang w:val="en-US" w:eastAsia="zh-CN"/>
        </w:rPr>
        <w:t>55</w:t>
      </w:r>
      <w:r>
        <w:rPr>
          <w:rFonts w:hint="eastAsia" w:ascii="仿宋_GB2312" w:hAnsi="仿宋_GB2312" w:eastAsia="仿宋_GB2312" w:cs="仿宋_GB2312"/>
          <w:color w:val="auto"/>
          <w:kern w:val="0"/>
          <w:sz w:val="24"/>
          <w:highlight w:val="none"/>
        </w:rPr>
        <w:t>台业务闭环处置终端，用于值班监控和现场处置。</w:t>
      </w:r>
    </w:p>
    <w:p w14:paraId="2A9AC63C">
      <w:pPr>
        <w:tabs>
          <w:tab w:val="left" w:pos="720"/>
          <w:tab w:val="left" w:pos="5355"/>
        </w:tabs>
        <w:spacing w:line="430" w:lineRule="exact"/>
        <w:ind w:firstLine="470" w:firstLineChars="196"/>
        <w:rPr>
          <w:rFonts w:hint="eastAsia" w:ascii="仿宋_GB2312" w:hAnsi="仿宋_GB2312" w:eastAsia="仿宋_GB2312" w:cs="仿宋_GB2312"/>
          <w:strike w:val="0"/>
          <w:color w:val="auto"/>
          <w:sz w:val="24"/>
          <w:highlight w:val="none"/>
        </w:rPr>
      </w:pPr>
      <w:r>
        <w:rPr>
          <w:rFonts w:hint="eastAsia" w:ascii="仿宋_GB2312" w:hAnsi="仿宋_GB2312" w:eastAsia="仿宋_GB2312" w:cs="仿宋_GB2312"/>
          <w:strike w:val="0"/>
          <w:color w:val="auto"/>
          <w:sz w:val="24"/>
          <w:highlight w:val="none"/>
          <w:lang w:val="en-US" w:eastAsia="zh-CN"/>
        </w:rPr>
        <w:t>3.1</w:t>
      </w:r>
      <w:r>
        <w:rPr>
          <w:rFonts w:hint="eastAsia" w:ascii="仿宋_GB2312" w:hAnsi="仿宋_GB2312" w:eastAsia="仿宋_GB2312" w:cs="仿宋_GB2312"/>
          <w:strike w:val="0"/>
          <w:color w:val="auto"/>
          <w:sz w:val="24"/>
          <w:highlight w:val="none"/>
        </w:rPr>
        <w:t>综合指挥调度终端</w:t>
      </w:r>
    </w:p>
    <w:p w14:paraId="1E26375C">
      <w:pPr>
        <w:tabs>
          <w:tab w:val="left" w:pos="720"/>
          <w:tab w:val="left" w:pos="5355"/>
        </w:tabs>
        <w:spacing w:line="430" w:lineRule="exact"/>
        <w:ind w:firstLine="470" w:firstLineChars="196"/>
        <w:rPr>
          <w:rFonts w:hint="default" w:ascii="仿宋_GB2312" w:hAnsi="仿宋_GB2312" w:eastAsia="仿宋_GB2312" w:cs="仿宋_GB2312"/>
          <w:strike w:val="0"/>
          <w:color w:val="auto"/>
          <w:sz w:val="24"/>
          <w:highlight w:val="none"/>
          <w:lang w:val="en-US" w:eastAsia="zh-CN"/>
        </w:rPr>
      </w:pPr>
      <w:r>
        <w:rPr>
          <w:rFonts w:hint="eastAsia" w:ascii="仿宋_GB2312" w:hAnsi="仿宋_GB2312" w:eastAsia="仿宋_GB2312" w:cs="仿宋_GB2312"/>
          <w:strike w:val="0"/>
          <w:color w:val="auto"/>
          <w:sz w:val="24"/>
          <w:highlight w:val="none"/>
          <w:lang w:val="en-US" w:eastAsia="zh-CN"/>
        </w:rPr>
        <w:t>用于市局领导综合指挥调度。</w:t>
      </w:r>
    </w:p>
    <w:p w14:paraId="0D85169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网络键盘控制器</w:t>
      </w:r>
    </w:p>
    <w:p w14:paraId="4157B0DE">
      <w:pPr>
        <w:tabs>
          <w:tab w:val="left" w:pos="720"/>
          <w:tab w:val="left" w:pos="5355"/>
        </w:tabs>
        <w:spacing w:line="430" w:lineRule="exact"/>
        <w:ind w:firstLine="470" w:firstLineChars="196"/>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用于</w:t>
      </w:r>
      <w:r>
        <w:rPr>
          <w:rFonts w:hint="eastAsia" w:ascii="仿宋_GB2312" w:hAnsi="仿宋_GB2312" w:eastAsia="仿宋_GB2312" w:cs="仿宋_GB2312"/>
          <w:color w:val="auto"/>
          <w:kern w:val="0"/>
          <w:sz w:val="24"/>
          <w:highlight w:val="none"/>
        </w:rPr>
        <w:t>市县两级监控中心人员能够顺畅地操控前端摄像机</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具体分配如下：</w:t>
      </w:r>
    </w:p>
    <w:tbl>
      <w:tblPr>
        <w:tblStyle w:val="65"/>
        <w:tblW w:w="7090" w:type="dxa"/>
        <w:jc w:val="center"/>
        <w:tblLayout w:type="fixed"/>
        <w:tblCellMar>
          <w:top w:w="0" w:type="dxa"/>
          <w:left w:w="108" w:type="dxa"/>
          <w:bottom w:w="0" w:type="dxa"/>
          <w:right w:w="108" w:type="dxa"/>
        </w:tblCellMar>
      </w:tblPr>
      <w:tblGrid>
        <w:gridCol w:w="2607"/>
        <w:gridCol w:w="4483"/>
      </w:tblGrid>
      <w:tr w14:paraId="7B864A13">
        <w:tblPrEx>
          <w:tblCellMar>
            <w:top w:w="0" w:type="dxa"/>
            <w:left w:w="108" w:type="dxa"/>
            <w:bottom w:w="0" w:type="dxa"/>
            <w:right w:w="108" w:type="dxa"/>
          </w:tblCellMar>
        </w:tblPrEx>
        <w:trPr>
          <w:trHeight w:val="454" w:hRule="atLeast"/>
          <w:tblHeader/>
          <w:jc w:val="center"/>
        </w:trPr>
        <w:tc>
          <w:tcPr>
            <w:tcW w:w="2607" w:type="dxa"/>
            <w:tcBorders>
              <w:top w:val="single" w:color="auto" w:sz="4" w:space="0"/>
              <w:left w:val="single" w:color="auto" w:sz="4" w:space="0"/>
              <w:bottom w:val="single" w:color="auto" w:sz="4" w:space="0"/>
              <w:right w:val="single" w:color="auto" w:sz="4" w:space="0"/>
            </w:tcBorders>
            <w:noWrap w:val="0"/>
            <w:vAlign w:val="center"/>
          </w:tcPr>
          <w:p w14:paraId="6CDD4052">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区域</w:t>
            </w:r>
          </w:p>
        </w:tc>
        <w:tc>
          <w:tcPr>
            <w:tcW w:w="4483" w:type="dxa"/>
            <w:tcBorders>
              <w:top w:val="single" w:color="auto" w:sz="4" w:space="0"/>
              <w:left w:val="nil"/>
              <w:bottom w:val="single" w:color="auto" w:sz="4" w:space="0"/>
              <w:right w:val="single" w:color="auto" w:sz="4" w:space="0"/>
            </w:tcBorders>
            <w:noWrap w:val="0"/>
            <w:vAlign w:val="center"/>
          </w:tcPr>
          <w:p w14:paraId="2D603418">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网络键盘控制器数量（台）</w:t>
            </w:r>
          </w:p>
        </w:tc>
      </w:tr>
      <w:tr w14:paraId="64D3B48F">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2106E614">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市本级</w:t>
            </w:r>
          </w:p>
        </w:tc>
        <w:tc>
          <w:tcPr>
            <w:tcW w:w="4483" w:type="dxa"/>
            <w:tcBorders>
              <w:top w:val="nil"/>
              <w:left w:val="nil"/>
              <w:bottom w:val="single" w:color="auto" w:sz="4" w:space="0"/>
              <w:right w:val="single" w:color="auto" w:sz="4" w:space="0"/>
            </w:tcBorders>
            <w:noWrap w:val="0"/>
            <w:vAlign w:val="center"/>
          </w:tcPr>
          <w:p w14:paraId="54C350CC">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14DD8553">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0E6F1445">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瑞安市</w:t>
            </w:r>
          </w:p>
        </w:tc>
        <w:tc>
          <w:tcPr>
            <w:tcW w:w="4483" w:type="dxa"/>
            <w:tcBorders>
              <w:top w:val="nil"/>
              <w:left w:val="nil"/>
              <w:bottom w:val="single" w:color="auto" w:sz="4" w:space="0"/>
              <w:right w:val="single" w:color="auto" w:sz="4" w:space="0"/>
            </w:tcBorders>
            <w:noWrap w:val="0"/>
            <w:vAlign w:val="center"/>
          </w:tcPr>
          <w:p w14:paraId="4D00A04A">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06A82BD6">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6F722232">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龙港市</w:t>
            </w:r>
          </w:p>
        </w:tc>
        <w:tc>
          <w:tcPr>
            <w:tcW w:w="4483" w:type="dxa"/>
            <w:tcBorders>
              <w:top w:val="nil"/>
              <w:left w:val="nil"/>
              <w:bottom w:val="single" w:color="auto" w:sz="4" w:space="0"/>
              <w:right w:val="single" w:color="auto" w:sz="4" w:space="0"/>
            </w:tcBorders>
            <w:noWrap w:val="0"/>
            <w:vAlign w:val="center"/>
          </w:tcPr>
          <w:p w14:paraId="06B106B9">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3FAE320F">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7618F619">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平阳县</w:t>
            </w:r>
          </w:p>
        </w:tc>
        <w:tc>
          <w:tcPr>
            <w:tcW w:w="4483" w:type="dxa"/>
            <w:tcBorders>
              <w:top w:val="nil"/>
              <w:left w:val="nil"/>
              <w:bottom w:val="single" w:color="auto" w:sz="4" w:space="0"/>
              <w:right w:val="single" w:color="auto" w:sz="4" w:space="0"/>
            </w:tcBorders>
            <w:noWrap w:val="0"/>
            <w:vAlign w:val="center"/>
          </w:tcPr>
          <w:p w14:paraId="6F79173C">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570C4728">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4BC8814F">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洞头区</w:t>
            </w:r>
          </w:p>
        </w:tc>
        <w:tc>
          <w:tcPr>
            <w:tcW w:w="4483" w:type="dxa"/>
            <w:tcBorders>
              <w:top w:val="nil"/>
              <w:left w:val="nil"/>
              <w:bottom w:val="single" w:color="auto" w:sz="4" w:space="0"/>
              <w:right w:val="single" w:color="auto" w:sz="4" w:space="0"/>
            </w:tcBorders>
            <w:noWrap w:val="0"/>
            <w:vAlign w:val="center"/>
          </w:tcPr>
          <w:p w14:paraId="0D0CAC44">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4CB241CE">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4E7BF486">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乐清市</w:t>
            </w:r>
          </w:p>
        </w:tc>
        <w:tc>
          <w:tcPr>
            <w:tcW w:w="4483" w:type="dxa"/>
            <w:tcBorders>
              <w:top w:val="nil"/>
              <w:left w:val="nil"/>
              <w:bottom w:val="single" w:color="auto" w:sz="4" w:space="0"/>
              <w:right w:val="single" w:color="auto" w:sz="4" w:space="0"/>
            </w:tcBorders>
            <w:noWrap w:val="0"/>
            <w:vAlign w:val="center"/>
          </w:tcPr>
          <w:p w14:paraId="5510A172">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0F5AFBC8">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48B3B170">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龙湾区</w:t>
            </w:r>
          </w:p>
        </w:tc>
        <w:tc>
          <w:tcPr>
            <w:tcW w:w="4483" w:type="dxa"/>
            <w:tcBorders>
              <w:top w:val="nil"/>
              <w:left w:val="nil"/>
              <w:bottom w:val="single" w:color="auto" w:sz="4" w:space="0"/>
              <w:right w:val="single" w:color="auto" w:sz="4" w:space="0"/>
            </w:tcBorders>
            <w:noWrap w:val="0"/>
            <w:vAlign w:val="center"/>
          </w:tcPr>
          <w:p w14:paraId="463EA9FF">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r>
      <w:tr w14:paraId="6DBD563F">
        <w:tblPrEx>
          <w:tblCellMar>
            <w:top w:w="0" w:type="dxa"/>
            <w:left w:w="108" w:type="dxa"/>
            <w:bottom w:w="0" w:type="dxa"/>
            <w:right w:w="108" w:type="dxa"/>
          </w:tblCellMar>
        </w:tblPrEx>
        <w:trPr>
          <w:trHeight w:val="454" w:hRule="atLeast"/>
          <w:jc w:val="center"/>
        </w:trPr>
        <w:tc>
          <w:tcPr>
            <w:tcW w:w="2607" w:type="dxa"/>
            <w:tcBorders>
              <w:top w:val="nil"/>
              <w:left w:val="single" w:color="auto" w:sz="4" w:space="0"/>
              <w:bottom w:val="single" w:color="auto" w:sz="4" w:space="0"/>
              <w:right w:val="single" w:color="auto" w:sz="4" w:space="0"/>
            </w:tcBorders>
            <w:noWrap w:val="0"/>
            <w:vAlign w:val="center"/>
          </w:tcPr>
          <w:p w14:paraId="5EBB971D">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合计</w:t>
            </w:r>
          </w:p>
        </w:tc>
        <w:tc>
          <w:tcPr>
            <w:tcW w:w="4483" w:type="dxa"/>
            <w:tcBorders>
              <w:top w:val="nil"/>
              <w:left w:val="nil"/>
              <w:bottom w:val="single" w:color="auto" w:sz="4" w:space="0"/>
              <w:right w:val="single" w:color="auto" w:sz="4" w:space="0"/>
            </w:tcBorders>
            <w:noWrap w:val="0"/>
            <w:vAlign w:val="center"/>
          </w:tcPr>
          <w:p w14:paraId="2F3D4A8E">
            <w:pPr>
              <w:widowControl/>
              <w:jc w:val="center"/>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val="en-US" w:eastAsia="zh-CN"/>
              </w:rPr>
              <w:t>7</w:t>
            </w:r>
          </w:p>
        </w:tc>
      </w:tr>
    </w:tbl>
    <w:p w14:paraId="370F7E6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业务闭环处置终端</w:t>
      </w:r>
    </w:p>
    <w:p w14:paraId="46BF092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为实现“第一时间识别、第一时间预警、第一时间派单、第一时间处置”的闭环式监管目标，本次项目将分别为各县（市、区）的大中队、渔港管理站和涉海乡镇处置人员</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不含苍南县</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配备业务闭环处置终端，共计</w:t>
      </w:r>
      <w:r>
        <w:rPr>
          <w:rFonts w:hint="eastAsia" w:ascii="仿宋_GB2312" w:hAnsi="仿宋_GB2312" w:eastAsia="仿宋_GB2312" w:cs="仿宋_GB2312"/>
          <w:color w:val="auto"/>
          <w:kern w:val="0"/>
          <w:sz w:val="24"/>
          <w:highlight w:val="none"/>
          <w:lang w:val="en-US" w:eastAsia="zh-CN"/>
        </w:rPr>
        <w:t>55</w:t>
      </w:r>
      <w:r>
        <w:rPr>
          <w:rFonts w:hint="eastAsia" w:ascii="仿宋_GB2312" w:hAnsi="仿宋_GB2312" w:eastAsia="仿宋_GB2312" w:cs="仿宋_GB2312"/>
          <w:color w:val="auto"/>
          <w:kern w:val="0"/>
          <w:sz w:val="24"/>
          <w:highlight w:val="none"/>
        </w:rPr>
        <w:t>台，用于现场处置和信息采集。</w:t>
      </w:r>
    </w:p>
    <w:tbl>
      <w:tblPr>
        <w:tblStyle w:val="65"/>
        <w:tblpPr w:leftFromText="180" w:rightFromText="180" w:vertAnchor="text" w:horzAnchor="page" w:tblpX="1905" w:tblpY="381"/>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09"/>
        <w:gridCol w:w="983"/>
        <w:gridCol w:w="1475"/>
        <w:gridCol w:w="2272"/>
        <w:gridCol w:w="1149"/>
      </w:tblGrid>
      <w:tr w14:paraId="3E4A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4" w:type="dxa"/>
            <w:noWrap w:val="0"/>
            <w:vAlign w:val="center"/>
          </w:tcPr>
          <w:p w14:paraId="6A514A3C">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区县</w:t>
            </w:r>
          </w:p>
        </w:tc>
        <w:tc>
          <w:tcPr>
            <w:tcW w:w="1509" w:type="dxa"/>
            <w:noWrap w:val="0"/>
            <w:vAlign w:val="center"/>
          </w:tcPr>
          <w:p w14:paraId="2F932674">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w:t>
            </w:r>
          </w:p>
        </w:tc>
        <w:tc>
          <w:tcPr>
            <w:tcW w:w="983" w:type="dxa"/>
            <w:noWrap w:val="0"/>
            <w:vAlign w:val="center"/>
          </w:tcPr>
          <w:p w14:paraId="044DF87A">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数量</w:t>
            </w:r>
          </w:p>
        </w:tc>
        <w:tc>
          <w:tcPr>
            <w:tcW w:w="1475" w:type="dxa"/>
            <w:noWrap w:val="0"/>
            <w:vAlign w:val="center"/>
          </w:tcPr>
          <w:p w14:paraId="79A3FB03">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参与巡查人数（人）</w:t>
            </w:r>
          </w:p>
        </w:tc>
        <w:tc>
          <w:tcPr>
            <w:tcW w:w="2272" w:type="dxa"/>
            <w:noWrap w:val="0"/>
            <w:vAlign w:val="center"/>
          </w:tcPr>
          <w:p w14:paraId="4D7695E3">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业务闭环处置终端配备数量（台）</w:t>
            </w:r>
          </w:p>
        </w:tc>
        <w:tc>
          <w:tcPr>
            <w:tcW w:w="1149" w:type="dxa"/>
            <w:noWrap w:val="0"/>
            <w:vAlign w:val="center"/>
          </w:tcPr>
          <w:p w14:paraId="16D94354">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小计（台）</w:t>
            </w:r>
          </w:p>
        </w:tc>
      </w:tr>
      <w:tr w14:paraId="784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noWrap w:val="0"/>
            <w:vAlign w:val="center"/>
          </w:tcPr>
          <w:p w14:paraId="1B91913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洞头区</w:t>
            </w:r>
          </w:p>
        </w:tc>
        <w:tc>
          <w:tcPr>
            <w:tcW w:w="1509" w:type="dxa"/>
            <w:noWrap w:val="0"/>
            <w:vAlign w:val="center"/>
          </w:tcPr>
          <w:p w14:paraId="5018B2E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大队</w:t>
            </w:r>
          </w:p>
        </w:tc>
        <w:tc>
          <w:tcPr>
            <w:tcW w:w="983" w:type="dxa"/>
            <w:noWrap w:val="0"/>
            <w:vAlign w:val="center"/>
          </w:tcPr>
          <w:p w14:paraId="3C670BE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vMerge w:val="restart"/>
            <w:noWrap w:val="0"/>
            <w:vAlign w:val="center"/>
          </w:tcPr>
          <w:p w14:paraId="6BE970C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w:t>
            </w:r>
          </w:p>
        </w:tc>
        <w:tc>
          <w:tcPr>
            <w:tcW w:w="2272" w:type="dxa"/>
            <w:noWrap w:val="0"/>
            <w:vAlign w:val="center"/>
          </w:tcPr>
          <w:p w14:paraId="38B3DE3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restart"/>
            <w:noWrap w:val="0"/>
            <w:vAlign w:val="center"/>
          </w:tcPr>
          <w:p w14:paraId="25CAA95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r>
      <w:tr w14:paraId="2E89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435CE6BB">
            <w:pPr>
              <w:ind w:firstLine="482"/>
              <w:rPr>
                <w:rFonts w:hint="eastAsia" w:ascii="仿宋_GB2312" w:hAnsi="仿宋_GB2312" w:eastAsia="仿宋_GB2312" w:cs="仿宋_GB2312"/>
                <w:color w:val="auto"/>
                <w:sz w:val="24"/>
                <w:highlight w:val="none"/>
              </w:rPr>
            </w:pPr>
          </w:p>
        </w:tc>
        <w:tc>
          <w:tcPr>
            <w:tcW w:w="1509" w:type="dxa"/>
            <w:noWrap w:val="0"/>
            <w:vAlign w:val="center"/>
          </w:tcPr>
          <w:p w14:paraId="69BD6B2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中队</w:t>
            </w:r>
          </w:p>
        </w:tc>
        <w:tc>
          <w:tcPr>
            <w:tcW w:w="983" w:type="dxa"/>
            <w:noWrap w:val="0"/>
            <w:vAlign w:val="center"/>
          </w:tcPr>
          <w:p w14:paraId="7799B63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vMerge w:val="continue"/>
            <w:noWrap w:val="0"/>
            <w:vAlign w:val="center"/>
          </w:tcPr>
          <w:p w14:paraId="194F6265">
            <w:pPr>
              <w:jc w:val="center"/>
              <w:rPr>
                <w:rFonts w:hint="eastAsia" w:ascii="仿宋_GB2312" w:hAnsi="仿宋_GB2312" w:eastAsia="仿宋_GB2312" w:cs="仿宋_GB2312"/>
                <w:color w:val="auto"/>
                <w:sz w:val="24"/>
                <w:highlight w:val="none"/>
              </w:rPr>
            </w:pPr>
          </w:p>
        </w:tc>
        <w:tc>
          <w:tcPr>
            <w:tcW w:w="2272" w:type="dxa"/>
            <w:noWrap w:val="0"/>
            <w:vAlign w:val="center"/>
          </w:tcPr>
          <w:p w14:paraId="696E30A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continue"/>
            <w:noWrap w:val="0"/>
            <w:vAlign w:val="center"/>
          </w:tcPr>
          <w:p w14:paraId="153D66C5">
            <w:pPr>
              <w:jc w:val="center"/>
              <w:rPr>
                <w:rFonts w:hint="eastAsia" w:ascii="仿宋_GB2312" w:hAnsi="仿宋_GB2312" w:eastAsia="仿宋_GB2312" w:cs="仿宋_GB2312"/>
                <w:color w:val="auto"/>
                <w:sz w:val="24"/>
                <w:highlight w:val="none"/>
              </w:rPr>
            </w:pPr>
          </w:p>
        </w:tc>
      </w:tr>
      <w:tr w14:paraId="18C9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2CE1F6A3">
            <w:pPr>
              <w:ind w:firstLine="482"/>
              <w:rPr>
                <w:rFonts w:hint="eastAsia" w:ascii="仿宋_GB2312" w:hAnsi="仿宋_GB2312" w:eastAsia="仿宋_GB2312" w:cs="仿宋_GB2312"/>
                <w:color w:val="auto"/>
                <w:sz w:val="24"/>
                <w:highlight w:val="none"/>
              </w:rPr>
            </w:pPr>
          </w:p>
        </w:tc>
        <w:tc>
          <w:tcPr>
            <w:tcW w:w="1509" w:type="dxa"/>
            <w:noWrap w:val="0"/>
            <w:vAlign w:val="center"/>
          </w:tcPr>
          <w:p w14:paraId="1D46617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涉海乡镇</w:t>
            </w:r>
          </w:p>
        </w:tc>
        <w:tc>
          <w:tcPr>
            <w:tcW w:w="983" w:type="dxa"/>
            <w:noWrap w:val="0"/>
            <w:vAlign w:val="center"/>
          </w:tcPr>
          <w:p w14:paraId="2A848AE0">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475" w:type="dxa"/>
            <w:noWrap w:val="0"/>
            <w:vAlign w:val="center"/>
          </w:tcPr>
          <w:p w14:paraId="0C7E701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p>
        </w:tc>
        <w:tc>
          <w:tcPr>
            <w:tcW w:w="2272" w:type="dxa"/>
            <w:noWrap w:val="0"/>
            <w:vAlign w:val="center"/>
          </w:tcPr>
          <w:p w14:paraId="4664EEA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149" w:type="dxa"/>
            <w:vMerge w:val="continue"/>
            <w:noWrap w:val="0"/>
            <w:vAlign w:val="center"/>
          </w:tcPr>
          <w:p w14:paraId="0E03F534">
            <w:pPr>
              <w:jc w:val="center"/>
              <w:rPr>
                <w:rFonts w:hint="eastAsia" w:ascii="仿宋_GB2312" w:hAnsi="仿宋_GB2312" w:eastAsia="仿宋_GB2312" w:cs="仿宋_GB2312"/>
                <w:color w:val="auto"/>
                <w:sz w:val="24"/>
                <w:highlight w:val="none"/>
              </w:rPr>
            </w:pPr>
          </w:p>
        </w:tc>
      </w:tr>
      <w:tr w14:paraId="36A1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noWrap w:val="0"/>
            <w:vAlign w:val="center"/>
          </w:tcPr>
          <w:p w14:paraId="7169506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乐清市</w:t>
            </w:r>
          </w:p>
        </w:tc>
        <w:tc>
          <w:tcPr>
            <w:tcW w:w="1509" w:type="dxa"/>
            <w:noWrap w:val="0"/>
            <w:vAlign w:val="center"/>
          </w:tcPr>
          <w:p w14:paraId="72C93B3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大队</w:t>
            </w:r>
          </w:p>
        </w:tc>
        <w:tc>
          <w:tcPr>
            <w:tcW w:w="983" w:type="dxa"/>
            <w:noWrap w:val="0"/>
            <w:vAlign w:val="center"/>
          </w:tcPr>
          <w:p w14:paraId="4102450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noWrap w:val="0"/>
            <w:vAlign w:val="center"/>
          </w:tcPr>
          <w:p w14:paraId="36F0ACC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2272" w:type="dxa"/>
            <w:noWrap w:val="0"/>
            <w:vAlign w:val="center"/>
          </w:tcPr>
          <w:p w14:paraId="5C84F00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restart"/>
            <w:noWrap w:val="0"/>
            <w:vAlign w:val="center"/>
          </w:tcPr>
          <w:p w14:paraId="5969A69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r>
      <w:tr w14:paraId="54AF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2AAE39D2">
            <w:pPr>
              <w:jc w:val="center"/>
              <w:rPr>
                <w:rFonts w:hint="eastAsia" w:ascii="仿宋_GB2312" w:hAnsi="仿宋_GB2312" w:eastAsia="仿宋_GB2312" w:cs="仿宋_GB2312"/>
                <w:color w:val="auto"/>
                <w:sz w:val="24"/>
                <w:highlight w:val="none"/>
              </w:rPr>
            </w:pPr>
          </w:p>
        </w:tc>
        <w:tc>
          <w:tcPr>
            <w:tcW w:w="1509" w:type="dxa"/>
            <w:noWrap w:val="0"/>
            <w:vAlign w:val="center"/>
          </w:tcPr>
          <w:p w14:paraId="0280ED6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涉海乡镇</w:t>
            </w:r>
          </w:p>
        </w:tc>
        <w:tc>
          <w:tcPr>
            <w:tcW w:w="983" w:type="dxa"/>
            <w:noWrap w:val="0"/>
            <w:vAlign w:val="center"/>
          </w:tcPr>
          <w:p w14:paraId="349BF7D9">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475" w:type="dxa"/>
            <w:noWrap w:val="0"/>
            <w:vAlign w:val="center"/>
          </w:tcPr>
          <w:p w14:paraId="309B2E7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w:t>
            </w:r>
          </w:p>
        </w:tc>
        <w:tc>
          <w:tcPr>
            <w:tcW w:w="2272" w:type="dxa"/>
            <w:noWrap w:val="0"/>
            <w:vAlign w:val="center"/>
          </w:tcPr>
          <w:p w14:paraId="23E9EAB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149" w:type="dxa"/>
            <w:vMerge w:val="continue"/>
            <w:noWrap w:val="0"/>
            <w:vAlign w:val="center"/>
          </w:tcPr>
          <w:p w14:paraId="09AA1CEA">
            <w:pPr>
              <w:jc w:val="center"/>
              <w:rPr>
                <w:rFonts w:hint="eastAsia" w:ascii="仿宋_GB2312" w:hAnsi="仿宋_GB2312" w:eastAsia="仿宋_GB2312" w:cs="仿宋_GB2312"/>
                <w:color w:val="auto"/>
                <w:sz w:val="24"/>
                <w:highlight w:val="none"/>
              </w:rPr>
            </w:pPr>
          </w:p>
        </w:tc>
      </w:tr>
      <w:tr w14:paraId="21A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noWrap w:val="0"/>
            <w:vAlign w:val="center"/>
          </w:tcPr>
          <w:p w14:paraId="348A1F7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龙港市</w:t>
            </w:r>
          </w:p>
        </w:tc>
        <w:tc>
          <w:tcPr>
            <w:tcW w:w="1509" w:type="dxa"/>
            <w:noWrap w:val="0"/>
            <w:vAlign w:val="center"/>
          </w:tcPr>
          <w:p w14:paraId="570FD0E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大队</w:t>
            </w:r>
          </w:p>
        </w:tc>
        <w:tc>
          <w:tcPr>
            <w:tcW w:w="983" w:type="dxa"/>
            <w:noWrap w:val="0"/>
            <w:vAlign w:val="center"/>
          </w:tcPr>
          <w:p w14:paraId="229BFB3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vMerge w:val="restart"/>
            <w:noWrap w:val="0"/>
            <w:vAlign w:val="center"/>
          </w:tcPr>
          <w:p w14:paraId="17337D6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p>
        </w:tc>
        <w:tc>
          <w:tcPr>
            <w:tcW w:w="2272" w:type="dxa"/>
            <w:noWrap w:val="0"/>
            <w:vAlign w:val="center"/>
          </w:tcPr>
          <w:p w14:paraId="7F31EE3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restart"/>
            <w:noWrap w:val="0"/>
            <w:vAlign w:val="center"/>
          </w:tcPr>
          <w:p w14:paraId="1E250EE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r>
      <w:tr w14:paraId="2270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7EE0E0F8">
            <w:pPr>
              <w:jc w:val="center"/>
              <w:rPr>
                <w:rFonts w:hint="eastAsia" w:ascii="仿宋_GB2312" w:hAnsi="仿宋_GB2312" w:eastAsia="仿宋_GB2312" w:cs="仿宋_GB2312"/>
                <w:color w:val="auto"/>
                <w:sz w:val="24"/>
                <w:highlight w:val="none"/>
              </w:rPr>
            </w:pPr>
          </w:p>
        </w:tc>
        <w:tc>
          <w:tcPr>
            <w:tcW w:w="1509" w:type="dxa"/>
            <w:noWrap w:val="0"/>
            <w:vAlign w:val="center"/>
          </w:tcPr>
          <w:p w14:paraId="2E591A4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中队</w:t>
            </w:r>
          </w:p>
        </w:tc>
        <w:tc>
          <w:tcPr>
            <w:tcW w:w="983" w:type="dxa"/>
            <w:noWrap w:val="0"/>
            <w:vAlign w:val="center"/>
          </w:tcPr>
          <w:p w14:paraId="1C5ACA7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vMerge w:val="continue"/>
            <w:noWrap w:val="0"/>
            <w:vAlign w:val="center"/>
          </w:tcPr>
          <w:p w14:paraId="15C0C98D">
            <w:pPr>
              <w:jc w:val="center"/>
              <w:rPr>
                <w:rFonts w:hint="eastAsia" w:ascii="仿宋_GB2312" w:hAnsi="仿宋_GB2312" w:eastAsia="仿宋_GB2312" w:cs="仿宋_GB2312"/>
                <w:color w:val="auto"/>
                <w:sz w:val="24"/>
                <w:highlight w:val="none"/>
              </w:rPr>
            </w:pPr>
          </w:p>
        </w:tc>
        <w:tc>
          <w:tcPr>
            <w:tcW w:w="2272" w:type="dxa"/>
            <w:noWrap w:val="0"/>
            <w:vAlign w:val="center"/>
          </w:tcPr>
          <w:p w14:paraId="6DED386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continue"/>
            <w:noWrap w:val="0"/>
            <w:vAlign w:val="center"/>
          </w:tcPr>
          <w:p w14:paraId="3B057165">
            <w:pPr>
              <w:jc w:val="center"/>
              <w:rPr>
                <w:rFonts w:hint="eastAsia" w:ascii="仿宋_GB2312" w:hAnsi="仿宋_GB2312" w:eastAsia="仿宋_GB2312" w:cs="仿宋_GB2312"/>
                <w:color w:val="auto"/>
                <w:sz w:val="24"/>
                <w:highlight w:val="none"/>
              </w:rPr>
            </w:pPr>
          </w:p>
        </w:tc>
      </w:tr>
      <w:tr w14:paraId="5D7A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noWrap w:val="0"/>
            <w:vAlign w:val="center"/>
          </w:tcPr>
          <w:p w14:paraId="0BBB813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龙湾区</w:t>
            </w:r>
          </w:p>
        </w:tc>
        <w:tc>
          <w:tcPr>
            <w:tcW w:w="1509" w:type="dxa"/>
            <w:noWrap w:val="0"/>
            <w:vAlign w:val="top"/>
          </w:tcPr>
          <w:p w14:paraId="5706F1C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大队</w:t>
            </w:r>
          </w:p>
        </w:tc>
        <w:tc>
          <w:tcPr>
            <w:tcW w:w="983" w:type="dxa"/>
            <w:noWrap w:val="0"/>
            <w:vAlign w:val="center"/>
          </w:tcPr>
          <w:p w14:paraId="206BABF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noWrap w:val="0"/>
            <w:vAlign w:val="center"/>
          </w:tcPr>
          <w:p w14:paraId="16C051B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2272" w:type="dxa"/>
            <w:noWrap w:val="0"/>
            <w:vAlign w:val="center"/>
          </w:tcPr>
          <w:p w14:paraId="23C1B39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restart"/>
            <w:noWrap w:val="0"/>
            <w:vAlign w:val="center"/>
          </w:tcPr>
          <w:p w14:paraId="691DC0D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r>
      <w:tr w14:paraId="200C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3570FAB1">
            <w:pPr>
              <w:jc w:val="center"/>
              <w:rPr>
                <w:rFonts w:hint="eastAsia" w:ascii="仿宋_GB2312" w:hAnsi="仿宋_GB2312" w:eastAsia="仿宋_GB2312" w:cs="仿宋_GB2312"/>
                <w:color w:val="auto"/>
                <w:sz w:val="24"/>
                <w:highlight w:val="none"/>
              </w:rPr>
            </w:pPr>
          </w:p>
        </w:tc>
        <w:tc>
          <w:tcPr>
            <w:tcW w:w="1509" w:type="dxa"/>
            <w:noWrap w:val="0"/>
            <w:vAlign w:val="top"/>
          </w:tcPr>
          <w:p w14:paraId="27333C8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涉海乡镇</w:t>
            </w:r>
          </w:p>
        </w:tc>
        <w:tc>
          <w:tcPr>
            <w:tcW w:w="983" w:type="dxa"/>
            <w:noWrap w:val="0"/>
            <w:vAlign w:val="center"/>
          </w:tcPr>
          <w:p w14:paraId="31936D29">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475" w:type="dxa"/>
            <w:noWrap w:val="0"/>
            <w:vAlign w:val="center"/>
          </w:tcPr>
          <w:p w14:paraId="6BDD71A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2272" w:type="dxa"/>
            <w:noWrap w:val="0"/>
            <w:vAlign w:val="center"/>
          </w:tcPr>
          <w:p w14:paraId="2E31C77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149" w:type="dxa"/>
            <w:vMerge w:val="continue"/>
            <w:noWrap w:val="0"/>
            <w:vAlign w:val="center"/>
          </w:tcPr>
          <w:p w14:paraId="779B8B73">
            <w:pPr>
              <w:jc w:val="center"/>
              <w:rPr>
                <w:rFonts w:hint="eastAsia" w:ascii="仿宋_GB2312" w:hAnsi="仿宋_GB2312" w:eastAsia="仿宋_GB2312" w:cs="仿宋_GB2312"/>
                <w:color w:val="auto"/>
                <w:sz w:val="24"/>
                <w:highlight w:val="none"/>
              </w:rPr>
            </w:pPr>
          </w:p>
        </w:tc>
      </w:tr>
      <w:tr w14:paraId="4594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noWrap w:val="0"/>
            <w:vAlign w:val="center"/>
          </w:tcPr>
          <w:p w14:paraId="1773C81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平阳县</w:t>
            </w:r>
          </w:p>
        </w:tc>
        <w:tc>
          <w:tcPr>
            <w:tcW w:w="1509" w:type="dxa"/>
            <w:noWrap w:val="0"/>
            <w:vAlign w:val="top"/>
          </w:tcPr>
          <w:p w14:paraId="13D1F60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大队</w:t>
            </w:r>
          </w:p>
        </w:tc>
        <w:tc>
          <w:tcPr>
            <w:tcW w:w="983" w:type="dxa"/>
            <w:noWrap w:val="0"/>
            <w:vAlign w:val="center"/>
          </w:tcPr>
          <w:p w14:paraId="7E65E15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vMerge w:val="restart"/>
            <w:noWrap w:val="0"/>
            <w:vAlign w:val="center"/>
          </w:tcPr>
          <w:p w14:paraId="28A8764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w:t>
            </w:r>
          </w:p>
        </w:tc>
        <w:tc>
          <w:tcPr>
            <w:tcW w:w="2272" w:type="dxa"/>
            <w:noWrap w:val="0"/>
            <w:vAlign w:val="center"/>
          </w:tcPr>
          <w:p w14:paraId="54344DF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restart"/>
            <w:noWrap w:val="0"/>
            <w:vAlign w:val="center"/>
          </w:tcPr>
          <w:p w14:paraId="79C21EC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r>
      <w:tr w14:paraId="7195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2F2A91F0">
            <w:pPr>
              <w:jc w:val="center"/>
              <w:rPr>
                <w:rFonts w:hint="eastAsia" w:ascii="仿宋_GB2312" w:hAnsi="仿宋_GB2312" w:eastAsia="仿宋_GB2312" w:cs="仿宋_GB2312"/>
                <w:color w:val="auto"/>
                <w:sz w:val="24"/>
                <w:highlight w:val="none"/>
              </w:rPr>
            </w:pPr>
          </w:p>
        </w:tc>
        <w:tc>
          <w:tcPr>
            <w:tcW w:w="1509" w:type="dxa"/>
            <w:noWrap w:val="0"/>
            <w:vAlign w:val="top"/>
          </w:tcPr>
          <w:p w14:paraId="24538429">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渔港管理站</w:t>
            </w:r>
          </w:p>
        </w:tc>
        <w:tc>
          <w:tcPr>
            <w:tcW w:w="983" w:type="dxa"/>
            <w:noWrap w:val="0"/>
            <w:vAlign w:val="center"/>
          </w:tcPr>
          <w:p w14:paraId="297DA7A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vMerge w:val="continue"/>
            <w:noWrap w:val="0"/>
            <w:vAlign w:val="center"/>
          </w:tcPr>
          <w:p w14:paraId="06265D5D">
            <w:pPr>
              <w:jc w:val="center"/>
              <w:rPr>
                <w:rFonts w:hint="eastAsia" w:ascii="仿宋_GB2312" w:hAnsi="仿宋_GB2312" w:eastAsia="仿宋_GB2312" w:cs="仿宋_GB2312"/>
                <w:color w:val="auto"/>
                <w:sz w:val="24"/>
                <w:highlight w:val="none"/>
              </w:rPr>
            </w:pPr>
          </w:p>
        </w:tc>
        <w:tc>
          <w:tcPr>
            <w:tcW w:w="2272" w:type="dxa"/>
            <w:noWrap w:val="0"/>
            <w:vAlign w:val="center"/>
          </w:tcPr>
          <w:p w14:paraId="2DB4E6D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continue"/>
            <w:noWrap w:val="0"/>
            <w:vAlign w:val="center"/>
          </w:tcPr>
          <w:p w14:paraId="0E918172">
            <w:pPr>
              <w:jc w:val="center"/>
              <w:rPr>
                <w:rFonts w:hint="eastAsia" w:ascii="仿宋_GB2312" w:hAnsi="仿宋_GB2312" w:eastAsia="仿宋_GB2312" w:cs="仿宋_GB2312"/>
                <w:color w:val="auto"/>
                <w:sz w:val="24"/>
                <w:highlight w:val="none"/>
              </w:rPr>
            </w:pPr>
          </w:p>
        </w:tc>
      </w:tr>
      <w:tr w14:paraId="6A8E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392F2218">
            <w:pPr>
              <w:jc w:val="center"/>
              <w:rPr>
                <w:rFonts w:hint="eastAsia" w:ascii="仿宋_GB2312" w:hAnsi="仿宋_GB2312" w:eastAsia="仿宋_GB2312" w:cs="仿宋_GB2312"/>
                <w:color w:val="auto"/>
                <w:sz w:val="24"/>
                <w:highlight w:val="none"/>
              </w:rPr>
            </w:pPr>
          </w:p>
        </w:tc>
        <w:tc>
          <w:tcPr>
            <w:tcW w:w="1509" w:type="dxa"/>
            <w:noWrap w:val="0"/>
            <w:vAlign w:val="top"/>
          </w:tcPr>
          <w:p w14:paraId="19A6A61A">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涉海乡镇</w:t>
            </w:r>
          </w:p>
        </w:tc>
        <w:tc>
          <w:tcPr>
            <w:tcW w:w="983" w:type="dxa"/>
            <w:noWrap w:val="0"/>
            <w:vAlign w:val="center"/>
          </w:tcPr>
          <w:p w14:paraId="2B15EFD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475" w:type="dxa"/>
            <w:noWrap w:val="0"/>
            <w:vAlign w:val="center"/>
          </w:tcPr>
          <w:p w14:paraId="229E258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2272" w:type="dxa"/>
            <w:noWrap w:val="0"/>
            <w:vAlign w:val="center"/>
          </w:tcPr>
          <w:p w14:paraId="571586E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149" w:type="dxa"/>
            <w:vMerge w:val="continue"/>
            <w:noWrap w:val="0"/>
            <w:vAlign w:val="center"/>
          </w:tcPr>
          <w:p w14:paraId="2A4724F6">
            <w:pPr>
              <w:jc w:val="center"/>
              <w:rPr>
                <w:rFonts w:hint="eastAsia" w:ascii="仿宋_GB2312" w:hAnsi="仿宋_GB2312" w:eastAsia="仿宋_GB2312" w:cs="仿宋_GB2312"/>
                <w:color w:val="auto"/>
                <w:sz w:val="24"/>
                <w:highlight w:val="none"/>
              </w:rPr>
            </w:pPr>
          </w:p>
        </w:tc>
      </w:tr>
      <w:tr w14:paraId="7FC0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noWrap w:val="0"/>
            <w:vAlign w:val="center"/>
          </w:tcPr>
          <w:p w14:paraId="5629CB9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瑞安市</w:t>
            </w:r>
          </w:p>
        </w:tc>
        <w:tc>
          <w:tcPr>
            <w:tcW w:w="1509" w:type="dxa"/>
            <w:noWrap w:val="0"/>
            <w:vAlign w:val="top"/>
          </w:tcPr>
          <w:p w14:paraId="2D48EF7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大队</w:t>
            </w:r>
          </w:p>
        </w:tc>
        <w:tc>
          <w:tcPr>
            <w:tcW w:w="983" w:type="dxa"/>
            <w:noWrap w:val="0"/>
            <w:vAlign w:val="center"/>
          </w:tcPr>
          <w:p w14:paraId="2C3C442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75" w:type="dxa"/>
            <w:noWrap w:val="0"/>
            <w:vAlign w:val="center"/>
          </w:tcPr>
          <w:p w14:paraId="40FC9E1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w:t>
            </w:r>
          </w:p>
        </w:tc>
        <w:tc>
          <w:tcPr>
            <w:tcW w:w="2272" w:type="dxa"/>
            <w:noWrap w:val="0"/>
            <w:vAlign w:val="center"/>
          </w:tcPr>
          <w:p w14:paraId="1649DF6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49" w:type="dxa"/>
            <w:vMerge w:val="restart"/>
            <w:noWrap w:val="0"/>
            <w:vAlign w:val="center"/>
          </w:tcPr>
          <w:p w14:paraId="15DA72C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w:t>
            </w:r>
          </w:p>
        </w:tc>
      </w:tr>
      <w:tr w14:paraId="2DC0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noWrap w:val="0"/>
            <w:vAlign w:val="center"/>
          </w:tcPr>
          <w:p w14:paraId="0F4FB0E8">
            <w:pPr>
              <w:ind w:firstLine="482"/>
              <w:jc w:val="center"/>
              <w:rPr>
                <w:rFonts w:hint="eastAsia" w:ascii="仿宋_GB2312" w:hAnsi="仿宋_GB2312" w:eastAsia="仿宋_GB2312" w:cs="仿宋_GB2312"/>
                <w:color w:val="auto"/>
                <w:sz w:val="24"/>
                <w:highlight w:val="none"/>
              </w:rPr>
            </w:pPr>
          </w:p>
        </w:tc>
        <w:tc>
          <w:tcPr>
            <w:tcW w:w="1509" w:type="dxa"/>
            <w:noWrap w:val="0"/>
            <w:vAlign w:val="top"/>
          </w:tcPr>
          <w:p w14:paraId="1469F79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涉海乡镇</w:t>
            </w:r>
          </w:p>
        </w:tc>
        <w:tc>
          <w:tcPr>
            <w:tcW w:w="983" w:type="dxa"/>
            <w:noWrap w:val="0"/>
            <w:vAlign w:val="center"/>
          </w:tcPr>
          <w:p w14:paraId="7DE74027">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475" w:type="dxa"/>
            <w:noWrap w:val="0"/>
            <w:vAlign w:val="center"/>
          </w:tcPr>
          <w:p w14:paraId="1946FA9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45</w:t>
            </w:r>
          </w:p>
        </w:tc>
        <w:tc>
          <w:tcPr>
            <w:tcW w:w="2272" w:type="dxa"/>
            <w:noWrap w:val="0"/>
            <w:vAlign w:val="center"/>
          </w:tcPr>
          <w:p w14:paraId="6AE5CE7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149" w:type="dxa"/>
            <w:vMerge w:val="continue"/>
            <w:noWrap w:val="0"/>
            <w:vAlign w:val="center"/>
          </w:tcPr>
          <w:p w14:paraId="6C4CB8FD">
            <w:pPr>
              <w:ind w:firstLine="482"/>
              <w:rPr>
                <w:rFonts w:hint="eastAsia" w:ascii="仿宋_GB2312" w:hAnsi="仿宋_GB2312" w:eastAsia="仿宋_GB2312" w:cs="仿宋_GB2312"/>
                <w:color w:val="auto"/>
                <w:sz w:val="24"/>
                <w:highlight w:val="none"/>
              </w:rPr>
            </w:pPr>
          </w:p>
        </w:tc>
      </w:tr>
      <w:tr w14:paraId="6AB3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noWrap w:val="0"/>
            <w:vAlign w:val="center"/>
          </w:tcPr>
          <w:p w14:paraId="4020EE6F">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合计</w:t>
            </w:r>
          </w:p>
        </w:tc>
        <w:tc>
          <w:tcPr>
            <w:tcW w:w="983" w:type="dxa"/>
            <w:noWrap w:val="0"/>
            <w:vAlign w:val="center"/>
          </w:tcPr>
          <w:p w14:paraId="7A85F633">
            <w:pPr>
              <w:ind w:firstLine="480"/>
              <w:jc w:val="center"/>
              <w:rPr>
                <w:rFonts w:hint="eastAsia" w:ascii="仿宋_GB2312" w:hAnsi="仿宋_GB2312" w:eastAsia="仿宋_GB2312" w:cs="仿宋_GB2312"/>
                <w:b/>
                <w:bCs/>
                <w:color w:val="auto"/>
                <w:sz w:val="24"/>
                <w:highlight w:val="none"/>
              </w:rPr>
            </w:pPr>
          </w:p>
        </w:tc>
        <w:tc>
          <w:tcPr>
            <w:tcW w:w="1475" w:type="dxa"/>
            <w:noWrap w:val="0"/>
            <w:vAlign w:val="center"/>
          </w:tcPr>
          <w:p w14:paraId="5A2C08C0">
            <w:pPr>
              <w:jc w:val="center"/>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243</w:t>
            </w:r>
          </w:p>
        </w:tc>
        <w:tc>
          <w:tcPr>
            <w:tcW w:w="2272" w:type="dxa"/>
            <w:noWrap w:val="0"/>
            <w:vAlign w:val="center"/>
          </w:tcPr>
          <w:p w14:paraId="52089E3C">
            <w:pPr>
              <w:ind w:firstLine="480"/>
              <w:jc w:val="center"/>
              <w:rPr>
                <w:rFonts w:hint="eastAsia" w:ascii="仿宋_GB2312" w:hAnsi="仿宋_GB2312" w:eastAsia="仿宋_GB2312" w:cs="仿宋_GB2312"/>
                <w:b/>
                <w:bCs/>
                <w:color w:val="auto"/>
                <w:sz w:val="24"/>
                <w:highlight w:val="none"/>
              </w:rPr>
            </w:pPr>
          </w:p>
        </w:tc>
        <w:tc>
          <w:tcPr>
            <w:tcW w:w="1149" w:type="dxa"/>
            <w:noWrap w:val="0"/>
            <w:vAlign w:val="center"/>
          </w:tcPr>
          <w:p w14:paraId="0894C97B">
            <w:pPr>
              <w:jc w:val="center"/>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55</w:t>
            </w:r>
          </w:p>
        </w:tc>
      </w:tr>
    </w:tbl>
    <w:p w14:paraId="598D45B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p>
    <w:p w14:paraId="09B4C2F8">
      <w:pPr>
        <w:numPr>
          <w:ilvl w:val="0"/>
          <w:numId w:val="0"/>
        </w:numPr>
        <w:tabs>
          <w:tab w:val="left" w:pos="720"/>
          <w:tab w:val="left" w:pos="5355"/>
        </w:tabs>
        <w:spacing w:line="430" w:lineRule="exact"/>
        <w:ind w:left="0" w:leftChars="0" w:firstLine="0" w:firstLineChars="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kern w:val="0"/>
          <w:sz w:val="24"/>
          <w:highlight w:val="none"/>
        </w:rPr>
        <w:t>硬件清单</w:t>
      </w:r>
    </w:p>
    <w:tbl>
      <w:tblPr>
        <w:tblStyle w:val="65"/>
        <w:tblW w:w="5031"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35"/>
        <w:gridCol w:w="1681"/>
        <w:gridCol w:w="5484"/>
        <w:gridCol w:w="833"/>
      </w:tblGrid>
      <w:tr w14:paraId="3621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91B720A">
            <w:pPr>
              <w:widowControl/>
              <w:autoSpaceDE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序号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CFB98B9">
            <w:pPr>
              <w:widowControl/>
              <w:autoSpaceDE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设备名称</w:t>
            </w:r>
          </w:p>
        </w:tc>
        <w:tc>
          <w:tcPr>
            <w:tcW w:w="7165" w:type="dxa"/>
            <w:gridSpan w:val="2"/>
            <w:tcBorders>
              <w:top w:val="single" w:color="auto" w:sz="4" w:space="0"/>
              <w:left w:val="single" w:color="auto" w:sz="4" w:space="0"/>
              <w:bottom w:val="single" w:color="auto" w:sz="4" w:space="0"/>
              <w:right w:val="single" w:color="auto" w:sz="4" w:space="0"/>
            </w:tcBorders>
            <w:noWrap w:val="0"/>
            <w:vAlign w:val="center"/>
          </w:tcPr>
          <w:p w14:paraId="7365A7C1">
            <w:pPr>
              <w:widowControl/>
              <w:autoSpaceDE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配置、性能指标</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CEB397D">
            <w:pPr>
              <w:widowControl/>
              <w:autoSpaceDE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数量</w:t>
            </w:r>
          </w:p>
        </w:tc>
      </w:tr>
      <w:tr w14:paraId="5F36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44" w:type="dxa"/>
            <w:gridSpan w:val="5"/>
            <w:tcBorders>
              <w:top w:val="single" w:color="auto" w:sz="4" w:space="0"/>
              <w:left w:val="single" w:color="auto" w:sz="4" w:space="0"/>
              <w:bottom w:val="single" w:color="auto" w:sz="4" w:space="0"/>
              <w:right w:val="single" w:color="auto" w:sz="4" w:space="0"/>
            </w:tcBorders>
            <w:noWrap w:val="0"/>
            <w:vAlign w:val="center"/>
          </w:tcPr>
          <w:p w14:paraId="4530C08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（一）前端点位新建与升级</w:t>
            </w:r>
          </w:p>
        </w:tc>
      </w:tr>
      <w:tr w14:paraId="3527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29F2DF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4360E77C">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前端感知</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7AB3C1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球型鹰眼</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2355653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1.自带镜头，另配6个图像采集模块，可输出1路全景视频和1路细节视频，可将全景图像进行无缝拼接，拼接后的全景视频图像：水平视场角为270°，垂直视场角为80°；</w:t>
            </w:r>
          </w:p>
          <w:p w14:paraId="0FBA07F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2.全景视频图像2400万，细节图像400万；</w:t>
            </w:r>
          </w:p>
          <w:p w14:paraId="5AC9200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3.摄像机全景镜头光圈均不小于F1.0；</w:t>
            </w:r>
          </w:p>
          <w:p w14:paraId="291ADFA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4.内置3个GPU芯片；</w:t>
            </w:r>
          </w:p>
          <w:p w14:paraId="23D4EBF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5.彩色：0.0003lux；黑白：0.0001lux；</w:t>
            </w:r>
          </w:p>
          <w:p w14:paraId="4E8A524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6.采用高效红外阵列；</w:t>
            </w:r>
          </w:p>
          <w:p w14:paraId="6282E15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7.★红外灯开启时，设备可根据被摄物的距离自动调节红外灯功率密度。红外夜视距离：可识别距离设备550m外人体轮廓（提供公安部检测报告复印件加盖厂商公章证明）；</w:t>
            </w:r>
          </w:p>
          <w:p w14:paraId="68EB7B5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8.细节镜头焦距6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240 mm，支持40倍光学变倍，16倍数字变倍；</w:t>
            </w:r>
          </w:p>
          <w:p w14:paraId="070F163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9.支持检测当前镜头指向方向与地平面夹角，并可根据夹角变化自动调整倍率；</w:t>
            </w:r>
          </w:p>
          <w:p w14:paraId="3B15D08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10.支持镜头前盖玻璃加热功能；</w:t>
            </w:r>
          </w:p>
          <w:p w14:paraId="0C3C7E7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11.摄像机内置除湿器，可对设备内部进行除湿，除去玻璃罩上的水状附着物；</w:t>
            </w:r>
          </w:p>
          <w:p w14:paraId="6D1ADC1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12.内置7路报警输入、2路报警输出、1路音频输入、1路音频输出；</w:t>
            </w:r>
          </w:p>
          <w:p w14:paraId="6588C05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13.网络接口：光口（FC）+电口（RJ-45）网络接口设计；</w:t>
            </w:r>
          </w:p>
          <w:p w14:paraId="4349701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14.SD卡扩展：支持Micro SD/Micro SDHC/Micro SDXC卡,最大支持256G，本项目满配V30级别以上SD卡；</w:t>
            </w:r>
          </w:p>
          <w:p w14:paraId="1D2CCF7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15.支持撞击报警功能，当设备外壳受到外力撞击时，可给出语音报警提示；</w:t>
            </w:r>
          </w:p>
          <w:p w14:paraId="78C7A33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16.支持偏色矫正功能，可通过手动或自动的方式对设备视频采集模块进行偏色矫正；</w:t>
            </w:r>
          </w:p>
          <w:p w14:paraId="7280994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17.电源具有较强适应性，电源电压在DC36V±47%范围内变化时，摄像机可以正常工作；</w:t>
            </w:r>
          </w:p>
          <w:p w14:paraId="23928BF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18.防护：IP67；6000 V防雷、防浪涌、防突波，符合GB/T17626.2/3/4/5/6四级标准；</w:t>
            </w:r>
          </w:p>
          <w:p w14:paraId="71D216B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F240E7E">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13</w:t>
            </w:r>
          </w:p>
        </w:tc>
      </w:tr>
      <w:tr w14:paraId="3B75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0ECD41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9246E47">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787698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400W全彩筒机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6F5D48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1.传感器类型：1/2.8＂progressive scan CMOS；</w:t>
            </w:r>
          </w:p>
          <w:p w14:paraId="2CD5A1E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2.最大分辨率2560 × 1440 @25 fps；</w:t>
            </w:r>
          </w:p>
          <w:p w14:paraId="53BF788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3.最低照度彩色：0.0005 lx；</w:t>
            </w:r>
          </w:p>
          <w:p w14:paraId="07FBC337">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4.视音频信号的失步时间应≤1s</w:t>
            </w:r>
          </w:p>
          <w:p w14:paraId="42275B5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5.柔光灯补光，照射距离最远可达30m；</w:t>
            </w:r>
          </w:p>
          <w:p w14:paraId="4EBBC3E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6.支持背光补偿，强光抑制，3D数字降噪，120 dB宽动态；</w:t>
            </w:r>
          </w:p>
          <w:p w14:paraId="6C4CBD1E">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7.具有智能分析抗干扰功能,当小狗、篮球、树叶等非人或车辆目标经过检测区域时,不会触发报警</w:t>
            </w:r>
          </w:p>
          <w:p w14:paraId="5C82F0D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内置1个麦克风，1个报警输入，1个报警输出，1个音频输入，1个音频输出接口；</w:t>
            </w:r>
          </w:p>
          <w:p w14:paraId="51B51DA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8.网络：1个RJ45，10 M/100 M自适应以太网口；</w:t>
            </w:r>
          </w:p>
          <w:p w14:paraId="076D9FB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9.SD卡扩展：内置MicroSD/MicroSDHC/MicroSDXC插槽，最大支持256 GB，本项目满配V30级别以上SD卡；</w:t>
            </w:r>
          </w:p>
          <w:p w14:paraId="3D70806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10.支持DC12V和PoE供电；</w:t>
            </w:r>
          </w:p>
          <w:p w14:paraId="60185B1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11.不低于IP66防尘防水等级；</w:t>
            </w:r>
          </w:p>
          <w:p w14:paraId="22ABA20F">
            <w:pPr>
              <w:widowControl/>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12.当网络断开后,设备可将录像文件存储至内置SD卡中,当网络恢复后,再将这些录像文件上传至指定存储设备中</w:t>
            </w:r>
            <w:r>
              <w:rPr>
                <w:rFonts w:hint="eastAsia" w:ascii="仿宋_GB2312" w:hAnsi="仿宋_GB2312" w:eastAsia="仿宋_GB2312" w:cs="仿宋_GB2312"/>
                <w:color w:val="auto"/>
                <w:sz w:val="21"/>
                <w:szCs w:val="21"/>
                <w:highlight w:val="none"/>
                <w:lang w:eastAsia="zh-CN"/>
              </w:rPr>
              <w:t>。</w:t>
            </w:r>
          </w:p>
          <w:p w14:paraId="2CC428F5">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E2C2CFB">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90</w:t>
            </w:r>
          </w:p>
        </w:tc>
      </w:tr>
      <w:tr w14:paraId="4765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F30628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BFD1122">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15CF8E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400W球型摄像机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95DE7B5">
            <w:pPr>
              <w:widowControl/>
              <w:rPr>
                <w:rFonts w:hint="eastAsia" w:ascii="仿宋_GB2312" w:hAnsi="仿宋_GB2312" w:eastAsia="仿宋_GB2312" w:cs="仿宋_GB2312"/>
                <w:color w:val="auto"/>
                <w:sz w:val="21"/>
                <w:szCs w:val="21"/>
                <w:highlight w:val="none"/>
                <w:lang w:eastAsia="zh-CN"/>
              </w:rPr>
            </w:pPr>
            <w:r>
              <w:rPr>
                <w:rFonts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rPr>
              <w:t>1.像素:400万，焦距:6.0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198.0mm；倍率:33X；传感器靶面:1/1.8"，分辨率≥2688×1520</w:t>
            </w:r>
          </w:p>
          <w:p w14:paraId="7469F4EB">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2.在IE浏览器下，摄像机视频分辨率、帧率可设置为：2688×1520，30帧/秒；2688×1520，25帧/秒；2560×1440，30帧/秒；2560×1440，25帧/秒；1920×1080，30帧/秒；1920×1080，25帧/秒</w:t>
            </w:r>
          </w:p>
          <w:p w14:paraId="6EF63616">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3.不小于1500TVL（分辨率设置为2688×1520、帧率设置为30fps、码率设置为2Mbps、RJ45输出）；最低照度检验，彩色：≤0.001lx（AGC ON、RJ45输出、应能分辨反射式视频矩阵测试卡中彩色色块）黑白：≤0.0001lx（AGC ON、RJ45输出、应能分辨反射式视频分辨率测试卡中原型轮廓）；</w:t>
            </w:r>
          </w:p>
          <w:p w14:paraId="1BD430DF">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4.动态范围检验≥105dB；摄像机应具有宽动态能力，依据《GA /T1127-2013安全防范视频监控摄像机通用技术要求》5.3.1.7条款的规定，宽动态能力综合评价得分应≥140分；在IE浏览器下，具有H.265、H.264、MJPEG设置选项；可将H.265/H.264格式设置为Baseline/Main/High Profile、</w:t>
            </w:r>
          </w:p>
          <w:p w14:paraId="3984F0A4">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5.★具有 8 行字符显示 ，字体可设直为32×32像素、48×48像素、64×64像素、72×72像素、96×96、128×128像素等模式，字体颜色、描边、背景、空心等样式可设置；叠加的 OSD 可以在屏幕中滚动显示可以叠加图片格式的 OSD；可通过RS485接口在祝频画面上叠加 OSD（需提供公安部权威机构检测报告证明）</w:t>
            </w:r>
          </w:p>
          <w:p w14:paraId="416E48D9">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6.人数统计功能检验：摄像机可分别对在监视画面中进入和离开的人数进行统计，通过IE浏览器可配置进入、离开人数报警阈值，并可在监视画面上显示当前统计人数，当人数超过设定值可上报平台</w:t>
            </w:r>
          </w:p>
          <w:p w14:paraId="7F1C71B4">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7.夜视距离：摄像机白光补光灯开启时，可识别距离摄像机100m处人体（1.7m×0.5m）轮廓；摄像机红外补光灯开启时，可识别距离摄像机400m处人体（1.7m×0.5m）轮廓</w:t>
            </w:r>
          </w:p>
          <w:p w14:paraId="341CBDB4">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8.在IE浏览器下具有自动、关闭、开启光学透雾设置选项，透雾等级1-9级可调；当摄像机检测到雾浓度达到设定的阈值时，可自动在数字透雾和光学透雾之间进行切换</w:t>
            </w:r>
          </w:p>
          <w:p w14:paraId="023AFD0F">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智能红外功能：红外灯开启时，摄像机可根据被摄物的距离自动调节红外光功率密度；摄像机可根据场景对补光模式进行切换，采用白光补光模式时，摄像机视频图像应为彩色图像；采用红外补光模式时，摄像机视频图像应是黑白图像</w:t>
            </w:r>
          </w:p>
          <w:p w14:paraId="0AD05BF8">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10.在网络直连环境下，在只输出主码流、分辨率设置为2688×1520、帧率设置为30fps、码率2Mbps时，视频图像传输至客户端的延时时间≤120ms；在IE浏览器下，具有电子防抖设置选项</w:t>
            </w:r>
          </w:p>
          <w:p w14:paraId="616E4DC0">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11.支持人脸抓拍功能，可对经过设定区域的行人进行人脸检测、跟踪和框选提示并抓拍，并将抓拍到的人脸图片传至平台；抓拍数量可设置；可设置抓拍人脸小图 </w:t>
            </w:r>
          </w:p>
          <w:p w14:paraId="4F4464DC">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12.主码流分辨率为2688×1520，30帧/秒，2Mbps；子码流分辨率为1920×1080，30帧/秒，2Mbps；第三</w:t>
            </w:r>
            <w:r>
              <w:rPr>
                <w:rFonts w:hint="eastAsia" w:ascii="仿宋_GB2312" w:hAnsi="仿宋_GB2312" w:eastAsia="仿宋_GB2312" w:cs="仿宋_GB2312"/>
                <w:color w:val="auto"/>
                <w:sz w:val="21"/>
                <w:szCs w:val="21"/>
                <w:highlight w:val="none"/>
                <w:lang w:val="en-US" w:eastAsia="zh-CN"/>
              </w:rPr>
              <w:t>至</w:t>
            </w:r>
            <w:r>
              <w:rPr>
                <w:rFonts w:hint="eastAsia" w:ascii="仿宋_GB2312" w:hAnsi="仿宋_GB2312" w:eastAsia="仿宋_GB2312" w:cs="仿宋_GB2312"/>
                <w:color w:val="auto"/>
                <w:sz w:val="21"/>
                <w:szCs w:val="21"/>
                <w:highlight w:val="none"/>
              </w:rPr>
              <w:t>第</w:t>
            </w:r>
            <w:r>
              <w:rPr>
                <w:rFonts w:hint="eastAsia" w:ascii="仿宋_GB2312" w:hAnsi="仿宋_GB2312" w:eastAsia="仿宋_GB2312" w:cs="仿宋_GB2312"/>
                <w:color w:val="auto"/>
                <w:sz w:val="21"/>
                <w:szCs w:val="21"/>
                <w:highlight w:val="none"/>
                <w:lang w:val="en-US" w:eastAsia="zh-CN"/>
              </w:rPr>
              <w:t>五</w:t>
            </w:r>
            <w:r>
              <w:rPr>
                <w:rFonts w:hint="eastAsia" w:ascii="仿宋_GB2312" w:hAnsi="仿宋_GB2312" w:eastAsia="仿宋_GB2312" w:cs="仿宋_GB2312"/>
                <w:color w:val="auto"/>
                <w:sz w:val="21"/>
                <w:szCs w:val="21"/>
                <w:highlight w:val="none"/>
              </w:rPr>
              <w:t>码流分辨率为720×576，30帧/秒，2Mbps</w:t>
            </w:r>
          </w:p>
          <w:p w14:paraId="2B92F2FA">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13.摄像机可配置启用或关闭视频内容保护功能，启用该功能时可对视频图像码流进行随机混淆处理，即对每帧视频图像编码随机改变每帧视频数据报文中若干字节的内容后再进行网络传输；通过提取摄像机通信网络数据包方式获得的经过数字随机混淆处理的视频码流无法正常播放</w:t>
            </w:r>
          </w:p>
          <w:p w14:paraId="06A2738A">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14.客户端软件可单场景同时检出和抓拍不少于40张人脸图片；动态帧率功能：帧率1/16-30fps可调，支持帧率动态控制功能，当监视画面无运动物体时视频帧率自动调整到最低设定值；当检测到有运动物体时，视频录像帧率自动调整豆最高设定值</w:t>
            </w:r>
          </w:p>
          <w:p w14:paraId="5542F25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15.周界布防功能：支持越界入侵检测；支持进入区域检测</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支持离开区域检测；支持区域入侵检测</w:t>
            </w:r>
          </w:p>
          <w:p w14:paraId="7C6AF73D">
            <w:pPr>
              <w:widowControl/>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16.支持</w:t>
            </w:r>
            <w:r>
              <w:rPr>
                <w:rFonts w:hint="eastAsia" w:ascii="仿宋_GB2312" w:hAnsi="仿宋_GB2312" w:eastAsia="仿宋_GB2312" w:cs="仿宋_GB2312"/>
                <w:color w:val="auto"/>
                <w:sz w:val="21"/>
                <w:szCs w:val="21"/>
                <w:highlight w:val="none"/>
              </w:rPr>
              <w:t>SD卡扩展：内置MicroSD/MicroSDHC/MicroSDXC插槽，最大支持256 GB，本项目满配V30级别以上SD卡</w:t>
            </w:r>
          </w:p>
          <w:p w14:paraId="6D6EEF0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.智能温控功能：当环境温度低于设定阈值时，加热器应自动开启并工作；当环境温度高于设定阈值时，风扇应自动开启并工作</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BA678B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p>
        </w:tc>
      </w:tr>
      <w:tr w14:paraId="22EF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230956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1DDB39F">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145F98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双400W枪球一体机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400EC7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1.内置2个镜头，可以输出两路视频图像，1路全景视频图像、1路细节视频图像；</w:t>
            </w:r>
          </w:p>
          <w:p w14:paraId="79EB6D0F">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2.全景摄像机与细节摄像机互为180°夹角监控</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细节和全景均支持最大2560×1440@30fps高清画面输出；</w:t>
            </w:r>
          </w:p>
          <w:p w14:paraId="53C37DC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3.支持最低照度可达彩色0.0002Lux，黑白0.0001Lux；</w:t>
            </w:r>
          </w:p>
          <w:p w14:paraId="2A172F5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4.细节路焦距5.9</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188.8mm，支持32倍光学变倍，16倍数字变倍；</w:t>
            </w:r>
          </w:p>
          <w:p w14:paraId="32DC129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5.支持高效补光阵列，细节红外照射距离最远可达150m，白光30m，全景照射距离最远可达30m；</w:t>
            </w:r>
          </w:p>
          <w:p w14:paraId="59D055A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6.★全景摄像机具有具备4个白光灯，细节摄像机具备4颗红外灯和2颗白光灯（公安部检测报告证明）</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在彩色模式下，当环境低照度降低至设定阈值，设备可自动开启白光灯补光，在白天、夜晚均可输出彩色视频图像；</w:t>
            </w:r>
          </w:p>
          <w:p w14:paraId="2453ACA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7.支持水平手控速度不小于160°/S，垂直速度不小于120°/S，云台定位精度为±0.1°；</w:t>
            </w:r>
          </w:p>
          <w:p w14:paraId="1DCF8F6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8.水平旋转范围为360°连续旋转，垂直旋转范围为-15°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90°；</w:t>
            </w:r>
          </w:p>
          <w:p w14:paraId="6BAC2B0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9.支持300个预置位，可按照所设置的预置位完成不小于8条巡航路径，支持不小于4条模式路径设置，支持预置位视频冻结功能；可实现RS485接口优先或RJ45网络接口优先控制功能；</w:t>
            </w:r>
          </w:p>
          <w:p w14:paraId="224B20A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10.支持两进一出报警、一进一出音频、最大支持256GB micro</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SD卡存储，本项目满配V30级别以上SD卡；</w:t>
            </w:r>
          </w:p>
          <w:p w14:paraId="50B5AD5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11.支持对镜头前盖玻璃加热，去除玻璃上的冰状和水状附着物；</w:t>
            </w:r>
          </w:p>
          <w:p w14:paraId="03799C0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12.支持快捷配置功能，可在预览画面开启/关闭“快捷配置”页面，对曝光参数、OSD、智能资源分配模式等参数进行配置，并可一键恢复为默认设置；</w:t>
            </w:r>
          </w:p>
          <w:p w14:paraId="21F6AD0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13.支持循环跟踪功能，当全景视频图像中有多个目标触发报警事件后，细节视频图像可联动对多个目标循环跟踪；</w:t>
            </w:r>
          </w:p>
          <w:p w14:paraId="29AD3E07">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14.当设置为联动态时,全景通道可进行周界检测并联动细节通道跟踪目标当设置为独立态时,全景通道可独立进行周界检测同时细节通道独立进行人脸检测</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需具备智能分析抗干扰功能，当篮球、小狗、树叶等非人或车辆目标经过检测区域时，不会触发报警；支持白平衡参数锁定功能，可将白平衡参数锁定为当前设定值，锁定后白平衡参数值不应改变；</w:t>
            </w:r>
          </w:p>
          <w:p w14:paraId="3C20000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15.支持图片合成功能，报警事件触发后，设备可联动全景视频图像与细节视频图像进行抓图，并将两张报警图片合成；</w:t>
            </w:r>
          </w:p>
          <w:p w14:paraId="2C9EF7E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14:paraId="2BF52FF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17.具备较好的电源适应性，电压在DC36V±30%范围内变化时，设备可正常工作；</w:t>
            </w:r>
          </w:p>
          <w:p w14:paraId="6B2BD87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18.具备较好的防护性能环境适应性，支持IP67，6kV防浪涌，工作温度范围可达-40℃</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70℃；</w:t>
            </w:r>
          </w:p>
          <w:p w14:paraId="1B8DBA80">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3A65BDA">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168</w:t>
            </w:r>
          </w:p>
        </w:tc>
      </w:tr>
      <w:tr w14:paraId="3656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38091211">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179B463">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D695A3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600万拼接枪球一体机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51C83AD">
            <w:pPr>
              <w:widowControl/>
              <w:numPr>
                <w:ilvl w:val="0"/>
                <w:numId w:val="0"/>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sz w:val="21"/>
                <w:szCs w:val="21"/>
                <w:highlight w:val="none"/>
              </w:rPr>
              <w:t>网络摄像机CPU／GPU／NPU一体化芯片、35114加密芯片、8GBeMMC芯片、3个CMOS图像传感器（全景通道2个、细节通道1个），</w:t>
            </w:r>
          </w:p>
          <w:p w14:paraId="59451B1C">
            <w:pPr>
              <w:widowControl/>
              <w:numPr>
                <w:ilvl w:val="0"/>
                <w:numId w:val="0"/>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传感器靶面—全景:1/1.8"；最高分辨率—全景:3680*1656；最高像素—全景:600万；细节:1/1.8"；最高分辨率—细节:2688*1520；最高像素—细节:400万；</w:t>
            </w:r>
          </w:p>
          <w:p w14:paraId="1F2A2F3D">
            <w:pPr>
              <w:widowControl/>
              <w:numPr>
                <w:ilvl w:val="0"/>
                <w:numId w:val="0"/>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焦距—全景:2.2mm；变焦方式—全景:定焦；焦距—细节:6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240mm；倍率—细节:40X；</w:t>
            </w:r>
          </w:p>
          <w:p w14:paraId="0C58AFE0">
            <w:pPr>
              <w:widowControl/>
              <w:numPr>
                <w:ilvl w:val="0"/>
                <w:numId w:val="0"/>
              </w:numPr>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具有RJ45接口、SFP光纤接口、音频输入接口、音频输出接口、7个报警输入接口、2个报警输出接口、RS485接口、BNC接口、TF卡槽</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满配V30级别以上SD卡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，采用AC24V或DC24V电源供电。</w:t>
            </w:r>
          </w:p>
          <w:p w14:paraId="0931F990">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全景通道：彩色：≤0.00021x（AGCON，应能分辨反射式视频矩阵测试卡中彩色色块）黑白：≤0.00011x（AGCON，应能分辨反射式视频分辨率测试卡中圆形轮廓）；细节通道：彩色：≤0.00021x（AGCON，应能分辨反射式视频矩阵测试卡中彩色色块）黑白：≤0.00011x（AGCON，应能分辨反射式视频分辨率测试卡中圆形轮廓）</w:t>
            </w:r>
          </w:p>
          <w:p w14:paraId="0F6173F0">
            <w:pPr>
              <w:widowControl/>
              <w:autoSpaceDE w:val="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、在WEB客户端下，可电动调节全景相机镜头垂直旋转范围，调节范围0～30°；摄像机可设置全景通道的拼接距离；全景通道：水平视场角195°垂直视场角≥85°</w:t>
            </w:r>
            <w:r>
              <w:rPr>
                <w:rFonts w:hint="eastAsia" w:ascii="仿宋_GB2312" w:hAnsi="仿宋_GB2312" w:eastAsia="仿宋_GB2312" w:cs="仿宋_GB2312"/>
                <w:color w:val="auto"/>
                <w:sz w:val="21"/>
                <w:szCs w:val="21"/>
                <w:highlight w:val="none"/>
                <w:lang w:eastAsia="zh-CN"/>
              </w:rPr>
              <w:t>；</w:t>
            </w:r>
          </w:p>
          <w:p w14:paraId="5D5DC05C">
            <w:pP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、摄像机安装在6m高度时，全景通道视频画面下边缘距摄像机至地面投影中心的水平距离应≤0.5m；摄像机转动应平稳，允许有轻微抖动，但不应影响输出图像的观看效果摄像机转动时，所发出的声音应≤36dB</w:t>
            </w:r>
            <w:r>
              <w:rPr>
                <w:rFonts w:hint="eastAsia" w:ascii="仿宋_GB2312" w:hAnsi="仿宋_GB2312" w:eastAsia="仿宋_GB2312" w:cs="仿宋_GB2312"/>
                <w:color w:val="auto"/>
                <w:sz w:val="21"/>
                <w:szCs w:val="21"/>
                <w:highlight w:val="none"/>
                <w:lang w:eastAsia="zh-CN"/>
              </w:rPr>
              <w:t>；</w:t>
            </w:r>
          </w:p>
          <w:p w14:paraId="58A4F1D2">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、★摄像机支持全景相机和细节相机自动或手动标定方式，可进行全景相机画面与特写相机画面中所有坐标数据的关联自动标定时间不大于10s，标定坐标数量不小于9个（需提供公安部权威机构检测报告证明）</w:t>
            </w:r>
          </w:p>
          <w:p w14:paraId="67712C09">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、在WEB客户端下具有自动雨刷开启关闭设置选项，内置雨量传感器，当自动雨刷设置为开启时，雨量传感器监测到雨水时会自动开启雨刷，监测不到雨水后自动停止</w:t>
            </w:r>
          </w:p>
          <w:p w14:paraId="106C8B33">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rPr>
              <w:t>、联动跟踪功能：在WEB客户端下，摄像机应支持联动跟踪功能，当全景通道的区域入侵、越界、进入区域、离开区域等事件被触发后，可联动细节通道对触发报警事件的目标进行跟踪，跟踪目标类型、目标跟踪时间、镜头变倍倍数可设置</w:t>
            </w:r>
          </w:p>
          <w:p w14:paraId="45A39BD8">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跟踪抓拍功能：在WEB客户端下，摄像机应支持跟踪抓拍功能，当全景通道的区域入侵、越界、进入区域、离开区域等事件被触发后，可联动细节通道对触发报警事件的目标进行跟踪及抓拍，并可在WEB客户端显示目标属性信息。跟踪目标类型、目标跟踪时间、镜头变倍倍数可设置；摄像机可设置16个人脸库，人脸库总容量最大为10万</w:t>
            </w:r>
          </w:p>
          <w:p w14:paraId="43AC4FC6">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11</w:t>
            </w:r>
            <w:r>
              <w:rPr>
                <w:rFonts w:hint="eastAsia" w:ascii="仿宋_GB2312" w:hAnsi="仿宋_GB2312" w:eastAsia="仿宋_GB2312" w:cs="仿宋_GB2312"/>
                <w:color w:val="auto"/>
                <w:sz w:val="21"/>
                <w:szCs w:val="21"/>
                <w:highlight w:val="none"/>
              </w:rPr>
              <w:t>、应符合GB／T20138-2006《电器设备外壳对外界机械碰撞的防护等级（IK代码）》中IK10的规定，试验后外观无明显损坏，能正常工作</w:t>
            </w:r>
          </w:p>
          <w:p w14:paraId="188D9C54">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、预置位数目应≥5120个，存预置位和调预置位功能应正常；在WEB客户端下，具有除雪控制设置选项</w:t>
            </w:r>
          </w:p>
          <w:p w14:paraId="1BC3C375">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可显示机动车号牌类型，包括：大型汽车号牌、小型汽车号牌、使馆车号牌、领馆车号牌、警用车号牌、武警车号牌，军用车号牌，挂车车号牌、教练车号牌、新能源车号牌、2002式新车号牌、农用车号牌、民航车号牌、福鼎电动车号牌等</w:t>
            </w:r>
          </w:p>
          <w:p w14:paraId="14D63321">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可识别车辆类型，包括MPV商务车、小型客车、中型客车、大型客车、轿车、轿跑、SUV越野车、面包车、大货车、小货车、皮卡车、救护车、警车、集装箱卡车、微卡／栏板车、渣土车、吊车／工程车、油罐车、混凝土搅拌车、平板拖车、粉粒物料运输车、出租车、公交车</w:t>
            </w:r>
          </w:p>
          <w:p w14:paraId="1EE66901">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可对监控画面全屏区域或设定区域内出现的机动车、二轮车、三轮车和行人进行检测，可将人脸与人体、车牌与车辆进行关联显示，可对监控画面中出现的320个目标进行检测，当检测到目标后可抓拍小图，并可抓拍全景大图上传至后台服务器</w:t>
            </w:r>
          </w:p>
          <w:p w14:paraId="791AE484">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、支持人脸抓拍功能，可对经过设定区域或全部监控区域的行人进行人脸检测、跟踪和框选提示，并进行头肩照和对应全景图片的抓拍，抓拍图片数量可设置，同时支持全景大图和人脸小图关联存储</w:t>
            </w:r>
          </w:p>
          <w:p w14:paraId="5F2F162F">
            <w:pPr>
              <w:widowControl/>
              <w:autoSpaceDE w:val="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、摄像机可配置启用或关闭视频内容保护功能，启用该功能时可对视频图像码流进行随机混淆处理，即对每帧视频图像编码随机改变每帧视频数据报文中若干字节的内容后再进行网络传输</w:t>
            </w:r>
          </w:p>
          <w:p w14:paraId="581E894A">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支持AIISP图像质量提升算法，当环境照度低于设定值时，摄像机自动开启AIISP图像质量提升算法，使视频图像更清晰；夜晚天气晴朗无遮挡，开启暖光补光灯可识别距离摄像机60m处的人体（1.7m×0.5m）轮廓（需提供公安部权威机构检测报告证明）</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F969F24">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27</w:t>
            </w:r>
          </w:p>
        </w:tc>
      </w:tr>
      <w:tr w14:paraId="4E3A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163419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1FF7A2F">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D4C38E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热成像摄像机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690966C">
            <w:pPr>
              <w:widowControl/>
              <w:rPr>
                <w:rFonts w:ascii="仿宋_GB2312" w:hAnsi="仿宋_GB2312" w:eastAsia="仿宋_GB2312" w:cs="仿宋_GB2312"/>
                <w:color w:val="auto"/>
                <w:sz w:val="21"/>
                <w:szCs w:val="21"/>
                <w:highlight w:val="none"/>
              </w:rPr>
            </w:pPr>
            <w:r>
              <w:rPr>
                <w:rFonts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rPr>
              <w:t>1.像素:400万；传感器靶面:1/1.8"；最高分辨率:2688*1520；原始分辨率—热成像:384*288；像元尺寸—热成像:17μm；焦距—热成像:75mm；视场角—热成像:5.1°*3.6°；焦距:6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336mm；倍率:56倍；光圈:F1.2(W)</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F4.6(T)；</w:t>
            </w:r>
          </w:p>
          <w:p w14:paraId="4B926EDE">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2.1个RJ45网络接口、1个SD卡槽</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满配V30级别以上SD卡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、1路RS485串口、7个报警输入接口、2个报警输出接口、1个音频输入接口、1个音频输出接口、1个光纤接口，具有水平仪。</w:t>
            </w:r>
          </w:p>
          <w:p w14:paraId="4A461CBE">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3.★具有5个MCU独立控制系统。（需提供公安部权威机构检测报告证明）</w:t>
            </w:r>
          </w:p>
          <w:p w14:paraId="1F110931">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4.在WEB客户端下，重启事件记录可包括正常重启和异常重启2种类型。正常重启可记录重启的时间、服务类型、用户名、IP／域名信息；异常重启可记录重启时间、异常类型信息。</w:t>
            </w:r>
          </w:p>
          <w:p w14:paraId="5CDB218A">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5.★可同时支持10路客户端和5路web端事件布防，设备在布防时间段内主动上传感知数据，断网重连后，报警信息与报警图片可继续上传。（需提供公安部权威机构检测报告证明）</w:t>
            </w:r>
          </w:p>
          <w:p w14:paraId="1B0FC97A">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可配置启用或关闭视频内容保护功能，启用该功能时可对视频图像码流进行随机混淆处理，即对每帧视频图像编码随机改变每帧视频数据报文中若干字节的内容后再进行网络传输。通过提取通信网络数据包方式获得的经过数字随机混淆处理的视频码流无法正常播放。（需提供公安部权威机构检测报告证明）</w:t>
            </w:r>
          </w:p>
          <w:p w14:paraId="39D5082A">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摄像机在亮度异常、清晰度异常、花屏、雪花、偏色、画面冻结、增益失衡、画面抖动、条纹干扰、信号丢失、视频遮挡、光晕、紫边、存储器状态、储存器故障、非法访问、网络断开、IP冲突时、cpu占用率超出阈值，可给出报警提示。</w:t>
            </w:r>
          </w:p>
          <w:p w14:paraId="0501FCFE">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自动扫描：可在设定好的点位见完成水平扫描、垂直扫描、随机扫描、帧扫描、全景扫描；自动巡航：可按照所设定的预置位完成巡航路径，预置位停留时间可设置；模拟路径：可录制不少于512条用户对设备手动控制的运行轨迹，并可重复复现，总记录时间大于等于16min；场景轮巡：设备可按照预设时间对多个场景进行轮训。</w:t>
            </w:r>
          </w:p>
          <w:p w14:paraId="710961ED">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9.同时开启可见光视频画面和热成像视频画面，两路视频画面中同轴度误差不大于视频画面的1／4，并具有光轴调节设置，可见光变倍方式可设置为手动或者自动，手动模式下变倍倍率可设。</w:t>
            </w:r>
          </w:p>
          <w:p w14:paraId="0A582976">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10.具有4096个预置位，存预置位和调预置位功能正常，且可按序一键置顶所有已配置的预置位。</w:t>
            </w:r>
          </w:p>
          <w:p w14:paraId="0C3EF409">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11.IPC支持光口、RJ45口同时使用，RJ45口可以串接供给另外1台IPC正常使用。</w:t>
            </w:r>
          </w:p>
          <w:p w14:paraId="2B67D163">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12.热成像视频图像具有白热、熔岩、铁红、热铁、医疗、北极、彩虹1、彩虹2、彩虹3、描红、冰火、黑热、融合、深褐色、深蓝色、红热、绿热、色彩1、色彩2、雨20种显示模式。</w:t>
            </w:r>
          </w:p>
          <w:p w14:paraId="18CAAB33">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针对第一次检测到火点上报后记录当前时间和火点位置，下一次检测到火点时，如果在同一区域且与上次告警时间差值小于抑制时间，则不会进行上报，防止重复告警。（需提供公安部权威机构检测报告证明）</w:t>
            </w:r>
          </w:p>
          <w:p w14:paraId="6A1D33E7">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在Web客户端下，具有多种场景（周界、通用、客观、道路强光抑制、宽动态、星光、自定义场景等）设置选项，可手动切换或自动切换，自动切换中可选择定时切换或预置位切换，当设备处于设定的时间或预置位时可自动切换成设定的场景。</w:t>
            </w:r>
          </w:p>
          <w:p w14:paraId="50099DA5">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15.能够识别跟踪江面或海面的船只，并且能够显示船只的信息。</w:t>
            </w:r>
          </w:p>
          <w:p w14:paraId="24F7BDA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首次出厂登录WEB时具有激活密码设置功能，界面可提示用户修改为强密码使用，强制用户只能使用复杂度为高的密码（至少9位，由大小写字母、数字和特殊字符组成）登录和访问，并自动提示所设密码的复杂度，包括高、中、低三种。</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3E6407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w:t>
            </w:r>
          </w:p>
        </w:tc>
      </w:tr>
      <w:tr w14:paraId="64BA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D9E86E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3235D20">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49E279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雷视一体机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2E80597">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1、像素:400万；传感器靶面:1/1.8"；最高分辨率:2688*1520；原始分辨率—热成像:384*288；光圈—热成像:F1.0；焦距—热成像:50mm；视场角—热成像:7.2° *5.5°；焦距:6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240mm；倍率:40倍；变焦方式:电动变焦；光圈:F1.2(W)</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F4.6（T）；水平视场角:59.47°(W)</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2.20°(T)；垂直视场角:35.62°(W) to 1.23°(T)；</w:t>
            </w:r>
          </w:p>
          <w:p w14:paraId="6DA2EFB0">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2、具有5个MCU独立控制系统。</w:t>
            </w:r>
          </w:p>
          <w:p w14:paraId="59D9C0EA">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3、设备支持外接雷达设备并可进行目标定位、目标测速、联动跟踪等操作。设备支持可见光镜头和热成像镜头自动聚焦。</w:t>
            </w:r>
          </w:p>
          <w:p w14:paraId="07EB691D">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4、设备支持自动休眠和唤醒功能，可以配置多个休眠时间段,在配置的时间段内，设备可以自动关闭可见光通道机芯电源和热成像通道机芯电源、云台电源，已进入休眠模式，未在该时间段内设备自动启动。</w:t>
            </w:r>
          </w:p>
          <w:p w14:paraId="25CF7521">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5、可登录web 界面，在远程环境下完成设备断电。</w:t>
            </w:r>
          </w:p>
          <w:p w14:paraId="751A397A">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6、可响应平台下发的获取可视域信息指令，上报视场角、可视距离、安装位置、镜头方向指向。</w:t>
            </w:r>
          </w:p>
          <w:p w14:paraId="4E085A8F">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7、★可配置启用或关闭视频内容保护功能，启用该功能时可对视频图像码流进行随机混淆处理，即对每帧视频图像编码随机改变每帧视频数据报文中若干字节的内容后再进行网络传输; 通过提取通信网络数据包方式获得的经过数字随机混淆处理的视频码流无法正常播放；启用视频内容保护功能后，只有经过授权并具有解码秘钥的用户才能通过平台软件正常播放、回放和下载回传的视频数据;缺少解码秘钥的用户无法正常播放、回放和下载回传的视频数据; （需提供公安部权威机构检测报告证明）</w:t>
            </w:r>
          </w:p>
          <w:p w14:paraId="56320CEF">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8、可通过WEB客户端添加并绑定所在网段网关的MAC地址，当其他终端设备访问时，若使用正确的网关MAC地址即绑定的MAC地址则可以正常访问;当使用错误的网关 MAC地址即不是绑定的MAC地址则不能访问。</w:t>
            </w:r>
          </w:p>
          <w:p w14:paraId="69D50D72">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9、通过内置电子罗盘在监视画面上叠加镜头当前指向的方向、俯仰角、设备位置等;支持界面上的标定，可选择自动及手动标定方位。</w:t>
            </w:r>
          </w:p>
          <w:p w14:paraId="0E101C03">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10、具有自动雨刷开启关闭设置选项。内嵌雨量传感器，当自动雨刷设置开启时，雨量监测器监测到雨水时会自动开启雨刷，监测不到雨水后自动停止。</w:t>
            </w:r>
          </w:p>
          <w:p w14:paraId="0C6F0318">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11、★IPC支持光口、RJ45口同时使用,RJ45口可以串接供给另外1台IPC正常使用。（需提供公安部权威机构检测报告证明）</w:t>
            </w:r>
          </w:p>
          <w:p w14:paraId="09B69736">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12、当开启自动转动功能后，太阳光直射热成像镜头时，会自动转动到预先设定的角度。</w:t>
            </w:r>
          </w:p>
          <w:p w14:paraId="0D48AC62">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13、★热成像视频图像和可见光视频图像可分别设置512个高温点屏蔽区域，区域为多边形。（需提供公安部权威机构检测报告证明）</w:t>
            </w:r>
          </w:p>
          <w:p w14:paraId="5AE56D0D">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14、★支持划分负区和正区，在一个预置位中可以选择设置烟火检测的检测区域与非检测区域。（需提供公安部权威机构检测报告证明）</w:t>
            </w:r>
          </w:p>
          <w:p w14:paraId="7D227BF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15、设备热成像及可见光视频通道均支持连续变焦功能。</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F26E1D6">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46D5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55D3A1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2D47C01">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A750AF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电子喊话系统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20D95E7">
            <w:pPr>
              <w:widowControl/>
              <w:numPr>
                <w:ilvl w:val="0"/>
                <w:numId w:val="13"/>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摄像头外接专用广播喇叭，输出功率不低于100W，材质ABS工程塑料，支持12V</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24V电压，内置隔离变压器降噪无杂音，带滤波功能，即插即用、实时喊话，自动开关机，配置音频线和电源适配器；</w:t>
            </w:r>
          </w:p>
          <w:p w14:paraId="290B972F">
            <w:pPr>
              <w:widowControl/>
              <w:numPr>
                <w:ilvl w:val="0"/>
                <w:numId w:val="13"/>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D9C2394">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55</w:t>
            </w:r>
          </w:p>
        </w:tc>
      </w:tr>
      <w:tr w14:paraId="11F3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0C87C7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9</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482DB8B">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329AE7C">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AIS接收器</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99EA847">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频率范围：156.025～162.025MHz（全频道）；</w:t>
            </w:r>
          </w:p>
          <w:p w14:paraId="25B0F356">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默认频道：AIS1、AIS2；带宽：25kHz；</w:t>
            </w:r>
          </w:p>
          <w:p w14:paraId="0DD42CBB">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接收灵敏度：-112dBm；</w:t>
            </w:r>
          </w:p>
          <w:p w14:paraId="73EFE05F">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数据接口：RS232一个，RS422一个，LAN输出口（可选）；</w:t>
            </w:r>
          </w:p>
          <w:p w14:paraId="08801220">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数据输出格式/速率：NMEA 0183，38400bps；</w:t>
            </w:r>
          </w:p>
          <w:p w14:paraId="2761A080">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天线插座形式：50Ω，TNC（GPS天线）、BNC（VHF天线）（含天线）；</w:t>
            </w:r>
          </w:p>
          <w:p w14:paraId="2DC893CE">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电源电压：DC 24V（范围：DC 12V </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38V）；</w:t>
            </w:r>
          </w:p>
          <w:p w14:paraId="78640814">
            <w:pPr>
              <w:widowControl/>
              <w:numPr>
                <w:ilvl w:val="0"/>
                <w:numId w:val="14"/>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06A6B2F">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7</w:t>
            </w:r>
          </w:p>
        </w:tc>
      </w:tr>
      <w:tr w14:paraId="4804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3462F4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w:t>
            </w:r>
          </w:p>
        </w:tc>
        <w:tc>
          <w:tcPr>
            <w:tcW w:w="735" w:type="dxa"/>
            <w:vMerge w:val="restart"/>
            <w:tcBorders>
              <w:top w:val="nil"/>
              <w:left w:val="single" w:color="auto" w:sz="4" w:space="0"/>
              <w:bottom w:val="single" w:color="auto" w:sz="4" w:space="0"/>
              <w:right w:val="single" w:color="auto" w:sz="4" w:space="0"/>
            </w:tcBorders>
            <w:noWrap w:val="0"/>
            <w:vAlign w:val="center"/>
          </w:tcPr>
          <w:p w14:paraId="226023B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高空海岛</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22A29FC">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55倍中载云台</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DDDB68D">
            <w:pPr>
              <w:widowControl/>
              <w:numPr>
                <w:ilvl w:val="0"/>
                <w:numId w:val="15"/>
              </w:num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传感器类型：1/1.8＂progressive scan CMOS；</w:t>
            </w:r>
          </w:p>
          <w:p w14:paraId="52B52FF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2.支持最低照度可达彩色0.005 lx，黑白0.001 lx；</w:t>
            </w:r>
          </w:p>
          <w:p w14:paraId="64C07F5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3.焦距6.0</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330mm，55倍光学变倍，16倍数字变倍；</w:t>
            </w:r>
          </w:p>
          <w:p w14:paraId="23747BD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4.支持水平手控速度不小于120°/S，垂直手控速度不小于50°/s。水平旋转范围为360°连续旋转，垂直旋转范围为-90°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40°；</w:t>
            </w:r>
          </w:p>
          <w:p w14:paraId="342112E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5.支持300个预置位，可按照所设置的预置位完成不小于8条巡航路径，每条巡航路径可设置不小于32个预置点；</w:t>
            </w:r>
          </w:p>
          <w:p w14:paraId="398AB52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6.支持激光补光，最远补光距离1000m；</w:t>
            </w:r>
          </w:p>
          <w:p w14:paraId="56B98C2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7.支持H.265高效压缩算法，可较大节省存储空间；</w:t>
            </w:r>
          </w:p>
          <w:p w14:paraId="331E5FC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支持三码流、ROI、光学透雾、宽动态、电子防抖等功能；</w:t>
            </w:r>
          </w:p>
          <w:p w14:paraId="0EFB492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8.内置GPU芯片；</w:t>
            </w:r>
          </w:p>
          <w:p w14:paraId="50B71C9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9.支持7路报警输入接口，2路报警输出接口，支持1路音频输入和输出接口，最大支持256GB的SD卡，本项目满配V30级别以上SD卡；</w:t>
            </w:r>
          </w:p>
          <w:p w14:paraId="18421FB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10.设备可通过电子罗盘在监控画面上叠加镜头当前指向方位和角度；</w:t>
            </w:r>
          </w:p>
          <w:p w14:paraId="10ED935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11.★设备具备BDS和GPS定位功能，并能够在监控画面叠加样机所在的经纬度信息和海拔信息（提供公安部检测报告复印件加盖厂商公章证明）；</w:t>
            </w:r>
          </w:p>
          <w:p w14:paraId="5E2E43D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12.设备可响应平台下发的获取可视域信息指令，上报样机视场角、可视距离、安装位置、镜头指向方位，视场角及可视距离可随倍率变化而改变</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传动方式为谐波减速机；</w:t>
            </w:r>
          </w:p>
          <w:p w14:paraId="7B816FC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13.支持雨刷功能；</w:t>
            </w:r>
          </w:p>
          <w:p w14:paraId="3C362BE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14.具备较好的电源适应性，电压在AC24V±50%范围内变化时，设备可正常工作；</w:t>
            </w:r>
          </w:p>
          <w:p w14:paraId="50C0296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15.具备较好的防护性能环境适应性，支持IP67，工作温度范围可达-40℃</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70℃；</w:t>
            </w:r>
          </w:p>
          <w:p w14:paraId="675EBFFB">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67D8F2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12</w:t>
            </w:r>
          </w:p>
        </w:tc>
      </w:tr>
      <w:tr w14:paraId="54FF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2EEE2C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w:t>
            </w:r>
          </w:p>
        </w:tc>
        <w:tc>
          <w:tcPr>
            <w:tcW w:w="735" w:type="dxa"/>
            <w:vMerge w:val="continue"/>
            <w:tcBorders>
              <w:top w:val="nil"/>
              <w:left w:val="single" w:color="auto" w:sz="4" w:space="0"/>
              <w:bottom w:val="single" w:color="auto" w:sz="4" w:space="0"/>
              <w:right w:val="single" w:color="auto" w:sz="4" w:space="0"/>
            </w:tcBorders>
            <w:noWrap w:val="0"/>
            <w:vAlign w:val="center"/>
          </w:tcPr>
          <w:p w14:paraId="31345ED8">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9A7747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80倍重载云台</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B53C5E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1.传感器类型：1/1.8＂progressive scan CMOS；</w:t>
            </w:r>
          </w:p>
          <w:p w14:paraId="5DAE3C4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2.最低照度可达彩色0.0002lx，黑白0.0001lx；</w:t>
            </w:r>
          </w:p>
          <w:p w14:paraId="4338D93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3.焦距：6.8</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550mm，80倍光学变倍，16倍数字变倍；</w:t>
            </w:r>
          </w:p>
          <w:p w14:paraId="5AB03D9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w w:val="90"/>
                <w:sz w:val="21"/>
                <w:szCs w:val="21"/>
                <w:highlight w:val="none"/>
              </w:rPr>
              <w:t>水平旋转范围为360连续旋转，垂直旋转范围为-45</w:t>
            </w:r>
            <w:r>
              <w:rPr>
                <w:rFonts w:hint="eastAsia" w:ascii="仿宋_GB2312" w:hAnsi="仿宋_GB2312" w:eastAsia="仿宋_GB2312" w:cs="仿宋_GB2312"/>
                <w:color w:val="auto"/>
                <w:w w:val="90"/>
                <w:sz w:val="21"/>
                <w:szCs w:val="21"/>
                <w:highlight w:val="none"/>
                <w:lang w:eastAsia="zh-CN"/>
              </w:rPr>
              <w:t>～</w:t>
            </w:r>
            <w:r>
              <w:rPr>
                <w:rFonts w:hint="eastAsia" w:ascii="仿宋_GB2312" w:hAnsi="仿宋_GB2312" w:eastAsia="仿宋_GB2312" w:cs="仿宋_GB2312"/>
                <w:color w:val="auto"/>
                <w:w w:val="90"/>
                <w:sz w:val="21"/>
                <w:szCs w:val="21"/>
                <w:highlight w:val="none"/>
              </w:rPr>
              <w:t>70；</w:t>
            </w:r>
          </w:p>
          <w:p w14:paraId="460F91C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5.支持水平手控速度不小于30°/S，垂直手控速度不小于15°/S；</w:t>
            </w:r>
          </w:p>
          <w:p w14:paraId="5B54EE1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6.支持300个预置位，可按照所设置的预置位完成不小于8条巡航路径，每条巡航路径可设置不小于32个预置点；</w:t>
            </w:r>
          </w:p>
          <w:p w14:paraId="0F20004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7.支持光学防抖、光学透雾等，有效提升视频质量；</w:t>
            </w:r>
          </w:p>
          <w:p w14:paraId="435ADEB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具备BDS定位和GPS定位功能，并能够在监控画面叠加设备所在的经纬度信息和海拔信息；</w:t>
            </w:r>
          </w:p>
          <w:p w14:paraId="70E78C8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8.可通过内置电子罗盘在监视画面上叠加设备镜头当前指向方位和角度；</w:t>
            </w:r>
          </w:p>
          <w:p w14:paraId="14732E7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9.传动方式为谐波减速机；</w:t>
            </w:r>
          </w:p>
          <w:p w14:paraId="1E7C646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设备运动结束静止在某个位置，当水平和垂直角度方向受到外力作用发生偏移时，能够检测角度改变并产生报警信息，并可在OSD上叠加报警信息。进行偏移自动校正后实际停止位置与原位置之间偏差角度应≤0.05°（提供公安部检测报告复印件加盖厂商公章证明）；</w:t>
            </w:r>
          </w:p>
          <w:p w14:paraId="51548C0B">
            <w:pP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11.当设备在运动过程中，由于机械结构或外力因素导致设备发生失步，运动结束的实际位置和理想位置有偏移时，能够自动开启位置矫正</w:t>
            </w:r>
            <w:r>
              <w:rPr>
                <w:rFonts w:hint="eastAsia" w:ascii="仿宋_GB2312" w:hAnsi="仿宋_GB2312" w:eastAsia="仿宋_GB2312" w:cs="仿宋_GB2312"/>
                <w:color w:val="auto"/>
                <w:sz w:val="21"/>
                <w:szCs w:val="21"/>
                <w:highlight w:val="none"/>
                <w:lang w:val="en-US" w:eastAsia="zh-CN"/>
              </w:rPr>
              <w:t>;</w:t>
            </w:r>
          </w:p>
          <w:p w14:paraId="510109A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12.支持自动智能雨刷；</w:t>
            </w:r>
          </w:p>
          <w:p w14:paraId="111CBB8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13.设备具有1颗算力为2TOPS的GPU芯片、1颗8GB eMMC芯片、1个水平仪、1个呼吸阀、2个风扇，1个RS485接口、1个音频输入接口、1个音频输出接口、7个报警输入接口、2个报警输出接口，1个ABF按键、1个SD卡插槽（本项目满配V30级别以上SD卡）、1个RJ45网络接口；</w:t>
            </w:r>
          </w:p>
          <w:p w14:paraId="7FACEC3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14.内置除湿器，开启后可去除玻璃上的冰状和水状附着物，可通过防水透气膜对水汽进行单向排除，并防止外部水汽进入；</w:t>
            </w:r>
          </w:p>
          <w:p w14:paraId="4395BFC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15.支持IP66，工作温度范围可达-40℃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70℃；</w:t>
            </w:r>
          </w:p>
          <w:p w14:paraId="690D7673">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0A96C96">
            <w:pPr>
              <w:widowControl/>
              <w:autoSpaceDE w:val="0"/>
              <w:jc w:val="center"/>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9</w:t>
            </w:r>
          </w:p>
        </w:tc>
      </w:tr>
      <w:tr w14:paraId="1057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D74EC1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12</w:t>
            </w:r>
          </w:p>
        </w:tc>
        <w:tc>
          <w:tcPr>
            <w:tcW w:w="735" w:type="dxa"/>
            <w:vMerge w:val="continue"/>
            <w:tcBorders>
              <w:top w:val="nil"/>
              <w:left w:val="single" w:color="auto" w:sz="4" w:space="0"/>
              <w:bottom w:val="single" w:color="auto" w:sz="4" w:space="0"/>
              <w:right w:val="single" w:color="auto" w:sz="4" w:space="0"/>
            </w:tcBorders>
            <w:noWrap w:val="0"/>
            <w:vAlign w:val="center"/>
          </w:tcPr>
          <w:p w14:paraId="6954772C">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A4CC60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全彩双目80倍激光重载云台</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4BC51F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1.采用双镜头设计，兼顾全景细节；全景细节均采用400万1/1.8＂progressive scan CMOS；</w:t>
            </w:r>
          </w:p>
          <w:p w14:paraId="2AEE9DB6">
            <w:pPr>
              <w:widowControl/>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2.支持将双路视频编码成单路模式输出，客户端播放出效果是画中画，大图小图双路视频可调配，并且小图比例可配置为1/3或1/4大小，小图位置可随意拖动</w:t>
            </w:r>
            <w:r>
              <w:rPr>
                <w:rFonts w:hint="eastAsia" w:ascii="仿宋_GB2312" w:hAnsi="仿宋_GB2312" w:eastAsia="仿宋_GB2312" w:cs="仿宋_GB2312"/>
                <w:color w:val="auto"/>
                <w:sz w:val="21"/>
                <w:szCs w:val="21"/>
                <w:highlight w:val="none"/>
                <w:lang w:val="en-US" w:eastAsia="zh-CN"/>
              </w:rPr>
              <w:t>;</w:t>
            </w:r>
          </w:p>
          <w:p w14:paraId="363BCFC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3.最低照度可达彩色0.0002lx，黑白0.0001lx；</w:t>
            </w:r>
          </w:p>
          <w:p w14:paraId="650C3E7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4.焦距：10</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800mm，80倍光学变倍，16倍数字变倍；</w:t>
            </w:r>
          </w:p>
          <w:p w14:paraId="4C9CBF9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w w:val="90"/>
                <w:sz w:val="21"/>
                <w:szCs w:val="21"/>
                <w:highlight w:val="none"/>
              </w:rPr>
              <w:t>水平旋转范围为360连续旋转，垂直旋转范围为-45</w:t>
            </w:r>
            <w:r>
              <w:rPr>
                <w:rFonts w:hint="eastAsia" w:ascii="仿宋_GB2312" w:hAnsi="仿宋_GB2312" w:eastAsia="仿宋_GB2312" w:cs="仿宋_GB2312"/>
                <w:color w:val="auto"/>
                <w:w w:val="90"/>
                <w:sz w:val="21"/>
                <w:szCs w:val="21"/>
                <w:highlight w:val="none"/>
                <w:lang w:eastAsia="zh-CN"/>
              </w:rPr>
              <w:t>～</w:t>
            </w:r>
            <w:r>
              <w:rPr>
                <w:rFonts w:hint="eastAsia" w:ascii="仿宋_GB2312" w:hAnsi="仿宋_GB2312" w:eastAsia="仿宋_GB2312" w:cs="仿宋_GB2312"/>
                <w:color w:val="auto"/>
                <w:w w:val="90"/>
                <w:sz w:val="21"/>
                <w:szCs w:val="21"/>
                <w:highlight w:val="none"/>
              </w:rPr>
              <w:t>70；</w:t>
            </w:r>
          </w:p>
          <w:p w14:paraId="00E88C6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6.支持水平手控速度不小于30°/S，垂直手控速度不小于15°/S；</w:t>
            </w:r>
          </w:p>
          <w:p w14:paraId="39E90D8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7.支持300个预置位，可按照所设置的预置位完成不小于8条巡航路径，每条巡航路径可设置不小于32个预置点；</w:t>
            </w:r>
          </w:p>
          <w:p w14:paraId="48EEB97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8.★支持光学防抖、光学透雾等，有效提升视频质量；白天可视距离10000米，夜间可识别距离设备3500m处的人体轮廓（提供公安部检测报告复印件加盖厂商公章证明）；</w:t>
            </w:r>
          </w:p>
          <w:p w14:paraId="6CCA225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9.红外激光补光，最远补光距离3km；</w:t>
            </w:r>
          </w:p>
          <w:p w14:paraId="6D243FF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10.激光水平和垂直照明角度范围：0.3°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31°；</w:t>
            </w:r>
          </w:p>
          <w:p w14:paraId="5AF4299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11.具有预置位关联功能，可在设置预置位的同时，存储该预置位设置的激光亮度、光斑大小和中心位置，调用该预置位后，激光光源的亮度、光斑大小和中心位置与预先保存的参数值一致；</w:t>
            </w:r>
          </w:p>
          <w:p w14:paraId="5B6A129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12.具备BDS定位和GPS定位功能，并能够在监控画面叠加设备所在的经纬度信息和海拔信息；</w:t>
            </w:r>
          </w:p>
          <w:p w14:paraId="4C98A35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13.可通过内置电子罗盘在监视画面上叠加设备镜头当前指向方位和角度；</w:t>
            </w:r>
          </w:p>
          <w:p w14:paraId="7826698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14.传动方式为谐波减速机；</w:t>
            </w:r>
          </w:p>
          <w:p w14:paraId="5B05E26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设备运动结束静止在某个位置，当水平和垂直角度方向受到外力作用发生偏移时，能够检测角度改变并产生报警信息，并可在OSD上叠加报警信息。进行偏移自动校正后实际停止位置与原位置之间偏差角度应≤0.05°；</w:t>
            </w:r>
          </w:p>
          <w:p w14:paraId="1AE886C5">
            <w:pPr>
              <w:widowControl/>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16.当设备在运动过程中，由于机械结构或外力因素导致设备发生失步，运动结束的实际位置和理想位置有偏移时，能够自动开启位置矫正；</w:t>
            </w:r>
          </w:p>
          <w:p w14:paraId="5BE7859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17.具备双雨刷，激光器及镜头视窗前分别包含1个雨刷；</w:t>
            </w:r>
          </w:p>
          <w:p w14:paraId="15A067B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18.设备具有1颗算力为2TOPS的GPU芯片、1颗8GB eMMC芯片、1个水平仪、1个呼吸阀、2个风扇，1个RS485接口、1个音频输入接口、1个音频输出接口、7个报警输入接口、2个报警输出接口，1个ABF按键、1个SD卡插槽（本项目满配V30级别以上SD卡）、1个RJ45网络接口；</w:t>
            </w:r>
          </w:p>
          <w:p w14:paraId="43B1F0A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19.内置除湿器，开启后可去除玻璃上的冰状和水状附着物，可通过防水透气膜对水汽进行单向排除，并防止外部水汽进入；</w:t>
            </w:r>
          </w:p>
          <w:p w14:paraId="0C1DFA2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20.电源：DC48V；</w:t>
            </w:r>
          </w:p>
          <w:p w14:paraId="669F8FE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21.支持IP66，工作温度范围可达-40℃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70℃；</w:t>
            </w:r>
          </w:p>
          <w:p w14:paraId="453E8C77">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8A47BEC">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6</w:t>
            </w:r>
          </w:p>
        </w:tc>
      </w:tr>
      <w:tr w14:paraId="2406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A9B4BF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w:t>
            </w:r>
          </w:p>
        </w:tc>
        <w:tc>
          <w:tcPr>
            <w:tcW w:w="735" w:type="dxa"/>
            <w:vMerge w:val="continue"/>
            <w:tcBorders>
              <w:top w:val="nil"/>
              <w:left w:val="single" w:color="auto" w:sz="4" w:space="0"/>
              <w:bottom w:val="single" w:color="auto" w:sz="4" w:space="0"/>
              <w:right w:val="single" w:color="auto" w:sz="4" w:space="0"/>
            </w:tcBorders>
            <w:noWrap w:val="0"/>
            <w:vAlign w:val="center"/>
          </w:tcPr>
          <w:p w14:paraId="0BC36A1C">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1A8FEC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100倍双光谱转台</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74B72E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1.热成像分辨率：640 × 512；</w:t>
            </w:r>
          </w:p>
          <w:p w14:paraId="43254FF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2.热成像焦距：23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230 mm；</w:t>
            </w:r>
          </w:p>
          <w:p w14:paraId="31CAEE72">
            <w:pPr>
              <w:widowControl/>
              <w:jc w:val="both"/>
              <w:rPr>
                <w:rFonts w:hint="eastAsia" w:ascii="仿宋_GB2312" w:hAnsi="仿宋_GB2312" w:eastAsia="仿宋_GB2312" w:cs="仿宋_GB2312"/>
                <w:color w:val="auto"/>
                <w:w w:val="90"/>
                <w:sz w:val="21"/>
                <w:szCs w:val="21"/>
                <w:highlight w:val="none"/>
              </w:rPr>
            </w:pPr>
            <w:r>
              <w:rPr>
                <w:rFonts w:hint="eastAsia" w:ascii="仿宋_GB2312" w:hAnsi="仿宋_GB2312" w:eastAsia="仿宋_GB2312" w:cs="仿宋_GB2312"/>
                <w:color w:val="auto"/>
                <w:w w:val="90"/>
                <w:sz w:val="21"/>
                <w:szCs w:val="21"/>
                <w:highlight w:val="none"/>
              </w:rPr>
              <w:t>3.热成像视场角：2.8°(H)2.3°(V)-27.6°4.(H)21.9°(V)；</w:t>
            </w:r>
          </w:p>
          <w:p w14:paraId="324CA29E">
            <w:pPr>
              <w:widowControl/>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5.可见光分辨率：1920×1080，200万实时高清；</w:t>
            </w:r>
          </w:p>
          <w:p w14:paraId="29B429F0">
            <w:pPr>
              <w:widowControl/>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6.可见光焦距：10～1000mm，光学变倍100倍；</w:t>
            </w:r>
          </w:p>
          <w:p w14:paraId="36D4461C">
            <w:pPr>
              <w:widowControl/>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7.可见光视场角：31.2°(H)17.8°(V)-0.41°8.(H)0.23°(V)；</w:t>
            </w:r>
          </w:p>
          <w:p w14:paraId="240B3B74">
            <w:pPr>
              <w:widowControl/>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9.自动透雾设置检验</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支持自动透雾设置，可对监控场景中雾气情况进行检测并自动调整相关透雾参数及成像效果</w:t>
            </w:r>
            <w:r>
              <w:rPr>
                <w:rFonts w:hint="eastAsia" w:ascii="仿宋_GB2312" w:hAnsi="仿宋_GB2312" w:eastAsia="仿宋_GB2312" w:cs="仿宋_GB2312"/>
                <w:color w:val="auto"/>
                <w:sz w:val="21"/>
                <w:szCs w:val="21"/>
                <w:highlight w:val="none"/>
                <w:lang w:val="en-US" w:eastAsia="zh-CN"/>
              </w:rPr>
              <w:t>.</w:t>
            </w:r>
          </w:p>
          <w:p w14:paraId="0B3EFF0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10.支持光学防抖，将镜头倍率设置为最大，快门设置为1/25s，在振动台振幅不大于0.3º，振动频率不大于10Hz情况下，设备视场角应无明显变化，视频图像在振动过程中应保持稳定清晰；</w:t>
            </w:r>
          </w:p>
          <w:p w14:paraId="053C03D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11.单台设备水平平均无故障运行次数（MCBF）不少于300万次；</w:t>
            </w:r>
          </w:p>
          <w:p w14:paraId="0F606E0F">
            <w:pPr>
              <w:widowControl/>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12.支持双目联动功能：当热成像视频通道出现温度异常报警或智能行为分析报警时</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可见光视频通道将联动聚焦放大</w:t>
            </w:r>
            <w:r>
              <w:rPr>
                <w:rFonts w:hint="eastAsia" w:ascii="仿宋_GB2312" w:hAnsi="仿宋_GB2312" w:eastAsia="仿宋_GB2312" w:cs="仿宋_GB2312"/>
                <w:color w:val="auto"/>
                <w:sz w:val="21"/>
                <w:szCs w:val="21"/>
                <w:highlight w:val="none"/>
                <w:lang w:val="en-US" w:eastAsia="zh-CN"/>
              </w:rPr>
              <w:t>；</w:t>
            </w:r>
          </w:p>
          <w:p w14:paraId="7E3C0E6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13.设备支持雷达联动功能检验：支持雷达接入，根据雷达下发的坐标进行联动跟踪；</w:t>
            </w:r>
          </w:p>
          <w:p w14:paraId="03C9B7D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14.设备支持3个MCU独立控制系统；</w:t>
            </w:r>
          </w:p>
          <w:p w14:paraId="7349DAE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15.设备支持热成像镜头磁编反馈系统；</w:t>
            </w:r>
          </w:p>
          <w:p w14:paraId="0CB4350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16.支持断电状态记忆功能，上电后自动回到断电前的云台和镜头状态；</w:t>
            </w:r>
          </w:p>
          <w:p w14:paraId="30FEC1E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17.设备具有智能雨感雨刷功能，支持手动、自动、定时等雨刷模式，当设置为自动雨刷时，雨量监测器监测到雨水时会自动开启雨刷，监测不到雨水后自动停止；</w:t>
            </w:r>
          </w:p>
          <w:p w14:paraId="463D4E0C">
            <w:pPr>
              <w:keepNext w:val="0"/>
              <w:keepLines w:val="0"/>
              <w:pageBreakBefore w:val="0"/>
              <w:widowControl/>
              <w:kinsoku/>
              <w:wordWrap/>
              <w:overflowPunct/>
              <w:topLinePunct w:val="0"/>
              <w:autoSpaceDN/>
              <w:bidi w:val="0"/>
              <w:adjustRightInd/>
              <w:snapToGrid/>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18.★自适应巡航功能检验：可进行自适应巡航设置，可根据监控场景中天空边界自动生成巡航路径（提供公安部检测报告复印件加盖厂商公章证明）；</w:t>
            </w:r>
          </w:p>
          <w:p w14:paraId="285E4244">
            <w:pPr>
              <w:pStyle w:val="12"/>
              <w:keepNext w:val="0"/>
              <w:keepLines w:val="0"/>
              <w:pageBreakBefore w:val="0"/>
              <w:kinsoku/>
              <w:wordWrap/>
              <w:overflowPunct/>
              <w:topLinePunct w:val="0"/>
              <w:autoSpaceDN/>
              <w:bidi w:val="0"/>
              <w:adjustRightInd/>
              <w:snapToGrid/>
              <w:spacing w:after="0" w:afterLine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19.最大支持256GB micro-SD卡存储，本项目满配V30级别以上SD卡；</w:t>
            </w:r>
          </w:p>
          <w:p w14:paraId="60F9E8CC">
            <w:pPr>
              <w:keepNext w:val="0"/>
              <w:keepLines w:val="0"/>
              <w:pageBreakBefore w:val="0"/>
              <w:widowControl/>
              <w:kinsoku/>
              <w:wordWrap/>
              <w:overflowPunct/>
              <w:topLinePunct w:val="0"/>
              <w:autoSpaceDN/>
              <w:bidi w:val="0"/>
              <w:adjustRightInd/>
              <w:snapToGrid/>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20.电源输入：电源盒支持宽压输入AC110V</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AC305V, 50/60 Hz；设备端DC48V±20%；</w:t>
            </w:r>
          </w:p>
          <w:p w14:paraId="2181F7EB">
            <w:pPr>
              <w:keepNext w:val="0"/>
              <w:keepLines w:val="0"/>
              <w:pageBreakBefore w:val="0"/>
              <w:widowControl/>
              <w:kinsoku/>
              <w:wordWrap/>
              <w:overflowPunct/>
              <w:topLinePunct w:val="0"/>
              <w:autoSpaceDN/>
              <w:bidi w:val="0"/>
              <w:adjustRightInd/>
              <w:snapToGrid/>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21.防护等级：IP67，电磁兼容符合GB/T17626.5四级标准；</w:t>
            </w:r>
          </w:p>
          <w:p w14:paraId="16F589B7">
            <w:pPr>
              <w:keepNext w:val="0"/>
              <w:keepLines w:val="0"/>
              <w:pageBreakBefore w:val="0"/>
              <w:widowControl/>
              <w:kinsoku/>
              <w:wordWrap/>
              <w:overflowPunct/>
              <w:topLinePunct w:val="0"/>
              <w:autoSpaceDE w:val="0"/>
              <w:autoSpaceDN/>
              <w:bidi w:val="0"/>
              <w:adjustRightInd/>
              <w:snapToGrid/>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22.提供三年原厂保修。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E80B3A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1DC2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ED55FE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w:t>
            </w:r>
          </w:p>
        </w:tc>
        <w:tc>
          <w:tcPr>
            <w:tcW w:w="735" w:type="dxa"/>
            <w:vMerge w:val="restart"/>
            <w:tcBorders>
              <w:top w:val="nil"/>
              <w:left w:val="single" w:color="auto" w:sz="4" w:space="0"/>
              <w:bottom w:val="single" w:color="auto" w:sz="4" w:space="0"/>
              <w:right w:val="single" w:color="auto" w:sz="4" w:space="0"/>
            </w:tcBorders>
            <w:noWrap w:val="0"/>
            <w:vAlign w:val="center"/>
          </w:tcPr>
          <w:p w14:paraId="699B472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基础施工</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7C6DE1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立杆4米</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F21B97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1.立杆采用圆杆Q235优质钢采用高热镀锌处理，高度4米、横臂1米，立杆下端外接圆直径应在 200 mm±10mm、上端外接圆对角直径应在 140 mm±5mm；</w:t>
            </w:r>
          </w:p>
          <w:p w14:paraId="3AA951E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2.管壁厚度应4±0.15mm，具体壁厚根据材料的机械强度及设备重量设计，立杆应做灌筑基础，基础深度应不小于1200mm，底部直径应不小于800mm；</w:t>
            </w:r>
          </w:p>
          <w:p w14:paraId="14A45FED">
            <w:pPr>
              <w:widowControl/>
              <w:autoSpaceDE w:val="0"/>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3.杆件保证5年内雨淋、日晒不脱落、不会明显褪色。</w:t>
            </w:r>
          </w:p>
          <w:p w14:paraId="3475D2C3">
            <w:pPr>
              <w:widowControl/>
              <w:autoSpaceDE w:val="0"/>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4.最终根据现场施工情况进行定制。</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A7A8A64">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8</w:t>
            </w:r>
          </w:p>
        </w:tc>
      </w:tr>
      <w:tr w14:paraId="69C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631C0F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15</w:t>
            </w:r>
          </w:p>
        </w:tc>
        <w:tc>
          <w:tcPr>
            <w:tcW w:w="735" w:type="dxa"/>
            <w:vMerge w:val="continue"/>
            <w:tcBorders>
              <w:top w:val="nil"/>
              <w:left w:val="single" w:color="auto" w:sz="4" w:space="0"/>
              <w:bottom w:val="single" w:color="auto" w:sz="4" w:space="0"/>
              <w:right w:val="single" w:color="auto" w:sz="4" w:space="0"/>
            </w:tcBorders>
            <w:noWrap w:val="0"/>
            <w:vAlign w:val="center"/>
          </w:tcPr>
          <w:p w14:paraId="7F4F777C">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8E75A5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立杆6米</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0F069E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1.立杆采用八角Q235优质钢采用高热镀锌处理，高度6米、横臂1米，立杆下端外接圆直径应在240mm±10mm、上端外接圆对角直径应在180mm±5mm；</w:t>
            </w:r>
          </w:p>
          <w:p w14:paraId="1B9ABC2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2.管壁厚度应6±0.15mm，具体壁厚根据材料的机械强度及设备重量设计，立杆应做灌筑基础，基础深度应不小于1300mm，底部直径应不小于900mm；</w:t>
            </w:r>
          </w:p>
          <w:p w14:paraId="28AA0146">
            <w:pPr>
              <w:widowControl/>
              <w:autoSpaceDE w:val="0"/>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3.杆件保证5年内雨淋、日晒不脱落、不会明显褪色。</w:t>
            </w:r>
          </w:p>
          <w:p w14:paraId="2C4B2136">
            <w:pPr>
              <w:widowControl/>
              <w:autoSpaceDE w:val="0"/>
              <w:rPr>
                <w:rFonts w:hint="eastAsia"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4.最终根据现场施工点位具体情况进行定制。</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6B83D5F">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15</w:t>
            </w:r>
          </w:p>
        </w:tc>
      </w:tr>
      <w:tr w14:paraId="7E9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2319D4C">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16</w:t>
            </w:r>
          </w:p>
        </w:tc>
        <w:tc>
          <w:tcPr>
            <w:tcW w:w="735" w:type="dxa"/>
            <w:vMerge w:val="continue"/>
            <w:tcBorders>
              <w:top w:val="nil"/>
              <w:left w:val="single" w:color="auto" w:sz="4" w:space="0"/>
              <w:bottom w:val="single" w:color="auto" w:sz="4" w:space="0"/>
              <w:right w:val="single" w:color="auto" w:sz="4" w:space="0"/>
            </w:tcBorders>
            <w:noWrap w:val="0"/>
            <w:vAlign w:val="center"/>
          </w:tcPr>
          <w:p w14:paraId="5F45D805">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A2FAE4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立杆8米</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6C2608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1.立杆采用八角Q235优质钢采用高热镀锌处理，高度8米、横臂1米，立杆下端外接圆直径应在280 mm±10mm、上端外接圆对角直径应在220 mm±5mm，加装爬梯；</w:t>
            </w:r>
          </w:p>
          <w:p w14:paraId="23D42C7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2.管壁厚度应6±0.15mm，具体壁厚根据材料的机械强度及设备重量设计，立杆应做灌筑基础，基础深度应不小于1400mm，底部直径应不小于1200mm；</w:t>
            </w:r>
          </w:p>
          <w:p w14:paraId="4BCCF3F3">
            <w:pPr>
              <w:widowControl/>
              <w:autoSpaceDE w:val="0"/>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3.杆件保证5年内雨淋、日晒不脱落、不会明显褪色。</w:t>
            </w:r>
          </w:p>
          <w:p w14:paraId="7FDE4440">
            <w:pPr>
              <w:widowControl/>
              <w:autoSpaceDE w:val="0"/>
              <w:rPr>
                <w:rFonts w:hint="eastAsia"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4.最终根据现场施工点位具体情况进行定制。</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E6D4E11">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46</w:t>
            </w:r>
          </w:p>
        </w:tc>
      </w:tr>
      <w:tr w14:paraId="1D72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1A25E6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17</w:t>
            </w:r>
          </w:p>
        </w:tc>
        <w:tc>
          <w:tcPr>
            <w:tcW w:w="735" w:type="dxa"/>
            <w:vMerge w:val="continue"/>
            <w:tcBorders>
              <w:top w:val="nil"/>
              <w:left w:val="single" w:color="auto" w:sz="4" w:space="0"/>
              <w:bottom w:val="single" w:color="auto" w:sz="4" w:space="0"/>
              <w:right w:val="single" w:color="auto" w:sz="4" w:space="0"/>
            </w:tcBorders>
            <w:noWrap w:val="0"/>
            <w:vAlign w:val="center"/>
          </w:tcPr>
          <w:p w14:paraId="63353346">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B057ED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借杆、借墙支架（含利旧点位）</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5850575">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支架表面热镀锌，并经喷塑处理，各焊接点应进行打磨、防锈等处理，所有望线孔、出线孔均需用盖板盖住，</w:t>
            </w:r>
            <w:r>
              <w:rPr>
                <w:rFonts w:hint="eastAsia" w:ascii="仿宋_GB2312" w:hAnsi="仿宋_GB2312" w:eastAsia="仿宋_GB2312" w:cs="仿宋_GB2312"/>
                <w:color w:val="auto"/>
                <w:sz w:val="21"/>
                <w:szCs w:val="21"/>
                <w:highlight w:val="none"/>
              </w:rPr>
              <w:t>最终根据现场施工点位具体情况进行定制。</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6CBFD23">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215</w:t>
            </w:r>
          </w:p>
        </w:tc>
      </w:tr>
      <w:tr w14:paraId="07B6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7D821A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18</w:t>
            </w:r>
          </w:p>
        </w:tc>
        <w:tc>
          <w:tcPr>
            <w:tcW w:w="735" w:type="dxa"/>
            <w:vMerge w:val="continue"/>
            <w:tcBorders>
              <w:top w:val="nil"/>
              <w:left w:val="single" w:color="auto" w:sz="4" w:space="0"/>
              <w:bottom w:val="single" w:color="auto" w:sz="4" w:space="0"/>
              <w:right w:val="single" w:color="auto" w:sz="4" w:space="0"/>
            </w:tcBorders>
            <w:noWrap w:val="0"/>
            <w:vAlign w:val="center"/>
          </w:tcPr>
          <w:p w14:paraId="0F83A5B6">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FB00BA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楼顶支架及底板</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8D206D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支架表面热镀锌，并经喷塑处理，各焊接点应进行打磨、防锈等处理。支架底板采用300×600mm长方形钢材，厚度为8mm。</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F99398D">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28</w:t>
            </w:r>
          </w:p>
        </w:tc>
      </w:tr>
      <w:tr w14:paraId="5A6A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C53BAA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19</w:t>
            </w:r>
          </w:p>
        </w:tc>
        <w:tc>
          <w:tcPr>
            <w:tcW w:w="735" w:type="dxa"/>
            <w:vMerge w:val="continue"/>
            <w:tcBorders>
              <w:top w:val="nil"/>
              <w:left w:val="single" w:color="auto" w:sz="4" w:space="0"/>
              <w:bottom w:val="single" w:color="auto" w:sz="4" w:space="0"/>
              <w:right w:val="single" w:color="auto" w:sz="4" w:space="0"/>
            </w:tcBorders>
            <w:noWrap w:val="0"/>
            <w:vAlign w:val="center"/>
          </w:tcPr>
          <w:p w14:paraId="42A502E6">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5FEF171">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海岛及高空瞭望点位塔体</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C32F417">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塔体为角钢，避雷针为钢管，铁塔高度为4米，防风14级以上，角钢为Q235B钢，钢管为20号钢，其质量应分别符合GB700-2006和GB699-2015的规定，焊条采用T43型，质量标准应符合GB/T 5117-2012《非合金钢及细晶粒钢焊条》规定。</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E20F650">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9</w:t>
            </w:r>
          </w:p>
        </w:tc>
      </w:tr>
      <w:tr w14:paraId="584A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02567B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20</w:t>
            </w:r>
          </w:p>
        </w:tc>
        <w:tc>
          <w:tcPr>
            <w:tcW w:w="735" w:type="dxa"/>
            <w:vMerge w:val="continue"/>
            <w:tcBorders>
              <w:top w:val="nil"/>
              <w:left w:val="single" w:color="auto" w:sz="4" w:space="0"/>
              <w:bottom w:val="single" w:color="auto" w:sz="4" w:space="0"/>
              <w:right w:val="single" w:color="auto" w:sz="4" w:space="0"/>
            </w:tcBorders>
            <w:noWrap w:val="0"/>
            <w:vAlign w:val="center"/>
          </w:tcPr>
          <w:p w14:paraId="71B065F1">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6E0C98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海岛及高空瞭望点位杆件</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BDBAE9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1.立杆采用八角Q235优质钢采用高热镀锌处理，高度6米，立杆下端外接圆直径应在280mm±5mm, 上端外接圆对角直径应在220mm±10mm、加装爬梯；</w:t>
            </w:r>
          </w:p>
          <w:p w14:paraId="17BCCF4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2.管壁厚度应6±0.15mm，具体壁厚根据材料的机械强度及设备重量设计，立杆应做灌筑基础，基础深度应不小于1500mm，底部直径应不小于1300mm；</w:t>
            </w:r>
          </w:p>
          <w:p w14:paraId="0B3340DB">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3.杆件保证5年内雨淋、日晒不脱落、不会明显褪色。</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74D1CA8">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w:t>
            </w:r>
          </w:p>
        </w:tc>
      </w:tr>
      <w:tr w14:paraId="515A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334A50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21</w:t>
            </w:r>
          </w:p>
        </w:tc>
        <w:tc>
          <w:tcPr>
            <w:tcW w:w="735" w:type="dxa"/>
            <w:vMerge w:val="continue"/>
            <w:tcBorders>
              <w:top w:val="nil"/>
              <w:left w:val="single" w:color="auto" w:sz="4" w:space="0"/>
              <w:bottom w:val="single" w:color="auto" w:sz="4" w:space="0"/>
              <w:right w:val="single" w:color="auto" w:sz="4" w:space="0"/>
            </w:tcBorders>
            <w:noWrap w:val="0"/>
            <w:vAlign w:val="center"/>
          </w:tcPr>
          <w:p w14:paraId="6134FB02">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8C3690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4米杆件基础及施工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6C483C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1.立杆应有较高强度抗台风、防摄像机抖动、防攀爬、防腐，安装好之后整体强度能防御12级以上台风、8级以上地震；立杆应做灌筑基础，基础深度应不小于1200mm，底部直径应不小于800mm；</w:t>
            </w:r>
          </w:p>
          <w:p w14:paraId="466147E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2.杆底端焊接固定法兰盘，预留拉线孔，地基应是硬质；立杆安装应牢固，不得歪斜，需用水平仪来测定；制作要美观，其顶部应做防水帽；</w:t>
            </w:r>
          </w:p>
          <w:p w14:paraId="59A0101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3.在杆的顶部设有避雷针，能够引导直击雷入地；每一根金属立杆都必须接地，其接地电阻小于10欧；</w:t>
            </w:r>
          </w:p>
          <w:p w14:paraId="72CC14F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4.立杆底部用螺栓与基础固定，电源线和光缆从立杆底部进入，在杆的上部设有摄像机安装横杆，可吊装快球摄像机；杆的中下部有网络及电源设备箱，具备良好的防护、散热功能；</w:t>
            </w:r>
          </w:p>
          <w:p w14:paraId="75F580C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5.没有特殊情况所有监控立杆预埋件混凝土为C25砼，所配钢筋符合国标及受风要求。其中水泥为425号普通硅酸盐水泥。混凝土的配比和最小水泥用量应符合GBJ204-83的规定。</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6D88BDF">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8</w:t>
            </w:r>
          </w:p>
        </w:tc>
      </w:tr>
      <w:tr w14:paraId="7EE5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50127F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w:t>
            </w:r>
          </w:p>
        </w:tc>
        <w:tc>
          <w:tcPr>
            <w:tcW w:w="735" w:type="dxa"/>
            <w:vMerge w:val="continue"/>
            <w:tcBorders>
              <w:top w:val="nil"/>
              <w:left w:val="single" w:color="auto" w:sz="4" w:space="0"/>
              <w:bottom w:val="single" w:color="auto" w:sz="4" w:space="0"/>
              <w:right w:val="single" w:color="auto" w:sz="4" w:space="0"/>
            </w:tcBorders>
            <w:noWrap w:val="0"/>
            <w:vAlign w:val="center"/>
          </w:tcPr>
          <w:p w14:paraId="4530F456">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4A43EDC">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6米立杆件基础及施工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6BE565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1.立杆应有较高强度抗台风、防摄像机抖动、防攀爬、防腐，安装好之后整体强度能防御12级以上台风、8级以上地震；立杆应做灌筑基础，基础深度应不小于1300mm，底部直径应不小于900mm；</w:t>
            </w:r>
          </w:p>
          <w:p w14:paraId="30416E6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2.杆底端焊接固定法兰盘，预留拉线孔，地基应是硬质；立杆安装应牢固，不得歪斜，需用水平仪来测定；制作要美观，其顶部应做防水帽；</w:t>
            </w:r>
          </w:p>
          <w:p w14:paraId="1E05157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3.在杆的顶部设有避雷针，能够引导直击雷入地；每一根金属立杆都必须接地，其接地电阻小于10欧；</w:t>
            </w:r>
          </w:p>
          <w:p w14:paraId="51BDC04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4.立杆底部用螺栓与基础固定，电源线和光缆从立杆底部进入，在杆的上部设有摄像机安装横杆，可吊装快球摄像机；杆的中下部有网络及电源设备箱，具备良好的防护、散热功能；</w:t>
            </w:r>
          </w:p>
          <w:p w14:paraId="63EB9EBF">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5.没有特殊情况所有监控立杆预埋件混凝土为C25砼，所配钢筋符合国标及受风要求。其中水泥为425号普通硅酸盐水泥。混凝土的配比和最小水泥用量应符合GBJ204-83的规定。</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83D7B1D">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1</w:t>
            </w:r>
          </w:p>
        </w:tc>
      </w:tr>
      <w:tr w14:paraId="6E5C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794B2C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23</w:t>
            </w:r>
          </w:p>
        </w:tc>
        <w:tc>
          <w:tcPr>
            <w:tcW w:w="735" w:type="dxa"/>
            <w:vMerge w:val="continue"/>
            <w:tcBorders>
              <w:top w:val="nil"/>
              <w:left w:val="single" w:color="auto" w:sz="4" w:space="0"/>
              <w:bottom w:val="single" w:color="auto" w:sz="4" w:space="0"/>
              <w:right w:val="single" w:color="auto" w:sz="4" w:space="0"/>
            </w:tcBorders>
            <w:noWrap w:val="0"/>
            <w:vAlign w:val="center"/>
          </w:tcPr>
          <w:p w14:paraId="61189E6F">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3E5A3F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8米立杆件基础及施工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90B0EE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1.立杆应有较高强度抗台风、防摄像机抖动、防腐，安装好之后整体强度能防御12级以上台风、8级以上地震；立杆应做灌筑基础，基础深度应不小于1400mm，底部直径应不小于1200mm；</w:t>
            </w:r>
          </w:p>
          <w:p w14:paraId="2351520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2.杆底端焊接固定法兰盘，预留拉线孔，地基应是硬质；立杆安装应牢固，不得歪斜，需用水平仪来测定；制作要美观，其顶部应做防水帽；</w:t>
            </w:r>
          </w:p>
          <w:p w14:paraId="4D6F2C5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3.在杆的顶部设有避雷针，能够引导直击雷入地；每一根金属立杆都必须接地，其接地电阻小于10欧；</w:t>
            </w:r>
          </w:p>
          <w:p w14:paraId="0C5BACC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4.立杆底部用螺栓与基础固定，电源线和光缆从立杆底部进入，在杆的上部设有摄像机安装横杆，可吊装快球摄像机；杆的中下部有网络及电源设备箱，具备良好的防护、散热功能；</w:t>
            </w:r>
          </w:p>
          <w:p w14:paraId="47D782FB">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5.没有特殊情况所有监控立杆预埋件混凝土为C25砼，所配钢筋符合国标及受风要求。其中水泥为425号普通硅酸盐水泥。混凝土的配比和最小水泥用量应符合GBJ204-83的规定。</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2CBDED7">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46</w:t>
            </w:r>
          </w:p>
        </w:tc>
      </w:tr>
      <w:tr w14:paraId="3788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0582BF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24</w:t>
            </w:r>
          </w:p>
        </w:tc>
        <w:tc>
          <w:tcPr>
            <w:tcW w:w="735" w:type="dxa"/>
            <w:vMerge w:val="continue"/>
            <w:tcBorders>
              <w:top w:val="nil"/>
              <w:left w:val="single" w:color="auto" w:sz="4" w:space="0"/>
              <w:bottom w:val="single" w:color="auto" w:sz="4" w:space="0"/>
              <w:right w:val="single" w:color="auto" w:sz="4" w:space="0"/>
            </w:tcBorders>
            <w:noWrap w:val="0"/>
            <w:vAlign w:val="center"/>
          </w:tcPr>
          <w:p w14:paraId="237C7268">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DD7463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普通点位利旧改造施工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04E4864">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包括新增的电源线、信号线、防雷接地，原杆件清理，拆杆、穿管、穿线，前端光端机等</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61B1B46">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127</w:t>
            </w:r>
          </w:p>
        </w:tc>
      </w:tr>
      <w:tr w14:paraId="7E66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21D06D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25</w:t>
            </w:r>
          </w:p>
        </w:tc>
        <w:tc>
          <w:tcPr>
            <w:tcW w:w="735" w:type="dxa"/>
            <w:vMerge w:val="continue"/>
            <w:tcBorders>
              <w:top w:val="nil"/>
              <w:left w:val="single" w:color="auto" w:sz="4" w:space="0"/>
              <w:bottom w:val="single" w:color="auto" w:sz="4" w:space="0"/>
              <w:right w:val="single" w:color="auto" w:sz="4" w:space="0"/>
            </w:tcBorders>
            <w:noWrap w:val="0"/>
            <w:vAlign w:val="center"/>
          </w:tcPr>
          <w:p w14:paraId="693C3277">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000515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借杆或借墙点位施工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5AD8FDA">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包括新增的电源线、信号线、防雷接地、穿管、穿线，前端光端机等（含需协调点位使用费）</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2D744C2">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68</w:t>
            </w:r>
          </w:p>
        </w:tc>
      </w:tr>
      <w:tr w14:paraId="3B4E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5410D1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26</w:t>
            </w:r>
          </w:p>
        </w:tc>
        <w:tc>
          <w:tcPr>
            <w:tcW w:w="735" w:type="dxa"/>
            <w:vMerge w:val="continue"/>
            <w:tcBorders>
              <w:top w:val="nil"/>
              <w:left w:val="single" w:color="auto" w:sz="4" w:space="0"/>
              <w:bottom w:val="single" w:color="auto" w:sz="4" w:space="0"/>
              <w:right w:val="single" w:color="auto" w:sz="4" w:space="0"/>
            </w:tcBorders>
            <w:noWrap w:val="0"/>
            <w:vAlign w:val="center"/>
          </w:tcPr>
          <w:p w14:paraId="5B25B1F0">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D9099B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楼顶点位施工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E942CF0">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包括电源线、信号线、防雷接地、穿管、穿线，前端光端机等（含需协调点位使用费）</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52F484B">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28</w:t>
            </w:r>
          </w:p>
        </w:tc>
      </w:tr>
      <w:tr w14:paraId="18AB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ADE4A7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27</w:t>
            </w:r>
          </w:p>
        </w:tc>
        <w:tc>
          <w:tcPr>
            <w:tcW w:w="735" w:type="dxa"/>
            <w:vMerge w:val="continue"/>
            <w:tcBorders>
              <w:top w:val="nil"/>
              <w:left w:val="single" w:color="auto" w:sz="4" w:space="0"/>
              <w:bottom w:val="single" w:color="auto" w:sz="4" w:space="0"/>
              <w:right w:val="single" w:color="auto" w:sz="4" w:space="0"/>
            </w:tcBorders>
            <w:noWrap w:val="0"/>
            <w:vAlign w:val="center"/>
          </w:tcPr>
          <w:p w14:paraId="7FA22307">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683CD5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海岛点位借杆或借墙点位施工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F1F699C">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包括新增的电源线、信号线、防雷接地、穿管、穿线，前端光端机等（含需协调点位使用费）</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DDF91A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20</w:t>
            </w:r>
          </w:p>
        </w:tc>
      </w:tr>
      <w:tr w14:paraId="3ECF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CFF13C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28</w:t>
            </w:r>
          </w:p>
        </w:tc>
        <w:tc>
          <w:tcPr>
            <w:tcW w:w="735" w:type="dxa"/>
            <w:vMerge w:val="continue"/>
            <w:tcBorders>
              <w:top w:val="nil"/>
              <w:left w:val="single" w:color="auto" w:sz="4" w:space="0"/>
              <w:bottom w:val="single" w:color="auto" w:sz="4" w:space="0"/>
              <w:right w:val="single" w:color="auto" w:sz="4" w:space="0"/>
            </w:tcBorders>
            <w:noWrap w:val="0"/>
            <w:vAlign w:val="center"/>
          </w:tcPr>
          <w:p w14:paraId="62863051">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7AE655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海岛点位6米杆件基础及施工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FE4C23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1.立杆应有较高强度抗台风、防摄像机抖动、防攀爬、防腐，安装好之后整体强度能防御12级以上台风、8级以上地震；立杆应做灌筑基础，基础深度应不小于1300mm，底部直径应不小于900mm；</w:t>
            </w:r>
          </w:p>
          <w:p w14:paraId="3D787FE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2.杆底端焊接固定法兰盘，预留拉线孔，地基应是硬质；立杆安装应牢固，不得歪斜，需用水平仪来测定；制作要美观，其顶部应做防水帽；</w:t>
            </w:r>
          </w:p>
          <w:p w14:paraId="7AC6574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3.在杆的顶部设有避雷针，能够引导直击雷入地；每一根金属立杆都必须接地，其接地电阻小于10欧；</w:t>
            </w:r>
          </w:p>
          <w:p w14:paraId="6E1F8B8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4.立杆底部用螺栓与基础固定，电源线和光缆从立杆底部进入，在杆的上部设有摄像机安装横杆，可吊装快球摄像机；杆的中下部有网络及电源设备箱，具备良好的防护、散热功能；</w:t>
            </w:r>
          </w:p>
          <w:p w14:paraId="1A70D10A">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5.没有特殊情况所有监控立杆预埋件混凝土为C25砼，所配钢筋符合国标及受风要求。其中水泥为425号普通硅酸盐水泥。混凝土的配比和最小水泥用量应符合GBJ204-83的规定。</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440648C">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4</w:t>
            </w:r>
          </w:p>
        </w:tc>
      </w:tr>
      <w:tr w14:paraId="19C0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C26828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29</w:t>
            </w:r>
          </w:p>
        </w:tc>
        <w:tc>
          <w:tcPr>
            <w:tcW w:w="735" w:type="dxa"/>
            <w:vMerge w:val="continue"/>
            <w:tcBorders>
              <w:top w:val="nil"/>
              <w:left w:val="single" w:color="auto" w:sz="4" w:space="0"/>
              <w:bottom w:val="single" w:color="auto" w:sz="4" w:space="0"/>
              <w:right w:val="single" w:color="auto" w:sz="4" w:space="0"/>
            </w:tcBorders>
            <w:noWrap w:val="0"/>
            <w:vAlign w:val="center"/>
          </w:tcPr>
          <w:p w14:paraId="574062EC">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6D6250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高空瞭望点位基础及施工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DE1201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1.立杆应有较高强度抗台风、防摄像机抖动、防腐，安装好之后整体强度能防御14级以上台风、8级以上地震；立杆应做灌筑基础，基础深度应不小于1500mm，底部直径应不小于1300mm；</w:t>
            </w:r>
          </w:p>
          <w:p w14:paraId="2601901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2.杆底端焊接固定法兰盘，预留拉线孔，地基应是硬质；立杆安装应牢固，不得歪斜，需用水平仪来测定；制作要美观，其顶部应做防水帽；</w:t>
            </w:r>
          </w:p>
          <w:p w14:paraId="558EE0E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3.在杆的顶部设有避雷针，能够引导直击雷入地；每一根金属立杆都必须接地，其接地电阻小于10欧；</w:t>
            </w:r>
          </w:p>
          <w:p w14:paraId="3A00CCD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4.立杆底部用螺栓与基础固定，电源线和光缆从立杆底部进入，在杆的上部设有摄像机安装横杆，可吊装快球摄像机；杆的中下部有网络及电源设备箱，具备良好的防护、散热功能；</w:t>
            </w:r>
          </w:p>
          <w:p w14:paraId="6A0F6F89">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5.没有特殊情况所有监控立杆预埋件混凝土为C25砼，所配钢筋符合国标及受风要求。其中水泥为425号普通硅酸盐水泥。混凝土的配比和最小水泥用量应符合GBJ204-83的规定。</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5E4121D">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w:t>
            </w:r>
          </w:p>
        </w:tc>
      </w:tr>
      <w:tr w14:paraId="0A7D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EA0ECD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30</w:t>
            </w:r>
          </w:p>
        </w:tc>
        <w:tc>
          <w:tcPr>
            <w:tcW w:w="735" w:type="dxa"/>
            <w:vMerge w:val="continue"/>
            <w:tcBorders>
              <w:top w:val="nil"/>
              <w:left w:val="single" w:color="auto" w:sz="4" w:space="0"/>
              <w:bottom w:val="single" w:color="auto" w:sz="4" w:space="0"/>
              <w:right w:val="single" w:color="auto" w:sz="4" w:space="0"/>
            </w:tcBorders>
            <w:noWrap w:val="0"/>
            <w:vAlign w:val="center"/>
          </w:tcPr>
          <w:p w14:paraId="2F6F4E02">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D7282F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海岛高空瞭望点位基础及施工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AF3CF40">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基础采用商品砼C25（搅拌混凝土）灌筑，深度大于0.8m，底部正方形边长应不小于1.6m，铁塔基础四个角位置预埋M24地脚螺栓，钢材采用Q235B钢，螺纹涂黄油并用麻布包扎。施工应严格按照《地基与基础工程施工及验收规范》及《混凝土结构施工及验收规范》进行。</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0D3C79A">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9</w:t>
            </w:r>
          </w:p>
        </w:tc>
      </w:tr>
      <w:tr w14:paraId="639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E66D2A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31</w:t>
            </w:r>
          </w:p>
        </w:tc>
        <w:tc>
          <w:tcPr>
            <w:tcW w:w="735" w:type="dxa"/>
            <w:vMerge w:val="continue"/>
            <w:tcBorders>
              <w:top w:val="nil"/>
              <w:left w:val="single" w:color="auto" w:sz="4" w:space="0"/>
              <w:bottom w:val="single" w:color="auto" w:sz="4" w:space="0"/>
              <w:right w:val="single" w:color="auto" w:sz="4" w:space="0"/>
            </w:tcBorders>
            <w:noWrap w:val="0"/>
            <w:vAlign w:val="center"/>
          </w:tcPr>
          <w:p w14:paraId="224D18A0">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AFCAD0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风光互补点位基础及施工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CD25217">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二次运输、支架、配件、辅材及基础等</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F742F8B">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04DB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4BCA8F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w:t>
            </w:r>
          </w:p>
        </w:tc>
        <w:tc>
          <w:tcPr>
            <w:tcW w:w="735" w:type="dxa"/>
            <w:vMerge w:val="restart"/>
            <w:tcBorders>
              <w:top w:val="nil"/>
              <w:left w:val="single" w:color="auto" w:sz="4" w:space="0"/>
              <w:bottom w:val="single" w:color="auto" w:sz="4" w:space="0"/>
              <w:right w:val="single" w:color="auto" w:sz="4" w:space="0"/>
            </w:tcBorders>
            <w:noWrap w:val="0"/>
            <w:vAlign w:val="center"/>
          </w:tcPr>
          <w:p w14:paraId="43D9000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电力保障</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1FE292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风力发电机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8810194">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额定功率：1kw；最大功率：1.5kw；额定电压：48v；启动风速：2.5M/S；额定风速：10M/S；安全风速：45m/s；主机净重：35KG；风轮直径：2.4m；叶片高度：1.1；叶片数量：3片；叶片材料：增强玻璃钢；机身材料：优质合金钢；发电机：三相交流永磁；控制系统：电磁刹车；偏航方式：自动迎风角度；润滑方式：自润滑；塔架形式：独立塔架；工作温度：-40℃～80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534FEC8">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18E3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21946D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w:t>
            </w:r>
          </w:p>
        </w:tc>
        <w:tc>
          <w:tcPr>
            <w:tcW w:w="735" w:type="dxa"/>
            <w:vMerge w:val="continue"/>
            <w:tcBorders>
              <w:top w:val="nil"/>
              <w:left w:val="single" w:color="auto" w:sz="4" w:space="0"/>
              <w:bottom w:val="single" w:color="auto" w:sz="4" w:space="0"/>
              <w:right w:val="single" w:color="auto" w:sz="4" w:space="0"/>
            </w:tcBorders>
            <w:noWrap w:val="0"/>
            <w:vAlign w:val="center"/>
          </w:tcPr>
          <w:p w14:paraId="5F74BD33">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E9C8ED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单晶太阳能板</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ACEE35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1.最高转换效率：22%以上；</w:t>
            </w:r>
          </w:p>
          <w:p w14:paraId="40E2178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2.★STC测试条件下最大功率420W以上，短路电流(Isc)温度系数 +0.050%/℃，开路电压(Voc )温度系数 -0.230%/℃，峰值功率(Pmax)温度系数 -0.290%/℃；</w:t>
            </w:r>
          </w:p>
          <w:p w14:paraId="1D783F1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3.★功率公差：0～3%；</w:t>
            </w:r>
          </w:p>
          <w:p w14:paraId="23DF662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4.工作温度：-40℃～+85℃； </w:t>
            </w:r>
          </w:p>
          <w:p w14:paraId="5576870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5.正面最大静态载荷5400Pa，背面最大静态载荷2400Pa，通过冰雹测试：直径25mm，冲击速度23m/s；</w:t>
            </w:r>
          </w:p>
          <w:p w14:paraId="015DDCD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6.组件尺寸：1722×1134×30mm±10%；</w:t>
            </w:r>
          </w:p>
          <w:p w14:paraId="45A4C00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7.阳极氧化铝合金边框；</w:t>
            </w:r>
          </w:p>
          <w:p w14:paraId="20F42F0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8.分体接线盒，IP68防水；</w:t>
            </w:r>
          </w:p>
          <w:p w14:paraId="1BFF364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9.安全防护等级：Class II；</w:t>
            </w:r>
          </w:p>
          <w:p w14:paraId="39557C0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10.产品质保：15年；</w:t>
            </w:r>
          </w:p>
          <w:p w14:paraId="5E86B24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11.功率质保：25年；</w:t>
            </w:r>
          </w:p>
          <w:p w14:paraId="113EAB32">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12.组件防火等级：Class A。</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05CD54A">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4</w:t>
            </w:r>
            <w:r>
              <w:rPr>
                <w:rFonts w:hint="eastAsia" w:ascii="仿宋_GB2312" w:hAnsi="仿宋_GB2312" w:eastAsia="仿宋_GB2312" w:cs="仿宋_GB2312"/>
                <w:color w:val="auto"/>
                <w:sz w:val="22"/>
                <w:szCs w:val="22"/>
                <w:highlight w:val="none"/>
                <w:lang w:val="en-US" w:eastAsia="zh-CN"/>
              </w:rPr>
              <w:t>0</w:t>
            </w:r>
          </w:p>
        </w:tc>
      </w:tr>
      <w:tr w14:paraId="34CC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3D82E55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34</w:t>
            </w:r>
          </w:p>
        </w:tc>
        <w:tc>
          <w:tcPr>
            <w:tcW w:w="735" w:type="dxa"/>
            <w:vMerge w:val="continue"/>
            <w:tcBorders>
              <w:top w:val="nil"/>
              <w:left w:val="single" w:color="auto" w:sz="4" w:space="0"/>
              <w:bottom w:val="single" w:color="auto" w:sz="4" w:space="0"/>
              <w:right w:val="single" w:color="auto" w:sz="4" w:space="0"/>
            </w:tcBorders>
            <w:noWrap w:val="0"/>
            <w:vAlign w:val="center"/>
          </w:tcPr>
          <w:p w14:paraId="50B8BB4E">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BC7E1E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风能控制器</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31DF00D">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蓄电池额定电压：48V；风机输入功率：700W</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1500W；通讯方式：RS485；工作温度：-20℃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+55℃；功能特性：LCD液晶显示系统工作数据，限压、限流充电方式，完善的系统保护功能。</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57496F6">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5184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82FB0B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35</w:t>
            </w:r>
          </w:p>
        </w:tc>
        <w:tc>
          <w:tcPr>
            <w:tcW w:w="735" w:type="dxa"/>
            <w:vMerge w:val="continue"/>
            <w:tcBorders>
              <w:top w:val="nil"/>
              <w:left w:val="single" w:color="auto" w:sz="4" w:space="0"/>
              <w:bottom w:val="single" w:color="auto" w:sz="4" w:space="0"/>
              <w:right w:val="single" w:color="auto" w:sz="4" w:space="0"/>
            </w:tcBorders>
            <w:noWrap w:val="0"/>
            <w:vAlign w:val="center"/>
          </w:tcPr>
          <w:p w14:paraId="42A382ED">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A4AB6A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太阳能控制器</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F968D66">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系统电压：48V；额定充电电流：60A；MPPT太阳能控制器追踪效率：最高可达99.9%；功能特性：自带LCD屏显示功能，可查看设备运行数据和状态，支持控制器参数更改，支持标准modebus协议，满足不同场合通信需求。</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8EB9A2A">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776B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B76CE8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36</w:t>
            </w:r>
          </w:p>
        </w:tc>
        <w:tc>
          <w:tcPr>
            <w:tcW w:w="735" w:type="dxa"/>
            <w:vMerge w:val="continue"/>
            <w:tcBorders>
              <w:top w:val="nil"/>
              <w:left w:val="single" w:color="auto" w:sz="4" w:space="0"/>
              <w:bottom w:val="single" w:color="auto" w:sz="4" w:space="0"/>
              <w:right w:val="single" w:color="auto" w:sz="4" w:space="0"/>
            </w:tcBorders>
            <w:noWrap w:val="0"/>
            <w:vAlign w:val="center"/>
          </w:tcPr>
          <w:p w14:paraId="521302DC">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C32F26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工频逆变器</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BA95F97">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输入额定电压：48V；输入电压范围：42</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64V；额定负载持续功率：1000VA；防护等级：IP30；功能特性：完全隔离型逆变技术采用先进的SPWM技术，纯正弦波输出，频率50Hz+0.2%,自损耗12W，最大效率&gt;94%，电子反接保护。</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3DFA57B">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6D52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87D648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37</w:t>
            </w:r>
          </w:p>
        </w:tc>
        <w:tc>
          <w:tcPr>
            <w:tcW w:w="735" w:type="dxa"/>
            <w:vMerge w:val="continue"/>
            <w:tcBorders>
              <w:top w:val="nil"/>
              <w:left w:val="single" w:color="auto" w:sz="4" w:space="0"/>
              <w:bottom w:val="single" w:color="auto" w:sz="4" w:space="0"/>
              <w:right w:val="single" w:color="auto" w:sz="4" w:space="0"/>
            </w:tcBorders>
            <w:noWrap w:val="0"/>
            <w:vAlign w:val="center"/>
          </w:tcPr>
          <w:p w14:paraId="35926389">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4EE9E4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胶体蓄电池</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86F9B63">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每组24个高性能免维护风光互补专用胶体电池，12V，200AH/块需24块-20℃℃</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60℃温度范围内使用，使用寿命≥5年，适合海岛特殊环境。</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BCCCEE2">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533A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2DE51B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38</w:t>
            </w:r>
          </w:p>
        </w:tc>
        <w:tc>
          <w:tcPr>
            <w:tcW w:w="735" w:type="dxa"/>
            <w:vMerge w:val="continue"/>
            <w:tcBorders>
              <w:top w:val="nil"/>
              <w:left w:val="single" w:color="auto" w:sz="4" w:space="0"/>
              <w:bottom w:val="single" w:color="auto" w:sz="4" w:space="0"/>
              <w:right w:val="single" w:color="auto" w:sz="4" w:space="0"/>
            </w:tcBorders>
            <w:noWrap w:val="0"/>
            <w:vAlign w:val="center"/>
          </w:tcPr>
          <w:p w14:paraId="54C3E6A5">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20AE43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电池地埋箱体</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01C22D9">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400AH蓄电池地埋箱，防水，防腐蚀，电池恒温。</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519B034">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60</w:t>
            </w:r>
          </w:p>
        </w:tc>
      </w:tr>
      <w:tr w14:paraId="0A71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B074DE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39</w:t>
            </w:r>
          </w:p>
        </w:tc>
        <w:tc>
          <w:tcPr>
            <w:tcW w:w="735" w:type="dxa"/>
            <w:vMerge w:val="continue"/>
            <w:tcBorders>
              <w:top w:val="nil"/>
              <w:left w:val="single" w:color="auto" w:sz="4" w:space="0"/>
              <w:bottom w:val="single" w:color="auto" w:sz="4" w:space="0"/>
              <w:right w:val="single" w:color="auto" w:sz="4" w:space="0"/>
            </w:tcBorders>
            <w:noWrap w:val="0"/>
            <w:vAlign w:val="center"/>
          </w:tcPr>
          <w:p w14:paraId="000C1778">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E4DCE3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系统设备箱体</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CA6B76F">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包含防雷保护系统，过压保护系统，断路保护系统，过流保护系统；含输出端稳压电源，系统电压输出：DC12V及DC24V；含整套系统电缆连接线，RVV及BVR电缆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含物联网网关，支持电压、电流、电能监测和断电报警</w:t>
            </w:r>
            <w:r>
              <w:rPr>
                <w:rFonts w:hint="eastAsia" w:ascii="仿宋_GB2312" w:hAnsi="仿宋_GB2312" w:eastAsia="仿宋_GB2312" w:cs="仿宋_GB2312"/>
                <w:color w:val="auto"/>
                <w:sz w:val="21"/>
                <w:szCs w:val="21"/>
                <w:highlight w:val="none"/>
              </w:rPr>
              <w:t>；箱体规格：550*900*200mm/1.2mm；功能特性：冷扎板户外挂杆箱，箱体内置风扇，自带散热功能。</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7CD2F1F">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018D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09D0A3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40</w:t>
            </w:r>
          </w:p>
        </w:tc>
        <w:tc>
          <w:tcPr>
            <w:tcW w:w="735" w:type="dxa"/>
            <w:vMerge w:val="continue"/>
            <w:tcBorders>
              <w:top w:val="nil"/>
              <w:left w:val="single" w:color="auto" w:sz="4" w:space="0"/>
              <w:bottom w:val="single" w:color="auto" w:sz="4" w:space="0"/>
              <w:right w:val="single" w:color="auto" w:sz="4" w:space="0"/>
            </w:tcBorders>
            <w:noWrap w:val="0"/>
            <w:vAlign w:val="center"/>
          </w:tcPr>
          <w:p w14:paraId="39D7EC9B">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CD9AF4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室外抱杆机箱</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A3E850C">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长方形机箱，大小不低于0.4*0.5*0.3M。箱体采用不锈钢喷塑，厚度为1.6mm，采取底部进线设计，抱箍及螺丝采用304不锈钢。箱体防护等级为IP54，防雨防尘，机箱门密封性能卓越，并具有良好的防撬性能，防盗锁，箱门丝印建设单位标志和字样。箱内配置空开、电涌保护器等。</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B7F62FB">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335</w:t>
            </w:r>
          </w:p>
        </w:tc>
      </w:tr>
      <w:tr w14:paraId="692C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3E35D51">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41</w:t>
            </w:r>
          </w:p>
        </w:tc>
        <w:tc>
          <w:tcPr>
            <w:tcW w:w="735" w:type="dxa"/>
            <w:vMerge w:val="continue"/>
            <w:tcBorders>
              <w:top w:val="nil"/>
              <w:left w:val="single" w:color="auto" w:sz="4" w:space="0"/>
              <w:bottom w:val="single" w:color="auto" w:sz="4" w:space="0"/>
              <w:right w:val="single" w:color="auto" w:sz="4" w:space="0"/>
            </w:tcBorders>
            <w:noWrap w:val="0"/>
            <w:vAlign w:val="center"/>
          </w:tcPr>
          <w:p w14:paraId="6E548AFF">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9C6009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防雷保护</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BF56767">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前端监控立杆和机箱统一防雷接地，机箱电源安装防浪涌保护，摄像机前端电源线和双绞线安装直流电源和信号防雷器。</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3095232">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335</w:t>
            </w:r>
          </w:p>
        </w:tc>
      </w:tr>
      <w:tr w14:paraId="70F1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582F24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42</w:t>
            </w:r>
          </w:p>
        </w:tc>
        <w:tc>
          <w:tcPr>
            <w:tcW w:w="735" w:type="dxa"/>
            <w:vMerge w:val="continue"/>
            <w:tcBorders>
              <w:top w:val="nil"/>
              <w:left w:val="single" w:color="auto" w:sz="4" w:space="0"/>
              <w:bottom w:val="single" w:color="auto" w:sz="4" w:space="0"/>
              <w:right w:val="single" w:color="auto" w:sz="4" w:space="0"/>
            </w:tcBorders>
            <w:noWrap w:val="0"/>
            <w:vAlign w:val="center"/>
          </w:tcPr>
          <w:p w14:paraId="721B2C0B">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7F749C7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电费</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F001B55">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按单点位平均100W计算</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5B25949">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335</w:t>
            </w:r>
          </w:p>
        </w:tc>
      </w:tr>
      <w:tr w14:paraId="78EA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159BC6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43</w:t>
            </w:r>
          </w:p>
        </w:tc>
        <w:tc>
          <w:tcPr>
            <w:tcW w:w="735" w:type="dxa"/>
            <w:vMerge w:val="restart"/>
            <w:tcBorders>
              <w:top w:val="nil"/>
              <w:left w:val="single" w:color="auto" w:sz="4" w:space="0"/>
              <w:bottom w:val="single" w:color="auto" w:sz="4" w:space="0"/>
              <w:right w:val="single" w:color="auto" w:sz="4" w:space="0"/>
            </w:tcBorders>
            <w:noWrap w:val="0"/>
            <w:vAlign w:val="center"/>
          </w:tcPr>
          <w:p w14:paraId="6AC4B83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网络保障</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74D4D2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无线网桥</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23B9B8D7">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5.8G无线网桥客户端；802.11ac制式；物理带宽最大传输速率达到866Mbps；实际带宽80Mbps（最大支持24路2Mbps码流摄像机传输）；定向天线；距离20公里，提供三年原厂保修。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1C91B3F">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r>
      <w:tr w14:paraId="7BDF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0C8102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44</w:t>
            </w:r>
          </w:p>
        </w:tc>
        <w:tc>
          <w:tcPr>
            <w:tcW w:w="735" w:type="dxa"/>
            <w:vMerge w:val="continue"/>
            <w:tcBorders>
              <w:top w:val="nil"/>
              <w:left w:val="single" w:color="auto" w:sz="4" w:space="0"/>
              <w:bottom w:val="single" w:color="auto" w:sz="4" w:space="0"/>
              <w:right w:val="single" w:color="auto" w:sz="4" w:space="0"/>
            </w:tcBorders>
            <w:noWrap w:val="0"/>
            <w:vAlign w:val="center"/>
          </w:tcPr>
          <w:p w14:paraId="0CA2276B">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6E24F56">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监控点VPN链路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71C5839">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50M专线链路。</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E0D9EFF">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335</w:t>
            </w:r>
          </w:p>
        </w:tc>
      </w:tr>
      <w:tr w14:paraId="7101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44" w:type="dxa"/>
            <w:gridSpan w:val="5"/>
            <w:tcBorders>
              <w:top w:val="single" w:color="auto" w:sz="4" w:space="0"/>
              <w:left w:val="single" w:color="auto" w:sz="4" w:space="0"/>
              <w:bottom w:val="single" w:color="auto" w:sz="4" w:space="0"/>
              <w:right w:val="single" w:color="auto" w:sz="4" w:space="0"/>
            </w:tcBorders>
            <w:noWrap w:val="0"/>
            <w:vAlign w:val="center"/>
          </w:tcPr>
          <w:p w14:paraId="345B7E9D">
            <w:pPr>
              <w:widowControl/>
              <w:autoSpaceDE w:val="0"/>
              <w:ind w:firstLine="482"/>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（二）网络系统</w:t>
            </w:r>
          </w:p>
        </w:tc>
      </w:tr>
      <w:tr w14:paraId="395C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9929D1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7F1B6A3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主干网络扩容</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B5318E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市级机房汇聚交换机</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0F16DE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1.性能规格：交换容量≥2.56Tbps，转发性能≥1080Mpps；（以官网最小值为准）；</w:t>
            </w:r>
          </w:p>
          <w:p w14:paraId="2BB473F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2.★扩展性：支持物理扩展插槽≥2个，可扩展10G光接口/10G电接口/25GE SFP28光接口/40GE QSFP+光接口，提供官网截图和链接证明；</w:t>
            </w:r>
          </w:p>
          <w:p w14:paraId="7FF124B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3.融合安全：支持安全插卡，可扩展防火墙模块，支持配置IPS、防病毒、负载均衡（LB）、应用识别、SSL VPN等多种安全功能；</w:t>
            </w:r>
          </w:p>
          <w:p w14:paraId="5963162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4.★可靠性:支持 RSTP 功能、MSTP 功能、ERPS 功能、RRPP 功能、 Smartlink功能、PVST 功能，并且收敛时间均在 50ms 之内，提供权威第三方机构测试报告证明； </w:t>
            </w:r>
          </w:p>
          <w:p w14:paraId="6F2AC6D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.可视化：支持Telemetry可视化；</w:t>
            </w:r>
          </w:p>
          <w:p w14:paraId="28AC43A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.安全性：支持MACsec功能，支持安全启动，在系统启动过程中支持安全检测，防止对系统镜像进行修改和伪造数据；</w:t>
            </w:r>
          </w:p>
          <w:p w14:paraId="6D133ED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.★SDN:支持OpenFlow+Netconf的VxLAN集中式控制平面、自动化部署，提供官网截图及链接证明；</w:t>
            </w:r>
          </w:p>
          <w:p w14:paraId="4B889A4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.产品资质：提供工信部入网证；</w:t>
            </w:r>
          </w:p>
          <w:p w14:paraId="3273F16F">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rPr>
              <w:t>.配置:≥48个1/10G SFP+端口，≥2个40G QSFP+端口，冗余电源模块，冗余风扇模块。</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C8B701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r>
      <w:tr w14:paraId="2FDF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0E2E1A9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9A26C1D">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D9E780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市局机房汇聚点链路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1643DEA">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3000M VPN专线</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6D76A04">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r>
      <w:tr w14:paraId="5BA2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2369791">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519C5AF">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12C6ED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算力中心至市局机房链路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38D73E3">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1000M VPN专线</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08448B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5F80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12C859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C31D54E">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90F0F9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市局机房至市公共视频监控一体化平台链路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542E693">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000M推流OTN专线</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61CC7C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224F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8AED90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19F07BF">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4A3F8C5">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区县农业农村局到政务外网链路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2AC30233">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00M VPN专线</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5F1A3B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w:t>
            </w:r>
          </w:p>
        </w:tc>
      </w:tr>
      <w:tr w14:paraId="54E1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388584E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8148E99">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523606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5G定制网至VPN专网链路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75467EA">
            <w:pPr>
              <w:widowControl/>
              <w:autoSpaceDE w:val="0"/>
              <w:jc w:val="both"/>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200M OTN专线</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40ECC55D">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62D5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B31343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C2A1530">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91698E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平台互联网出口应用链路（现场处置）</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D09653F">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100M互联网带宽(固定IP)</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D12D3C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2A9B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2CDB4B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w:t>
            </w:r>
          </w:p>
        </w:tc>
        <w:tc>
          <w:tcPr>
            <w:tcW w:w="735" w:type="dxa"/>
            <w:vMerge w:val="restart"/>
            <w:tcBorders>
              <w:top w:val="nil"/>
              <w:left w:val="single" w:color="auto" w:sz="4" w:space="0"/>
              <w:bottom w:val="single" w:color="auto" w:sz="4" w:space="0"/>
              <w:right w:val="single" w:color="auto" w:sz="4" w:space="0"/>
            </w:tcBorders>
            <w:noWrap w:val="0"/>
            <w:vAlign w:val="center"/>
          </w:tcPr>
          <w:p w14:paraId="61542CA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网络安全建设</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AF8999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防火墙</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9701238">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1.性能要求：</w:t>
            </w:r>
          </w:p>
          <w:p w14:paraId="72223A7B">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具备与统信软件操作系统厂商通过兼容性适配</w:t>
            </w:r>
          </w:p>
          <w:p w14:paraId="6C78C630">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设备最大吞吐量≥40Gbps，最大并发连接数≥700万，每秒新建连接数≥70万。</w:t>
            </w:r>
          </w:p>
          <w:p w14:paraId="61ACDBD2">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bCs/>
                <w:color w:val="auto"/>
                <w:sz w:val="21"/>
                <w:szCs w:val="21"/>
                <w:highlight w:val="none"/>
              </w:rPr>
              <w:t>硬件要求：</w:t>
            </w:r>
          </w:p>
          <w:p w14:paraId="52548839">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2U硬件平台，内置1+1冗余电源，操作系统：统信 UOS V20，CPU：海光 C86 3250（2.8Ghz，8核），内存≥32GB，硬盘≥2TB HDD。标配4个千兆电口(含2组电口Bypass），4个千兆光口，1个管理电口，1个HA电口，4个万兆光口，支持1个接口扩展槽</w:t>
            </w:r>
          </w:p>
          <w:p w14:paraId="4A8F1F14">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3.自主可控</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要求采用中国自主创新的处理器及中国自主研发的操作系统</w:t>
            </w:r>
          </w:p>
          <w:p w14:paraId="46EC6B65">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4.资产指纹库</w:t>
            </w:r>
          </w:p>
          <w:p w14:paraId="6FC198C6">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★系统定义超过20万条资产指纹库，可识别的主机资产类型包括但不限于通用主机、移动电话、防火墙、网络摄像机等；可识别的主机资产操作系统包括但不限于Windows，Linux，MAC OS，Android，IOS等；可识别的软件资产类型包括但不限于WEB组件、WEB中间件等WEB应用，Oracle、Hive等数据库。（需提供相关截图证明）</w:t>
            </w:r>
          </w:p>
          <w:p w14:paraId="46EA5B58">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5.访问控制</w:t>
            </w:r>
          </w:p>
          <w:p w14:paraId="7C2CC416">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p w14:paraId="29D6058E">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6.入侵防御</w:t>
            </w:r>
          </w:p>
          <w:p w14:paraId="167BA556">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系统预定义超过11000条主流攻击规则，包含对应IPS规则的级别、防护对象、操作系统、CVE编号等详细信息。</w:t>
            </w:r>
          </w:p>
          <w:p w14:paraId="79AB3A45">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7.威胁情报</w:t>
            </w:r>
          </w:p>
          <w:p w14:paraId="4D22AA38">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威胁情报检索：支持通过关键IP、域名、文件HASH在线检索威胁情报并查看威胁详情。</w:t>
            </w:r>
          </w:p>
          <w:p w14:paraId="51A21B8C">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威胁情报检测能力：支持检测C&amp;C、恶意文件/恶意文件通信、溢出攻击、钓鱼、扫描、爬虫、垃圾信息、暴力破解、失陷主机/傀儡机、不受欢迎软件、可疑类情报、木马、病毒、蠕虫、勒索软件、后门等安全攻击类型。（需提供相关截图证明）</w:t>
            </w:r>
          </w:p>
          <w:p w14:paraId="2335BC47">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r>
              <w:rPr>
                <w:rFonts w:hint="eastAsia" w:ascii="仿宋_GB2312" w:hAnsi="仿宋_GB2312" w:eastAsia="仿宋_GB2312" w:cs="仿宋_GB2312"/>
                <w:color w:val="auto"/>
                <w:sz w:val="21"/>
                <w:szCs w:val="21"/>
                <w:highlight w:val="none"/>
              </w:rPr>
              <w:t>智能模式</w:t>
            </w:r>
          </w:p>
          <w:p w14:paraId="7BE739E1">
            <w:pPr>
              <w:autoSpaceDE w:val="0"/>
              <w:autoSpaceDN w:val="0"/>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业务优先”的智能模式和“安全优先”的普通模式。当系统在智能模式下，当达到安全引擎规格上限后，超出部分的流量会走转发引擎动态转发，不影响业务；而在普通模式下，对所有的流量都会严格检查后放行，业务流量吞吐会严格按照安全引擎开启规格转发。（需提供相关截图证明）</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2493CF5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3E5B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FD4EE4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9</w:t>
            </w:r>
          </w:p>
        </w:tc>
        <w:tc>
          <w:tcPr>
            <w:tcW w:w="735" w:type="dxa"/>
            <w:vMerge w:val="continue"/>
            <w:tcBorders>
              <w:top w:val="nil"/>
              <w:left w:val="single" w:color="auto" w:sz="4" w:space="0"/>
              <w:bottom w:val="single" w:color="auto" w:sz="4" w:space="0"/>
              <w:right w:val="single" w:color="auto" w:sz="4" w:space="0"/>
            </w:tcBorders>
            <w:noWrap w:val="0"/>
            <w:vAlign w:val="center"/>
          </w:tcPr>
          <w:p w14:paraId="2204589A">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0B5EB1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日志审计</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EBE1B96">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rPr>
              <w:t>产品获得中国网络安全审查技术与认证中心颁发的《中国国家信息安全产品认证证书》，产品获得全球IPv6论坛IPv6 Ready Logo委员会颁发的《IPv6 Ready Logo认证》证书</w:t>
            </w:r>
          </w:p>
          <w:p w14:paraId="379AB0DD">
            <w:pPr>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2.性能要求</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支持40个日志源</w:t>
            </w:r>
          </w:p>
          <w:p w14:paraId="254480A3">
            <w:pP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日志处理能力EPS：</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rPr>
              <w:t>1500条/秒（峰值：2000条/秒）</w:t>
            </w:r>
          </w:p>
          <w:p w14:paraId="61577480">
            <w:pPr>
              <w:numPr>
                <w:ilvl w:val="0"/>
                <w:numId w:val="15"/>
              </w:numPr>
              <w:ind w:left="0" w:leftChars="0" w:firstLine="0" w:firstLineChars="0"/>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硬件要求</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标准1U硬件</w:t>
            </w:r>
          </w:p>
          <w:p w14:paraId="194EDAD2">
            <w:pPr>
              <w:numPr>
                <w:ilvl w:val="0"/>
                <w:numId w:val="0"/>
              </w:numPr>
              <w:ind w:leftChars="0"/>
              <w:textAlignment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龙芯3A4000性能以上+国产操作系统</w:t>
            </w:r>
          </w:p>
          <w:p w14:paraId="2FEC448F">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网口：千兆电口*6（包含管理口*1+HA口*1+业务口*4）+千兆光口*4（含2个千兆SFP多模光模块），内存：16G，硬盘：4T，电源：双电源 </w:t>
            </w:r>
          </w:p>
          <w:p w14:paraId="21BD58C6">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4.自主可控</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要求采用中国自主创新的处理器及中国自主研发的操作系统</w:t>
            </w:r>
          </w:p>
          <w:p w14:paraId="51A45A48">
            <w:pPr>
              <w:widowControl/>
              <w:textAlignment w:val="center"/>
              <w:rPr>
                <w:rFonts w:ascii="Times New Roman" w:hAnsi="Times New Roman" w:eastAsia="宋体" w:cs="Times New Roman"/>
                <w:color w:val="auto"/>
                <w:sz w:val="18"/>
                <w:szCs w:val="21"/>
                <w:highlight w:val="none"/>
              </w:rPr>
            </w:pPr>
            <w:r>
              <w:rPr>
                <w:rFonts w:hint="eastAsia" w:ascii="仿宋_GB2312" w:hAnsi="仿宋_GB2312" w:eastAsia="仿宋_GB2312" w:cs="仿宋_GB2312"/>
                <w:color w:val="auto"/>
                <w:sz w:val="21"/>
                <w:szCs w:val="21"/>
                <w:highlight w:val="none"/>
              </w:rPr>
              <w:t>5、功能扩展</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采用解决方案包上传对产品进行功能扩展，无需要代码开发；</w:t>
            </w:r>
          </w:p>
          <w:p w14:paraId="4691936C">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6.日志分析</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内置设备异常、漏洞利用、横向渗透、权限提升、命令执行、可疑行为6大类50+子类的安全分析场景；</w:t>
            </w:r>
          </w:p>
          <w:p w14:paraId="03EE209C">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★三维关联分析；支持通过资产、安全知识库、弱点库三个维度分析事件是否存在威胁，并形成关联事件。（提供第三方检测报告）</w:t>
            </w:r>
          </w:p>
          <w:p w14:paraId="2EA7CAF7">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7.应用性能监控（APM）</w:t>
            </w:r>
          </w:p>
          <w:p w14:paraId="0275525D">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支持监控设备自身CPU、内存、磁盘等工作运行状况；</w:t>
            </w:r>
          </w:p>
          <w:p w14:paraId="0A70494B">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★通过在目标主机上安装Agent程序，支持监测目标主机的CPU利用率、内存使用率、磁盘使用率、磁盘使用情况、流量等信息；（提供第三方检测报告）</w:t>
            </w:r>
          </w:p>
          <w:p w14:paraId="3DE74F39">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8.资产管理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注册用户资产时，提供自动发现识别能力；</w:t>
            </w:r>
          </w:p>
          <w:p w14:paraId="6EFC5784">
            <w:pPr>
              <w:widowControl/>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★资产拓扑支持按照实际的用户环境进行编辑发布并可以和资产进行绑定，扑可以显示资产采集的事件数量和被采集资产的状态等信息。（提供第三方检测报告）</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92BC8E7">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2D0F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1480192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10</w:t>
            </w:r>
          </w:p>
        </w:tc>
        <w:tc>
          <w:tcPr>
            <w:tcW w:w="735" w:type="dxa"/>
            <w:vMerge w:val="continue"/>
            <w:tcBorders>
              <w:top w:val="nil"/>
              <w:left w:val="single" w:color="auto" w:sz="4" w:space="0"/>
              <w:bottom w:val="single" w:color="auto" w:sz="4" w:space="0"/>
              <w:right w:val="single" w:color="auto" w:sz="4" w:space="0"/>
            </w:tcBorders>
            <w:noWrap w:val="0"/>
            <w:vAlign w:val="center"/>
          </w:tcPr>
          <w:p w14:paraId="64D2E91D">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6A8BB6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终端安全及防病毒系统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F885648">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支持查看资产的安全态势，并进行统一任务下发、策略配置，对资产进行统一管理；2.支持采集、展示多种日志，包括防护日志、操作日志、运维日志，并支持一键导出。3.支持对终端进行详细信息展示，包括网络信息、环境信息等。并支持远程关闭、重启主机；4.支持多级中心部署，查看所有下级控制中心的资产部署情况以及风险数据，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E6EF76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r>
      <w:tr w14:paraId="2878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3C4087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w:t>
            </w:r>
          </w:p>
        </w:tc>
        <w:tc>
          <w:tcPr>
            <w:tcW w:w="735" w:type="dxa"/>
            <w:vMerge w:val="restart"/>
            <w:tcBorders>
              <w:top w:val="nil"/>
              <w:left w:val="single" w:color="auto" w:sz="4" w:space="0"/>
              <w:bottom w:val="single" w:color="auto" w:sz="4" w:space="0"/>
              <w:right w:val="single" w:color="auto" w:sz="4" w:space="0"/>
            </w:tcBorders>
            <w:noWrap w:val="0"/>
            <w:vAlign w:val="center"/>
          </w:tcPr>
          <w:p w14:paraId="6F91ED8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视频录像存储及</w:t>
            </w:r>
            <w:r>
              <w:rPr>
                <w:rFonts w:hint="default" w:ascii="Times New Roman" w:hAnsi="Times New Roman" w:eastAsia="仿宋_GB2312" w:cs="Times New Roman"/>
                <w:color w:val="auto"/>
                <w:sz w:val="24"/>
                <w:szCs w:val="24"/>
                <w:highlight w:val="none"/>
                <w:lang w:val="en-US" w:bidi="ar-SA"/>
              </w:rPr>
              <w:t>服务器</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7300EE1">
            <w:pPr>
              <w:widowControl/>
              <w:autoSpaceDE w:val="0"/>
              <w:jc w:val="center"/>
              <w:rPr>
                <w:rFonts w:hint="eastAsia" w:ascii="仿宋_GB2312" w:hAnsi="仿宋_GB2312" w:eastAsia="仿宋_GB2312" w:cs="仿宋_GB2312"/>
                <w:color w:val="auto"/>
                <w:sz w:val="22"/>
                <w:szCs w:val="22"/>
                <w:highlight w:val="none"/>
              </w:rPr>
            </w:pPr>
            <w:r>
              <w:rPr>
                <w:rFonts w:hint="eastAsia" w:ascii="Times New Roman" w:hAnsi="Times New Roman" w:eastAsia="仿宋_GB2312" w:cs="Times New Roman"/>
                <w:color w:val="auto"/>
                <w:sz w:val="24"/>
                <w:szCs w:val="24"/>
                <w:highlight w:val="none"/>
                <w:lang w:val="en-US" w:eastAsia="zh-CN" w:bidi="ar-SA"/>
              </w:rPr>
              <w:t>存储管理</w:t>
            </w:r>
            <w:r>
              <w:rPr>
                <w:rFonts w:hint="default" w:ascii="Times New Roman" w:hAnsi="Times New Roman" w:eastAsia="仿宋_GB2312" w:cs="Times New Roman"/>
                <w:color w:val="auto"/>
                <w:sz w:val="24"/>
                <w:szCs w:val="24"/>
                <w:highlight w:val="none"/>
                <w:lang w:val="en-US" w:bidi="ar-SA"/>
              </w:rPr>
              <w:t>服务器</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46F5975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1.2U双路标准机架式设备；</w:t>
            </w:r>
          </w:p>
          <w:p w14:paraId="4360F80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2.CPU：配置2颗 C86架构HYGON 5380处理器，核数≥16核，频率≥2.5GHz；</w:t>
            </w:r>
          </w:p>
          <w:p w14:paraId="41318BB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3.内存：配置≥64G DDR4，16根内存插槽；</w:t>
            </w:r>
          </w:p>
          <w:p w14:paraId="045DC7A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4.硬盘：配置2块1.2T 10K SAS硬盘；</w:t>
            </w:r>
          </w:p>
          <w:p w14:paraId="3748364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5.阵列卡：配置1块SAS+HBA卡，(支持RAID 0/1/10)；</w:t>
            </w:r>
          </w:p>
          <w:p w14:paraId="21177EE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6.PCIE扩展：最大可支持6个PCI -E扩展插槽(含2个专用)；</w:t>
            </w:r>
          </w:p>
          <w:p w14:paraId="2AC6684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7.网口：板载2个千兆电口，配置2个万兆光口，支持选配10GbE、25GbE SFP+等多种网络接口；</w:t>
            </w:r>
          </w:p>
          <w:p w14:paraId="12F7687D">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8.其他接口：1个千兆RJ-45管理接口，4个USB 接口，2个位于机箱后部，2个位于机箱前部；1个VGA口，位于机箱后部，一个可选前置VGA；</w:t>
            </w:r>
          </w:p>
          <w:p w14:paraId="2640115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9.电源：配置800W（1+1）高效铂金CRPS冗余电源；</w:t>
            </w:r>
          </w:p>
          <w:p w14:paraId="2BDD3AE0">
            <w:pPr>
              <w:widowControl/>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10.配置</w:t>
            </w:r>
            <w:r>
              <w:rPr>
                <w:rFonts w:ascii="Helvetica" w:hAnsi="Helvetica" w:eastAsia="Helvetica" w:cs="Helvetica"/>
                <w:color w:val="auto"/>
                <w:spacing w:val="4"/>
                <w:sz w:val="18"/>
                <w:szCs w:val="18"/>
                <w:highlight w:val="none"/>
                <w:shd w:val="clear" w:color="auto" w:fill="FFFFFF"/>
              </w:rPr>
              <w:t>NTP</w:t>
            </w:r>
            <w:r>
              <w:rPr>
                <w:rFonts w:hint="eastAsia" w:ascii="Helvetica" w:hAnsi="Helvetica" w:eastAsia="宋体" w:cs="Helvetica"/>
                <w:color w:val="auto"/>
                <w:spacing w:val="4"/>
                <w:sz w:val="18"/>
                <w:szCs w:val="18"/>
                <w:highlight w:val="none"/>
                <w:shd w:val="clear" w:color="auto" w:fill="FFFFFF"/>
              </w:rPr>
              <w:t>模块，用于</w:t>
            </w:r>
            <w:r>
              <w:rPr>
                <w:rFonts w:hint="eastAsia" w:ascii="仿宋_GB2312" w:hAnsi="仿宋_GB2312" w:eastAsia="仿宋_GB2312" w:cs="仿宋_GB2312"/>
                <w:color w:val="auto"/>
                <w:sz w:val="21"/>
                <w:szCs w:val="21"/>
                <w:highlight w:val="none"/>
              </w:rPr>
              <w:t>视频及录像时间同步。</w:t>
            </w:r>
          </w:p>
          <w:p w14:paraId="4CCC3D6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F4C8378">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r>
      <w:tr w14:paraId="4840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4AC93E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12</w:t>
            </w:r>
          </w:p>
        </w:tc>
        <w:tc>
          <w:tcPr>
            <w:tcW w:w="735" w:type="dxa"/>
            <w:vMerge w:val="continue"/>
            <w:tcBorders>
              <w:top w:val="nil"/>
              <w:left w:val="single" w:color="auto" w:sz="4" w:space="0"/>
              <w:bottom w:val="single" w:color="auto" w:sz="4" w:space="0"/>
              <w:right w:val="single" w:color="auto" w:sz="4" w:space="0"/>
            </w:tcBorders>
            <w:noWrap w:val="0"/>
            <w:vAlign w:val="center"/>
          </w:tcPr>
          <w:p w14:paraId="472B8D4A">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31E963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存储磁盘阵列</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1CFC358">
            <w:pPr>
              <w:widowControl/>
              <w:numPr>
                <w:ilvl w:val="0"/>
                <w:numId w:val="16"/>
              </w:num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存储设备配置：≥1颗64位多核处理器，≥</w:t>
            </w:r>
            <w:r>
              <w:rPr>
                <w:rFonts w:hint="eastAsia" w:ascii="仿宋_GB2312" w:hAnsi="仿宋_GB2312" w:eastAsia="仿宋_GB2312" w:cs="仿宋_GB2312"/>
                <w:color w:val="auto"/>
                <w:sz w:val="21"/>
                <w:szCs w:val="21"/>
                <w:highlight w:val="none"/>
                <w:lang w:val="en-US" w:eastAsia="zh-CN"/>
              </w:rPr>
              <w:t>32</w:t>
            </w:r>
            <w:r>
              <w:rPr>
                <w:rFonts w:hint="eastAsia" w:ascii="仿宋_GB2312" w:hAnsi="仿宋_GB2312" w:eastAsia="仿宋_GB2312" w:cs="仿宋_GB2312"/>
                <w:color w:val="auto"/>
                <w:sz w:val="21"/>
                <w:szCs w:val="21"/>
                <w:highlight w:val="none"/>
              </w:rPr>
              <w:t>GB内存，内存支持扩展到≥256GB，内置SSD固态硬盘（可以扩展到4个SSD作为缓存盘），配置≥3个风扇，支持风扇热插拔冗余温控调速风扇；</w:t>
            </w:r>
          </w:p>
          <w:p w14:paraId="2BAA7A92">
            <w:pPr>
              <w:widowControl/>
              <w:numPr>
                <w:ilvl w:val="0"/>
                <w:numId w:val="16"/>
              </w:num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支持热插拔1+1AC220V；</w:t>
            </w:r>
          </w:p>
          <w:p w14:paraId="1E04C756">
            <w:pPr>
              <w:widowControl/>
              <w:numPr>
                <w:ilvl w:val="0"/>
                <w:numId w:val="16"/>
              </w:numPr>
              <w:ind w:left="0" w:leftChars="0" w:firstLine="0"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标配≥4个千兆网口，</w:t>
            </w:r>
            <w:r>
              <w:rPr>
                <w:rFonts w:hint="eastAsia" w:ascii="仿宋_GB2312" w:hAnsi="仿宋_GB2312" w:eastAsia="仿宋_GB2312" w:cs="仿宋_GB2312"/>
                <w:color w:val="auto"/>
                <w:sz w:val="21"/>
                <w:szCs w:val="21"/>
                <w:highlight w:val="none"/>
                <w:lang w:val="en-US" w:eastAsia="zh-CN"/>
              </w:rPr>
              <w:t>配置2个万</w:t>
            </w:r>
            <w:r>
              <w:rPr>
                <w:rFonts w:hint="eastAsia" w:ascii="仿宋_GB2312" w:hAnsi="仿宋_GB2312" w:eastAsia="仿宋_GB2312" w:cs="仿宋_GB2312"/>
                <w:color w:val="auto"/>
                <w:sz w:val="21"/>
                <w:szCs w:val="21"/>
                <w:highlight w:val="none"/>
              </w:rPr>
              <w:t>兆光口</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支持4个PCI-E3.0，或可扩展 RS485接口、eSATA 接口，可扩展至 15个千兆网口，或增配12个10Gb /25Gb光纤接口或增配 12 个8Gb/16Gb/32Gb光纤接口或增配 12个 HDMI 接口或增配9个Mini SAS HD接口，支持GPU智能卡，支持PCI-E X16和PCI-E X8，可支持12GB SAS扩展口；</w:t>
            </w:r>
          </w:p>
          <w:p w14:paraId="51F226A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4.每个控制单元支持双系统应用，系统盘支持RAID1模式，当主系统出现故障时，备用系统可接管工作；支持系统盘为独立的2块HDD（SATA、SAS）或SSD盘，组成RAID1；</w:t>
            </w:r>
          </w:p>
          <w:p w14:paraId="2935AF94">
            <w:pPr>
              <w:widowControl/>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5.可接入2T/3T/4T/6T/8T/10T/12T/14T/16T/18T</w:t>
            </w:r>
          </w:p>
          <w:p w14:paraId="780DB726">
            <w:pPr>
              <w:widowControl/>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/20T/25T/26T SATA/SAS硬盘；</w:t>
            </w:r>
          </w:p>
          <w:p w14:paraId="2213898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6.支持NL-SAS 硬盘、HDD硬盘、SSD硬盘、氦气硬盘、空气硬盘；支持 CMR或SMR硬盘。支持硬盘交错/分时启动，节省功耗；</w:t>
            </w:r>
          </w:p>
          <w:p w14:paraId="59E062BF">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7.具有48块硬盘热插拔插槽；支持硬盘热插拔设备在读写数据时，热插拔设备内的任意块硬盘，设备正常运行不宕机，硬盘不损坏，数据不丢失，业务不中断</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支持SATA和SAS混插，支持不同品牌（希捷、西数、东芝）的硬盘混插；支持SATA和SAS的HDD硬盘与SATA和NVME的SSD混插；支持不同大小的硬盘混合使用，可显示硬盘的总容量（各个硬盘容量之和）；</w:t>
            </w:r>
          </w:p>
          <w:p w14:paraId="5EC106C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9.支持视音频、图片、智能数据流进行混合直存，无须存储终端和图片终端的参与，平台终端宕机时，存储业务正常；</w:t>
            </w:r>
          </w:p>
          <w:p w14:paraId="7D0FE70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10.支持国际GB/T28181和Onvif视频流直存模式；支持iSCSI直存功能，前端网络摄像机和设备之间可直接通过iSCSI协议进行块存储；</w:t>
            </w:r>
          </w:p>
          <w:p w14:paraId="0CBA1EED">
            <w:pPr>
              <w:widowControl/>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11.应能接入并存储4096Mbps视频图像，同时转发4096Mbps的视频图像，同时下载4096Mbps的视频图像；同时回放1400Mbps的视频图像；在转发模式下，可进行4096路2Mbps视频码流转发；在总带宽不变的情况下，接入、转发、回放间的性能值可自由调整；</w:t>
            </w:r>
            <w:r>
              <w:rPr>
                <w:rFonts w:hint="eastAsia" w:ascii="仿宋_GB2312" w:hAnsi="仿宋_GB2312" w:eastAsia="仿宋_GB2312" w:cs="仿宋_GB2312"/>
                <w:b/>
                <w:bCs/>
                <w:color w:val="auto"/>
                <w:sz w:val="21"/>
                <w:szCs w:val="21"/>
                <w:highlight w:val="none"/>
                <w:u w:val="single"/>
                <w:lang w:val="en-US" w:eastAsia="zh-CN"/>
              </w:rPr>
              <w:t>▲最高视频加速抽帧回放达到64倍速及以上。</w:t>
            </w:r>
          </w:p>
          <w:p w14:paraId="62EEC27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12.支持不低于2048Mbps图片转发；支持不低于2048Mbps图片并发输入，同时不低于2048Mbps图片并发输出；</w:t>
            </w:r>
          </w:p>
          <w:p w14:paraId="1C0A637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13.支持查看硬盘体检报告、硬盘深度体检和磁盘档案；支持下载单个硬盘或批量硬盘的报告，支持按时间显示硬盘的坏扇区、温度、振动变化趋势的曲线图；</w:t>
            </w:r>
          </w:p>
          <w:p w14:paraId="5BC4A0F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14.可通过硬盘深度体检查看硬盘原始数据读取错误率、上电时间、上电时长计数、意外断电计数、重映射扇区数、磁盘振动等多种硬盘相关健康值；</w:t>
            </w:r>
          </w:p>
          <w:p w14:paraId="78C443E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15.支持查看硬盘体检的历史记录、硬盘健康状态，并对硬盘健康状态进行分级分类，包括健康（良好、正常）、亚健康（警告、即将损坏）、故障（错误、损坏）等；支持硬盘体检报告打印输出；</w:t>
            </w:r>
          </w:p>
          <w:p w14:paraId="49D1189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p>
          <w:p w14:paraId="749FDFF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17.设备具有多个系统镜像，当主用系统出现故障时，备用系统可接替主用系统工作，且支持通过任一备用系统对原主用系统进行修复；</w:t>
            </w:r>
          </w:p>
          <w:p w14:paraId="68124B4C">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18.支持容器镜像管理，包括容器镜像启动/暂停、业务升级/回退、上传/删除，支持添加新业务，支持修改容器镜像IP地址、业务参数，支持查看容器镜像中业务信息；</w:t>
            </w:r>
          </w:p>
          <w:p w14:paraId="2C99D10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E5345F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r>
      <w:tr w14:paraId="0C12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2E2DBFAE">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w:t>
            </w:r>
          </w:p>
        </w:tc>
        <w:tc>
          <w:tcPr>
            <w:tcW w:w="735" w:type="dxa"/>
            <w:vMerge w:val="continue"/>
            <w:tcBorders>
              <w:top w:val="nil"/>
              <w:left w:val="single" w:color="auto" w:sz="4" w:space="0"/>
              <w:bottom w:val="single" w:color="auto" w:sz="4" w:space="0"/>
              <w:right w:val="single" w:color="auto" w:sz="4" w:space="0"/>
            </w:tcBorders>
            <w:noWrap w:val="0"/>
            <w:vAlign w:val="center"/>
          </w:tcPr>
          <w:p w14:paraId="778018A5">
            <w:pPr>
              <w:widowControl/>
              <w:rPr>
                <w:rFonts w:hint="eastAsia" w:ascii="仿宋_GB2312" w:hAnsi="仿宋_GB2312" w:eastAsia="仿宋_GB2312" w:cs="仿宋_GB2312"/>
                <w:color w:val="auto"/>
                <w:sz w:val="22"/>
                <w:szCs w:val="22"/>
                <w:highlight w:val="none"/>
              </w:rPr>
            </w:pPr>
          </w:p>
        </w:tc>
        <w:tc>
          <w:tcPr>
            <w:tcW w:w="1681" w:type="dxa"/>
            <w:vMerge w:val="restart"/>
            <w:tcBorders>
              <w:top w:val="nil"/>
              <w:left w:val="single" w:color="auto" w:sz="4" w:space="0"/>
              <w:bottom w:val="single" w:color="auto" w:sz="4" w:space="0"/>
              <w:right w:val="single" w:color="auto" w:sz="4" w:space="0"/>
            </w:tcBorders>
            <w:noWrap w:val="0"/>
            <w:vAlign w:val="center"/>
          </w:tcPr>
          <w:p w14:paraId="69D681A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硬盘</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599D545">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8T，7200RPM，3.5寸，</w:t>
            </w:r>
            <w:r>
              <w:rPr>
                <w:rFonts w:hint="eastAsia" w:ascii="仿宋_GB2312" w:hAnsi="仿宋_GB2312" w:eastAsia="仿宋_GB2312" w:cs="仿宋_GB2312"/>
                <w:color w:val="auto"/>
                <w:sz w:val="21"/>
                <w:szCs w:val="21"/>
                <w:highlight w:val="none"/>
                <w:lang w:val="en-US" w:eastAsia="zh-CN"/>
              </w:rPr>
              <w:t>缓存</w:t>
            </w:r>
            <w:r>
              <w:rPr>
                <w:rFonts w:hint="eastAsia" w:ascii="Times New Roman" w:hAnsi="Times New Roman" w:eastAsia="仿宋_GB2312" w:cs="Times New Roman"/>
                <w:color w:val="auto"/>
                <w:sz w:val="21"/>
                <w:szCs w:val="21"/>
                <w:highlight w:val="none"/>
                <w:u w:val="none"/>
              </w:rPr>
              <w:t>≥</w:t>
            </w:r>
            <w:r>
              <w:rPr>
                <w:rFonts w:hint="eastAsia" w:ascii="Times New Roman" w:hAnsi="Times New Roman" w:eastAsia="仿宋_GB2312" w:cs="Times New Roman"/>
                <w:color w:val="auto"/>
                <w:sz w:val="21"/>
                <w:szCs w:val="21"/>
                <w:highlight w:val="none"/>
                <w:u w:val="none"/>
                <w:lang w:val="en-US" w:eastAsia="zh-CN"/>
              </w:rPr>
              <w:t>256M，支持CMR技术，空气封装，</w:t>
            </w:r>
            <w:r>
              <w:rPr>
                <w:rFonts w:hint="eastAsia" w:ascii="仿宋_GB2312" w:hAnsi="仿宋_GB2312" w:eastAsia="仿宋_GB2312" w:cs="仿宋_GB2312"/>
                <w:color w:val="auto"/>
                <w:sz w:val="21"/>
                <w:szCs w:val="21"/>
                <w:highlight w:val="none"/>
              </w:rPr>
              <w:t>SATA</w:t>
            </w:r>
            <w:r>
              <w:rPr>
                <w:rFonts w:hint="eastAsia" w:ascii="仿宋_GB2312" w:hAnsi="仿宋_GB2312" w:eastAsia="仿宋_GB2312" w:cs="仿宋_GB2312"/>
                <w:color w:val="auto"/>
                <w:sz w:val="21"/>
                <w:szCs w:val="21"/>
                <w:highlight w:val="none"/>
                <w:lang w:val="en-US" w:eastAsia="zh-CN"/>
              </w:rPr>
              <w:t>接口</w:t>
            </w:r>
            <w:r>
              <w:rPr>
                <w:rFonts w:hint="eastAsia" w:ascii="仿宋_GB2312" w:hAnsi="仿宋_GB2312" w:eastAsia="仿宋_GB2312" w:cs="仿宋_GB2312"/>
                <w:color w:val="auto"/>
                <w:sz w:val="21"/>
                <w:szCs w:val="21"/>
                <w:highlight w:val="none"/>
              </w:rPr>
              <w:t>，传输速率</w:t>
            </w:r>
            <w:r>
              <w:rPr>
                <w:rFonts w:hint="eastAsia" w:ascii="Times New Roman" w:hAnsi="Times New Roman" w:eastAsia="仿宋_GB2312" w:cs="Times New Roman"/>
                <w:color w:val="auto"/>
                <w:sz w:val="21"/>
                <w:szCs w:val="21"/>
                <w:highlight w:val="none"/>
                <w:u w:val="none"/>
              </w:rPr>
              <w:t>≥</w:t>
            </w:r>
            <w:r>
              <w:rPr>
                <w:rFonts w:hint="eastAsia" w:ascii="仿宋_GB2312" w:hAnsi="仿宋_GB2312" w:eastAsia="仿宋_GB2312" w:cs="仿宋_GB2312"/>
                <w:color w:val="auto"/>
                <w:sz w:val="21"/>
                <w:szCs w:val="21"/>
                <w:highlight w:val="none"/>
              </w:rPr>
              <w:t>25</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MB/S</w:t>
            </w:r>
            <w:r>
              <w:rPr>
                <w:rFonts w:hint="eastAsia" w:ascii="仿宋_GB2312" w:hAnsi="仿宋_GB2312" w:eastAsia="仿宋_GB2312" w:cs="仿宋_GB2312"/>
                <w:color w:val="auto"/>
                <w:sz w:val="21"/>
                <w:szCs w:val="21"/>
                <w:highlight w:val="none"/>
                <w:lang w:val="en-US" w:eastAsia="zh-CN"/>
              </w:rPr>
              <w:t>;五</w:t>
            </w:r>
            <w:r>
              <w:rPr>
                <w:rFonts w:hint="eastAsia" w:ascii="仿宋_GB2312" w:hAnsi="仿宋_GB2312" w:eastAsia="仿宋_GB2312" w:cs="仿宋_GB2312"/>
                <w:color w:val="auto"/>
                <w:sz w:val="21"/>
                <w:szCs w:val="21"/>
                <w:highlight w:val="none"/>
              </w:rPr>
              <w:t>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159E23C">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17</w:t>
            </w:r>
          </w:p>
        </w:tc>
      </w:tr>
      <w:tr w14:paraId="5A32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6869503F">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w:t>
            </w:r>
          </w:p>
        </w:tc>
        <w:tc>
          <w:tcPr>
            <w:tcW w:w="735" w:type="dxa"/>
            <w:vMerge w:val="continue"/>
            <w:tcBorders>
              <w:top w:val="nil"/>
              <w:left w:val="single" w:color="auto" w:sz="4" w:space="0"/>
              <w:bottom w:val="single" w:color="auto" w:sz="4" w:space="0"/>
              <w:right w:val="single" w:color="auto" w:sz="4" w:space="0"/>
            </w:tcBorders>
            <w:noWrap w:val="0"/>
            <w:vAlign w:val="center"/>
          </w:tcPr>
          <w:p w14:paraId="713C7B6B">
            <w:pPr>
              <w:widowControl/>
              <w:rPr>
                <w:rFonts w:hint="eastAsia" w:ascii="仿宋_GB2312" w:hAnsi="仿宋_GB2312" w:eastAsia="仿宋_GB2312" w:cs="仿宋_GB2312"/>
                <w:color w:val="auto"/>
                <w:sz w:val="22"/>
                <w:szCs w:val="22"/>
                <w:highlight w:val="none"/>
              </w:rPr>
            </w:pPr>
          </w:p>
        </w:tc>
        <w:tc>
          <w:tcPr>
            <w:tcW w:w="1681" w:type="dxa"/>
            <w:vMerge w:val="continue"/>
            <w:tcBorders>
              <w:top w:val="nil"/>
              <w:left w:val="single" w:color="auto" w:sz="4" w:space="0"/>
              <w:bottom w:val="single" w:color="auto" w:sz="4" w:space="0"/>
              <w:right w:val="single" w:color="auto" w:sz="4" w:space="0"/>
            </w:tcBorders>
            <w:noWrap w:val="0"/>
            <w:vAlign w:val="center"/>
          </w:tcPr>
          <w:p w14:paraId="6D84B478">
            <w:pPr>
              <w:widowControl/>
              <w:rPr>
                <w:rFonts w:hint="eastAsia" w:ascii="仿宋_GB2312" w:hAnsi="仿宋_GB2312" w:eastAsia="仿宋_GB2312" w:cs="仿宋_GB2312"/>
                <w:color w:val="auto"/>
                <w:sz w:val="22"/>
                <w:szCs w:val="22"/>
                <w:highlight w:val="none"/>
              </w:rPr>
            </w:pPr>
          </w:p>
        </w:tc>
        <w:tc>
          <w:tcPr>
            <w:tcW w:w="5484" w:type="dxa"/>
            <w:tcBorders>
              <w:top w:val="single" w:color="auto" w:sz="4" w:space="0"/>
              <w:left w:val="single" w:color="auto" w:sz="4" w:space="0"/>
              <w:bottom w:val="single" w:color="auto" w:sz="4" w:space="0"/>
              <w:right w:val="single" w:color="auto" w:sz="4" w:space="0"/>
            </w:tcBorders>
            <w:noWrap w:val="0"/>
            <w:vAlign w:val="center"/>
          </w:tcPr>
          <w:p w14:paraId="2263BB6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16T，7200RPM，3.5寸，</w:t>
            </w:r>
            <w:r>
              <w:rPr>
                <w:rFonts w:hint="eastAsia" w:ascii="仿宋_GB2312" w:hAnsi="仿宋_GB2312" w:eastAsia="仿宋_GB2312" w:cs="仿宋_GB2312"/>
                <w:color w:val="auto"/>
                <w:sz w:val="21"/>
                <w:szCs w:val="21"/>
                <w:highlight w:val="none"/>
                <w:lang w:val="en-US" w:eastAsia="zh-CN"/>
              </w:rPr>
              <w:t>缓存</w:t>
            </w:r>
            <w:r>
              <w:rPr>
                <w:rFonts w:hint="eastAsia" w:ascii="Times New Roman" w:hAnsi="Times New Roman" w:eastAsia="仿宋_GB2312" w:cs="Times New Roman"/>
                <w:color w:val="auto"/>
                <w:sz w:val="21"/>
                <w:szCs w:val="21"/>
                <w:highlight w:val="none"/>
                <w:u w:val="none"/>
              </w:rPr>
              <w:t>≥</w:t>
            </w:r>
            <w:r>
              <w:rPr>
                <w:rFonts w:hint="eastAsia" w:ascii="Times New Roman" w:hAnsi="Times New Roman" w:eastAsia="仿宋_GB2312" w:cs="Times New Roman"/>
                <w:color w:val="auto"/>
                <w:sz w:val="21"/>
                <w:szCs w:val="21"/>
                <w:highlight w:val="none"/>
                <w:u w:val="none"/>
                <w:lang w:val="en-US" w:eastAsia="zh-CN"/>
              </w:rPr>
              <w:t>512M，支持CMR技术，氦气封装，</w:t>
            </w:r>
            <w:r>
              <w:rPr>
                <w:rFonts w:hint="eastAsia" w:ascii="仿宋_GB2312" w:hAnsi="仿宋_GB2312" w:eastAsia="仿宋_GB2312" w:cs="仿宋_GB2312"/>
                <w:color w:val="auto"/>
                <w:sz w:val="21"/>
                <w:szCs w:val="21"/>
                <w:highlight w:val="none"/>
              </w:rPr>
              <w:t>SATA</w:t>
            </w:r>
            <w:r>
              <w:rPr>
                <w:rFonts w:hint="eastAsia" w:ascii="仿宋_GB2312" w:hAnsi="仿宋_GB2312" w:eastAsia="仿宋_GB2312" w:cs="仿宋_GB2312"/>
                <w:color w:val="auto"/>
                <w:sz w:val="21"/>
                <w:szCs w:val="21"/>
                <w:highlight w:val="none"/>
                <w:lang w:val="en-US" w:eastAsia="zh-CN"/>
              </w:rPr>
              <w:t>接口</w:t>
            </w:r>
            <w:r>
              <w:rPr>
                <w:rFonts w:hint="eastAsia" w:ascii="仿宋_GB2312" w:hAnsi="仿宋_GB2312" w:eastAsia="仿宋_GB2312" w:cs="仿宋_GB2312"/>
                <w:color w:val="auto"/>
                <w:sz w:val="21"/>
                <w:szCs w:val="21"/>
                <w:highlight w:val="none"/>
              </w:rPr>
              <w:t>，传输速率</w:t>
            </w:r>
            <w:r>
              <w:rPr>
                <w:rFonts w:hint="eastAsia" w:ascii="Times New Roman" w:hAnsi="Times New Roman" w:eastAsia="仿宋_GB2312" w:cs="Times New Roman"/>
                <w:color w:val="auto"/>
                <w:sz w:val="21"/>
                <w:szCs w:val="21"/>
                <w:highlight w:val="none"/>
                <w:u w:val="none"/>
              </w:rPr>
              <w:t>≥</w:t>
            </w:r>
            <w:r>
              <w:rPr>
                <w:rFonts w:hint="eastAsia" w:ascii="仿宋_GB2312" w:hAnsi="仿宋_GB2312" w:eastAsia="仿宋_GB2312" w:cs="仿宋_GB2312"/>
                <w:color w:val="auto"/>
                <w:sz w:val="21"/>
                <w:szCs w:val="21"/>
                <w:highlight w:val="none"/>
              </w:rPr>
              <w:t>25</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MB/S</w:t>
            </w:r>
            <w:r>
              <w:rPr>
                <w:rFonts w:hint="eastAsia" w:ascii="仿宋_GB2312" w:hAnsi="仿宋_GB2312" w:eastAsia="仿宋_GB2312" w:cs="仿宋_GB2312"/>
                <w:color w:val="auto"/>
                <w:sz w:val="21"/>
                <w:szCs w:val="21"/>
                <w:highlight w:val="none"/>
                <w:lang w:val="en-US" w:eastAsia="zh-CN"/>
              </w:rPr>
              <w:t>;五</w:t>
            </w:r>
            <w:r>
              <w:rPr>
                <w:rFonts w:hint="eastAsia" w:ascii="仿宋_GB2312" w:hAnsi="仿宋_GB2312" w:eastAsia="仿宋_GB2312" w:cs="仿宋_GB2312"/>
                <w:color w:val="auto"/>
                <w:sz w:val="21"/>
                <w:szCs w:val="21"/>
                <w:highlight w:val="none"/>
              </w:rPr>
              <w:t>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DAF4E75">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122</w:t>
            </w:r>
          </w:p>
        </w:tc>
      </w:tr>
      <w:tr w14:paraId="6A8A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44" w:type="dxa"/>
            <w:gridSpan w:val="5"/>
            <w:tcBorders>
              <w:top w:val="single" w:color="auto" w:sz="4" w:space="0"/>
              <w:left w:val="single" w:color="auto" w:sz="4" w:space="0"/>
              <w:bottom w:val="single" w:color="auto" w:sz="4" w:space="0"/>
              <w:right w:val="single" w:color="auto" w:sz="4" w:space="0"/>
            </w:tcBorders>
            <w:noWrap w:val="0"/>
            <w:vAlign w:val="center"/>
          </w:tcPr>
          <w:p w14:paraId="1E85C83B">
            <w:pPr>
              <w:widowControl/>
              <w:autoSpaceDE w:val="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2"/>
                <w:szCs w:val="22"/>
                <w:highlight w:val="none"/>
              </w:rPr>
              <w:t>（三）算力及多模态大模型</w:t>
            </w:r>
          </w:p>
        </w:tc>
      </w:tr>
      <w:tr w14:paraId="583C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vMerge w:val="restart"/>
            <w:tcBorders>
              <w:top w:val="single" w:color="auto" w:sz="4" w:space="0"/>
              <w:left w:val="single" w:color="auto" w:sz="4" w:space="0"/>
              <w:right w:val="single" w:color="auto" w:sz="4" w:space="0"/>
            </w:tcBorders>
            <w:noWrap w:val="0"/>
            <w:vAlign w:val="center"/>
          </w:tcPr>
          <w:p w14:paraId="7FF2670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2416" w:type="dxa"/>
            <w:gridSpan w:val="2"/>
            <w:vMerge w:val="restart"/>
            <w:tcBorders>
              <w:top w:val="single" w:color="auto" w:sz="4" w:space="0"/>
              <w:left w:val="single" w:color="auto" w:sz="4" w:space="0"/>
              <w:right w:val="single" w:color="auto" w:sz="4" w:space="0"/>
            </w:tcBorders>
            <w:noWrap w:val="0"/>
            <w:vAlign w:val="center"/>
          </w:tcPr>
          <w:p w14:paraId="0E01BA16">
            <w:pPr>
              <w:widowControl/>
              <w:jc w:val="center"/>
              <w:rPr>
                <w:rFonts w:hint="eastAsia" w:ascii="仿宋_GB2312" w:hAnsi="仿宋_GB2312" w:eastAsia="仿宋_GB2312" w:cs="仿宋_GB2312"/>
                <w:color w:val="auto"/>
                <w:sz w:val="22"/>
                <w:szCs w:val="22"/>
                <w:highlight w:val="none"/>
              </w:rPr>
            </w:pPr>
            <w:r>
              <w:rPr>
                <w:rFonts w:hint="eastAsia" w:ascii="Times New Roman" w:hAnsi="Times New Roman" w:eastAsia="仿宋_GB2312" w:cs="Times New Roman"/>
                <w:color w:val="auto"/>
                <w:sz w:val="22"/>
                <w:szCs w:val="22"/>
                <w:highlight w:val="none"/>
              </w:rPr>
              <w:t>算力能力</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FE76471">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1. 机型：4U 机架服务器； </w:t>
            </w:r>
          </w:p>
          <w:p w14:paraId="74133128">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2. 处理器：配置≥2 颗 Intel 4310 以上性能处理器，基本频率≥2.1GHz，单颗内核数≥12； </w:t>
            </w:r>
          </w:p>
          <w:p w14:paraId="42A7AAE8">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3.内存：配置≥256GB ECC 3200MHz DDR4 内存（64GB*4）； </w:t>
            </w:r>
          </w:p>
          <w:p w14:paraId="73BC1F0D">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4. 硬盘：配置≥2 块 480GB SSD，配置≥3 块 3.5寸4TB SATA硬盘;</w:t>
            </w:r>
          </w:p>
          <w:p w14:paraId="626EE1F8">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5.RAID 阵列卡：支持 12Gb/s SAS；具有 8 个内部 12Gb/s SATA+SAS 端口；控制器板载 DDRIII SDRAM 高速缓存≥2GB ；支持 RAID 级别 0、1、5、6 以及 RAID 10、50、60。</w:t>
            </w:r>
          </w:p>
          <w:p w14:paraId="4BAF230D">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6. 网络接口：配置≥4 个 25Gb 速率网口（含对应模块）； </w:t>
            </w:r>
          </w:p>
          <w:p w14:paraId="4CDD2BC7">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7. 电源及散热：配置2600W热插拔 2+2 冗余电源，满配冗余风扇； </w:t>
            </w:r>
          </w:p>
          <w:p w14:paraId="3697F05F">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8. 管理性：配备远程管理端口，支持 IPMI、远程监控图形界面，可远程对服务器控制：开关机、重启、更新 Firmware、虚拟 KVM、虚拟光驱等； </w:t>
            </w:r>
          </w:p>
          <w:p w14:paraId="4769D294">
            <w:pPr>
              <w:widowControl/>
              <w:rPr>
                <w:rFonts w:hint="eastAsia" w:ascii="仿宋_GB2312" w:hAnsi="仿宋_GB2312" w:eastAsia="仿宋_GB2312" w:cs="仿宋_GB2312"/>
                <w:color w:val="auto"/>
                <w:sz w:val="21"/>
                <w:szCs w:val="21"/>
                <w:highlight w:val="none"/>
              </w:rPr>
            </w:pPr>
            <w:r>
              <w:rPr>
                <w:rFonts w:hint="eastAsia" w:ascii="Times New Roman" w:hAnsi="Times New Roman" w:eastAsia="仿宋_GB2312" w:cs="Times New Roman"/>
                <w:color w:val="auto"/>
                <w:sz w:val="21"/>
                <w:szCs w:val="21"/>
                <w:highlight w:val="none"/>
                <w:u w:val="single"/>
              </w:rPr>
              <w:t>9. 显卡：配置≥8 块 24GB显存显卡，单卡FP32 单精度浮点计算性能≥ 24TFlops，并行计算单元数量不低于10490核心。</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E8A5E86">
            <w:pPr>
              <w:widowControl/>
              <w:jc w:val="center"/>
              <w:rPr>
                <w:rFonts w:hint="eastAsia" w:ascii="仿宋_GB2312" w:hAnsi="仿宋_GB2312" w:eastAsia="仿宋_GB2312" w:cs="仿宋_GB2312"/>
                <w:color w:val="auto"/>
                <w:sz w:val="22"/>
                <w:szCs w:val="22"/>
                <w:highlight w:val="none"/>
              </w:rPr>
            </w:pPr>
            <w:r>
              <w:rPr>
                <w:rFonts w:hint="eastAsia" w:ascii="Times New Roman" w:hAnsi="Times New Roman" w:eastAsia="仿宋_GB2312" w:cs="Times New Roman"/>
                <w:color w:val="auto"/>
                <w:sz w:val="22"/>
                <w:szCs w:val="22"/>
                <w:highlight w:val="none"/>
              </w:rPr>
              <w:t>1</w:t>
            </w:r>
          </w:p>
        </w:tc>
      </w:tr>
      <w:tr w14:paraId="45D7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vMerge w:val="continue"/>
            <w:tcBorders>
              <w:left w:val="single" w:color="auto" w:sz="4" w:space="0"/>
              <w:bottom w:val="single" w:color="auto" w:sz="4" w:space="0"/>
              <w:right w:val="single" w:color="auto" w:sz="4" w:space="0"/>
            </w:tcBorders>
            <w:noWrap w:val="0"/>
            <w:vAlign w:val="center"/>
          </w:tcPr>
          <w:p w14:paraId="1ACA4926">
            <w:pPr>
              <w:widowControl/>
              <w:autoSpaceDE w:val="0"/>
              <w:jc w:val="center"/>
              <w:rPr>
                <w:rFonts w:hint="eastAsia" w:ascii="仿宋_GB2312" w:hAnsi="仿宋_GB2312" w:eastAsia="仿宋_GB2312" w:cs="仿宋_GB2312"/>
                <w:color w:val="auto"/>
                <w:sz w:val="22"/>
                <w:szCs w:val="22"/>
                <w:highlight w:val="none"/>
              </w:rPr>
            </w:pPr>
          </w:p>
        </w:tc>
        <w:tc>
          <w:tcPr>
            <w:tcW w:w="2416" w:type="dxa"/>
            <w:gridSpan w:val="2"/>
            <w:vMerge w:val="continue"/>
            <w:tcBorders>
              <w:left w:val="single" w:color="auto" w:sz="4" w:space="0"/>
              <w:bottom w:val="single" w:color="auto" w:sz="4" w:space="0"/>
              <w:right w:val="single" w:color="auto" w:sz="4" w:space="0"/>
            </w:tcBorders>
            <w:noWrap w:val="0"/>
            <w:vAlign w:val="center"/>
          </w:tcPr>
          <w:p w14:paraId="43AE9AF8">
            <w:pPr>
              <w:widowControl/>
              <w:jc w:val="center"/>
              <w:rPr>
                <w:rFonts w:hint="eastAsia" w:ascii="仿宋_GB2312" w:hAnsi="仿宋_GB2312" w:eastAsia="仿宋_GB2312" w:cs="仿宋_GB2312"/>
                <w:color w:val="auto"/>
                <w:sz w:val="22"/>
                <w:szCs w:val="22"/>
                <w:highlight w:val="none"/>
              </w:rPr>
            </w:pP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0389BFF">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1. 机型：4U 机架服务器； </w:t>
            </w:r>
          </w:p>
          <w:p w14:paraId="1CBBAEAB">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2. 处理器：配置≥2 颗 Intel 4310 以上性能处理器，基本频率≥2.1GHz，单颗内核数≥12； </w:t>
            </w:r>
          </w:p>
          <w:p w14:paraId="05EC4EB7">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3.内存：配置≥256GB ECC 3200MHz DDR4 内存（64GB*4）； </w:t>
            </w:r>
          </w:p>
          <w:p w14:paraId="08DD9634">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4. 硬盘：配置≥2 块 480GB SSD，配置≥3 块 3.5寸4TB SATA硬盘;</w:t>
            </w:r>
          </w:p>
          <w:p w14:paraId="365B806C">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5.RAID 阵列卡：支持 12Gb/s SAS；具有 8 个内部 12Gb/s SATA+SAS 端口；控制器板载DDRIII SDRAM 高速缓存≥2GB ；支持 RAID 级别 0、1、5、6 以及 RAID 10、50、60。</w:t>
            </w:r>
          </w:p>
          <w:p w14:paraId="72979B9F">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6. 网络接口：配置≥4 个 25Gb 速率网口（含对应模块）； </w:t>
            </w:r>
          </w:p>
          <w:p w14:paraId="39772E37">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7. 电源及散热：配置2600W热插拔 2+2 冗余电源，满配冗余风扇； </w:t>
            </w:r>
          </w:p>
          <w:p w14:paraId="610296DD">
            <w:pPr>
              <w:widowControl/>
              <w:rPr>
                <w:rFonts w:hint="eastAsia" w:ascii="Times New Roman" w:hAnsi="Times New Roman" w:eastAsia="仿宋_GB2312" w:cs="Times New Roman"/>
                <w:color w:val="auto"/>
                <w:sz w:val="21"/>
                <w:szCs w:val="21"/>
                <w:highlight w:val="none"/>
                <w:u w:val="single"/>
              </w:rPr>
            </w:pPr>
            <w:r>
              <w:rPr>
                <w:rFonts w:hint="eastAsia" w:ascii="Times New Roman" w:hAnsi="Times New Roman" w:eastAsia="仿宋_GB2312" w:cs="Times New Roman"/>
                <w:color w:val="auto"/>
                <w:sz w:val="21"/>
                <w:szCs w:val="21"/>
                <w:highlight w:val="none"/>
                <w:u w:val="single"/>
              </w:rPr>
              <w:t xml:space="preserve">8. 管理性：配备远程管理端口，支持 IPMI、远程监控图形界面，可远程对服务器控制：开关机、重启、更新 Firmware、虚拟 KVM、虚拟光驱等； </w:t>
            </w:r>
          </w:p>
          <w:p w14:paraId="5945EDEA">
            <w:pPr>
              <w:widowControl/>
              <w:rPr>
                <w:rFonts w:hint="eastAsia" w:ascii="仿宋_GB2312" w:hAnsi="仿宋_GB2312" w:eastAsia="仿宋_GB2312" w:cs="仿宋_GB2312"/>
                <w:color w:val="auto"/>
                <w:sz w:val="21"/>
                <w:szCs w:val="21"/>
                <w:highlight w:val="none"/>
              </w:rPr>
            </w:pPr>
            <w:r>
              <w:rPr>
                <w:rFonts w:hint="eastAsia" w:ascii="Times New Roman" w:hAnsi="Times New Roman" w:eastAsia="仿宋_GB2312" w:cs="Times New Roman"/>
                <w:color w:val="auto"/>
                <w:sz w:val="21"/>
                <w:szCs w:val="21"/>
                <w:highlight w:val="none"/>
                <w:u w:val="single"/>
              </w:rPr>
              <w:t>9. 显卡：配置≥8 块 24GB显存显卡，单卡FP32 单精度浮点计算性能≥ 39TFlops，并行计算单元数量不低于14580核心。</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5567764">
            <w:pPr>
              <w:widowControl/>
              <w:jc w:val="center"/>
              <w:rPr>
                <w:rFonts w:hint="eastAsia" w:ascii="仿宋_GB2312" w:hAnsi="仿宋_GB2312" w:eastAsia="仿宋_GB2312" w:cs="仿宋_GB2312"/>
                <w:color w:val="auto"/>
                <w:sz w:val="22"/>
                <w:szCs w:val="22"/>
                <w:highlight w:val="none"/>
              </w:rPr>
            </w:pPr>
            <w:r>
              <w:rPr>
                <w:rFonts w:hint="eastAsia" w:ascii="Times New Roman" w:hAnsi="Times New Roman" w:eastAsia="仿宋_GB2312" w:cs="Times New Roman"/>
                <w:color w:val="auto"/>
                <w:sz w:val="22"/>
                <w:szCs w:val="22"/>
                <w:highlight w:val="none"/>
              </w:rPr>
              <w:t>2</w:t>
            </w:r>
          </w:p>
        </w:tc>
      </w:tr>
      <w:tr w14:paraId="086C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7977652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14:paraId="17310DDA">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多模态大模型</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9CB3673">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1.多模态大模型支持中英双语，实现视觉语言特征的深度融合，支持视觉问答、图像字幕、视觉定位、复杂目标检测等各类多模态理解任务；</w:t>
            </w:r>
          </w:p>
          <w:p w14:paraId="6F6F1D3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多模态大模型可以融合图像、文本、轨迹等多种信息,全面理解船只特征,而传统CV模型仅依赖图像信息,表达能力有限。多模态大模型通过预训练学习了丰富的先验知识,可以更好地应对海上复杂多变的环境,而传统CV模型缺乏必要的鲁棒性和泛化能力；</w:t>
            </w:r>
          </w:p>
          <w:p w14:paraId="0655743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3.多模态大模型支持增量学习和持续优化,可以动态适应新出现的船只和变化的任务需求,而传统CV模型难以灵活更新和扩展；</w:t>
            </w:r>
          </w:p>
          <w:p w14:paraId="2BE741A7">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预训练算法架构证明，本项目中使用的大模型应是可支持升级至千亿级（100B级别及以上）参数的非MoE模型，提供证明材料扫描件，提供本项目中的模型可升级至千亿级参数的路径说明和可行性承诺，并加盖厂商公章；</w:t>
            </w:r>
          </w:p>
          <w:p w14:paraId="697B38E1">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rPr>
              <w:t>文生文大模型具备“生成式人工智能大模型国家网信办备案证明”；</w:t>
            </w:r>
          </w:p>
          <w:p w14:paraId="5086739B">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rPr>
              <w:t>文生文大模型具备“生成式人工智能大模型国家网信办许可证明”；</w:t>
            </w:r>
          </w:p>
          <w:p w14:paraId="39AC51E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rPr>
              <w:t>图生文大模型具备“生成式人工智能大模型国家网信办备案证明”，提供证明材料扫描件加盖厂商公章；</w:t>
            </w:r>
          </w:p>
          <w:p w14:paraId="4E23612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r>
              <w:rPr>
                <w:rFonts w:hint="eastAsia" w:ascii="仿宋_GB2312" w:hAnsi="仿宋_GB2312" w:eastAsia="仿宋_GB2312" w:cs="仿宋_GB2312"/>
                <w:color w:val="auto"/>
                <w:sz w:val="21"/>
                <w:szCs w:val="21"/>
                <w:highlight w:val="none"/>
              </w:rPr>
              <w:t>图生文大模型具备“生成式人工智能大模型国家网信办许可证明”；</w:t>
            </w:r>
          </w:p>
          <w:p w14:paraId="35CA52B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w:t>
            </w:r>
            <w:r>
              <w:rPr>
                <w:rFonts w:hint="eastAsia" w:ascii="仿宋_GB2312" w:hAnsi="仿宋_GB2312" w:eastAsia="仿宋_GB2312" w:cs="仿宋_GB2312"/>
                <w:color w:val="auto"/>
                <w:sz w:val="21"/>
                <w:szCs w:val="21"/>
                <w:highlight w:val="none"/>
              </w:rPr>
              <w:t>大模型支持语法分析、语义分析、语义消歧、对话系统、机器翻译、情感分析、文本分类、文本生成、代码生成、文本内容推荐、阅读理解等至少10项任务支持能力；</w:t>
            </w:r>
          </w:p>
          <w:p w14:paraId="36EC6CA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10.★大模型具备支持源代码交付的能力，提供具备支持源代码交付能力的承诺函，并加盖厂商公章；</w:t>
            </w:r>
          </w:p>
          <w:p w14:paraId="1B921A88">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11.★多模态输入输出：支持多模态的输入输出，提供截图扫描件加盖厂商公章；</w:t>
            </w:r>
          </w:p>
          <w:p w14:paraId="2C96A889">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12.大模型厂商提供5个及以上已授权大模型发明专利（至少3个NLP、1个深度学习，及1个其他）；</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6BC5140D">
            <w:pPr>
              <w:widowControl/>
              <w:autoSpaceDE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w:t>
            </w:r>
          </w:p>
        </w:tc>
      </w:tr>
      <w:tr w14:paraId="57C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44" w:type="dxa"/>
            <w:gridSpan w:val="5"/>
            <w:tcBorders>
              <w:top w:val="single" w:color="auto" w:sz="4" w:space="0"/>
              <w:left w:val="single" w:color="auto" w:sz="4" w:space="0"/>
              <w:bottom w:val="single" w:color="auto" w:sz="4" w:space="0"/>
              <w:right w:val="single" w:color="auto" w:sz="4" w:space="0"/>
            </w:tcBorders>
            <w:noWrap w:val="0"/>
            <w:vAlign w:val="center"/>
          </w:tcPr>
          <w:p w14:paraId="1FC840B4">
            <w:pPr>
              <w:widowControl/>
              <w:autoSpaceDE w:val="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2"/>
                <w:szCs w:val="22"/>
                <w:highlight w:val="none"/>
              </w:rPr>
              <w:t>（四）监控中心配套设施</w:t>
            </w:r>
          </w:p>
        </w:tc>
      </w:tr>
      <w:tr w14:paraId="3162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DE0BD41">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735" w:type="dxa"/>
            <w:tcBorders>
              <w:top w:val="single" w:color="auto" w:sz="4" w:space="0"/>
              <w:left w:val="single" w:color="auto" w:sz="4" w:space="0"/>
              <w:bottom w:val="single" w:color="auto" w:sz="4" w:space="0"/>
              <w:right w:val="single" w:color="auto" w:sz="4" w:space="0"/>
            </w:tcBorders>
            <w:noWrap/>
            <w:vAlign w:val="center"/>
          </w:tcPr>
          <w:p w14:paraId="7353D060">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现场处置设备</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B52EC63">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业务闭环处置终端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71CE4FE">
            <w:pPr>
              <w:widowControl/>
              <w:numPr>
                <w:ilvl w:val="0"/>
                <w:numId w:val="17"/>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搭载国产处理器，CPU≥6核；RAW≥12GB，ROW≥512GB；</w:t>
            </w:r>
          </w:p>
          <w:p w14:paraId="779EEDD0">
            <w:pPr>
              <w:widowControl/>
              <w:numPr>
                <w:ilvl w:val="0"/>
                <w:numId w:val="17"/>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采用直屏设计，尺寸不低于6英寸，支持120Hz刷新率，分辨率≥2776x1224px；后置5000万像素可变光圈设计，前置6000万像素超广角摄像头，支持AIS电子防抖；</w:t>
            </w:r>
          </w:p>
          <w:p w14:paraId="5CEC58C3">
            <w:pPr>
              <w:widowControl/>
              <w:numPr>
                <w:ilvl w:val="0"/>
                <w:numId w:val="17"/>
              </w:numPr>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配置4600mAh电池容量，支持100W快速充电技术；4.支持NFC功能；支持双卡双待；</w:t>
            </w:r>
          </w:p>
          <w:p w14:paraId="51430014">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5.内置国产操作系统，提供三年原厂保修。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E9A3244">
            <w:pPr>
              <w:widowControl/>
              <w:autoSpaceDE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55</w:t>
            </w:r>
          </w:p>
        </w:tc>
      </w:tr>
      <w:tr w14:paraId="2158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1B0225B">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735" w:type="dxa"/>
            <w:vMerge w:val="restart"/>
            <w:tcBorders>
              <w:left w:val="single" w:color="auto" w:sz="4" w:space="0"/>
              <w:bottom w:val="single" w:color="auto" w:sz="4" w:space="0"/>
              <w:right w:val="single" w:color="auto" w:sz="4" w:space="0"/>
            </w:tcBorders>
            <w:noWrap w:val="0"/>
            <w:vAlign w:val="center"/>
          </w:tcPr>
          <w:p w14:paraId="548A4622">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监控中心配套设施</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7730BF7">
            <w:pPr>
              <w:widowControl/>
              <w:autoSpaceDE w:val="0"/>
              <w:jc w:val="center"/>
              <w:rPr>
                <w:rFonts w:hint="eastAsia" w:ascii="仿宋_GB2312" w:hAnsi="仿宋_GB2312" w:eastAsia="仿宋_GB2312" w:cs="仿宋_GB2312"/>
                <w:strike w:val="0"/>
                <w:color w:val="auto"/>
                <w:sz w:val="22"/>
                <w:szCs w:val="22"/>
                <w:highlight w:val="none"/>
              </w:rPr>
            </w:pPr>
            <w:r>
              <w:rPr>
                <w:rFonts w:hint="eastAsia" w:ascii="仿宋_GB2312" w:hAnsi="仿宋_GB2312" w:eastAsia="仿宋_GB2312" w:cs="仿宋_GB2312"/>
                <w:strike w:val="0"/>
                <w:color w:val="auto"/>
                <w:sz w:val="22"/>
                <w:szCs w:val="22"/>
                <w:highlight w:val="none"/>
              </w:rPr>
              <w:t>综合指挥调度终端</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362D7EE">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strike w:val="0"/>
                <w:color w:val="auto"/>
                <w:sz w:val="21"/>
                <w:szCs w:val="21"/>
                <w:highlight w:val="none"/>
              </w:rPr>
              <w:t>搭载国产处理器，≥8核， 2.62GHz；</w:t>
            </w:r>
          </w:p>
          <w:p w14:paraId="2CBB07FB">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strike w:val="0"/>
                <w:color w:val="auto"/>
                <w:sz w:val="21"/>
                <w:szCs w:val="21"/>
                <w:highlight w:val="none"/>
              </w:rPr>
              <w:t>运行内存≥12GB，存储容量≥512GB；</w:t>
            </w:r>
          </w:p>
          <w:p w14:paraId="04C07FAD">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strike w:val="0"/>
                <w:color w:val="auto"/>
                <w:sz w:val="21"/>
                <w:szCs w:val="21"/>
                <w:highlight w:val="none"/>
              </w:rPr>
              <w:t>屏幕≥13.2英寸柔性OLED，分辨率≥2880x1920px；</w:t>
            </w:r>
          </w:p>
          <w:p w14:paraId="7E40B955">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strike w:val="0"/>
                <w:color w:val="auto"/>
                <w:sz w:val="21"/>
                <w:szCs w:val="21"/>
                <w:highlight w:val="none"/>
              </w:rPr>
              <w:t>前置1600万像素（f/2.2光圈）+dToF，1300万像素高清摄像头（f/1.8光圈，自动对焦）+ 800万像素广角摄像头（f/2.2光圈，固定焦距）；</w:t>
            </w:r>
          </w:p>
          <w:p w14:paraId="38F47435">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strike w:val="0"/>
                <w:color w:val="auto"/>
                <w:sz w:val="21"/>
                <w:szCs w:val="21"/>
                <w:highlight w:val="none"/>
              </w:rPr>
              <w:t>支持SIM卡；</w:t>
            </w:r>
          </w:p>
          <w:p w14:paraId="6AA32142">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strike w:val="0"/>
                <w:color w:val="auto"/>
                <w:sz w:val="21"/>
                <w:szCs w:val="21"/>
                <w:highlight w:val="none"/>
              </w:rPr>
              <w:t>配置10</w:t>
            </w:r>
            <w:r>
              <w:rPr>
                <w:rFonts w:hint="eastAsia" w:ascii="仿宋_GB2312" w:hAnsi="仿宋_GB2312" w:eastAsia="仿宋_GB2312" w:cs="仿宋_GB2312"/>
                <w:color w:val="auto"/>
                <w:sz w:val="21"/>
                <w:szCs w:val="21"/>
                <w:highlight w:val="none"/>
              </w:rPr>
              <w:t>0</w:t>
            </w:r>
            <w:r>
              <w:rPr>
                <w:rFonts w:hint="eastAsia" w:ascii="仿宋_GB2312" w:hAnsi="仿宋_GB2312" w:eastAsia="仿宋_GB2312" w:cs="仿宋_GB2312"/>
                <w:strike w:val="0"/>
                <w:color w:val="auto"/>
                <w:sz w:val="21"/>
                <w:szCs w:val="21"/>
                <w:highlight w:val="none"/>
              </w:rPr>
              <w:t>00mAh</w:t>
            </w:r>
            <w:r>
              <w:rPr>
                <w:rFonts w:hint="eastAsia" w:ascii="仿宋_GB2312" w:hAnsi="仿宋_GB2312" w:eastAsia="仿宋_GB2312" w:cs="仿宋_GB2312"/>
                <w:color w:val="auto"/>
                <w:sz w:val="21"/>
                <w:szCs w:val="21"/>
                <w:highlight w:val="none"/>
              </w:rPr>
              <w:t>以上</w:t>
            </w:r>
            <w:r>
              <w:rPr>
                <w:rFonts w:hint="eastAsia" w:ascii="仿宋_GB2312" w:hAnsi="仿宋_GB2312" w:eastAsia="仿宋_GB2312" w:cs="仿宋_GB2312"/>
                <w:strike w:val="0"/>
                <w:color w:val="auto"/>
                <w:sz w:val="21"/>
                <w:szCs w:val="21"/>
                <w:highlight w:val="none"/>
              </w:rPr>
              <w:t>电池容量；</w:t>
            </w:r>
          </w:p>
          <w:p w14:paraId="45FEC024">
            <w:pPr>
              <w:widowControl/>
              <w:autoSpaceDE w:val="0"/>
              <w:rPr>
                <w:rFonts w:hint="eastAsia" w:ascii="仿宋_GB2312" w:hAnsi="仿宋_GB2312" w:eastAsia="仿宋_GB2312" w:cs="仿宋_GB2312"/>
                <w:strike w:val="0"/>
                <w:color w:val="auto"/>
                <w:sz w:val="21"/>
                <w:szCs w:val="21"/>
                <w:highlight w:val="none"/>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strike w:val="0"/>
                <w:color w:val="auto"/>
                <w:sz w:val="21"/>
                <w:szCs w:val="21"/>
                <w:highlight w:val="none"/>
              </w:rPr>
              <w:t>内置国产操作系统等。</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BCE894E">
            <w:pPr>
              <w:widowControl/>
              <w:autoSpaceDE w:val="0"/>
              <w:jc w:val="center"/>
              <w:rPr>
                <w:rFonts w:hint="eastAsia" w:ascii="仿宋_GB2312" w:hAnsi="仿宋_GB2312" w:eastAsia="仿宋_GB2312" w:cs="仿宋_GB2312"/>
                <w:strike/>
                <w:color w:val="auto"/>
                <w:sz w:val="22"/>
                <w:szCs w:val="22"/>
                <w:highlight w:val="none"/>
                <w:lang w:val="en-US" w:eastAsia="zh-CN"/>
              </w:rPr>
            </w:pPr>
            <w:r>
              <w:rPr>
                <w:rFonts w:hint="eastAsia" w:ascii="仿宋_GB2312" w:hAnsi="仿宋_GB2312" w:eastAsia="仿宋_GB2312" w:cs="仿宋_GB2312"/>
                <w:strike w:val="0"/>
                <w:color w:val="auto"/>
                <w:sz w:val="22"/>
                <w:szCs w:val="22"/>
                <w:highlight w:val="none"/>
                <w:lang w:val="en-US" w:eastAsia="zh-CN"/>
              </w:rPr>
              <w:t>3</w:t>
            </w:r>
          </w:p>
        </w:tc>
      </w:tr>
      <w:tr w14:paraId="6AC1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3D857F5C">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9A20611">
            <w:pPr>
              <w:widowControl/>
              <w:rPr>
                <w:rFonts w:hint="eastAsia" w:ascii="仿宋_GB2312" w:hAnsi="仿宋_GB2312" w:eastAsia="仿宋_GB2312" w:cs="仿宋_GB2312"/>
                <w:color w:val="auto"/>
                <w:sz w:val="22"/>
                <w:szCs w:val="22"/>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E698DF9">
            <w:pPr>
              <w:widowControl/>
              <w:autoSpaceDE w:val="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视频监控网络键盘控制器</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BA46FF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1.显示屏：7英寸LCD；</w:t>
            </w:r>
          </w:p>
          <w:p w14:paraId="2B335BF5">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2.控制方式：网络方式，串口控制；</w:t>
            </w:r>
          </w:p>
          <w:p w14:paraId="27E75FEA">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3.电源：DC12V；</w:t>
            </w:r>
          </w:p>
          <w:p w14:paraId="56AE0302">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4.功耗：≤15W；</w:t>
            </w:r>
          </w:p>
          <w:p w14:paraId="0196041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5.系统：内置操作系统；</w:t>
            </w:r>
          </w:p>
          <w:p w14:paraId="581C8C8C">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6.最大解码分辨率：4路1080P；</w:t>
            </w:r>
          </w:p>
          <w:p w14:paraId="6E750B4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7.网络接口：1个；</w:t>
            </w:r>
          </w:p>
          <w:p w14:paraId="66C405BE">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8.串行接口：RS485，RS422；</w:t>
            </w:r>
          </w:p>
          <w:p w14:paraId="5465E080">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9.语音对讲输入：3.5mm立体声，可支持语音对讲功能；</w:t>
            </w:r>
          </w:p>
          <w:p w14:paraId="27A82109">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10.语音对讲输出：3.5mm立体声，可支持语音对讲功能；</w:t>
            </w:r>
          </w:p>
          <w:p w14:paraId="7BB7A124">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11.摇杆类型：四维单按键摇杆；</w:t>
            </w:r>
          </w:p>
          <w:p w14:paraId="5BEC2C86">
            <w:pPr>
              <w:widowControl/>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12.USB接口：USB2.0x1；</w:t>
            </w:r>
          </w:p>
          <w:p w14:paraId="64F27EB3">
            <w:pPr>
              <w:widowControl/>
              <w:autoSpaceDE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13.提供三年原厂保修。</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90BB25A">
            <w:pPr>
              <w:widowControl/>
              <w:autoSpaceDE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7</w:t>
            </w:r>
          </w:p>
        </w:tc>
      </w:tr>
    </w:tbl>
    <w:p w14:paraId="32BA8839">
      <w:pPr>
        <w:widowControl w:val="0"/>
        <w:numPr>
          <w:ilvl w:val="0"/>
          <w:numId w:val="0"/>
        </w:numPr>
        <w:tabs>
          <w:tab w:val="left" w:pos="720"/>
          <w:tab w:val="left" w:pos="5355"/>
        </w:tabs>
        <w:spacing w:line="430" w:lineRule="exact"/>
        <w:jc w:val="both"/>
        <w:rPr>
          <w:rFonts w:hint="eastAsia" w:ascii="仿宋_GB2312" w:hAnsi="仿宋_GB2312" w:eastAsia="仿宋_GB2312" w:cs="仿宋_GB2312"/>
          <w:color w:val="auto"/>
          <w:kern w:val="0"/>
          <w:sz w:val="24"/>
          <w:highlight w:val="none"/>
        </w:rPr>
      </w:pPr>
    </w:p>
    <w:p w14:paraId="553BD440">
      <w:pPr>
        <w:tabs>
          <w:tab w:val="left" w:pos="720"/>
          <w:tab w:val="left" w:pos="5355"/>
        </w:tabs>
        <w:spacing w:line="43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三、项目算法及软件部分</w:t>
      </w:r>
    </w:p>
    <w:p w14:paraId="1D7BC1BE">
      <w:pPr>
        <w:tabs>
          <w:tab w:val="left" w:pos="720"/>
          <w:tab w:val="left" w:pos="5355"/>
        </w:tabs>
        <w:spacing w:line="430" w:lineRule="exact"/>
        <w:rPr>
          <w:rFonts w:hint="default" w:ascii="仿宋_GB2312" w:hAnsi="仿宋_GB2312" w:eastAsia="仿宋_GB2312" w:cs="仿宋_GB2312"/>
          <w:b/>
          <w:color w:val="auto"/>
          <w:kern w:val="0"/>
          <w:sz w:val="24"/>
          <w:highlight w:val="none"/>
          <w:lang w:val="en-US" w:eastAsia="zh-CN"/>
        </w:rPr>
      </w:pPr>
      <w:r>
        <w:rPr>
          <w:rFonts w:hint="eastAsia" w:ascii="仿宋_GB2312" w:hAnsi="仿宋_GB2312" w:eastAsia="仿宋_GB2312" w:cs="仿宋_GB2312"/>
          <w:b/>
          <w:color w:val="auto"/>
          <w:kern w:val="0"/>
          <w:sz w:val="24"/>
          <w:highlight w:val="none"/>
          <w:lang w:val="en-US" w:eastAsia="zh-CN"/>
        </w:rPr>
        <w:t>本次项目存储硬盘、算法、算力及业务应用部分资金预算由市县两级分摊，其中市本级分摊预算资金32.5万元，剩余部分资金由各县级项目单位按视频监控点位数量比例承担。</w:t>
      </w:r>
    </w:p>
    <w:p w14:paraId="1E509CC3">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（一）数据资源体系建设内容</w:t>
      </w:r>
    </w:p>
    <w:p w14:paraId="6EA1707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将在“海上斑马线”应用现有的数据资源体系建设的基础上，扩展建设视频结构化数据库和船舶档案库等数据库，并根据业务需要打通与视频管理中心和“慧治苍南”等县级基层平台的数据接口，实现业务协同流转。</w:t>
      </w:r>
    </w:p>
    <w:p w14:paraId="3E26E65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1.数据库设计</w:t>
      </w:r>
    </w:p>
    <w:p w14:paraId="6C5C5D7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本次项目将根据业务需要建设数据库表包括摄像头信息表、船舶信息表和事件信息表。</w:t>
      </w:r>
    </w:p>
    <w:p w14:paraId="1EBF59FE">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1、摄像头信息表</w:t>
      </w:r>
    </w:p>
    <w:tbl>
      <w:tblPr>
        <w:tblStyle w:val="65"/>
        <w:tblW w:w="835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2122"/>
        <w:gridCol w:w="1910"/>
        <w:gridCol w:w="4327"/>
      </w:tblGrid>
      <w:tr w14:paraId="45C6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6A01280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字段名称</w:t>
            </w:r>
          </w:p>
        </w:tc>
        <w:tc>
          <w:tcPr>
            <w:tcW w:w="1910" w:type="dxa"/>
            <w:shd w:val="clear" w:color="000000" w:fill="auto"/>
            <w:noWrap/>
            <w:vAlign w:val="center"/>
          </w:tcPr>
          <w:p w14:paraId="45248B4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数据类型</w:t>
            </w:r>
          </w:p>
        </w:tc>
        <w:tc>
          <w:tcPr>
            <w:tcW w:w="4327" w:type="dxa"/>
            <w:shd w:val="clear" w:color="000000" w:fill="auto"/>
            <w:noWrap w:val="0"/>
            <w:vAlign w:val="center"/>
          </w:tcPr>
          <w:p w14:paraId="258C681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w:t>
            </w:r>
          </w:p>
        </w:tc>
      </w:tr>
      <w:tr w14:paraId="4AE7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721CCA16">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ID</w:t>
            </w:r>
          </w:p>
        </w:tc>
        <w:tc>
          <w:tcPr>
            <w:tcW w:w="1910" w:type="dxa"/>
            <w:shd w:val="clear" w:color="000000" w:fill="auto"/>
            <w:noWrap/>
            <w:vAlign w:val="center"/>
          </w:tcPr>
          <w:p w14:paraId="1B9DF358">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INT </w:t>
            </w:r>
          </w:p>
        </w:tc>
        <w:tc>
          <w:tcPr>
            <w:tcW w:w="4327" w:type="dxa"/>
            <w:shd w:val="clear" w:color="000000" w:fill="auto"/>
            <w:noWrap w:val="0"/>
            <w:vAlign w:val="center"/>
          </w:tcPr>
          <w:p w14:paraId="5DB2B5F1">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自增主键</w:t>
            </w:r>
          </w:p>
        </w:tc>
      </w:tr>
      <w:tr w14:paraId="746D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3FC7401F">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CameraID</w:t>
            </w:r>
          </w:p>
        </w:tc>
        <w:tc>
          <w:tcPr>
            <w:tcW w:w="1910" w:type="dxa"/>
            <w:shd w:val="clear" w:color="000000" w:fill="auto"/>
            <w:noWrap/>
            <w:vAlign w:val="center"/>
          </w:tcPr>
          <w:p w14:paraId="3ADABE79">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VARCHAR(50)  </w:t>
            </w:r>
          </w:p>
        </w:tc>
        <w:tc>
          <w:tcPr>
            <w:tcW w:w="4327" w:type="dxa"/>
            <w:shd w:val="clear" w:color="000000" w:fill="auto"/>
            <w:noWrap w:val="0"/>
            <w:vAlign w:val="center"/>
          </w:tcPr>
          <w:p w14:paraId="12C17FD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摄像头编号，主键</w:t>
            </w:r>
          </w:p>
        </w:tc>
      </w:tr>
      <w:tr w14:paraId="5A33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3E689B55">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FieldOfView</w:t>
            </w:r>
          </w:p>
        </w:tc>
        <w:tc>
          <w:tcPr>
            <w:tcW w:w="1910" w:type="dxa"/>
            <w:shd w:val="clear" w:color="000000" w:fill="auto"/>
            <w:noWrap/>
            <w:vAlign w:val="center"/>
          </w:tcPr>
          <w:p w14:paraId="4E7EA9B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VARCHAR(100)   </w:t>
            </w:r>
          </w:p>
        </w:tc>
        <w:tc>
          <w:tcPr>
            <w:tcW w:w="4327" w:type="dxa"/>
            <w:shd w:val="clear" w:color="000000" w:fill="auto"/>
            <w:noWrap w:val="0"/>
            <w:vAlign w:val="center"/>
          </w:tcPr>
          <w:p w14:paraId="16E40F85">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摄像头视野坐标参数，可以是多边形坐标字符串或其他合适的格式</w:t>
            </w:r>
          </w:p>
        </w:tc>
      </w:tr>
      <w:tr w14:paraId="26B3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04BBD535">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EventID</w:t>
            </w:r>
          </w:p>
        </w:tc>
        <w:tc>
          <w:tcPr>
            <w:tcW w:w="1910" w:type="dxa"/>
            <w:shd w:val="clear" w:color="000000" w:fill="auto"/>
            <w:noWrap/>
            <w:vAlign w:val="center"/>
          </w:tcPr>
          <w:p w14:paraId="504E4DFF">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VARCHAR(100)</w:t>
            </w:r>
          </w:p>
        </w:tc>
        <w:tc>
          <w:tcPr>
            <w:tcW w:w="4327" w:type="dxa"/>
            <w:shd w:val="clear" w:color="000000" w:fill="auto"/>
            <w:noWrap w:val="0"/>
            <w:vAlign w:val="center"/>
          </w:tcPr>
          <w:p w14:paraId="134406DE">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事件ID，由摄像头编号和出现顺序ID组成，例如Camera001_1，具有唯一性</w:t>
            </w:r>
          </w:p>
        </w:tc>
      </w:tr>
      <w:tr w14:paraId="2C8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3AF9FCB7">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EventType</w:t>
            </w:r>
          </w:p>
        </w:tc>
        <w:tc>
          <w:tcPr>
            <w:tcW w:w="1910" w:type="dxa"/>
            <w:shd w:val="clear" w:color="000000" w:fill="auto"/>
            <w:noWrap/>
            <w:vAlign w:val="center"/>
          </w:tcPr>
          <w:p w14:paraId="395CB1EC">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VARCHAR(50)   </w:t>
            </w:r>
          </w:p>
        </w:tc>
        <w:tc>
          <w:tcPr>
            <w:tcW w:w="4327" w:type="dxa"/>
            <w:shd w:val="clear" w:color="000000" w:fill="auto"/>
            <w:noWrap w:val="0"/>
            <w:vAlign w:val="center"/>
          </w:tcPr>
          <w:p w14:paraId="18C6D27F">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事件类型</w:t>
            </w:r>
          </w:p>
        </w:tc>
      </w:tr>
      <w:tr w14:paraId="433F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3A82675E">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EventDate</w:t>
            </w:r>
          </w:p>
        </w:tc>
        <w:tc>
          <w:tcPr>
            <w:tcW w:w="1910" w:type="dxa"/>
            <w:shd w:val="clear" w:color="000000" w:fill="auto"/>
            <w:noWrap/>
            <w:vAlign w:val="center"/>
          </w:tcPr>
          <w:p w14:paraId="109D6A57">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DATE</w:t>
            </w:r>
          </w:p>
        </w:tc>
        <w:tc>
          <w:tcPr>
            <w:tcW w:w="4327" w:type="dxa"/>
            <w:shd w:val="clear" w:color="000000" w:fill="auto"/>
            <w:noWrap w:val="0"/>
            <w:vAlign w:val="center"/>
          </w:tcPr>
          <w:p w14:paraId="400F180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事件日期</w:t>
            </w:r>
          </w:p>
        </w:tc>
      </w:tr>
      <w:tr w14:paraId="7D38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246BD9C8">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EventTime</w:t>
            </w:r>
          </w:p>
        </w:tc>
        <w:tc>
          <w:tcPr>
            <w:tcW w:w="1910" w:type="dxa"/>
            <w:shd w:val="clear" w:color="000000" w:fill="auto"/>
            <w:noWrap/>
            <w:vAlign w:val="center"/>
          </w:tcPr>
          <w:p w14:paraId="767F3EB5">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TIME</w:t>
            </w:r>
          </w:p>
        </w:tc>
        <w:tc>
          <w:tcPr>
            <w:tcW w:w="4327" w:type="dxa"/>
            <w:shd w:val="clear" w:color="000000" w:fill="auto"/>
            <w:noWrap w:val="0"/>
            <w:vAlign w:val="center"/>
          </w:tcPr>
          <w:p w14:paraId="3ECBC166">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事件时间</w:t>
            </w:r>
          </w:p>
        </w:tc>
      </w:tr>
      <w:tr w14:paraId="790B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4E2A681A">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ShipID</w:t>
            </w:r>
          </w:p>
        </w:tc>
        <w:tc>
          <w:tcPr>
            <w:tcW w:w="1910" w:type="dxa"/>
            <w:shd w:val="clear" w:color="000000" w:fill="auto"/>
            <w:noWrap/>
            <w:vAlign w:val="center"/>
          </w:tcPr>
          <w:p w14:paraId="7A2DB9F8">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VARCHAR(100)</w:t>
            </w:r>
          </w:p>
        </w:tc>
        <w:tc>
          <w:tcPr>
            <w:tcW w:w="4327" w:type="dxa"/>
            <w:shd w:val="clear" w:color="000000" w:fill="auto"/>
            <w:noWrap w:val="0"/>
            <w:vAlign w:val="center"/>
          </w:tcPr>
          <w:p w14:paraId="31DDFB34">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船舶ID，由摄像头编号和出现顺序ID组成，例如Camera001_Ship1</w:t>
            </w:r>
          </w:p>
        </w:tc>
      </w:tr>
      <w:tr w14:paraId="6FF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5124DB3E">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ShipPlate</w:t>
            </w:r>
          </w:p>
        </w:tc>
        <w:tc>
          <w:tcPr>
            <w:tcW w:w="1910" w:type="dxa"/>
            <w:shd w:val="clear" w:color="000000" w:fill="auto"/>
            <w:noWrap/>
            <w:vAlign w:val="center"/>
          </w:tcPr>
          <w:p w14:paraId="4B8B25C8">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VARCHAR(50)  </w:t>
            </w:r>
          </w:p>
        </w:tc>
        <w:tc>
          <w:tcPr>
            <w:tcW w:w="4327" w:type="dxa"/>
            <w:shd w:val="clear" w:color="000000" w:fill="auto"/>
            <w:noWrap w:val="0"/>
            <w:vAlign w:val="center"/>
          </w:tcPr>
          <w:p w14:paraId="59ACC4FC">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船舶牌号</w:t>
            </w:r>
          </w:p>
        </w:tc>
      </w:tr>
      <w:tr w14:paraId="6F04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382D722A">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ShipType</w:t>
            </w:r>
          </w:p>
        </w:tc>
        <w:tc>
          <w:tcPr>
            <w:tcW w:w="1910" w:type="dxa"/>
            <w:shd w:val="clear" w:color="000000" w:fill="auto"/>
            <w:noWrap/>
            <w:vAlign w:val="center"/>
          </w:tcPr>
          <w:p w14:paraId="1284AFA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VARCHAR(50)</w:t>
            </w:r>
          </w:p>
        </w:tc>
        <w:tc>
          <w:tcPr>
            <w:tcW w:w="4327" w:type="dxa"/>
            <w:shd w:val="clear" w:color="000000" w:fill="auto"/>
            <w:noWrap w:val="0"/>
            <w:vAlign w:val="center"/>
          </w:tcPr>
          <w:p w14:paraId="71272436">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船舶类型</w:t>
            </w:r>
          </w:p>
        </w:tc>
      </w:tr>
      <w:tr w14:paraId="697C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013AAFA1">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ShipCoordinates</w:t>
            </w:r>
          </w:p>
        </w:tc>
        <w:tc>
          <w:tcPr>
            <w:tcW w:w="1910" w:type="dxa"/>
            <w:shd w:val="clear" w:color="000000" w:fill="auto"/>
            <w:noWrap/>
            <w:vAlign w:val="center"/>
          </w:tcPr>
          <w:p w14:paraId="60EF828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VARCHAR(100)  </w:t>
            </w:r>
          </w:p>
        </w:tc>
        <w:tc>
          <w:tcPr>
            <w:tcW w:w="4327" w:type="dxa"/>
            <w:shd w:val="clear" w:color="000000" w:fill="auto"/>
            <w:noWrap w:val="0"/>
            <w:vAlign w:val="center"/>
          </w:tcPr>
          <w:p w14:paraId="08A4963F">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船舶经纬度坐标，可以是点坐标字符串或其他合适的格式  </w:t>
            </w:r>
          </w:p>
        </w:tc>
      </w:tr>
    </w:tbl>
    <w:p w14:paraId="26819F77">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2、船舶信息表</w:t>
      </w:r>
    </w:p>
    <w:tbl>
      <w:tblPr>
        <w:tblStyle w:val="65"/>
        <w:tblW w:w="835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2122"/>
        <w:gridCol w:w="1910"/>
        <w:gridCol w:w="4327"/>
      </w:tblGrid>
      <w:tr w14:paraId="4A55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727FEA6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字段名称</w:t>
            </w:r>
          </w:p>
        </w:tc>
        <w:tc>
          <w:tcPr>
            <w:tcW w:w="1910" w:type="dxa"/>
            <w:shd w:val="clear" w:color="000000" w:fill="auto"/>
            <w:noWrap/>
            <w:vAlign w:val="center"/>
          </w:tcPr>
          <w:p w14:paraId="5BE272E6">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数据类型</w:t>
            </w:r>
          </w:p>
        </w:tc>
        <w:tc>
          <w:tcPr>
            <w:tcW w:w="4327" w:type="dxa"/>
            <w:shd w:val="clear" w:color="000000" w:fill="auto"/>
            <w:noWrap w:val="0"/>
            <w:vAlign w:val="center"/>
          </w:tcPr>
          <w:p w14:paraId="4438AE4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w:t>
            </w:r>
          </w:p>
        </w:tc>
      </w:tr>
      <w:tr w14:paraId="2F9D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50BE250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ShipNumber</w:t>
            </w:r>
          </w:p>
        </w:tc>
        <w:tc>
          <w:tcPr>
            <w:tcW w:w="1910" w:type="dxa"/>
            <w:shd w:val="clear" w:color="000000" w:fill="auto"/>
            <w:noWrap/>
            <w:vAlign w:val="center"/>
          </w:tcPr>
          <w:p w14:paraId="6897F2B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VARCHAR(50)</w:t>
            </w:r>
          </w:p>
        </w:tc>
        <w:tc>
          <w:tcPr>
            <w:tcW w:w="4327" w:type="dxa"/>
            <w:shd w:val="clear" w:color="000000" w:fill="auto"/>
            <w:noWrap w:val="0"/>
            <w:vAlign w:val="center"/>
          </w:tcPr>
          <w:p w14:paraId="4BC29C16">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船舶编号，唯一ID，主键</w:t>
            </w:r>
          </w:p>
        </w:tc>
      </w:tr>
      <w:tr w14:paraId="2FCB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780EE7D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PreFusionID</w:t>
            </w:r>
          </w:p>
        </w:tc>
        <w:tc>
          <w:tcPr>
            <w:tcW w:w="1910" w:type="dxa"/>
            <w:shd w:val="clear" w:color="000000" w:fill="auto"/>
            <w:noWrap/>
            <w:vAlign w:val="center"/>
          </w:tcPr>
          <w:p w14:paraId="189C1FE4">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TEXT</w:t>
            </w:r>
          </w:p>
        </w:tc>
        <w:tc>
          <w:tcPr>
            <w:tcW w:w="4327" w:type="dxa"/>
            <w:shd w:val="clear" w:color="000000" w:fill="auto"/>
            <w:noWrap w:val="0"/>
            <w:vAlign w:val="center"/>
          </w:tcPr>
          <w:p w14:paraId="306C669C">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融合前ID，存放摄像头信息表中的ID，以JSON格式存储</w:t>
            </w:r>
          </w:p>
        </w:tc>
      </w:tr>
      <w:tr w14:paraId="36A0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33182FEE">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ShipPlate</w:t>
            </w:r>
          </w:p>
        </w:tc>
        <w:tc>
          <w:tcPr>
            <w:tcW w:w="1910" w:type="dxa"/>
            <w:shd w:val="clear" w:color="000000" w:fill="auto"/>
            <w:noWrap/>
            <w:vAlign w:val="center"/>
          </w:tcPr>
          <w:p w14:paraId="42508817">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VARCHAR(50) </w:t>
            </w:r>
          </w:p>
        </w:tc>
        <w:tc>
          <w:tcPr>
            <w:tcW w:w="4327" w:type="dxa"/>
            <w:shd w:val="clear" w:color="000000" w:fill="auto"/>
            <w:noWrap w:val="0"/>
            <w:vAlign w:val="center"/>
          </w:tcPr>
          <w:p w14:paraId="05B72CE6">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船舶牌号</w:t>
            </w:r>
          </w:p>
        </w:tc>
      </w:tr>
      <w:tr w14:paraId="008E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0649A66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ShipType</w:t>
            </w:r>
          </w:p>
        </w:tc>
        <w:tc>
          <w:tcPr>
            <w:tcW w:w="1910" w:type="dxa"/>
            <w:shd w:val="clear" w:color="000000" w:fill="auto"/>
            <w:noWrap/>
            <w:vAlign w:val="center"/>
          </w:tcPr>
          <w:p w14:paraId="74BEB362">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VARCHAR(50)</w:t>
            </w:r>
          </w:p>
        </w:tc>
        <w:tc>
          <w:tcPr>
            <w:tcW w:w="4327" w:type="dxa"/>
            <w:shd w:val="clear" w:color="000000" w:fill="auto"/>
            <w:noWrap w:val="0"/>
            <w:vAlign w:val="center"/>
          </w:tcPr>
          <w:p w14:paraId="43C67CE3">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船舶类型</w:t>
            </w:r>
          </w:p>
        </w:tc>
      </w:tr>
      <w:tr w14:paraId="22A2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3FE805C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ShipCoordinates</w:t>
            </w:r>
          </w:p>
        </w:tc>
        <w:tc>
          <w:tcPr>
            <w:tcW w:w="1910" w:type="dxa"/>
            <w:shd w:val="clear" w:color="000000" w:fill="auto"/>
            <w:noWrap/>
            <w:vAlign w:val="center"/>
          </w:tcPr>
          <w:p w14:paraId="2D403BA3">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VARCHAR(100) </w:t>
            </w:r>
          </w:p>
        </w:tc>
        <w:tc>
          <w:tcPr>
            <w:tcW w:w="4327" w:type="dxa"/>
            <w:shd w:val="clear" w:color="000000" w:fill="auto"/>
            <w:noWrap w:val="0"/>
            <w:vAlign w:val="center"/>
          </w:tcPr>
          <w:p w14:paraId="17C106C5">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船舶经纬度坐标</w:t>
            </w:r>
          </w:p>
        </w:tc>
      </w:tr>
      <w:tr w14:paraId="51CB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08EE3563">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CoordRecordTime</w:t>
            </w:r>
          </w:p>
        </w:tc>
        <w:tc>
          <w:tcPr>
            <w:tcW w:w="1910" w:type="dxa"/>
            <w:shd w:val="clear" w:color="000000" w:fill="auto"/>
            <w:noWrap/>
            <w:vAlign w:val="center"/>
          </w:tcPr>
          <w:p w14:paraId="489E4D8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DATETIME</w:t>
            </w:r>
          </w:p>
        </w:tc>
        <w:tc>
          <w:tcPr>
            <w:tcW w:w="4327" w:type="dxa"/>
            <w:shd w:val="clear" w:color="000000" w:fill="auto"/>
            <w:noWrap w:val="0"/>
            <w:vAlign w:val="center"/>
          </w:tcPr>
          <w:p w14:paraId="5149E85C">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船舶经纬度坐标记录时间</w:t>
            </w:r>
          </w:p>
        </w:tc>
      </w:tr>
    </w:tbl>
    <w:p w14:paraId="1C7C77F7">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3、事件信息表</w:t>
      </w:r>
    </w:p>
    <w:tbl>
      <w:tblPr>
        <w:tblStyle w:val="65"/>
        <w:tblW w:w="835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2122"/>
        <w:gridCol w:w="1910"/>
        <w:gridCol w:w="4327"/>
      </w:tblGrid>
      <w:tr w14:paraId="7460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blHeader/>
        </w:trPr>
        <w:tc>
          <w:tcPr>
            <w:tcW w:w="2122" w:type="dxa"/>
            <w:shd w:val="clear" w:color="000000" w:fill="auto"/>
            <w:noWrap/>
            <w:vAlign w:val="center"/>
          </w:tcPr>
          <w:p w14:paraId="5E1222C3">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字段名称</w:t>
            </w:r>
          </w:p>
        </w:tc>
        <w:tc>
          <w:tcPr>
            <w:tcW w:w="1910" w:type="dxa"/>
            <w:shd w:val="clear" w:color="000000" w:fill="auto"/>
            <w:noWrap/>
            <w:vAlign w:val="center"/>
          </w:tcPr>
          <w:p w14:paraId="750A6ADA">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数据类型</w:t>
            </w:r>
          </w:p>
        </w:tc>
        <w:tc>
          <w:tcPr>
            <w:tcW w:w="4327" w:type="dxa"/>
            <w:shd w:val="clear" w:color="000000" w:fill="auto"/>
            <w:noWrap w:val="0"/>
            <w:vAlign w:val="center"/>
          </w:tcPr>
          <w:p w14:paraId="3780A5A7">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w:t>
            </w:r>
          </w:p>
        </w:tc>
      </w:tr>
      <w:tr w14:paraId="53C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5C5191B9">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EventNumber</w:t>
            </w:r>
          </w:p>
        </w:tc>
        <w:tc>
          <w:tcPr>
            <w:tcW w:w="1910" w:type="dxa"/>
            <w:shd w:val="clear" w:color="000000" w:fill="auto"/>
            <w:noWrap/>
            <w:vAlign w:val="center"/>
          </w:tcPr>
          <w:p w14:paraId="25B19098">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VARCHAR(50)</w:t>
            </w:r>
          </w:p>
        </w:tc>
        <w:tc>
          <w:tcPr>
            <w:tcW w:w="4327" w:type="dxa"/>
            <w:shd w:val="clear" w:color="000000" w:fill="auto"/>
            <w:noWrap w:val="0"/>
            <w:vAlign w:val="center"/>
          </w:tcPr>
          <w:p w14:paraId="44ABC0AF">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事件编号，唯一ID，主键</w:t>
            </w:r>
          </w:p>
        </w:tc>
      </w:tr>
      <w:tr w14:paraId="1C0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37577BE9">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PreFusionID</w:t>
            </w:r>
          </w:p>
        </w:tc>
        <w:tc>
          <w:tcPr>
            <w:tcW w:w="1910" w:type="dxa"/>
            <w:shd w:val="clear" w:color="000000" w:fill="auto"/>
            <w:noWrap/>
            <w:vAlign w:val="center"/>
          </w:tcPr>
          <w:p w14:paraId="7243CBB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TEXT</w:t>
            </w:r>
          </w:p>
        </w:tc>
        <w:tc>
          <w:tcPr>
            <w:tcW w:w="4327" w:type="dxa"/>
            <w:shd w:val="clear" w:color="000000" w:fill="auto"/>
            <w:noWrap w:val="0"/>
            <w:vAlign w:val="center"/>
          </w:tcPr>
          <w:p w14:paraId="031CB292">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融合前ID，存放摄像头信息表中的ID，以JSON格式存储</w:t>
            </w:r>
          </w:p>
        </w:tc>
      </w:tr>
      <w:tr w14:paraId="19D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30" w:hRule="atLeast"/>
        </w:trPr>
        <w:tc>
          <w:tcPr>
            <w:tcW w:w="2122" w:type="dxa"/>
            <w:shd w:val="clear" w:color="000000" w:fill="auto"/>
            <w:noWrap/>
            <w:vAlign w:val="center"/>
          </w:tcPr>
          <w:p w14:paraId="51A81DD3">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EventType</w:t>
            </w:r>
          </w:p>
        </w:tc>
        <w:tc>
          <w:tcPr>
            <w:tcW w:w="1910" w:type="dxa"/>
            <w:shd w:val="clear" w:color="000000" w:fill="auto"/>
            <w:noWrap/>
            <w:vAlign w:val="center"/>
          </w:tcPr>
          <w:p w14:paraId="1AD27DF2">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VARCHAR(50)</w:t>
            </w:r>
          </w:p>
        </w:tc>
        <w:tc>
          <w:tcPr>
            <w:tcW w:w="4327" w:type="dxa"/>
            <w:shd w:val="clear" w:color="000000" w:fill="auto"/>
            <w:noWrap w:val="0"/>
            <w:vAlign w:val="center"/>
          </w:tcPr>
          <w:p w14:paraId="4B1FC161">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事件类型</w:t>
            </w:r>
          </w:p>
        </w:tc>
      </w:tr>
      <w:tr w14:paraId="70A1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4523FC82">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EventStartTime</w:t>
            </w:r>
          </w:p>
        </w:tc>
        <w:tc>
          <w:tcPr>
            <w:tcW w:w="1910" w:type="dxa"/>
            <w:shd w:val="clear" w:color="000000" w:fill="auto"/>
            <w:noWrap/>
            <w:vAlign w:val="center"/>
          </w:tcPr>
          <w:p w14:paraId="22AA6F3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DATETIME</w:t>
            </w:r>
          </w:p>
        </w:tc>
        <w:tc>
          <w:tcPr>
            <w:tcW w:w="4327" w:type="dxa"/>
            <w:shd w:val="clear" w:color="000000" w:fill="auto"/>
            <w:noWrap w:val="0"/>
            <w:vAlign w:val="center"/>
          </w:tcPr>
          <w:p w14:paraId="0AF3298A">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事件开始时间</w:t>
            </w:r>
          </w:p>
        </w:tc>
      </w:tr>
      <w:tr w14:paraId="0F0D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450FD379">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EventEndTime</w:t>
            </w:r>
          </w:p>
        </w:tc>
        <w:tc>
          <w:tcPr>
            <w:tcW w:w="1910" w:type="dxa"/>
            <w:shd w:val="clear" w:color="000000" w:fill="auto"/>
            <w:noWrap/>
            <w:vAlign w:val="center"/>
          </w:tcPr>
          <w:p w14:paraId="60FF585B">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DATETIME</w:t>
            </w:r>
          </w:p>
        </w:tc>
        <w:tc>
          <w:tcPr>
            <w:tcW w:w="4327" w:type="dxa"/>
            <w:shd w:val="clear" w:color="000000" w:fill="auto"/>
            <w:noWrap w:val="0"/>
            <w:vAlign w:val="center"/>
          </w:tcPr>
          <w:p w14:paraId="6C14C280">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事件结束时间</w:t>
            </w:r>
          </w:p>
        </w:tc>
      </w:tr>
      <w:tr w14:paraId="07B4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2" w:type="dxa"/>
            <w:shd w:val="clear" w:color="000000" w:fill="auto"/>
            <w:noWrap/>
            <w:vAlign w:val="center"/>
          </w:tcPr>
          <w:p w14:paraId="68831121">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InvolvedShips</w:t>
            </w:r>
          </w:p>
        </w:tc>
        <w:tc>
          <w:tcPr>
            <w:tcW w:w="1910" w:type="dxa"/>
            <w:shd w:val="clear" w:color="000000" w:fill="auto"/>
            <w:noWrap/>
            <w:vAlign w:val="center"/>
          </w:tcPr>
          <w:p w14:paraId="39AB818D">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TEXT</w:t>
            </w:r>
          </w:p>
        </w:tc>
        <w:tc>
          <w:tcPr>
            <w:tcW w:w="4327" w:type="dxa"/>
            <w:shd w:val="clear" w:color="000000" w:fill="auto"/>
            <w:noWrap w:val="0"/>
            <w:vAlign w:val="center"/>
          </w:tcPr>
          <w:p w14:paraId="1BC72DD3">
            <w:pPr>
              <w:tabs>
                <w:tab w:val="left" w:pos="720"/>
                <w:tab w:val="left" w:pos="5355"/>
              </w:tabs>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事件涉及船舶，以JSON格式存储船舶编号</w:t>
            </w:r>
          </w:p>
        </w:tc>
      </w:tr>
    </w:tbl>
    <w:p w14:paraId="532CF59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bookmarkStart w:id="100" w:name="_Toc29033"/>
      <w:r>
        <w:rPr>
          <w:rFonts w:hint="eastAsia" w:ascii="仿宋_GB2312" w:hAnsi="仿宋_GB2312" w:eastAsia="仿宋_GB2312" w:cs="仿宋_GB2312"/>
          <w:color w:val="auto"/>
          <w:kern w:val="0"/>
          <w:sz w:val="24"/>
          <w:highlight w:val="none"/>
        </w:rPr>
        <w:t>2.数据接口</w:t>
      </w:r>
      <w:bookmarkEnd w:id="100"/>
    </w:p>
    <w:p w14:paraId="3783CE5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本次项目需将沿海视频监控管理与AI算法平台、“海上斑马线”应用和“慧治苍南”三者之间的数据接口打通，实现预警信息的快速流转和处置。</w:t>
      </w:r>
    </w:p>
    <w:p w14:paraId="582797F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2.1打通“海上斑马线”与AI算法中心数据接口</w:t>
      </w:r>
    </w:p>
    <w:p w14:paraId="7039B14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获取AI识别结果信息，包括识别的照片、前后短视频、识别区域标定信息、识别事件id（持续事件id唯一）、识别时间、识别摄像头信息、识别类型、文字识别结果等。</w:t>
      </w:r>
    </w:p>
    <w:p w14:paraId="7090305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获取摄像机清单及静态详细信息，包括但不限于摄像头ID、摄像头名称、产品厂家、产品型号、安装位置（经度、纬度、视像头高度）、驱动信息（版本）、视频流地址等；并获取摄像机状态，包括正常、离线、故障等。</w:t>
      </w:r>
    </w:p>
    <w:p w14:paraId="07CA6E7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2.2打通“海上斑马线”与“慧治苍南”数据接口</w:t>
      </w:r>
    </w:p>
    <w:p w14:paraId="1248FCE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将“海上斑马线”应用生成的预警信息推进至“慧治苍南”平台，并从“慧治苍南”中获取处置结果信息。</w:t>
      </w:r>
    </w:p>
    <w:p w14:paraId="3CD8C89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bookmarkStart w:id="101" w:name="_Toc136333713"/>
      <w:bookmarkStart w:id="102" w:name="_Toc21620"/>
      <w:r>
        <w:rPr>
          <w:rFonts w:hint="eastAsia" w:ascii="仿宋_GB2312" w:hAnsi="仿宋_GB2312" w:eastAsia="仿宋_GB2312" w:cs="仿宋_GB2312"/>
          <w:color w:val="auto"/>
          <w:kern w:val="0"/>
          <w:sz w:val="24"/>
          <w:highlight w:val="none"/>
        </w:rPr>
        <w:t>3.与外单位数据资源共享情况说明</w:t>
      </w:r>
      <w:bookmarkEnd w:id="101"/>
      <w:bookmarkEnd w:id="102"/>
    </w:p>
    <w:p w14:paraId="56864D2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本次项目建设不涉及与外部单位之间的数据共享交换需求。</w:t>
      </w:r>
    </w:p>
    <w:p w14:paraId="54F24FA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3.1本项目需要外部单位共享的数据资源目录</w:t>
      </w:r>
    </w:p>
    <w:p w14:paraId="388FA35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本次项目无外部单位共享的数据资源需求。</w:t>
      </w:r>
    </w:p>
    <w:p w14:paraId="05B148B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3.2本次项目可开放给外部单位的数据资源目录</w:t>
      </w:r>
    </w:p>
    <w:p w14:paraId="2A9C957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本次项目建成后，项目产生的所有视频数据将通过全市公共视频监控一体化系统共享给外部单位。</w:t>
      </w:r>
    </w:p>
    <w:p w14:paraId="62389808">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bookmarkStart w:id="103" w:name="_Toc8337"/>
      <w:r>
        <w:rPr>
          <w:rFonts w:hint="eastAsia" w:ascii="仿宋_GB2312" w:hAnsi="仿宋_GB2312" w:eastAsia="仿宋_GB2312" w:cs="仿宋_GB2312"/>
          <w:b/>
          <w:color w:val="auto"/>
          <w:kern w:val="0"/>
          <w:sz w:val="24"/>
          <w:highlight w:val="none"/>
        </w:rPr>
        <w:t>（二）应用支撑体系建设内容</w:t>
      </w:r>
      <w:bookmarkEnd w:id="103"/>
    </w:p>
    <w:p w14:paraId="70C8DB7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业务应用是基于“海上斑马线”应用现有功能模块进行扩展开发的，为此将依托省IRS系统，复用包括单点登录、身份验证、地图服务、组织架构和用户体系等公共组件和复用已建的消息管理组件，为项目应用提供技术、业务和数据支撑能力。同时依托全市公共视频监控一体化系统，为市县两级农业农村局用户提供实时查看辖区视频监控。另外，本次项目将利用人工智能视觉分析技术，建设AI算法中心，实现对沿海视频监控的自动分析、识别和预警，有效打击全市海域各类涉海违法违规行为。本次项目AI算法将通过购买第三方算法资源的形式为本次项目所有视频监控点位提供实时识别分析服务。</w:t>
      </w:r>
    </w:p>
    <w:p w14:paraId="6CC9DE0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bookmarkStart w:id="104" w:name="_Toc8941"/>
      <w:r>
        <w:rPr>
          <w:rFonts w:hint="eastAsia" w:ascii="仿宋_GB2312" w:hAnsi="仿宋_GB2312" w:eastAsia="仿宋_GB2312" w:cs="仿宋_GB2312"/>
          <w:color w:val="auto"/>
          <w:kern w:val="0"/>
          <w:sz w:val="24"/>
          <w:highlight w:val="none"/>
        </w:rPr>
        <w:t>1.AI算法中心建设</w:t>
      </w:r>
      <w:bookmarkEnd w:id="104"/>
    </w:p>
    <w:p w14:paraId="0EBA8C7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本次项目主要是围绕海洋渔业监管</w:t>
      </w:r>
      <w:r>
        <w:rPr>
          <w:rFonts w:hint="eastAsia" w:ascii="仿宋_GB2312" w:hAnsi="仿宋_GB2312" w:eastAsia="仿宋_GB2312" w:cs="仿宋_GB2312"/>
          <w:color w:val="auto"/>
          <w:kern w:val="0"/>
          <w:sz w:val="24"/>
          <w:highlight w:val="none"/>
          <w:lang w:val="en-US"/>
        </w:rPr>
        <w:t>与应急处置业务</w:t>
      </w:r>
      <w:r>
        <w:rPr>
          <w:rFonts w:hint="eastAsia" w:ascii="仿宋_GB2312" w:hAnsi="仿宋_GB2312" w:eastAsia="仿宋_GB2312" w:cs="仿宋_GB2312"/>
          <w:color w:val="auto"/>
          <w:kern w:val="0"/>
          <w:sz w:val="24"/>
          <w:highlight w:val="none"/>
        </w:rPr>
        <w:t>需求，依托人工智能视觉分析技术，构建AI算法中心，提供对船脸和船牌的实时识别，跟踪目标船舶，以保持船舶在监控范围内的清晰可见。本方案构建的AI算法中心采用模块化设计理念,主要包括事件触发模型、智能控制中枢和图像识别模型三大核心模块。各模块之间通过标准化接口进行数据交互和功能协同,实现海洋渔业监管与应急处置的自动化和智能化。</w:t>
      </w:r>
    </w:p>
    <w:p w14:paraId="27EB0EB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AI算法中心首先通过枪机摄像机对监控范围进行视频数据采集。采集到的视频数据经过抽帧后传递给事件触发模型，事件触发模型判断是否存在需要进行识别取证的船只运动事件</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合理</w:t>
      </w:r>
      <w:r>
        <w:rPr>
          <w:rFonts w:hint="eastAsia" w:ascii="仿宋_GB2312" w:hAnsi="仿宋_GB2312" w:eastAsia="仿宋_GB2312" w:cs="仿宋_GB2312"/>
          <w:color w:val="auto"/>
          <w:kern w:val="0"/>
          <w:sz w:val="24"/>
          <w:highlight w:val="none"/>
        </w:rPr>
        <w:t>节省算力资源，若存在则启动目标识别和跟踪监控功能，提高图像数据抽帧频率。系统启动智能控制中枢调用相关API对相关摄像机进行控制，进一步调用辅助工具组件判断模型目标视频中移动船只数量和运动速度，并根据反馈结果做监测路径规划，按规划顺序调整摄像机依次识别目标船只及其船牌。智能控制中枢协同图像识别工具，对目标船舶进行识别范围框选，船舶识别、船牌识别和OCR处理，并将相关信息进行存储。业务模块基于数据分析表进行目标追踪计算，并将计算结果整合输出为下游可视化应用。</w:t>
      </w:r>
    </w:p>
    <w:p w14:paraId="5C62DDD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1.1.大模型基础能力</w:t>
      </w:r>
    </w:p>
    <w:p w14:paraId="01F829A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zh-CN" w:eastAsia="zh-CN"/>
        </w:rPr>
        <w:t>大模型基础能力是构建AI算法中心的基础底座，它涵盖了自然语言理解、图像描述、图像分析等多个方面。这些能力共同作用，识别和分析图像中的关键信息，对图像进行信息提取、准确分类，进而为系统各模块的功能实现和数据分析提供支撑。</w:t>
      </w:r>
    </w:p>
    <w:p w14:paraId="5EDC81F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1.2渔业专属模型训练</w:t>
      </w:r>
    </w:p>
    <w:p w14:paraId="7F720EF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为了提高渔业监管效率</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降低人为干预成本，</w:t>
      </w:r>
      <w:r>
        <w:rPr>
          <w:rFonts w:hint="eastAsia" w:ascii="仿宋_GB2312" w:hAnsi="仿宋_GB2312" w:eastAsia="仿宋_GB2312" w:cs="仿宋_GB2312"/>
          <w:color w:val="auto"/>
          <w:kern w:val="0"/>
          <w:sz w:val="24"/>
          <w:highlight w:val="none"/>
          <w:lang w:eastAsia="zh-CN"/>
        </w:rPr>
        <w:t>需要</w:t>
      </w:r>
      <w:r>
        <w:rPr>
          <w:rFonts w:hint="eastAsia" w:ascii="仿宋_GB2312" w:hAnsi="仿宋_GB2312" w:eastAsia="仿宋_GB2312" w:cs="仿宋_GB2312"/>
          <w:color w:val="auto"/>
          <w:kern w:val="0"/>
          <w:sz w:val="24"/>
          <w:highlight w:val="none"/>
        </w:rPr>
        <w:t>构建一套高效、准确的渔业专属模型，实现船脸识别和船牌识别的功能。</w:t>
      </w:r>
    </w:p>
    <w:p w14:paraId="0E70047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1.2.1.船类数据收集与审核：</w:t>
      </w:r>
    </w:p>
    <w:p w14:paraId="33D9197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lang w:val="en-US"/>
        </w:rPr>
        <w:t>对各类船型（包含但不限于渔运船、休闲船、三无船等）</w:t>
      </w:r>
      <w:r>
        <w:rPr>
          <w:rFonts w:hint="eastAsia" w:ascii="仿宋_GB2312" w:hAnsi="仿宋_GB2312" w:eastAsia="仿宋_GB2312" w:cs="仿宋_GB2312"/>
          <w:color w:val="auto"/>
          <w:kern w:val="0"/>
          <w:sz w:val="24"/>
          <w:highlight w:val="none"/>
          <w:lang w:val="en-US" w:eastAsia="zh-CN"/>
        </w:rPr>
        <w:t>的视频信息进行收集</w:t>
      </w:r>
      <w:r>
        <w:rPr>
          <w:rFonts w:hint="eastAsia" w:ascii="仿宋_GB2312" w:hAnsi="仿宋_GB2312" w:eastAsia="仿宋_GB2312" w:cs="仿宋_GB2312"/>
          <w:color w:val="auto"/>
          <w:kern w:val="0"/>
          <w:sz w:val="24"/>
          <w:highlight w:val="none"/>
          <w:lang w:val="en-US"/>
        </w:rPr>
        <w:t>，涵</w:t>
      </w:r>
      <w:r>
        <w:rPr>
          <w:rFonts w:hint="eastAsia" w:ascii="仿宋_GB2312" w:hAnsi="仿宋_GB2312" w:eastAsia="仿宋_GB2312" w:cs="仿宋_GB2312"/>
          <w:color w:val="auto"/>
          <w:kern w:val="0"/>
          <w:sz w:val="24"/>
          <w:highlight w:val="none"/>
          <w:lang w:val="en-US" w:eastAsia="zh-CN"/>
        </w:rPr>
        <w:t>包括</w:t>
      </w:r>
      <w:r>
        <w:rPr>
          <w:rFonts w:hint="eastAsia" w:ascii="仿宋_GB2312" w:hAnsi="仿宋_GB2312" w:eastAsia="仿宋_GB2312" w:cs="仿宋_GB2312"/>
          <w:color w:val="auto"/>
          <w:kern w:val="0"/>
          <w:sz w:val="24"/>
          <w:highlight w:val="none"/>
          <w:lang w:val="en-US"/>
        </w:rPr>
        <w:t>不同角度、不同天气、不同距离等的素材，以确保数据的全面性和多样性。对收集到的实时视频素材进行严格的审核、分类，确保获取足够的图像数据，为后续模型训练提供坚实基础。</w:t>
      </w:r>
    </w:p>
    <w:p w14:paraId="6BD9751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1.2.2.船类数据标注与清洗</w:t>
      </w:r>
    </w:p>
    <w:p w14:paraId="1566536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lang w:val="en-US"/>
        </w:rPr>
        <w:t>对图像里的各类船型进行精细标注，标注信息包括船脸和船牌的位置、类别等信息，以确保数据的准确性和一致性。对标注完成的图片进行清洗，剔除不合格的数据，以提高模型训练的效果。依据模型训练效果，进行二次补充，确保数据质量，提高模型的泛化能力。</w:t>
      </w:r>
    </w:p>
    <w:p w14:paraId="5233B46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1.2.3.增量训练</w:t>
      </w:r>
    </w:p>
    <w:p w14:paraId="2E7A10C3">
      <w:pPr>
        <w:tabs>
          <w:tab w:val="left" w:pos="720"/>
          <w:tab w:val="left" w:pos="5355"/>
        </w:tabs>
        <w:spacing w:line="430" w:lineRule="exact"/>
        <w:ind w:firstLine="470" w:firstLineChars="196"/>
        <w:rPr>
          <w:rFonts w:hint="default" w:ascii="仿宋_GB2312" w:hAnsi="仿宋_GB2312" w:eastAsia="仿宋_GB2312" w:cs="仿宋_GB2312"/>
          <w:color w:val="auto"/>
          <w:kern w:val="0"/>
          <w:sz w:val="24"/>
          <w:highlight w:val="none"/>
          <w:lang w:val="en-US"/>
        </w:rPr>
      </w:pPr>
      <w:r>
        <w:rPr>
          <w:rFonts w:hint="default" w:ascii="仿宋_GB2312" w:hAnsi="仿宋_GB2312" w:eastAsia="仿宋_GB2312" w:cs="仿宋_GB2312"/>
          <w:color w:val="auto"/>
          <w:kern w:val="0"/>
          <w:sz w:val="24"/>
          <w:highlight w:val="none"/>
          <w:lang w:val="en-US"/>
        </w:rPr>
        <w:t>使用清洗后的数据训练渔业专属模型，并负责评测渔业专属模型效果及调优，直至获得预期中的效果；此步骤主要包含船脸识别和船牌识别的训练。</w:t>
      </w:r>
    </w:p>
    <w:p w14:paraId="4AA3005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1.2.4.模型微调</w:t>
      </w:r>
    </w:p>
    <w:p w14:paraId="407E3C5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lang w:val="en-US" w:eastAsia="zh-CN"/>
        </w:rPr>
        <w:t>该部分主要针对训练好的模型进行测试和评估</w:t>
      </w:r>
      <w:r>
        <w:rPr>
          <w:rFonts w:hint="eastAsia" w:ascii="仿宋_GB2312" w:hAnsi="仿宋_GB2312" w:eastAsia="仿宋_GB2312" w:cs="仿宋_GB2312"/>
          <w:color w:val="auto"/>
          <w:kern w:val="0"/>
          <w:sz w:val="24"/>
          <w:highlight w:val="none"/>
          <w:lang w:val="en-US"/>
        </w:rPr>
        <w:t>，找出模型的不足和改进的方向</w:t>
      </w:r>
      <w:r>
        <w:rPr>
          <w:rFonts w:hint="eastAsia" w:ascii="仿宋_GB2312" w:hAnsi="仿宋_GB2312" w:eastAsia="仿宋_GB2312" w:cs="仿宋_GB2312"/>
          <w:color w:val="auto"/>
          <w:kern w:val="0"/>
          <w:sz w:val="24"/>
          <w:highlight w:val="none"/>
          <w:lang w:val="en-US" w:eastAsia="zh-CN"/>
        </w:rPr>
        <w:t>，进一步</w:t>
      </w:r>
      <w:r>
        <w:rPr>
          <w:rFonts w:hint="eastAsia" w:ascii="仿宋_GB2312" w:hAnsi="仿宋_GB2312" w:eastAsia="仿宋_GB2312" w:cs="仿宋_GB2312"/>
          <w:color w:val="auto"/>
          <w:kern w:val="0"/>
          <w:sz w:val="24"/>
          <w:highlight w:val="none"/>
          <w:lang w:val="en-US"/>
        </w:rPr>
        <w:t>调优训练，优化模型性能，以满足实际应用需求。</w:t>
      </w:r>
    </w:p>
    <w:p w14:paraId="4F4A422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1.2.5.接口对接</w:t>
      </w:r>
    </w:p>
    <w:p w14:paraId="66B0879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lang w:val="en-US"/>
        </w:rPr>
        <w:t>设计相关接口服务的方案，实现与现有平台、数据库等的对接，提高系统的运行效率和用户体验。</w:t>
      </w:r>
    </w:p>
    <w:p w14:paraId="7522ADC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1.3.图像识别模块</w:t>
      </w:r>
    </w:p>
    <w:p w14:paraId="07FEFCD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图像处理</w:t>
      </w:r>
      <w:r>
        <w:rPr>
          <w:rFonts w:hint="default" w:ascii="仿宋_GB2312" w:hAnsi="仿宋_GB2312" w:eastAsia="仿宋_GB2312" w:cs="仿宋_GB2312"/>
          <w:color w:val="auto"/>
          <w:kern w:val="0"/>
          <w:sz w:val="24"/>
          <w:highlight w:val="none"/>
          <w:lang w:val="en-US" w:eastAsia="zh-CN"/>
        </w:rPr>
        <w:t>模型</w:t>
      </w:r>
      <w:r>
        <w:rPr>
          <w:rFonts w:hint="eastAsia" w:ascii="仿宋_GB2312" w:hAnsi="仿宋_GB2312" w:eastAsia="仿宋_GB2312" w:cs="仿宋_GB2312"/>
          <w:color w:val="auto"/>
          <w:kern w:val="0"/>
          <w:sz w:val="24"/>
          <w:highlight w:val="none"/>
          <w:lang w:val="en-US" w:eastAsia="zh-CN"/>
        </w:rPr>
        <w:t>负责</w:t>
      </w:r>
      <w:r>
        <w:rPr>
          <w:rFonts w:hint="default" w:ascii="仿宋_GB2312" w:hAnsi="仿宋_GB2312" w:eastAsia="仿宋_GB2312" w:cs="仿宋_GB2312"/>
          <w:color w:val="auto"/>
          <w:kern w:val="0"/>
          <w:sz w:val="24"/>
          <w:highlight w:val="none"/>
          <w:lang w:val="en-US" w:eastAsia="zh-CN"/>
        </w:rPr>
        <w:t>对摄像头采集到的视频图像进行自动分析和理解,从而实现对</w:t>
      </w:r>
      <w:r>
        <w:rPr>
          <w:rFonts w:hint="eastAsia" w:ascii="仿宋_GB2312" w:hAnsi="仿宋_GB2312" w:eastAsia="仿宋_GB2312" w:cs="仿宋_GB2312"/>
          <w:color w:val="auto"/>
          <w:kern w:val="0"/>
          <w:sz w:val="24"/>
          <w:highlight w:val="none"/>
          <w:lang w:val="en-US" w:eastAsia="zh-CN"/>
        </w:rPr>
        <w:t>船舶外观、船牌等</w:t>
      </w:r>
      <w:r>
        <w:rPr>
          <w:rFonts w:hint="default" w:ascii="仿宋_GB2312" w:hAnsi="仿宋_GB2312" w:eastAsia="仿宋_GB2312" w:cs="仿宋_GB2312"/>
          <w:color w:val="auto"/>
          <w:kern w:val="0"/>
          <w:sz w:val="24"/>
          <w:highlight w:val="none"/>
          <w:lang w:val="en-US" w:eastAsia="zh-CN"/>
        </w:rPr>
        <w:t>属性特征</w:t>
      </w:r>
      <w:r>
        <w:rPr>
          <w:rFonts w:hint="eastAsia" w:ascii="仿宋_GB2312" w:hAnsi="仿宋_GB2312" w:eastAsia="仿宋_GB2312" w:cs="仿宋_GB2312"/>
          <w:color w:val="auto"/>
          <w:kern w:val="0"/>
          <w:sz w:val="24"/>
          <w:highlight w:val="none"/>
          <w:lang w:val="en-US" w:eastAsia="zh-CN"/>
        </w:rPr>
        <w:t>进行</w:t>
      </w:r>
      <w:r>
        <w:rPr>
          <w:rFonts w:hint="default" w:ascii="仿宋_GB2312" w:hAnsi="仿宋_GB2312" w:eastAsia="仿宋_GB2312" w:cs="仿宋_GB2312"/>
          <w:color w:val="auto"/>
          <w:kern w:val="0"/>
          <w:sz w:val="24"/>
          <w:highlight w:val="none"/>
          <w:lang w:val="en-US" w:eastAsia="zh-CN"/>
        </w:rPr>
        <w:t>提取和行为分析</w:t>
      </w:r>
      <w:r>
        <w:rPr>
          <w:rFonts w:hint="eastAsia" w:ascii="仿宋_GB2312" w:hAnsi="仿宋_GB2312" w:eastAsia="仿宋_GB2312" w:cs="仿宋_GB2312"/>
          <w:color w:val="auto"/>
          <w:kern w:val="0"/>
          <w:sz w:val="24"/>
          <w:highlight w:val="none"/>
        </w:rPr>
        <w:t>。</w:t>
      </w:r>
    </w:p>
    <w:p w14:paraId="224482F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1.3.1图像处理模块</w:t>
      </w:r>
    </w:p>
    <w:p w14:paraId="22CB0EC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在渔业监管的实际场景中，由于环境因素和采集设备的限制，图像往往存在各种噪声。本模块对图像进行预处理和特征抽取，以减少噪声对后续识别任务的影响。</w:t>
      </w:r>
    </w:p>
    <w:p w14:paraId="02AC77C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1.3.2.船型识别模块</w:t>
      </w:r>
    </w:p>
    <w:p w14:paraId="190F7B4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对预处理后的图像进行目标检测，对目标船只的船型、船牌等进行识别，区分不同类型的船型、船牌和轨迹信息。在识别成功后，对船只的移动轨迹进行标注，以便后续分析船舶的行为特征。</w:t>
      </w:r>
    </w:p>
    <w:p w14:paraId="270FD77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1.3.3.图像输出模块</w:t>
      </w:r>
    </w:p>
    <w:p w14:paraId="2BC9227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本模块负责将图像识别的内容和船只信息进行结构化设计，生成易于解析的数据表。数据表将包含船只类型、坐标、船牌等关键信息，为信息存储与处理模块提供标准化的数据输入。</w:t>
      </w:r>
    </w:p>
    <w:p w14:paraId="5B3D2C9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1.3.4.信息存储与处理模块</w:t>
      </w:r>
    </w:p>
    <w:p w14:paraId="2544B62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输出图像识别数据、图像解析数据、图像标注文件三种文档，与事件判别模块、下游应用进行适配，确保数据的流通和共享。</w:t>
      </w:r>
    </w:p>
    <w:p w14:paraId="69424B6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1.4.事件判定模块</w:t>
      </w:r>
    </w:p>
    <w:p w14:paraId="0FEB6EF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事件触发模块</w:t>
      </w:r>
      <w:r>
        <w:rPr>
          <w:rFonts w:hint="eastAsia" w:ascii="仿宋_GB2312" w:hAnsi="仿宋_GB2312" w:eastAsia="仿宋_GB2312" w:cs="仿宋_GB2312"/>
          <w:color w:val="auto"/>
          <w:kern w:val="0"/>
          <w:sz w:val="24"/>
          <w:highlight w:val="none"/>
        </w:rPr>
        <w:t>融合天气、位置、船舶运动状态等多源数据,通过对连续的</w:t>
      </w:r>
      <w:r>
        <w:rPr>
          <w:rFonts w:hint="eastAsia" w:ascii="仿宋_GB2312" w:hAnsi="仿宋_GB2312" w:eastAsia="仿宋_GB2312" w:cs="仿宋_GB2312"/>
          <w:color w:val="auto"/>
          <w:kern w:val="0"/>
          <w:sz w:val="24"/>
          <w:highlight w:val="none"/>
          <w:lang w:val="en-US" w:eastAsia="zh-CN"/>
        </w:rPr>
        <w:t>图像序列</w:t>
      </w:r>
      <w:r>
        <w:rPr>
          <w:rFonts w:hint="eastAsia" w:ascii="仿宋_GB2312" w:hAnsi="仿宋_GB2312" w:eastAsia="仿宋_GB2312" w:cs="仿宋_GB2312"/>
          <w:color w:val="auto"/>
          <w:kern w:val="0"/>
          <w:sz w:val="24"/>
          <w:highlight w:val="none"/>
        </w:rPr>
        <w:t>进行分析,构建船舶运动状态模型。通过设定合理的阈值条件,如船舶位移超过一定距离、速度超过一定范围等,系统可以自动判断船舶是否处于运动状态</w:t>
      </w:r>
      <w:r>
        <w:rPr>
          <w:rFonts w:hint="eastAsia" w:ascii="仿宋_GB2312" w:hAnsi="仿宋_GB2312" w:eastAsia="仿宋_GB2312" w:cs="仿宋_GB2312"/>
          <w:color w:val="auto"/>
          <w:kern w:val="0"/>
          <w:sz w:val="24"/>
          <w:highlight w:val="none"/>
          <w:lang w:val="en-US" w:eastAsia="zh-CN"/>
        </w:rPr>
        <w:t>。</w:t>
      </w:r>
    </w:p>
    <w:p w14:paraId="3995F42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1.4.1.图像基础判定模块</w:t>
      </w:r>
    </w:p>
    <w:p w14:paraId="4EDECC2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该模块能够通过实时分析船只的动态特征</w:t>
      </w:r>
      <w:r>
        <w:rPr>
          <w:rFonts w:hint="eastAsia" w:ascii="仿宋_GB2312" w:hAnsi="仿宋_GB2312" w:eastAsia="仿宋_GB2312" w:cs="仿宋_GB2312"/>
          <w:color w:val="auto"/>
          <w:kern w:val="0"/>
          <w:sz w:val="24"/>
          <w:highlight w:val="none"/>
          <w:lang w:eastAsia="zh-CN"/>
        </w:rPr>
        <w:t>识别</w:t>
      </w:r>
      <w:r>
        <w:rPr>
          <w:rFonts w:hint="eastAsia" w:ascii="仿宋_GB2312" w:hAnsi="仿宋_GB2312" w:eastAsia="仿宋_GB2312" w:cs="仿宋_GB2312"/>
          <w:color w:val="auto"/>
          <w:kern w:val="0"/>
          <w:sz w:val="24"/>
          <w:highlight w:val="none"/>
        </w:rPr>
        <w:t>海上船只的运动状态动态，为后续的事件判定提供准确的数据支持和依据。</w:t>
      </w:r>
    </w:p>
    <w:p w14:paraId="6DD00A9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1.4.2.事件判定模块</w:t>
      </w:r>
    </w:p>
    <w:p w14:paraId="508DD06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过对连续的视频帧序列进行深入分析，模块能够提取船舶的位置变化等运动特征，作为判断船只行为是否异常的重要依据。通过设定合理的阈值条件，如船舶位移超过一定距离、速度超过一定范围等，系统可以自动判断船舶是否处于运动状态。</w:t>
      </w:r>
    </w:p>
    <w:p w14:paraId="7DF23E5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1.4.3.船舶异常行为识别</w:t>
      </w:r>
    </w:p>
    <w:p w14:paraId="12D8A9D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模块能够识别船舶信息，预测可能的违规行为。</w:t>
      </w:r>
      <w:r>
        <w:rPr>
          <w:rFonts w:hint="eastAsia" w:ascii="仿宋_GB2312" w:hAnsi="仿宋_GB2312" w:eastAsia="仿宋_GB2312" w:cs="仿宋_GB2312"/>
          <w:color w:val="auto"/>
          <w:kern w:val="0"/>
          <w:sz w:val="24"/>
          <w:highlight w:val="none"/>
          <w:lang w:eastAsia="zh-CN"/>
        </w:rPr>
        <w:t>区分不同的场景下的</w:t>
      </w:r>
      <w:r>
        <w:rPr>
          <w:rFonts w:hint="eastAsia" w:ascii="仿宋_GB2312" w:hAnsi="仿宋_GB2312" w:eastAsia="仿宋_GB2312" w:cs="仿宋_GB2312"/>
          <w:color w:val="auto"/>
          <w:kern w:val="0"/>
          <w:sz w:val="24"/>
          <w:highlight w:val="none"/>
        </w:rPr>
        <w:t>三无船只、重点船只等的</w:t>
      </w:r>
      <w:r>
        <w:rPr>
          <w:rFonts w:hint="eastAsia" w:ascii="仿宋_GB2312" w:hAnsi="仿宋_GB2312" w:eastAsia="仿宋_GB2312" w:cs="仿宋_GB2312"/>
          <w:color w:val="auto"/>
          <w:kern w:val="0"/>
          <w:sz w:val="24"/>
          <w:highlight w:val="none"/>
          <w:lang w:eastAsia="zh-CN"/>
        </w:rPr>
        <w:t>行为</w:t>
      </w:r>
      <w:r>
        <w:rPr>
          <w:rFonts w:hint="eastAsia" w:ascii="仿宋_GB2312" w:hAnsi="仿宋_GB2312" w:eastAsia="仿宋_GB2312" w:cs="仿宋_GB2312"/>
          <w:color w:val="auto"/>
          <w:kern w:val="0"/>
          <w:sz w:val="24"/>
          <w:highlight w:val="none"/>
        </w:rPr>
        <w:t>信息进行处理</w:t>
      </w:r>
      <w:r>
        <w:rPr>
          <w:rFonts w:hint="eastAsia" w:ascii="仿宋_GB2312" w:hAnsi="仿宋_GB2312" w:eastAsia="仿宋_GB2312" w:cs="仿宋_GB2312"/>
          <w:color w:val="auto"/>
          <w:kern w:val="0"/>
          <w:sz w:val="24"/>
          <w:highlight w:val="none"/>
          <w:lang w:eastAsia="zh-CN"/>
        </w:rPr>
        <w:t>和</w:t>
      </w:r>
      <w:r>
        <w:rPr>
          <w:rFonts w:hint="eastAsia" w:ascii="仿宋_GB2312" w:hAnsi="仿宋_GB2312" w:eastAsia="仿宋_GB2312" w:cs="仿宋_GB2312"/>
          <w:color w:val="auto"/>
          <w:kern w:val="0"/>
          <w:sz w:val="24"/>
          <w:highlight w:val="none"/>
        </w:rPr>
        <w:t>归类，</w:t>
      </w:r>
      <w:r>
        <w:rPr>
          <w:rFonts w:hint="eastAsia" w:ascii="仿宋_GB2312" w:hAnsi="仿宋_GB2312" w:eastAsia="仿宋_GB2312" w:cs="仿宋_GB2312"/>
          <w:color w:val="auto"/>
          <w:kern w:val="0"/>
          <w:sz w:val="24"/>
          <w:highlight w:val="none"/>
          <w:lang w:eastAsia="zh-CN"/>
        </w:rPr>
        <w:t>并</w:t>
      </w:r>
      <w:r>
        <w:rPr>
          <w:rFonts w:hint="eastAsia" w:ascii="仿宋_GB2312" w:hAnsi="仿宋_GB2312" w:eastAsia="仿宋_GB2312" w:cs="仿宋_GB2312"/>
          <w:color w:val="auto"/>
          <w:kern w:val="0"/>
          <w:sz w:val="24"/>
          <w:highlight w:val="none"/>
        </w:rPr>
        <w:t>存储相应信息。</w:t>
      </w:r>
    </w:p>
    <w:p w14:paraId="1573DD6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1.5.智能控制中枢</w:t>
      </w:r>
    </w:p>
    <w:p w14:paraId="253BEFA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智能控制中枢</w:t>
      </w:r>
      <w:r>
        <w:rPr>
          <w:rFonts w:hint="eastAsia" w:ascii="仿宋_GB2312" w:hAnsi="仿宋_GB2312" w:eastAsia="仿宋_GB2312" w:cs="仿宋_GB2312"/>
          <w:color w:val="auto"/>
          <w:kern w:val="0"/>
          <w:sz w:val="24"/>
          <w:highlight w:val="none"/>
        </w:rPr>
        <w:t>对视频监控系统中的摄像头</w:t>
      </w:r>
      <w:r>
        <w:rPr>
          <w:rFonts w:hint="eastAsia" w:ascii="仿宋_GB2312" w:hAnsi="仿宋_GB2312" w:eastAsia="仿宋_GB2312" w:cs="仿宋_GB2312"/>
          <w:color w:val="auto"/>
          <w:kern w:val="0"/>
          <w:sz w:val="24"/>
          <w:highlight w:val="none"/>
          <w:lang w:eastAsia="zh-CN"/>
        </w:rPr>
        <w:t>数据</w:t>
      </w:r>
      <w:r>
        <w:rPr>
          <w:rFonts w:hint="eastAsia" w:ascii="仿宋_GB2312" w:hAnsi="仿宋_GB2312" w:eastAsia="仿宋_GB2312" w:cs="仿宋_GB2312"/>
          <w:color w:val="auto"/>
          <w:kern w:val="0"/>
          <w:sz w:val="24"/>
          <w:highlight w:val="none"/>
        </w:rPr>
        <w:t>进行实时调配,优化目标锁定和视野覆盖,提升系统智能化水平,实现</w:t>
      </w:r>
      <w:r>
        <w:rPr>
          <w:rFonts w:hint="eastAsia" w:ascii="仿宋_GB2312" w:hAnsi="仿宋_GB2312" w:eastAsia="仿宋_GB2312" w:cs="仿宋_GB2312"/>
          <w:color w:val="auto"/>
          <w:kern w:val="0"/>
          <w:sz w:val="24"/>
          <w:highlight w:val="none"/>
          <w:lang w:eastAsia="zh-CN"/>
        </w:rPr>
        <w:t>海上目标的</w:t>
      </w:r>
      <w:r>
        <w:rPr>
          <w:rFonts w:hint="eastAsia" w:ascii="仿宋_GB2312" w:hAnsi="仿宋_GB2312" w:eastAsia="仿宋_GB2312" w:cs="仿宋_GB2312"/>
          <w:color w:val="auto"/>
          <w:kern w:val="0"/>
          <w:sz w:val="24"/>
          <w:highlight w:val="none"/>
        </w:rPr>
        <w:t>精准感知和全域监控,为事后分析取证提供视频支撑。</w:t>
      </w:r>
    </w:p>
    <w:p w14:paraId="05A7CAB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1.5.1.基础功能</w:t>
      </w:r>
    </w:p>
    <w:p w14:paraId="04100BB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模块能够控制视频抽帧，为目标检测和锁定提供稳定、高效的数据流。</w:t>
      </w:r>
    </w:p>
    <w:p w14:paraId="679F2D6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1.5.2.单一目标连续识别</w:t>
      </w:r>
    </w:p>
    <w:p w14:paraId="0E2B6C3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当同一艘船只(无论是否有船牌)连续行驶经过多个监控视频时，能够识别为同一艘船只。</w:t>
      </w:r>
    </w:p>
    <w:p w14:paraId="2A94803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1.5.3.多个目标识别</w:t>
      </w:r>
    </w:p>
    <w:p w14:paraId="652CB0A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当监控画面中出现多艘正在行驶的船只时，能够对每个目标船只进行准确识别和分析。</w:t>
      </w:r>
    </w:p>
    <w:p w14:paraId="22C7BA7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1.5.4.数据存储模块</w:t>
      </w:r>
    </w:p>
    <w:p w14:paraId="2D6473D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数据存储模块负责记录各类事件信息，并将数据落表。这一功能为后续的事件分析和应用提供了重要的数据支持。</w:t>
      </w:r>
    </w:p>
    <w:p w14:paraId="196AECB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1.6.模块间联动</w:t>
      </w:r>
    </w:p>
    <w:p w14:paraId="60D05CA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模块间联动功能确保系统对海上船只的监控效率和异常事件的快速识别。同时，通过不同模块间的协同工作，提高效率和精确性。</w:t>
      </w:r>
    </w:p>
    <w:p w14:paraId="6F2DE2E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本次项目需围绕“三无”船舶识别、休渔期可疑船只识别、违规渔船活动路径分析、违捕船舶热力图、违法行为预测、视频电子围栏和AR标注展示等场景化应用</w:t>
      </w:r>
      <w:r>
        <w:rPr>
          <w:rFonts w:hint="eastAsia" w:ascii="仿宋_GB2312" w:hAnsi="仿宋_GB2312" w:eastAsia="仿宋_GB2312" w:cs="仿宋_GB2312"/>
          <w:color w:val="auto"/>
          <w:kern w:val="0"/>
          <w:sz w:val="24"/>
          <w:highlight w:val="none"/>
          <w:lang w:val="en-US" w:eastAsia="zh-CN"/>
        </w:rPr>
        <w:t>开展</w:t>
      </w:r>
      <w:r>
        <w:rPr>
          <w:rFonts w:hint="eastAsia" w:ascii="仿宋_GB2312" w:hAnsi="仿宋_GB2312" w:eastAsia="仿宋_GB2312" w:cs="仿宋_GB2312"/>
          <w:color w:val="auto"/>
          <w:kern w:val="0"/>
          <w:sz w:val="24"/>
          <w:highlight w:val="none"/>
        </w:rPr>
        <w:t>。</w:t>
      </w:r>
    </w:p>
    <w:p w14:paraId="7E145949">
      <w:pPr>
        <w:tabs>
          <w:tab w:val="left" w:pos="720"/>
          <w:tab w:val="left" w:pos="5355"/>
        </w:tabs>
        <w:spacing w:line="430" w:lineRule="exact"/>
        <w:ind w:firstLine="472" w:firstLineChars="196"/>
        <w:rPr>
          <w:rFonts w:hint="eastAsia" w:ascii="仿宋_GB2312" w:hAnsi="仿宋_GB2312" w:eastAsia="仿宋_GB2312" w:cs="仿宋_GB2312"/>
          <w:b/>
          <w:bCs/>
          <w:color w:val="auto"/>
          <w:kern w:val="0"/>
          <w:sz w:val="24"/>
          <w:highlight w:val="none"/>
          <w:u w:val="single"/>
          <w:lang w:val="en-US" w:eastAsia="zh-CN"/>
        </w:rPr>
      </w:pPr>
      <w:r>
        <w:rPr>
          <w:rFonts w:hint="eastAsia" w:ascii="仿宋_GB2312" w:hAnsi="仿宋_GB2312" w:eastAsia="仿宋_GB2312" w:cs="仿宋_GB2312"/>
          <w:b/>
          <w:bCs/>
          <w:color w:val="auto"/>
          <w:kern w:val="0"/>
          <w:sz w:val="24"/>
          <w:highlight w:val="none"/>
          <w:u w:val="single"/>
          <w:lang w:val="en-US" w:eastAsia="zh-CN"/>
        </w:rPr>
        <w:t>▲1.7算力算法资源性能要求</w:t>
      </w:r>
    </w:p>
    <w:p w14:paraId="6C910D0D">
      <w:pPr>
        <w:tabs>
          <w:tab w:val="left" w:pos="720"/>
          <w:tab w:val="left" w:pos="5355"/>
        </w:tabs>
        <w:spacing w:line="430" w:lineRule="exact"/>
        <w:ind w:firstLine="472" w:firstLineChars="196"/>
        <w:rPr>
          <w:rFonts w:hint="default" w:ascii="仿宋_GB2312" w:hAnsi="仿宋_GB2312" w:eastAsia="仿宋_GB2312" w:cs="仿宋_GB2312"/>
          <w:color w:val="auto"/>
          <w:kern w:val="0"/>
          <w:sz w:val="24"/>
          <w:highlight w:val="none"/>
          <w:lang w:val="en-US" w:eastAsia="zh-CN"/>
        </w:rPr>
      </w:pPr>
      <w:r>
        <w:rPr>
          <w:rFonts w:hint="default" w:ascii="仿宋_GB2312" w:hAnsi="仿宋_GB2312" w:eastAsia="仿宋_GB2312" w:cs="仿宋_GB2312"/>
          <w:b/>
          <w:bCs/>
          <w:color w:val="auto"/>
          <w:kern w:val="0"/>
          <w:sz w:val="24"/>
          <w:highlight w:val="none"/>
          <w:u w:val="single"/>
          <w:lang w:val="en-US" w:eastAsia="zh-CN"/>
        </w:rPr>
        <w:t>本次项目涉及沿海8</w:t>
      </w:r>
      <w:r>
        <w:rPr>
          <w:rFonts w:hint="eastAsia" w:ascii="仿宋_GB2312" w:hAnsi="仿宋_GB2312" w:eastAsia="仿宋_GB2312" w:cs="仿宋_GB2312"/>
          <w:b/>
          <w:bCs/>
          <w:color w:val="auto"/>
          <w:kern w:val="0"/>
          <w:sz w:val="24"/>
          <w:highlight w:val="none"/>
          <w:u w:val="single"/>
          <w:lang w:val="en-US" w:eastAsia="zh-CN"/>
        </w:rPr>
        <w:t>00余</w:t>
      </w:r>
      <w:r>
        <w:rPr>
          <w:rFonts w:hint="default" w:ascii="仿宋_GB2312" w:hAnsi="仿宋_GB2312" w:eastAsia="仿宋_GB2312" w:cs="仿宋_GB2312"/>
          <w:b/>
          <w:bCs/>
          <w:color w:val="auto"/>
          <w:kern w:val="0"/>
          <w:sz w:val="24"/>
          <w:highlight w:val="none"/>
          <w:u w:val="single"/>
          <w:lang w:val="en-US" w:eastAsia="zh-CN"/>
        </w:rPr>
        <w:t>路监控点位的船舶AI算法识别，为此算力资源需支撑AI算法并发达到256路；在条件良好的情况下，“三无”船舶识别的准确率不低于90%，船舷号识别准备率不低于95%。</w:t>
      </w:r>
    </w:p>
    <w:p w14:paraId="797302CB">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（三）业务应用体系建设内容</w:t>
      </w:r>
    </w:p>
    <w:p w14:paraId="37DADEB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业务应用将以AI算法中心建设为支撑，围绕“三无”船舶识别、休渔期可疑船只识别、违规渔船活动路径分析、违捕船舶热力图、违法行为预测、视频电子围栏和AR标注展示等场景化应用，在“海上斑马线”应用现有功能的基础上，对风险预警和数字执法两个板块功能进行升级，包括AIS地图功能升级、新增视频预警管理和视频预警综合分析功能，实现“第一时间识别、第一时间预警、第一时间派单、第一时间处置”，有效打击违法违规行为，防范海上事故发生，全面提升温州市涉海涉渔领域违法行为侦察监视、快速反应和应急处突能力。</w:t>
      </w:r>
    </w:p>
    <w:p w14:paraId="0243EC98">
      <w:pPr>
        <w:tabs>
          <w:tab w:val="left" w:pos="720"/>
          <w:tab w:val="left" w:pos="5355"/>
        </w:tabs>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drawing>
          <wp:inline distT="0" distB="0" distL="114300" distR="114300">
            <wp:extent cx="5274945" cy="294767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945" cy="2947670"/>
                    </a:xfrm>
                    <a:prstGeom prst="rect">
                      <a:avLst/>
                    </a:prstGeom>
                    <a:noFill/>
                    <a:ln>
                      <a:noFill/>
                    </a:ln>
                  </pic:spPr>
                </pic:pic>
              </a:graphicData>
            </a:graphic>
          </wp:inline>
        </w:drawing>
      </w:r>
    </w:p>
    <w:p w14:paraId="7078A10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1.风险预警板块功能升级</w:t>
      </w:r>
    </w:p>
    <w:p w14:paraId="07A9ABC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 AIS地图功能升级</w:t>
      </w:r>
    </w:p>
    <w:p w14:paraId="3E80B1E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1.1.1视频资源管理（新增）</w:t>
      </w:r>
    </w:p>
    <w:p w14:paraId="51CAB9C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视频资源管理主要是通过接入视频资源数据，并对视频进行分类展示与管理。</w:t>
      </w:r>
    </w:p>
    <w:p w14:paraId="038A977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视频点位信息展示：将视频资源作为一个新的图层叠加到GIS系统中，支持视频点基础信息查看。</w:t>
      </w:r>
    </w:p>
    <w:p w14:paraId="23953A75">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视频有效范围展示：根据摄像头的焦距、可视角度、可视距离在地图上显示摄像头可视范围。</w:t>
      </w:r>
    </w:p>
    <w:p w14:paraId="75FD8F4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视频播放与控制：功能同视频播放SDK对接。</w:t>
      </w:r>
    </w:p>
    <w:p w14:paraId="0DD3E416">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港口视频播放与控制：以渔港为管理基点，整合周边视频资源，进行多视频组合播放和控制，并根据需要对视频AR进行管理和控制，满足不同管理人员对视频的需求。</w:t>
      </w:r>
    </w:p>
    <w:p w14:paraId="1CBA6FA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1.1.2船舶信息展示（升级）</w:t>
      </w:r>
    </w:p>
    <w:p w14:paraId="50138F2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保留原北斗、AIS、雷达所获取的船位数据基础上，增加通过视频识别的船舶类型信息展示，包括捕捞渔船、渔运船、休闲船、交通船、公务船、海钓船、快艇、加工船、运沙船、养殖船、三无船（含疑似和确认）和其他船只。</w:t>
      </w:r>
    </w:p>
    <w:p w14:paraId="3C1A1E8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1.1.3违捕船舶热力图（新增）</w:t>
      </w:r>
    </w:p>
    <w:p w14:paraId="3218F36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通过对历史违规船舶出现的地点分析，通过热力图的方式显示，展示违规船舶的主要出入地点和出入时段，为后续现场处置提供决策依据。</w:t>
      </w:r>
    </w:p>
    <w:p w14:paraId="490C015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1.1.4违规渔船活动路径展示（新增）</w:t>
      </w:r>
    </w:p>
    <w:p w14:paraId="09A7D50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利用视频识别技术，对渔船的唯一性进行分析和标识，并对违规渔船的活动地理坐标位置进行计算和存储，通过海图技术对违规渔船进行地图重现。</w:t>
      </w:r>
    </w:p>
    <w:p w14:paraId="4AEB558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1.1.5渔船违规行为预测（新增）</w:t>
      </w:r>
    </w:p>
    <w:p w14:paraId="5501FAE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根据历史视频识别数据，对违规渔船的习惯行驶路线进行分析，对未来渔船可能的行驶路线进行预测，并通过海图技术对违规渔船未来行驶路线进行展示。</w:t>
      </w:r>
    </w:p>
    <w:p w14:paraId="268EA9F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1.1.6VR展示（新增）</w:t>
      </w:r>
    </w:p>
    <w:p w14:paraId="434E2FA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利用视频AR SDK对视频的展示进行控制，包括“三无”船舶信息展示、正规渔船信息展示、船舶速度航线展示、船舶经纬度展示、违规行为展示等。</w:t>
      </w:r>
    </w:p>
    <w:p w14:paraId="46AB9C3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1.2视频预警管理建设（新增）</w:t>
      </w:r>
    </w:p>
    <w:p w14:paraId="5C02221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系统通过实时监控与数据分析，能够自动识别并推送包括无证船舶、未经登记船只擅自出海或非法捕捞和重点船只船舶等违规行为的预警。对识别出的违规事件，系统即刻下发处理指令，确保及时处置。</w:t>
      </w:r>
    </w:p>
    <w:p w14:paraId="3090156F">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1.2.1“三无”船舶预警</w:t>
      </w:r>
    </w:p>
    <w:p w14:paraId="0E93194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“三无”船舶预警通知：按照风险预警闭环管控的要求，对发现“三无”船舶的情况进行通知，通知途径包括短消息和系统内通知，通知对象为“三无”船舶发现地现场处置人员。</w:t>
      </w:r>
    </w:p>
    <w:p w14:paraId="193247F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“三无”船舶预警处置：根据“三无”船舶的预警通知，调取预警时间地点的视频图像，进行确认，如需线下处置则通知相关人员进行现场处置，并将处置结果上传到系统中。</w:t>
      </w:r>
    </w:p>
    <w:p w14:paraId="6CF91D7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1.2.2休渔期捕捞渔船出海预警</w:t>
      </w:r>
    </w:p>
    <w:p w14:paraId="7C6E6D9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休渔期捕捞渔船出海预警通知：按照风险预警闭环管控的要求，对发生休渔期捕捞渔船出海的情况进行通知，通知途径包括短消息和系统内通知，通知对象为渔船归属地和预警发生地的现场处置人员。</w:t>
      </w:r>
    </w:p>
    <w:p w14:paraId="6EF3982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休渔期捕捞渔船出海预警处置：根据休渔期捕捞渔船出海的预警通知，调取预警时间地点的视频图像，并结合禁渔期内渔船作业白名单进行确认，如需线下处置则通知相关人员进行现场处置，并将处置结果上传到系统中。</w:t>
      </w:r>
    </w:p>
    <w:p w14:paraId="5782910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1.2.3重点船只船舶出航预警</w:t>
      </w:r>
    </w:p>
    <w:p w14:paraId="713063C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重点船只船舶出航预警通知：按照风险预警闭环管控的要求，对发生重点船只船舶出航的情况进行通知，通知途径包括短消息和系统内通知，通知对象为渔船归属地和预警发生地的现场处置人员。</w:t>
      </w:r>
    </w:p>
    <w:p w14:paraId="6456304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重点船只船舶出航预警处置：根据重点船只船舶出航的预警通知，调取预警时间地点的视频图像，并结合重点船只情况进行确认，如需线下处置则通知相关人员进行现场处置，并将处置结果上传到系统中。</w:t>
      </w:r>
    </w:p>
    <w:p w14:paraId="1D0B698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1.2.4视频电子围栏预警</w:t>
      </w:r>
    </w:p>
    <w:p w14:paraId="1D59618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过从AI算法中心获取渔船经纬度数据，结合地图数据，系统提供电子围栏功能，实现对特定海域的精准划分和监控，通过支持渔船显示和区域渔船轨迹搜索，能够根据接入雷达数据和视频数据进行单船轨迹查询、多船轨迹查询和目标查询升级，实现信息展示的升级。</w:t>
      </w:r>
    </w:p>
    <w:p w14:paraId="5D2DE9B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视频电子围栏预警通知：按照风险预警闭环管控的要求，对发生渔船闯入电子围栏的情况进行通知，通知途径包括短消息和系统内通知，通知对象为渔船归属地和预警发生地的现场处置人员。</w:t>
      </w:r>
    </w:p>
    <w:p w14:paraId="5CFBF4F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视频电子围栏预警处置：根据渔船闯入电子围栏的预警通知，调取预警时间地点的视频图像，并结合电子围栏设置情况进行确认，如需线下处置则通知相关人员进行现场处置，并将处置结果上传到系统中。</w:t>
      </w:r>
    </w:p>
    <w:p w14:paraId="38B0B47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2.数字执法板块功能升级</w:t>
      </w:r>
    </w:p>
    <w:p w14:paraId="57357B0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2.1视频预警综合分析建设（新增）</w:t>
      </w:r>
    </w:p>
    <w:p w14:paraId="0090DF4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2.1.1进出港过程视频预警分析</w:t>
      </w:r>
    </w:p>
    <w:p w14:paraId="6A87811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视频预警信息归集：针对渔船进出港过程中违规事件较为突出的特点，以渔港为管理基点，以时间线为轴，对进出港过程中所有的视频预警进行管理，对于发现可能存在违规情况的预警进行归集，为进一步的证据固化提供准备。</w:t>
      </w:r>
    </w:p>
    <w:p w14:paraId="53C384C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现场处置视频证据采集：针对已经归集好的视频预警信息，存取预警前后的视频信息、进出港上报数据、渔船轨迹数据等，进行证据固化和导出，为现场处置提供数据支撑。</w:t>
      </w:r>
    </w:p>
    <w:p w14:paraId="587BD3C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2.1.2渔船预警过程视频预警分析</w:t>
      </w:r>
    </w:p>
    <w:p w14:paraId="0ED4F6A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预警视频信息归集：以渔船为管理基点，整合视频预警信息和船上其他预警信息，对渔船生产过程进行管理，对发现可能存在违规情况进行归集，为进一步的证据固化提供准备。</w:t>
      </w:r>
    </w:p>
    <w:p w14:paraId="63C429D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现场处置证据归集：针对已经归集好的预警信息，存取预警前后的视频信息、进出港上报数据、渔船轨迹数据等，进行证据固化和导出，为现场处置提供数据支撑。</w:t>
      </w:r>
    </w:p>
    <w:p w14:paraId="5D5CFF5D">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（四）安全体系建设要求</w:t>
      </w:r>
    </w:p>
    <w:p w14:paraId="3098EC7C">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1.等保安全要求</w:t>
      </w:r>
    </w:p>
    <w:p w14:paraId="6ECDBB72">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本项目需按照《信息系统安全等级保护基本要求</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信息系统安全等级保护测评准则》和有关规定及要求，配合局内等级保护二级测评工作，落实等级保护的各项要求，提高信息安全水平和安全防范能力。</w:t>
      </w:r>
    </w:p>
    <w:p w14:paraId="6997707E">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2.第三方软件测试</w:t>
      </w:r>
    </w:p>
    <w:p w14:paraId="3DA010FB">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本次项目需通过组织第三方测试机构对项目算法及软件进行测评，投标人需提供详细的第三方软件测试方案需包括功能测试、安全测试、性能测试等内容。</w:t>
      </w:r>
    </w:p>
    <w:p w14:paraId="273FA3AC">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（五）落实安全可靠要求</w:t>
      </w:r>
    </w:p>
    <w:p w14:paraId="0D824E33">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项目按照国家对信创的要求，支持在信创平台环境下完成系统的建设开发，使本次项目对国产化基础环境、国产化浏览器等具有较好的兼容性，使系统在国产化基础上能稳定高效运行。本次项目业务应用将基于现有的“海上斑马线”应用，进行扩展应用，目前“海上斑马线”应用已整体迁移至信创云环境。</w:t>
      </w:r>
    </w:p>
    <w:p w14:paraId="4B1815CE">
      <w:p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（六）软件建设清单</w:t>
      </w:r>
    </w:p>
    <w:p w14:paraId="028E6B1D">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业务应用</w:t>
      </w:r>
    </w:p>
    <w:tbl>
      <w:tblPr>
        <w:tblStyle w:val="65"/>
        <w:tblW w:w="5000" w:type="pct"/>
        <w:jc w:val="center"/>
        <w:tblLayout w:type="fixed"/>
        <w:tblCellMar>
          <w:top w:w="0" w:type="dxa"/>
          <w:left w:w="108" w:type="dxa"/>
          <w:bottom w:w="0" w:type="dxa"/>
          <w:right w:w="108" w:type="dxa"/>
        </w:tblCellMar>
      </w:tblPr>
      <w:tblGrid>
        <w:gridCol w:w="1208"/>
        <w:gridCol w:w="1215"/>
        <w:gridCol w:w="2142"/>
        <w:gridCol w:w="4721"/>
      </w:tblGrid>
      <w:tr w14:paraId="43176E14">
        <w:tblPrEx>
          <w:tblCellMar>
            <w:top w:w="0" w:type="dxa"/>
            <w:left w:w="108" w:type="dxa"/>
            <w:bottom w:w="0" w:type="dxa"/>
            <w:right w:w="108" w:type="dxa"/>
          </w:tblCellMar>
        </w:tblPrEx>
        <w:trPr>
          <w:trHeight w:val="454" w:hRule="atLeast"/>
          <w:jc w:val="center"/>
        </w:trPr>
        <w:tc>
          <w:tcPr>
            <w:tcW w:w="1208" w:type="dxa"/>
            <w:tcBorders>
              <w:top w:val="single" w:color="auto" w:sz="4" w:space="0"/>
              <w:left w:val="single" w:color="auto" w:sz="4" w:space="0"/>
              <w:bottom w:val="single" w:color="auto" w:sz="4" w:space="0"/>
              <w:right w:val="single" w:color="auto" w:sz="4" w:space="0"/>
            </w:tcBorders>
            <w:noWrap/>
            <w:vAlign w:val="center"/>
          </w:tcPr>
          <w:p w14:paraId="624160FF">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子系统</w:t>
            </w:r>
          </w:p>
        </w:tc>
        <w:tc>
          <w:tcPr>
            <w:tcW w:w="1215" w:type="dxa"/>
            <w:tcBorders>
              <w:top w:val="single" w:color="auto" w:sz="4" w:space="0"/>
              <w:left w:val="nil"/>
              <w:bottom w:val="single" w:color="auto" w:sz="4" w:space="0"/>
              <w:right w:val="single" w:color="auto" w:sz="4" w:space="0"/>
            </w:tcBorders>
            <w:noWrap w:val="0"/>
            <w:vAlign w:val="center"/>
          </w:tcPr>
          <w:p w14:paraId="250F8053">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一级模块</w:t>
            </w:r>
          </w:p>
        </w:tc>
        <w:tc>
          <w:tcPr>
            <w:tcW w:w="2142" w:type="dxa"/>
            <w:tcBorders>
              <w:top w:val="single" w:color="auto" w:sz="4" w:space="0"/>
              <w:left w:val="nil"/>
              <w:bottom w:val="single" w:color="auto" w:sz="4" w:space="0"/>
              <w:right w:val="single" w:color="auto" w:sz="4" w:space="0"/>
            </w:tcBorders>
            <w:noWrap w:val="0"/>
            <w:vAlign w:val="center"/>
          </w:tcPr>
          <w:p w14:paraId="21971549">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二级模块</w:t>
            </w:r>
          </w:p>
        </w:tc>
        <w:tc>
          <w:tcPr>
            <w:tcW w:w="4721" w:type="dxa"/>
            <w:tcBorders>
              <w:top w:val="single" w:color="auto" w:sz="4" w:space="0"/>
              <w:left w:val="nil"/>
              <w:bottom w:val="single" w:color="auto" w:sz="4" w:space="0"/>
              <w:right w:val="single" w:color="auto" w:sz="4" w:space="0"/>
            </w:tcBorders>
            <w:noWrap w:val="0"/>
            <w:vAlign w:val="center"/>
          </w:tcPr>
          <w:p w14:paraId="2A92583A">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功能描述</w:t>
            </w:r>
          </w:p>
        </w:tc>
      </w:tr>
      <w:tr w14:paraId="14B97684">
        <w:tblPrEx>
          <w:tblCellMar>
            <w:top w:w="0" w:type="dxa"/>
            <w:left w:w="108" w:type="dxa"/>
            <w:bottom w:w="0" w:type="dxa"/>
            <w:right w:w="108" w:type="dxa"/>
          </w:tblCellMar>
        </w:tblPrEx>
        <w:trPr>
          <w:trHeight w:val="454" w:hRule="atLeast"/>
          <w:jc w:val="center"/>
        </w:trPr>
        <w:tc>
          <w:tcPr>
            <w:tcW w:w="1208" w:type="dxa"/>
            <w:vMerge w:val="restart"/>
            <w:tcBorders>
              <w:top w:val="nil"/>
              <w:left w:val="single" w:color="auto" w:sz="4" w:space="0"/>
              <w:bottom w:val="single" w:color="000000" w:sz="4" w:space="0"/>
              <w:right w:val="single" w:color="auto" w:sz="4" w:space="0"/>
            </w:tcBorders>
            <w:noWrap w:val="0"/>
            <w:vAlign w:val="center"/>
          </w:tcPr>
          <w:p w14:paraId="32941289">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风险预警板块功能升级</w:t>
            </w:r>
          </w:p>
        </w:tc>
        <w:tc>
          <w:tcPr>
            <w:tcW w:w="1215" w:type="dxa"/>
            <w:vMerge w:val="restart"/>
            <w:tcBorders>
              <w:top w:val="nil"/>
              <w:left w:val="nil"/>
              <w:bottom w:val="single" w:color="000000" w:sz="4" w:space="0"/>
              <w:right w:val="single" w:color="auto" w:sz="4" w:space="0"/>
            </w:tcBorders>
            <w:noWrap w:val="0"/>
            <w:vAlign w:val="center"/>
          </w:tcPr>
          <w:p w14:paraId="27DC541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AIS地图功能升级</w:t>
            </w:r>
          </w:p>
        </w:tc>
        <w:tc>
          <w:tcPr>
            <w:tcW w:w="2142" w:type="dxa"/>
            <w:vMerge w:val="restart"/>
            <w:tcBorders>
              <w:top w:val="nil"/>
              <w:left w:val="nil"/>
              <w:bottom w:val="single" w:color="000000" w:sz="4" w:space="0"/>
              <w:right w:val="single" w:color="auto" w:sz="4" w:space="0"/>
            </w:tcBorders>
            <w:noWrap w:val="0"/>
            <w:vAlign w:val="center"/>
          </w:tcPr>
          <w:p w14:paraId="6CF13490">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视频资源管理</w:t>
            </w:r>
          </w:p>
        </w:tc>
        <w:tc>
          <w:tcPr>
            <w:tcW w:w="4721" w:type="dxa"/>
            <w:tcBorders>
              <w:top w:val="nil"/>
              <w:left w:val="nil"/>
              <w:bottom w:val="single" w:color="auto" w:sz="4" w:space="0"/>
              <w:right w:val="single" w:color="auto" w:sz="4" w:space="0"/>
            </w:tcBorders>
            <w:noWrap w:val="0"/>
            <w:vAlign w:val="center"/>
          </w:tcPr>
          <w:p w14:paraId="6B5A148C">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视频点位信息展示</w:t>
            </w:r>
          </w:p>
        </w:tc>
      </w:tr>
      <w:tr w14:paraId="48F6BA01">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1E10D48C">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5E15E8A0">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603A19E0">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6236AA8A">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视频有效范围展示</w:t>
            </w:r>
          </w:p>
        </w:tc>
      </w:tr>
      <w:tr w14:paraId="1BC8623C">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2B712489">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37F137FA">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4102DCA5">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7565A81F">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视频播放与控制</w:t>
            </w:r>
          </w:p>
        </w:tc>
      </w:tr>
      <w:tr w14:paraId="002B7E36">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555F136A">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138CA893">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66D30887">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41716B09">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港口视频播放与控制</w:t>
            </w:r>
          </w:p>
        </w:tc>
      </w:tr>
      <w:tr w14:paraId="1CA5F507">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76EA99A0">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3A75F822">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5BE27406">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2C1EE65B">
            <w:pPr>
              <w:widowControl/>
              <w:autoSpaceDE w:val="0"/>
              <w:rPr>
                <w:rFonts w:hint="eastAsia" w:ascii="仿宋_GB2312" w:hAnsi="仿宋_GB2312" w:eastAsia="仿宋_GB2312" w:cs="仿宋_GB2312"/>
                <w:color w:val="auto"/>
                <w:sz w:val="24"/>
                <w:highlight w:val="none"/>
              </w:rPr>
            </w:pPr>
            <w:r>
              <w:rPr>
                <w:rFonts w:hint="eastAsia" w:ascii="Times New Roman" w:hAnsi="Times New Roman" w:eastAsia="仿宋_GB2312" w:cs="Times New Roman"/>
                <w:color w:val="auto"/>
                <w:sz w:val="24"/>
                <w:szCs w:val="24"/>
                <w:highlight w:val="none"/>
                <w:lang w:val="en-US" w:eastAsia="zh-CN" w:bidi="ar-SA"/>
              </w:rPr>
              <w:t>提供矫时服务功能</w:t>
            </w:r>
          </w:p>
        </w:tc>
      </w:tr>
      <w:tr w14:paraId="08F7A2F0">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30C5B26B">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6A304C8C">
            <w:pPr>
              <w:widowControl/>
              <w:rPr>
                <w:rFonts w:hint="eastAsia" w:ascii="仿宋_GB2312" w:hAnsi="仿宋_GB2312" w:eastAsia="仿宋_GB2312" w:cs="仿宋_GB2312"/>
                <w:color w:val="auto"/>
                <w:sz w:val="24"/>
                <w:highlight w:val="none"/>
              </w:rPr>
            </w:pPr>
          </w:p>
        </w:tc>
        <w:tc>
          <w:tcPr>
            <w:tcW w:w="2142" w:type="dxa"/>
            <w:tcBorders>
              <w:top w:val="nil"/>
              <w:left w:val="nil"/>
              <w:bottom w:val="single" w:color="000000" w:sz="4" w:space="0"/>
              <w:right w:val="single" w:color="auto" w:sz="4" w:space="0"/>
            </w:tcBorders>
            <w:noWrap w:val="0"/>
            <w:vAlign w:val="center"/>
          </w:tcPr>
          <w:p w14:paraId="1124B7F2">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船舶信息展示（升级）</w:t>
            </w:r>
          </w:p>
        </w:tc>
        <w:tc>
          <w:tcPr>
            <w:tcW w:w="4721" w:type="dxa"/>
            <w:tcBorders>
              <w:top w:val="nil"/>
              <w:left w:val="nil"/>
              <w:bottom w:val="single" w:color="auto" w:sz="4" w:space="0"/>
              <w:right w:val="single" w:color="auto" w:sz="4" w:space="0"/>
            </w:tcBorders>
            <w:noWrap w:val="0"/>
            <w:vAlign w:val="center"/>
          </w:tcPr>
          <w:p w14:paraId="25C955AD">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在保留原北斗、AIS、雷达所获取的船位数据基础上，增加通过视频识别的船舶类型信息展示</w:t>
            </w:r>
          </w:p>
        </w:tc>
      </w:tr>
      <w:tr w14:paraId="0AC1A213">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26BB2071">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23036AB2">
            <w:pPr>
              <w:widowControl/>
              <w:rPr>
                <w:rFonts w:hint="eastAsia" w:ascii="仿宋_GB2312" w:hAnsi="仿宋_GB2312" w:eastAsia="仿宋_GB2312" w:cs="仿宋_GB2312"/>
                <w:color w:val="auto"/>
                <w:sz w:val="24"/>
                <w:highlight w:val="none"/>
              </w:rPr>
            </w:pPr>
          </w:p>
        </w:tc>
        <w:tc>
          <w:tcPr>
            <w:tcW w:w="2142" w:type="dxa"/>
            <w:tcBorders>
              <w:top w:val="nil"/>
              <w:left w:val="nil"/>
              <w:bottom w:val="single" w:color="auto" w:sz="4" w:space="0"/>
              <w:right w:val="single" w:color="auto" w:sz="4" w:space="0"/>
            </w:tcBorders>
            <w:noWrap w:val="0"/>
            <w:vAlign w:val="center"/>
          </w:tcPr>
          <w:p w14:paraId="2AEA0D1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违捕船舶热力图</w:t>
            </w:r>
          </w:p>
        </w:tc>
        <w:tc>
          <w:tcPr>
            <w:tcW w:w="4721" w:type="dxa"/>
            <w:tcBorders>
              <w:top w:val="nil"/>
              <w:left w:val="nil"/>
              <w:bottom w:val="single" w:color="auto" w:sz="4" w:space="0"/>
              <w:right w:val="single" w:color="auto" w:sz="4" w:space="0"/>
            </w:tcBorders>
            <w:noWrap w:val="0"/>
            <w:vAlign w:val="center"/>
          </w:tcPr>
          <w:p w14:paraId="47B40545">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通过对历史违规船舶出现的地点分析，通过热力图的方式显示，展示违规船舶的主要出入地点和出入时段，为后续</w:t>
            </w:r>
            <w:r>
              <w:rPr>
                <w:rFonts w:hint="eastAsia" w:ascii="仿宋_GB2312" w:hAnsi="仿宋_GB2312" w:eastAsia="仿宋_GB2312" w:cs="仿宋_GB2312"/>
                <w:color w:val="auto"/>
                <w:sz w:val="24"/>
                <w:highlight w:val="none"/>
                <w:lang w:eastAsia="zh-CN"/>
              </w:rPr>
              <w:t>现场</w:t>
            </w:r>
            <w:r>
              <w:rPr>
                <w:rFonts w:hint="eastAsia" w:ascii="仿宋_GB2312" w:hAnsi="仿宋_GB2312" w:eastAsia="仿宋_GB2312" w:cs="仿宋_GB2312"/>
                <w:color w:val="auto"/>
                <w:sz w:val="24"/>
                <w:highlight w:val="none"/>
              </w:rPr>
              <w:t>处置提供决策依据</w:t>
            </w:r>
          </w:p>
        </w:tc>
      </w:tr>
      <w:tr w14:paraId="19F2DBF4">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58DEB62D">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5188967B">
            <w:pPr>
              <w:widowControl/>
              <w:rPr>
                <w:rFonts w:hint="eastAsia" w:ascii="仿宋_GB2312" w:hAnsi="仿宋_GB2312" w:eastAsia="仿宋_GB2312" w:cs="仿宋_GB2312"/>
                <w:color w:val="auto"/>
                <w:sz w:val="24"/>
                <w:highlight w:val="none"/>
              </w:rPr>
            </w:pPr>
          </w:p>
        </w:tc>
        <w:tc>
          <w:tcPr>
            <w:tcW w:w="2142" w:type="dxa"/>
            <w:tcBorders>
              <w:top w:val="nil"/>
              <w:left w:val="nil"/>
              <w:bottom w:val="single" w:color="auto" w:sz="4" w:space="0"/>
              <w:right w:val="single" w:color="auto" w:sz="4" w:space="0"/>
            </w:tcBorders>
            <w:noWrap w:val="0"/>
            <w:vAlign w:val="center"/>
          </w:tcPr>
          <w:p w14:paraId="668FBE4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违规渔船活动路径展示</w:t>
            </w:r>
          </w:p>
        </w:tc>
        <w:tc>
          <w:tcPr>
            <w:tcW w:w="4721" w:type="dxa"/>
            <w:tcBorders>
              <w:top w:val="nil"/>
              <w:left w:val="nil"/>
              <w:bottom w:val="single" w:color="auto" w:sz="4" w:space="0"/>
              <w:right w:val="single" w:color="auto" w:sz="4" w:space="0"/>
            </w:tcBorders>
            <w:noWrap w:val="0"/>
            <w:vAlign w:val="center"/>
          </w:tcPr>
          <w:p w14:paraId="2233833B">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利用视频识别技术，对渔船的唯一性进行分析和标识，并对违规渔船的活动地理坐标位置进行计算和存储，通过海图技术对违规渔船进行地图重现</w:t>
            </w:r>
          </w:p>
        </w:tc>
      </w:tr>
      <w:tr w14:paraId="4FF03B35">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0C49B231">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45A02930">
            <w:pPr>
              <w:widowControl/>
              <w:rPr>
                <w:rFonts w:hint="eastAsia" w:ascii="仿宋_GB2312" w:hAnsi="仿宋_GB2312" w:eastAsia="仿宋_GB2312" w:cs="仿宋_GB2312"/>
                <w:color w:val="auto"/>
                <w:sz w:val="24"/>
                <w:highlight w:val="none"/>
              </w:rPr>
            </w:pPr>
          </w:p>
        </w:tc>
        <w:tc>
          <w:tcPr>
            <w:tcW w:w="2142" w:type="dxa"/>
            <w:tcBorders>
              <w:top w:val="nil"/>
              <w:left w:val="nil"/>
              <w:bottom w:val="single" w:color="auto" w:sz="4" w:space="0"/>
              <w:right w:val="single" w:color="auto" w:sz="4" w:space="0"/>
            </w:tcBorders>
            <w:noWrap w:val="0"/>
            <w:vAlign w:val="center"/>
          </w:tcPr>
          <w:p w14:paraId="50C6938C">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渔船违规行为预测</w:t>
            </w:r>
          </w:p>
        </w:tc>
        <w:tc>
          <w:tcPr>
            <w:tcW w:w="4721" w:type="dxa"/>
            <w:tcBorders>
              <w:top w:val="nil"/>
              <w:left w:val="nil"/>
              <w:bottom w:val="single" w:color="auto" w:sz="4" w:space="0"/>
              <w:right w:val="single" w:color="auto" w:sz="4" w:space="0"/>
            </w:tcBorders>
            <w:noWrap w:val="0"/>
            <w:vAlign w:val="center"/>
          </w:tcPr>
          <w:p w14:paraId="31514ABC">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根据历史视频识别数据，对违规渔船的习惯行驶路线进行分析，对未来渔船可能的行驶路线进行预测，并通过海图技术对违规渔船未来行驶路线进行展示</w:t>
            </w:r>
          </w:p>
        </w:tc>
      </w:tr>
      <w:tr w14:paraId="19F44E6F">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71AE7635">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2C40883C">
            <w:pPr>
              <w:widowControl/>
              <w:rPr>
                <w:rFonts w:hint="eastAsia" w:ascii="仿宋_GB2312" w:hAnsi="仿宋_GB2312" w:eastAsia="仿宋_GB2312" w:cs="仿宋_GB2312"/>
                <w:color w:val="auto"/>
                <w:sz w:val="24"/>
                <w:highlight w:val="none"/>
              </w:rPr>
            </w:pPr>
          </w:p>
        </w:tc>
        <w:tc>
          <w:tcPr>
            <w:tcW w:w="2142" w:type="dxa"/>
            <w:tcBorders>
              <w:top w:val="nil"/>
              <w:left w:val="nil"/>
              <w:bottom w:val="single" w:color="auto" w:sz="4" w:space="0"/>
              <w:right w:val="single" w:color="auto" w:sz="4" w:space="0"/>
            </w:tcBorders>
            <w:noWrap w:val="0"/>
            <w:vAlign w:val="center"/>
          </w:tcPr>
          <w:p w14:paraId="4D55EBF8">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VR展示</w:t>
            </w:r>
          </w:p>
        </w:tc>
        <w:tc>
          <w:tcPr>
            <w:tcW w:w="4721" w:type="dxa"/>
            <w:tcBorders>
              <w:top w:val="nil"/>
              <w:left w:val="nil"/>
              <w:bottom w:val="single" w:color="auto" w:sz="4" w:space="0"/>
              <w:right w:val="single" w:color="auto" w:sz="4" w:space="0"/>
            </w:tcBorders>
            <w:noWrap w:val="0"/>
            <w:vAlign w:val="center"/>
          </w:tcPr>
          <w:p w14:paraId="143BEAE0">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利用视频AR SDK对视频的展示进行控制，包括“三无”船舶信息展示、正规渔船信息展示、船舶速度航线展示、船舶经纬度展示、违规行为展示等</w:t>
            </w:r>
          </w:p>
        </w:tc>
      </w:tr>
      <w:tr w14:paraId="48424E46">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5A729472">
            <w:pPr>
              <w:widowControl/>
              <w:rPr>
                <w:rFonts w:hint="eastAsia" w:ascii="仿宋_GB2312" w:hAnsi="仿宋_GB2312" w:eastAsia="仿宋_GB2312" w:cs="仿宋_GB2312"/>
                <w:color w:val="auto"/>
                <w:sz w:val="24"/>
                <w:highlight w:val="none"/>
              </w:rPr>
            </w:pPr>
          </w:p>
        </w:tc>
        <w:tc>
          <w:tcPr>
            <w:tcW w:w="1215" w:type="dxa"/>
            <w:vMerge w:val="restart"/>
            <w:tcBorders>
              <w:top w:val="nil"/>
              <w:left w:val="nil"/>
              <w:bottom w:val="single" w:color="000000" w:sz="4" w:space="0"/>
              <w:right w:val="single" w:color="auto" w:sz="4" w:space="0"/>
            </w:tcBorders>
            <w:noWrap w:val="0"/>
            <w:vAlign w:val="center"/>
          </w:tcPr>
          <w:p w14:paraId="04520D9D">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视频预警管理建设</w:t>
            </w:r>
          </w:p>
        </w:tc>
        <w:tc>
          <w:tcPr>
            <w:tcW w:w="2142" w:type="dxa"/>
            <w:vMerge w:val="restart"/>
            <w:tcBorders>
              <w:top w:val="nil"/>
              <w:left w:val="nil"/>
              <w:bottom w:val="single" w:color="000000" w:sz="4" w:space="0"/>
              <w:right w:val="single" w:color="auto" w:sz="4" w:space="0"/>
            </w:tcBorders>
            <w:noWrap w:val="0"/>
            <w:vAlign w:val="center"/>
          </w:tcPr>
          <w:p w14:paraId="0AAB3D9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“三无”船舶预警</w:t>
            </w:r>
          </w:p>
        </w:tc>
        <w:tc>
          <w:tcPr>
            <w:tcW w:w="4721" w:type="dxa"/>
            <w:tcBorders>
              <w:top w:val="nil"/>
              <w:left w:val="nil"/>
              <w:bottom w:val="single" w:color="auto" w:sz="4" w:space="0"/>
              <w:right w:val="single" w:color="auto" w:sz="4" w:space="0"/>
            </w:tcBorders>
            <w:noWrap w:val="0"/>
            <w:vAlign w:val="center"/>
          </w:tcPr>
          <w:p w14:paraId="7AFC2CD4">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“三无”船舶预警通知</w:t>
            </w:r>
          </w:p>
        </w:tc>
      </w:tr>
      <w:tr w14:paraId="4DBEEF04">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34AC68EA">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6946DBA3">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2D808C88">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1D9B4551">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“三无”船舶预警处置</w:t>
            </w:r>
          </w:p>
        </w:tc>
      </w:tr>
      <w:tr w14:paraId="7ADC0782">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1C9BB140">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5A3F7562">
            <w:pPr>
              <w:widowControl/>
              <w:rPr>
                <w:rFonts w:hint="eastAsia" w:ascii="仿宋_GB2312" w:hAnsi="仿宋_GB2312" w:eastAsia="仿宋_GB2312" w:cs="仿宋_GB2312"/>
                <w:color w:val="auto"/>
                <w:sz w:val="24"/>
                <w:highlight w:val="none"/>
              </w:rPr>
            </w:pPr>
          </w:p>
        </w:tc>
        <w:tc>
          <w:tcPr>
            <w:tcW w:w="2142" w:type="dxa"/>
            <w:vMerge w:val="restart"/>
            <w:tcBorders>
              <w:top w:val="nil"/>
              <w:left w:val="nil"/>
              <w:bottom w:val="single" w:color="000000" w:sz="4" w:space="0"/>
              <w:right w:val="single" w:color="auto" w:sz="4" w:space="0"/>
            </w:tcBorders>
            <w:noWrap w:val="0"/>
            <w:vAlign w:val="center"/>
          </w:tcPr>
          <w:p w14:paraId="6475B3D5">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休渔期捕捞渔船出海预警</w:t>
            </w:r>
          </w:p>
        </w:tc>
        <w:tc>
          <w:tcPr>
            <w:tcW w:w="4721" w:type="dxa"/>
            <w:tcBorders>
              <w:top w:val="nil"/>
              <w:left w:val="nil"/>
              <w:bottom w:val="single" w:color="auto" w:sz="4" w:space="0"/>
              <w:right w:val="single" w:color="auto" w:sz="4" w:space="0"/>
            </w:tcBorders>
            <w:noWrap w:val="0"/>
            <w:vAlign w:val="center"/>
          </w:tcPr>
          <w:p w14:paraId="565F49F7">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休渔期捕捞渔船出海预警通知</w:t>
            </w:r>
          </w:p>
        </w:tc>
      </w:tr>
      <w:tr w14:paraId="136A52D5">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6ACC6D07">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59E83749">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15725F51">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50F759A9">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休渔期捕捞渔船出海预警处置</w:t>
            </w:r>
          </w:p>
        </w:tc>
      </w:tr>
      <w:tr w14:paraId="417C81C5">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09DDB70E">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2ADB14FF">
            <w:pPr>
              <w:widowControl/>
              <w:rPr>
                <w:rFonts w:hint="eastAsia" w:ascii="仿宋_GB2312" w:hAnsi="仿宋_GB2312" w:eastAsia="仿宋_GB2312" w:cs="仿宋_GB2312"/>
                <w:color w:val="auto"/>
                <w:sz w:val="24"/>
                <w:highlight w:val="none"/>
              </w:rPr>
            </w:pPr>
          </w:p>
        </w:tc>
        <w:tc>
          <w:tcPr>
            <w:tcW w:w="2142" w:type="dxa"/>
            <w:vMerge w:val="restart"/>
            <w:tcBorders>
              <w:top w:val="nil"/>
              <w:left w:val="nil"/>
              <w:bottom w:val="single" w:color="000000" w:sz="4" w:space="0"/>
              <w:right w:val="single" w:color="auto" w:sz="4" w:space="0"/>
            </w:tcBorders>
            <w:noWrap w:val="0"/>
            <w:vAlign w:val="center"/>
          </w:tcPr>
          <w:p w14:paraId="523E550A">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重点船只船舶预警</w:t>
            </w:r>
          </w:p>
        </w:tc>
        <w:tc>
          <w:tcPr>
            <w:tcW w:w="4721" w:type="dxa"/>
            <w:tcBorders>
              <w:top w:val="nil"/>
              <w:left w:val="nil"/>
              <w:bottom w:val="single" w:color="auto" w:sz="4" w:space="0"/>
              <w:right w:val="single" w:color="auto" w:sz="4" w:space="0"/>
            </w:tcBorders>
            <w:noWrap w:val="0"/>
            <w:vAlign w:val="center"/>
          </w:tcPr>
          <w:p w14:paraId="1E1FD4F6">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重点船只船舶出航预警通知</w:t>
            </w:r>
          </w:p>
        </w:tc>
      </w:tr>
      <w:tr w14:paraId="59163B0C">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2BFA74E2">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664E5D98">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000000" w:sz="4" w:space="0"/>
              <w:right w:val="single" w:color="auto" w:sz="4" w:space="0"/>
            </w:tcBorders>
            <w:noWrap w:val="0"/>
            <w:vAlign w:val="center"/>
          </w:tcPr>
          <w:p w14:paraId="4DB28E99">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392727AD">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重点船只船舶出航预警处置</w:t>
            </w:r>
          </w:p>
        </w:tc>
      </w:tr>
      <w:tr w14:paraId="25A99727">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000000" w:sz="4" w:space="0"/>
              <w:right w:val="single" w:color="auto" w:sz="4" w:space="0"/>
            </w:tcBorders>
            <w:noWrap w:val="0"/>
            <w:vAlign w:val="center"/>
          </w:tcPr>
          <w:p w14:paraId="28D2B1F0">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000000" w:sz="4" w:space="0"/>
              <w:right w:val="single" w:color="auto" w:sz="4" w:space="0"/>
            </w:tcBorders>
            <w:noWrap w:val="0"/>
            <w:vAlign w:val="center"/>
          </w:tcPr>
          <w:p w14:paraId="6DEDD244">
            <w:pPr>
              <w:widowControl/>
              <w:rPr>
                <w:rFonts w:hint="eastAsia" w:ascii="仿宋_GB2312" w:hAnsi="仿宋_GB2312" w:eastAsia="仿宋_GB2312" w:cs="仿宋_GB2312"/>
                <w:color w:val="auto"/>
                <w:sz w:val="24"/>
                <w:highlight w:val="none"/>
              </w:rPr>
            </w:pPr>
          </w:p>
        </w:tc>
        <w:tc>
          <w:tcPr>
            <w:tcW w:w="2142" w:type="dxa"/>
            <w:vMerge w:val="restart"/>
            <w:tcBorders>
              <w:top w:val="nil"/>
              <w:left w:val="nil"/>
              <w:bottom w:val="single" w:color="000000" w:sz="4" w:space="0"/>
              <w:right w:val="single" w:color="auto" w:sz="4" w:space="0"/>
            </w:tcBorders>
            <w:noWrap w:val="0"/>
            <w:vAlign w:val="center"/>
          </w:tcPr>
          <w:p w14:paraId="39198FCB">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视频电子围栏预警</w:t>
            </w:r>
          </w:p>
        </w:tc>
        <w:tc>
          <w:tcPr>
            <w:tcW w:w="4721" w:type="dxa"/>
            <w:tcBorders>
              <w:top w:val="nil"/>
              <w:left w:val="nil"/>
              <w:bottom w:val="single" w:color="auto" w:sz="4" w:space="0"/>
              <w:right w:val="single" w:color="auto" w:sz="4" w:space="0"/>
            </w:tcBorders>
            <w:noWrap w:val="0"/>
            <w:vAlign w:val="center"/>
          </w:tcPr>
          <w:p w14:paraId="789446BE">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视频电子围栏预警通知</w:t>
            </w:r>
          </w:p>
        </w:tc>
      </w:tr>
      <w:tr w14:paraId="223CAA5C">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auto" w:sz="4" w:space="0"/>
              <w:right w:val="single" w:color="auto" w:sz="4" w:space="0"/>
            </w:tcBorders>
            <w:noWrap w:val="0"/>
            <w:vAlign w:val="center"/>
          </w:tcPr>
          <w:p w14:paraId="049B9EA3">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auto" w:sz="4" w:space="0"/>
              <w:right w:val="single" w:color="auto" w:sz="4" w:space="0"/>
            </w:tcBorders>
            <w:noWrap w:val="0"/>
            <w:vAlign w:val="center"/>
          </w:tcPr>
          <w:p w14:paraId="05130C06">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auto" w:sz="4" w:space="0"/>
              <w:right w:val="single" w:color="auto" w:sz="4" w:space="0"/>
            </w:tcBorders>
            <w:noWrap w:val="0"/>
            <w:vAlign w:val="center"/>
          </w:tcPr>
          <w:p w14:paraId="20047636">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71F3FB79">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视频电子围栏预警处置</w:t>
            </w:r>
          </w:p>
        </w:tc>
      </w:tr>
      <w:tr w14:paraId="17DC0787">
        <w:tblPrEx>
          <w:tblCellMar>
            <w:top w:w="0" w:type="dxa"/>
            <w:left w:w="108" w:type="dxa"/>
            <w:bottom w:w="0" w:type="dxa"/>
            <w:right w:w="108" w:type="dxa"/>
          </w:tblCellMar>
        </w:tblPrEx>
        <w:trPr>
          <w:trHeight w:val="454" w:hRule="atLeast"/>
          <w:jc w:val="center"/>
        </w:trPr>
        <w:tc>
          <w:tcPr>
            <w:tcW w:w="1208" w:type="dxa"/>
            <w:vMerge w:val="restart"/>
            <w:tcBorders>
              <w:top w:val="single" w:color="auto" w:sz="4" w:space="0"/>
              <w:left w:val="single" w:color="auto" w:sz="4" w:space="0"/>
              <w:bottom w:val="single" w:color="auto" w:sz="4" w:space="0"/>
              <w:right w:val="single" w:color="auto" w:sz="4" w:space="0"/>
            </w:tcBorders>
            <w:noWrap w:val="0"/>
            <w:vAlign w:val="center"/>
          </w:tcPr>
          <w:p w14:paraId="387576B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数字执法板块功能升级</w:t>
            </w:r>
          </w:p>
        </w:tc>
        <w:tc>
          <w:tcPr>
            <w:tcW w:w="1215" w:type="dxa"/>
            <w:vMerge w:val="restart"/>
            <w:tcBorders>
              <w:top w:val="single" w:color="auto" w:sz="4" w:space="0"/>
              <w:left w:val="nil"/>
              <w:bottom w:val="single" w:color="auto" w:sz="4" w:space="0"/>
              <w:right w:val="single" w:color="auto" w:sz="4" w:space="0"/>
            </w:tcBorders>
            <w:noWrap w:val="0"/>
            <w:vAlign w:val="center"/>
          </w:tcPr>
          <w:p w14:paraId="33A874E2">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视频预警综合分析建设</w:t>
            </w:r>
          </w:p>
        </w:tc>
        <w:tc>
          <w:tcPr>
            <w:tcW w:w="2142" w:type="dxa"/>
            <w:vMerge w:val="restart"/>
            <w:tcBorders>
              <w:top w:val="single" w:color="auto" w:sz="4" w:space="0"/>
              <w:left w:val="nil"/>
              <w:bottom w:val="single" w:color="auto" w:sz="4" w:space="0"/>
              <w:right w:val="single" w:color="auto" w:sz="4" w:space="0"/>
            </w:tcBorders>
            <w:noWrap w:val="0"/>
            <w:vAlign w:val="center"/>
          </w:tcPr>
          <w:p w14:paraId="6D15AFFA">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进出港过程视频预警分析</w:t>
            </w:r>
          </w:p>
        </w:tc>
        <w:tc>
          <w:tcPr>
            <w:tcW w:w="4721" w:type="dxa"/>
            <w:tcBorders>
              <w:top w:val="single" w:color="auto" w:sz="4" w:space="0"/>
              <w:left w:val="nil"/>
              <w:bottom w:val="single" w:color="auto" w:sz="4" w:space="0"/>
              <w:right w:val="single" w:color="auto" w:sz="4" w:space="0"/>
            </w:tcBorders>
            <w:noWrap w:val="0"/>
            <w:vAlign w:val="center"/>
          </w:tcPr>
          <w:p w14:paraId="0F2AC977">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视频预警信息归集</w:t>
            </w:r>
          </w:p>
        </w:tc>
      </w:tr>
      <w:tr w14:paraId="3C7452C1">
        <w:tblPrEx>
          <w:tblCellMar>
            <w:top w:w="0" w:type="dxa"/>
            <w:left w:w="108" w:type="dxa"/>
            <w:bottom w:w="0" w:type="dxa"/>
            <w:right w:w="108" w:type="dxa"/>
          </w:tblCellMar>
        </w:tblPrEx>
        <w:trPr>
          <w:trHeight w:val="454" w:hRule="atLeast"/>
          <w:jc w:val="center"/>
        </w:trPr>
        <w:tc>
          <w:tcPr>
            <w:tcW w:w="1208" w:type="dxa"/>
            <w:vMerge w:val="continue"/>
            <w:tcBorders>
              <w:top w:val="single" w:color="auto" w:sz="4" w:space="0"/>
              <w:left w:val="single" w:color="auto" w:sz="4" w:space="0"/>
              <w:bottom w:val="single" w:color="auto" w:sz="4" w:space="0"/>
              <w:right w:val="single" w:color="auto" w:sz="4" w:space="0"/>
            </w:tcBorders>
            <w:noWrap w:val="0"/>
            <w:vAlign w:val="center"/>
          </w:tcPr>
          <w:p w14:paraId="2DC44D30">
            <w:pPr>
              <w:widowControl/>
              <w:rPr>
                <w:rFonts w:hint="eastAsia" w:ascii="仿宋_GB2312" w:hAnsi="仿宋_GB2312" w:eastAsia="仿宋_GB2312" w:cs="仿宋_GB2312"/>
                <w:color w:val="auto"/>
                <w:sz w:val="24"/>
                <w:highlight w:val="none"/>
              </w:rPr>
            </w:pPr>
          </w:p>
        </w:tc>
        <w:tc>
          <w:tcPr>
            <w:tcW w:w="1215" w:type="dxa"/>
            <w:vMerge w:val="continue"/>
            <w:tcBorders>
              <w:top w:val="single" w:color="auto" w:sz="4" w:space="0"/>
              <w:left w:val="nil"/>
              <w:bottom w:val="single" w:color="auto" w:sz="4" w:space="0"/>
              <w:right w:val="single" w:color="auto" w:sz="4" w:space="0"/>
            </w:tcBorders>
            <w:noWrap w:val="0"/>
            <w:vAlign w:val="center"/>
          </w:tcPr>
          <w:p w14:paraId="0CEA0DA0">
            <w:pPr>
              <w:widowControl/>
              <w:rPr>
                <w:rFonts w:hint="eastAsia" w:ascii="仿宋_GB2312" w:hAnsi="仿宋_GB2312" w:eastAsia="仿宋_GB2312" w:cs="仿宋_GB2312"/>
                <w:color w:val="auto"/>
                <w:sz w:val="24"/>
                <w:highlight w:val="none"/>
              </w:rPr>
            </w:pPr>
          </w:p>
        </w:tc>
        <w:tc>
          <w:tcPr>
            <w:tcW w:w="2142" w:type="dxa"/>
            <w:vMerge w:val="continue"/>
            <w:tcBorders>
              <w:top w:val="single" w:color="auto" w:sz="4" w:space="0"/>
              <w:left w:val="nil"/>
              <w:bottom w:val="single" w:color="auto" w:sz="4" w:space="0"/>
              <w:right w:val="single" w:color="auto" w:sz="4" w:space="0"/>
            </w:tcBorders>
            <w:noWrap w:val="0"/>
            <w:vAlign w:val="center"/>
          </w:tcPr>
          <w:p w14:paraId="660FAF5D">
            <w:pPr>
              <w:widowControl/>
              <w:rPr>
                <w:rFonts w:hint="eastAsia" w:ascii="仿宋_GB2312" w:hAnsi="仿宋_GB2312" w:eastAsia="仿宋_GB2312" w:cs="仿宋_GB2312"/>
                <w:color w:val="auto"/>
                <w:sz w:val="24"/>
                <w:highlight w:val="none"/>
              </w:rPr>
            </w:pPr>
          </w:p>
        </w:tc>
        <w:tc>
          <w:tcPr>
            <w:tcW w:w="4721" w:type="dxa"/>
            <w:tcBorders>
              <w:top w:val="single" w:color="auto" w:sz="4" w:space="0"/>
              <w:left w:val="nil"/>
              <w:bottom w:val="single" w:color="auto" w:sz="4" w:space="0"/>
              <w:right w:val="single" w:color="auto" w:sz="4" w:space="0"/>
            </w:tcBorders>
            <w:noWrap w:val="0"/>
            <w:vAlign w:val="center"/>
          </w:tcPr>
          <w:p w14:paraId="4C9C487D">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现场处置视频证据采集</w:t>
            </w:r>
          </w:p>
        </w:tc>
      </w:tr>
      <w:tr w14:paraId="33779D83">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auto" w:sz="4" w:space="0"/>
              <w:right w:val="single" w:color="auto" w:sz="4" w:space="0"/>
            </w:tcBorders>
            <w:noWrap w:val="0"/>
            <w:vAlign w:val="center"/>
          </w:tcPr>
          <w:p w14:paraId="678F9D6D">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auto" w:sz="4" w:space="0"/>
              <w:right w:val="single" w:color="auto" w:sz="4" w:space="0"/>
            </w:tcBorders>
            <w:noWrap w:val="0"/>
            <w:vAlign w:val="center"/>
          </w:tcPr>
          <w:p w14:paraId="7EEDDAB9">
            <w:pPr>
              <w:widowControl/>
              <w:rPr>
                <w:rFonts w:hint="eastAsia" w:ascii="仿宋_GB2312" w:hAnsi="仿宋_GB2312" w:eastAsia="仿宋_GB2312" w:cs="仿宋_GB2312"/>
                <w:color w:val="auto"/>
                <w:sz w:val="24"/>
                <w:highlight w:val="none"/>
              </w:rPr>
            </w:pPr>
          </w:p>
        </w:tc>
        <w:tc>
          <w:tcPr>
            <w:tcW w:w="2142" w:type="dxa"/>
            <w:vMerge w:val="restart"/>
            <w:tcBorders>
              <w:top w:val="nil"/>
              <w:left w:val="nil"/>
              <w:bottom w:val="single" w:color="auto" w:sz="4" w:space="0"/>
              <w:right w:val="single" w:color="auto" w:sz="4" w:space="0"/>
            </w:tcBorders>
            <w:noWrap w:val="0"/>
            <w:vAlign w:val="center"/>
          </w:tcPr>
          <w:p w14:paraId="1FEBE60D">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渔船预警过程视频预警分析</w:t>
            </w:r>
          </w:p>
        </w:tc>
        <w:tc>
          <w:tcPr>
            <w:tcW w:w="4721" w:type="dxa"/>
            <w:tcBorders>
              <w:top w:val="nil"/>
              <w:left w:val="nil"/>
              <w:bottom w:val="single" w:color="auto" w:sz="4" w:space="0"/>
              <w:right w:val="single" w:color="auto" w:sz="4" w:space="0"/>
            </w:tcBorders>
            <w:noWrap w:val="0"/>
            <w:vAlign w:val="center"/>
          </w:tcPr>
          <w:p w14:paraId="12336B00">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预警视频信息归集</w:t>
            </w:r>
          </w:p>
        </w:tc>
      </w:tr>
      <w:tr w14:paraId="79904CD6">
        <w:tblPrEx>
          <w:tblCellMar>
            <w:top w:w="0" w:type="dxa"/>
            <w:left w:w="108" w:type="dxa"/>
            <w:bottom w:w="0" w:type="dxa"/>
            <w:right w:w="108" w:type="dxa"/>
          </w:tblCellMar>
        </w:tblPrEx>
        <w:trPr>
          <w:trHeight w:val="454" w:hRule="atLeast"/>
          <w:jc w:val="center"/>
        </w:trPr>
        <w:tc>
          <w:tcPr>
            <w:tcW w:w="1208" w:type="dxa"/>
            <w:vMerge w:val="continue"/>
            <w:tcBorders>
              <w:top w:val="nil"/>
              <w:left w:val="single" w:color="auto" w:sz="4" w:space="0"/>
              <w:bottom w:val="single" w:color="auto" w:sz="4" w:space="0"/>
              <w:right w:val="single" w:color="auto" w:sz="4" w:space="0"/>
            </w:tcBorders>
            <w:noWrap w:val="0"/>
            <w:vAlign w:val="center"/>
          </w:tcPr>
          <w:p w14:paraId="1FEAD250">
            <w:pPr>
              <w:widowControl/>
              <w:rPr>
                <w:rFonts w:hint="eastAsia" w:ascii="仿宋_GB2312" w:hAnsi="仿宋_GB2312" w:eastAsia="仿宋_GB2312" w:cs="仿宋_GB2312"/>
                <w:color w:val="auto"/>
                <w:sz w:val="24"/>
                <w:highlight w:val="none"/>
              </w:rPr>
            </w:pPr>
          </w:p>
        </w:tc>
        <w:tc>
          <w:tcPr>
            <w:tcW w:w="1215" w:type="dxa"/>
            <w:vMerge w:val="continue"/>
            <w:tcBorders>
              <w:top w:val="nil"/>
              <w:left w:val="nil"/>
              <w:bottom w:val="single" w:color="auto" w:sz="4" w:space="0"/>
              <w:right w:val="single" w:color="auto" w:sz="4" w:space="0"/>
            </w:tcBorders>
            <w:noWrap w:val="0"/>
            <w:vAlign w:val="center"/>
          </w:tcPr>
          <w:p w14:paraId="6BBE9139">
            <w:pPr>
              <w:widowControl/>
              <w:rPr>
                <w:rFonts w:hint="eastAsia" w:ascii="仿宋_GB2312" w:hAnsi="仿宋_GB2312" w:eastAsia="仿宋_GB2312" w:cs="仿宋_GB2312"/>
                <w:color w:val="auto"/>
                <w:sz w:val="24"/>
                <w:highlight w:val="none"/>
              </w:rPr>
            </w:pPr>
          </w:p>
        </w:tc>
        <w:tc>
          <w:tcPr>
            <w:tcW w:w="2142" w:type="dxa"/>
            <w:vMerge w:val="continue"/>
            <w:tcBorders>
              <w:top w:val="nil"/>
              <w:left w:val="nil"/>
              <w:bottom w:val="single" w:color="auto" w:sz="4" w:space="0"/>
              <w:right w:val="single" w:color="auto" w:sz="4" w:space="0"/>
            </w:tcBorders>
            <w:noWrap w:val="0"/>
            <w:vAlign w:val="center"/>
          </w:tcPr>
          <w:p w14:paraId="2876812E">
            <w:pPr>
              <w:widowControl/>
              <w:rPr>
                <w:rFonts w:hint="eastAsia" w:ascii="仿宋_GB2312" w:hAnsi="仿宋_GB2312" w:eastAsia="仿宋_GB2312" w:cs="仿宋_GB2312"/>
                <w:color w:val="auto"/>
                <w:sz w:val="24"/>
                <w:highlight w:val="none"/>
              </w:rPr>
            </w:pPr>
          </w:p>
        </w:tc>
        <w:tc>
          <w:tcPr>
            <w:tcW w:w="4721" w:type="dxa"/>
            <w:tcBorders>
              <w:top w:val="nil"/>
              <w:left w:val="nil"/>
              <w:bottom w:val="single" w:color="auto" w:sz="4" w:space="0"/>
              <w:right w:val="single" w:color="auto" w:sz="4" w:space="0"/>
            </w:tcBorders>
            <w:noWrap w:val="0"/>
            <w:vAlign w:val="center"/>
          </w:tcPr>
          <w:p w14:paraId="781EC634">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现场处置证据归集</w:t>
            </w:r>
          </w:p>
        </w:tc>
      </w:tr>
    </w:tbl>
    <w:p w14:paraId="12ED2A90">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kern w:val="0"/>
          <w:sz w:val="24"/>
          <w:highlight w:val="none"/>
          <w:lang w:val="en-US" w:eastAsia="zh-CN"/>
        </w:rPr>
        <w:t>I</w:t>
      </w:r>
      <w:r>
        <w:rPr>
          <w:rFonts w:hint="eastAsia" w:ascii="仿宋_GB2312" w:hAnsi="仿宋_GB2312" w:eastAsia="仿宋_GB2312" w:cs="仿宋_GB2312"/>
          <w:color w:val="auto"/>
          <w:kern w:val="0"/>
          <w:sz w:val="24"/>
          <w:highlight w:val="none"/>
        </w:rPr>
        <w:t>模型</w:t>
      </w:r>
    </w:p>
    <w:tbl>
      <w:tblPr>
        <w:tblStyle w:val="65"/>
        <w:tblW w:w="5000" w:type="pct"/>
        <w:jc w:val="center"/>
        <w:tblLayout w:type="fixed"/>
        <w:tblCellMar>
          <w:top w:w="0" w:type="dxa"/>
          <w:left w:w="108" w:type="dxa"/>
          <w:bottom w:w="0" w:type="dxa"/>
          <w:right w:w="108" w:type="dxa"/>
        </w:tblCellMar>
      </w:tblPr>
      <w:tblGrid>
        <w:gridCol w:w="861"/>
        <w:gridCol w:w="1060"/>
        <w:gridCol w:w="1372"/>
        <w:gridCol w:w="5993"/>
      </w:tblGrid>
      <w:tr w14:paraId="2AD890E9">
        <w:tblPrEx>
          <w:tblCellMar>
            <w:top w:w="0" w:type="dxa"/>
            <w:left w:w="108" w:type="dxa"/>
            <w:bottom w:w="0" w:type="dxa"/>
            <w:right w:w="108" w:type="dxa"/>
          </w:tblCellMar>
        </w:tblPrEx>
        <w:trPr>
          <w:trHeight w:val="280"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14:paraId="750A75C7">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1060" w:type="dxa"/>
            <w:tcBorders>
              <w:top w:val="single" w:color="auto" w:sz="4" w:space="0"/>
              <w:left w:val="nil"/>
              <w:bottom w:val="single" w:color="auto" w:sz="4" w:space="0"/>
              <w:right w:val="single" w:color="auto" w:sz="4" w:space="0"/>
            </w:tcBorders>
            <w:noWrap/>
            <w:vAlign w:val="center"/>
          </w:tcPr>
          <w:p w14:paraId="7C4C0163">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系统名称</w:t>
            </w:r>
          </w:p>
        </w:tc>
        <w:tc>
          <w:tcPr>
            <w:tcW w:w="1372" w:type="dxa"/>
            <w:tcBorders>
              <w:top w:val="single" w:color="auto" w:sz="4" w:space="0"/>
              <w:left w:val="nil"/>
              <w:bottom w:val="single" w:color="auto" w:sz="4" w:space="0"/>
              <w:right w:val="single" w:color="auto" w:sz="4" w:space="0"/>
            </w:tcBorders>
            <w:noWrap/>
            <w:vAlign w:val="center"/>
          </w:tcPr>
          <w:p w14:paraId="47BD8AD9">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功能名称</w:t>
            </w:r>
          </w:p>
        </w:tc>
        <w:tc>
          <w:tcPr>
            <w:tcW w:w="5993" w:type="dxa"/>
            <w:tcBorders>
              <w:top w:val="single" w:color="auto" w:sz="4" w:space="0"/>
              <w:left w:val="nil"/>
              <w:bottom w:val="single" w:color="auto" w:sz="4" w:space="0"/>
              <w:right w:val="single" w:color="auto" w:sz="4" w:space="0"/>
            </w:tcBorders>
            <w:noWrap/>
            <w:vAlign w:val="center"/>
          </w:tcPr>
          <w:p w14:paraId="129974C3">
            <w:pPr>
              <w:widowControl/>
              <w:autoSpaceDE w:val="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功能描述</w:t>
            </w:r>
          </w:p>
        </w:tc>
      </w:tr>
      <w:tr w14:paraId="34783C91">
        <w:tblPrEx>
          <w:tblCellMar>
            <w:top w:w="0" w:type="dxa"/>
            <w:left w:w="108" w:type="dxa"/>
            <w:bottom w:w="0" w:type="dxa"/>
            <w:right w:w="108" w:type="dxa"/>
          </w:tblCellMar>
        </w:tblPrEx>
        <w:trPr>
          <w:trHeight w:val="574" w:hRule="atLeast"/>
          <w:jc w:val="center"/>
        </w:trPr>
        <w:tc>
          <w:tcPr>
            <w:tcW w:w="861" w:type="dxa"/>
            <w:vMerge w:val="restart"/>
            <w:tcBorders>
              <w:top w:val="nil"/>
              <w:left w:val="single" w:color="auto" w:sz="4" w:space="0"/>
              <w:bottom w:val="single" w:color="000000" w:sz="4" w:space="0"/>
              <w:right w:val="single" w:color="auto" w:sz="4" w:space="0"/>
            </w:tcBorders>
            <w:noWrap/>
            <w:vAlign w:val="center"/>
          </w:tcPr>
          <w:p w14:paraId="106FF920">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060" w:type="dxa"/>
            <w:vMerge w:val="restart"/>
            <w:tcBorders>
              <w:top w:val="nil"/>
              <w:left w:val="nil"/>
              <w:bottom w:val="single" w:color="000000" w:sz="4" w:space="0"/>
              <w:right w:val="single" w:color="auto" w:sz="4" w:space="0"/>
            </w:tcBorders>
            <w:noWrap/>
            <w:vAlign w:val="center"/>
          </w:tcPr>
          <w:p w14:paraId="6C3B59F2">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大模型基础能力</w:t>
            </w:r>
          </w:p>
        </w:tc>
        <w:tc>
          <w:tcPr>
            <w:tcW w:w="1372" w:type="dxa"/>
            <w:tcBorders>
              <w:top w:val="nil"/>
              <w:left w:val="nil"/>
              <w:bottom w:val="single" w:color="auto" w:sz="4" w:space="0"/>
              <w:right w:val="single" w:color="auto" w:sz="4" w:space="0"/>
            </w:tcBorders>
            <w:noWrap w:val="0"/>
            <w:vAlign w:val="center"/>
          </w:tcPr>
          <w:p w14:paraId="5C31CFD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图像描述</w:t>
            </w:r>
          </w:p>
        </w:tc>
        <w:tc>
          <w:tcPr>
            <w:tcW w:w="5993" w:type="dxa"/>
            <w:tcBorders>
              <w:top w:val="nil"/>
              <w:left w:val="nil"/>
              <w:bottom w:val="single" w:color="auto" w:sz="4" w:space="0"/>
              <w:right w:val="single" w:color="auto" w:sz="4" w:space="0"/>
            </w:tcBorders>
            <w:noWrap/>
            <w:vAlign w:val="center"/>
          </w:tcPr>
          <w:p w14:paraId="10845E93">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能够对生成的图像进行详细的文本描述，帮助用户更好地理解图像内容。</w:t>
            </w:r>
          </w:p>
        </w:tc>
      </w:tr>
      <w:tr w14:paraId="1B290CC7">
        <w:tblPrEx>
          <w:tblCellMar>
            <w:top w:w="0" w:type="dxa"/>
            <w:left w:w="108" w:type="dxa"/>
            <w:bottom w:w="0" w:type="dxa"/>
            <w:right w:w="108" w:type="dxa"/>
          </w:tblCellMar>
        </w:tblPrEx>
        <w:trPr>
          <w:trHeight w:val="593"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14:paraId="54EEF310">
            <w:pPr>
              <w:widowControl/>
              <w:rPr>
                <w:rFonts w:hint="eastAsia" w:ascii="仿宋_GB2312" w:hAnsi="仿宋_GB2312" w:eastAsia="仿宋_GB2312" w:cs="仿宋_GB2312"/>
                <w:color w:val="auto"/>
                <w:sz w:val="24"/>
                <w:highlight w:val="none"/>
              </w:rPr>
            </w:pPr>
          </w:p>
        </w:tc>
        <w:tc>
          <w:tcPr>
            <w:tcW w:w="1060" w:type="dxa"/>
            <w:vMerge w:val="continue"/>
            <w:tcBorders>
              <w:top w:val="nil"/>
              <w:left w:val="nil"/>
              <w:bottom w:val="single" w:color="auto" w:sz="4" w:space="0"/>
              <w:right w:val="single" w:color="auto" w:sz="4" w:space="0"/>
            </w:tcBorders>
            <w:noWrap w:val="0"/>
            <w:vAlign w:val="center"/>
          </w:tcPr>
          <w:p w14:paraId="666FA706">
            <w:pPr>
              <w:widowControl/>
              <w:rPr>
                <w:rFonts w:hint="eastAsia" w:ascii="仿宋_GB2312" w:hAnsi="仿宋_GB2312" w:eastAsia="仿宋_GB2312" w:cs="仿宋_GB2312"/>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4689153">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图像分析</w:t>
            </w:r>
          </w:p>
        </w:tc>
        <w:tc>
          <w:tcPr>
            <w:tcW w:w="5993" w:type="dxa"/>
            <w:tcBorders>
              <w:top w:val="nil"/>
              <w:left w:val="nil"/>
              <w:bottom w:val="single" w:color="auto" w:sz="4" w:space="0"/>
              <w:right w:val="single" w:color="auto" w:sz="4" w:space="0"/>
            </w:tcBorders>
            <w:noWrap/>
            <w:vAlign w:val="center"/>
          </w:tcPr>
          <w:p w14:paraId="39BF7D65">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能够对图像中的关键信息进行识别和分析，如人物、物体、场景等。</w:t>
            </w:r>
          </w:p>
        </w:tc>
      </w:tr>
      <w:tr w14:paraId="10D7CC85">
        <w:tblPrEx>
          <w:tblCellMar>
            <w:top w:w="0" w:type="dxa"/>
            <w:left w:w="108" w:type="dxa"/>
            <w:bottom w:w="0" w:type="dxa"/>
            <w:right w:w="108" w:type="dxa"/>
          </w:tblCellMar>
        </w:tblPrEx>
        <w:trPr>
          <w:trHeight w:val="90"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429D3B85">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14:paraId="0FB3B483">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渔业专属模型训练</w:t>
            </w:r>
          </w:p>
        </w:tc>
        <w:tc>
          <w:tcPr>
            <w:tcW w:w="1372" w:type="dxa"/>
            <w:tcBorders>
              <w:top w:val="single" w:color="auto" w:sz="4" w:space="0"/>
              <w:left w:val="nil"/>
              <w:bottom w:val="single" w:color="auto" w:sz="4" w:space="0"/>
              <w:right w:val="single" w:color="auto" w:sz="4" w:space="0"/>
            </w:tcBorders>
            <w:noWrap w:val="0"/>
            <w:vAlign w:val="center"/>
          </w:tcPr>
          <w:p w14:paraId="23E51D2B">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船类数据收集与审核</w:t>
            </w:r>
          </w:p>
        </w:tc>
        <w:tc>
          <w:tcPr>
            <w:tcW w:w="5993" w:type="dxa"/>
            <w:tcBorders>
              <w:top w:val="nil"/>
              <w:left w:val="nil"/>
              <w:bottom w:val="single" w:color="auto" w:sz="4" w:space="0"/>
              <w:right w:val="single" w:color="auto" w:sz="4" w:space="0"/>
            </w:tcBorders>
            <w:noWrap w:val="0"/>
            <w:vAlign w:val="center"/>
          </w:tcPr>
          <w:p w14:paraId="6021C93C">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（1）依据规范要求对各类船型（包含但不限于渔运船、休闲船、三无船）等收集静态船只和动态船只的实时视频，包含不同角度、不同天气、不同距离等各个状态下的素材</w:t>
            </w:r>
          </w:p>
          <w:p w14:paraId="77CE5C12">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（2）对搜集到的实时视频素材进行审核、分类，而后在实时视频中进行抽帧，获取图像数据。</w:t>
            </w:r>
          </w:p>
        </w:tc>
      </w:tr>
      <w:tr w14:paraId="04AC36FD">
        <w:tblPrEx>
          <w:tblCellMar>
            <w:top w:w="0" w:type="dxa"/>
            <w:left w:w="108" w:type="dxa"/>
            <w:bottom w:w="0" w:type="dxa"/>
            <w:right w:w="108" w:type="dxa"/>
          </w:tblCellMar>
        </w:tblPrEx>
        <w:trPr>
          <w:trHeight w:val="9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6D64EA88">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1D1C51CB">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69B47013">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船类数据标注与清洗</w:t>
            </w:r>
          </w:p>
        </w:tc>
        <w:tc>
          <w:tcPr>
            <w:tcW w:w="5993" w:type="dxa"/>
            <w:tcBorders>
              <w:top w:val="nil"/>
              <w:left w:val="nil"/>
              <w:bottom w:val="single" w:color="auto" w:sz="4" w:space="0"/>
              <w:right w:val="single" w:color="auto" w:sz="4" w:space="0"/>
            </w:tcBorders>
            <w:noWrap w:val="0"/>
            <w:vAlign w:val="center"/>
          </w:tcPr>
          <w:p w14:paraId="49101A7E">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（1）针对抽帧出来的图像进行二次审核和筛选，对图像里的各类船型进行标注，标注信息包括船脸和船牌的位置、类别等信息。</w:t>
            </w:r>
          </w:p>
          <w:p w14:paraId="5CB6D124">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（2）对于标注完成的图片，每类船型的有效数据在1000张以上，整体有效数据需在10000张以上。</w:t>
            </w:r>
          </w:p>
          <w:p w14:paraId="5FB506C8">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（3）依据模型训练效果，进行二次补充。</w:t>
            </w:r>
          </w:p>
        </w:tc>
      </w:tr>
      <w:tr w14:paraId="0A271099">
        <w:tblPrEx>
          <w:tblCellMar>
            <w:top w:w="0" w:type="dxa"/>
            <w:left w:w="108" w:type="dxa"/>
            <w:bottom w:w="0" w:type="dxa"/>
            <w:right w:w="108" w:type="dxa"/>
          </w:tblCellMar>
        </w:tblPrEx>
        <w:trPr>
          <w:trHeight w:val="9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1D1B3D9C">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6BB2D4FC">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2566FCD4">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增量训练</w:t>
            </w:r>
          </w:p>
        </w:tc>
        <w:tc>
          <w:tcPr>
            <w:tcW w:w="5993" w:type="dxa"/>
            <w:tcBorders>
              <w:top w:val="nil"/>
              <w:left w:val="nil"/>
              <w:bottom w:val="single" w:color="auto" w:sz="4" w:space="0"/>
              <w:right w:val="single" w:color="auto" w:sz="4" w:space="0"/>
            </w:tcBorders>
            <w:noWrap w:val="0"/>
            <w:vAlign w:val="center"/>
          </w:tcPr>
          <w:p w14:paraId="24B98D86">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使用清洗后的数据训练渔业专属模型，并负责评测渔业专属模型效果及调优，直至获得预期中的效果；此步骤主要包含船脸识别和船牌识别的训练。</w:t>
            </w:r>
          </w:p>
          <w:p w14:paraId="6EF3B930">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（1）船脸识别训练</w:t>
            </w:r>
          </w:p>
          <w:p w14:paraId="343A657E">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将标注数据进行多种格式处理，以分别适配通用模型和事件判别模块，使其能够从多样化的图像中准确识别船脸。</w:t>
            </w:r>
          </w:p>
          <w:p w14:paraId="63DAF079">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（2）船牌识别训练</w:t>
            </w:r>
          </w:p>
          <w:p w14:paraId="4F2AE06C">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构建并优化光学字符识别模型，专门用于读取船牌上的文字信息，确保文本识别的准确性和可靠性。</w:t>
            </w:r>
          </w:p>
        </w:tc>
      </w:tr>
      <w:tr w14:paraId="22ABD76A">
        <w:tblPrEx>
          <w:tblCellMar>
            <w:top w:w="0" w:type="dxa"/>
            <w:left w:w="108" w:type="dxa"/>
            <w:bottom w:w="0" w:type="dxa"/>
            <w:right w:w="108" w:type="dxa"/>
          </w:tblCellMar>
        </w:tblPrEx>
        <w:trPr>
          <w:trHeight w:val="495"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6D37A84B">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1D3427D5">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5D9774F5">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模型微调</w:t>
            </w:r>
          </w:p>
        </w:tc>
        <w:tc>
          <w:tcPr>
            <w:tcW w:w="5993" w:type="dxa"/>
            <w:tcBorders>
              <w:top w:val="nil"/>
              <w:left w:val="nil"/>
              <w:bottom w:val="single" w:color="auto" w:sz="4" w:space="0"/>
              <w:right w:val="single" w:color="auto" w:sz="4" w:space="0"/>
            </w:tcBorders>
            <w:noWrap w:val="0"/>
            <w:vAlign w:val="center"/>
          </w:tcPr>
          <w:p w14:paraId="541530DE">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（1）构建高质量测评集测评模型效果，收集Badcase并进行深入分析。</w:t>
            </w:r>
          </w:p>
          <w:p w14:paraId="7E2A59E0">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（2）针对性小规模补充标注样本进行调优训练，通过评价和调优，不断优化模型性能，提高识别准确率。</w:t>
            </w:r>
          </w:p>
        </w:tc>
      </w:tr>
      <w:tr w14:paraId="4A277181">
        <w:tblPrEx>
          <w:tblCellMar>
            <w:top w:w="0" w:type="dxa"/>
            <w:left w:w="108" w:type="dxa"/>
            <w:bottom w:w="0" w:type="dxa"/>
            <w:right w:w="108" w:type="dxa"/>
          </w:tblCellMar>
        </w:tblPrEx>
        <w:trPr>
          <w:trHeight w:val="9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0155FC4D">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5B4BA969">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0DAE2BFB">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接口对接</w:t>
            </w:r>
          </w:p>
        </w:tc>
        <w:tc>
          <w:tcPr>
            <w:tcW w:w="5993" w:type="dxa"/>
            <w:tcBorders>
              <w:top w:val="nil"/>
              <w:left w:val="nil"/>
              <w:bottom w:val="single" w:color="auto" w:sz="4" w:space="0"/>
              <w:right w:val="single" w:color="auto" w:sz="4" w:space="0"/>
            </w:tcBorders>
            <w:noWrap w:val="0"/>
            <w:vAlign w:val="center"/>
          </w:tcPr>
          <w:p w14:paraId="539F16C1">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相关接口服务的方案设计及工程化架构实现，与现有平台、数据库等进行对接，用于信息展示和信息存储等。</w:t>
            </w:r>
          </w:p>
        </w:tc>
      </w:tr>
      <w:tr w14:paraId="0938FB63">
        <w:tblPrEx>
          <w:tblCellMar>
            <w:top w:w="0" w:type="dxa"/>
            <w:left w:w="108" w:type="dxa"/>
            <w:bottom w:w="0" w:type="dxa"/>
            <w:right w:w="108" w:type="dxa"/>
          </w:tblCellMar>
        </w:tblPrEx>
        <w:trPr>
          <w:trHeight w:val="560"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34AADC1F">
            <w:pPr>
              <w:widowControl/>
              <w:autoSpaceDE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w:t>
            </w: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14:paraId="3A88CA4A">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图形识别模块</w:t>
            </w:r>
          </w:p>
        </w:tc>
        <w:tc>
          <w:tcPr>
            <w:tcW w:w="1372" w:type="dxa"/>
            <w:tcBorders>
              <w:top w:val="nil"/>
              <w:left w:val="nil"/>
              <w:bottom w:val="single" w:color="auto" w:sz="4" w:space="0"/>
              <w:right w:val="single" w:color="auto" w:sz="4" w:space="0"/>
            </w:tcBorders>
            <w:noWrap w:val="0"/>
            <w:vAlign w:val="center"/>
          </w:tcPr>
          <w:p w14:paraId="5E8E271C">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图像处理模块</w:t>
            </w:r>
          </w:p>
        </w:tc>
        <w:tc>
          <w:tcPr>
            <w:tcW w:w="5993" w:type="dxa"/>
            <w:tcBorders>
              <w:top w:val="nil"/>
              <w:left w:val="nil"/>
              <w:bottom w:val="single" w:color="auto" w:sz="4" w:space="0"/>
              <w:right w:val="single" w:color="auto" w:sz="4" w:space="0"/>
            </w:tcBorders>
            <w:noWrap w:val="0"/>
            <w:vAlign w:val="center"/>
          </w:tcPr>
          <w:p w14:paraId="5CCE35C0">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对图像进行去噪声等处理，对目标区域的信息进行特征抽取等处理。</w:t>
            </w:r>
          </w:p>
        </w:tc>
      </w:tr>
      <w:tr w14:paraId="1CBDCAE8">
        <w:tblPrEx>
          <w:tblCellMar>
            <w:top w:w="0" w:type="dxa"/>
            <w:left w:w="108" w:type="dxa"/>
            <w:bottom w:w="0" w:type="dxa"/>
            <w:right w:w="108" w:type="dxa"/>
          </w:tblCellMar>
        </w:tblPrEx>
        <w:trPr>
          <w:trHeight w:val="112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40009742">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6502CE34">
            <w:pPr>
              <w:widowControl/>
              <w:jc w:val="center"/>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051CFB4F">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船型识别模块</w:t>
            </w:r>
          </w:p>
        </w:tc>
        <w:tc>
          <w:tcPr>
            <w:tcW w:w="5993" w:type="dxa"/>
            <w:tcBorders>
              <w:top w:val="nil"/>
              <w:left w:val="nil"/>
              <w:bottom w:val="single" w:color="auto" w:sz="4" w:space="0"/>
              <w:right w:val="single" w:color="auto" w:sz="4" w:space="0"/>
            </w:tcBorders>
            <w:noWrap w:val="0"/>
            <w:vAlign w:val="center"/>
          </w:tcPr>
          <w:p w14:paraId="50067693">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（1）对目标船舶进行范围框选、信息提取、目标识别等操作。</w:t>
            </w:r>
          </w:p>
          <w:p w14:paraId="1AF60910">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（2）对船只的船型、船牌、轨迹信息等进行识别，并在图像中对轨迹进行标注。</w:t>
            </w:r>
          </w:p>
        </w:tc>
      </w:tr>
      <w:tr w14:paraId="5E1C9A7B">
        <w:tblPrEx>
          <w:tblCellMar>
            <w:top w:w="0" w:type="dxa"/>
            <w:left w:w="108" w:type="dxa"/>
            <w:bottom w:w="0" w:type="dxa"/>
            <w:right w:w="108" w:type="dxa"/>
          </w:tblCellMar>
        </w:tblPrEx>
        <w:trPr>
          <w:trHeight w:val="84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191B90E1">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54945BB4">
            <w:pPr>
              <w:widowControl/>
              <w:jc w:val="center"/>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0126A640">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图像输出模块</w:t>
            </w:r>
          </w:p>
        </w:tc>
        <w:tc>
          <w:tcPr>
            <w:tcW w:w="5993" w:type="dxa"/>
            <w:tcBorders>
              <w:top w:val="nil"/>
              <w:left w:val="nil"/>
              <w:bottom w:val="single" w:color="auto" w:sz="4" w:space="0"/>
              <w:right w:val="single" w:color="auto" w:sz="4" w:space="0"/>
            </w:tcBorders>
            <w:noWrap w:val="0"/>
            <w:vAlign w:val="center"/>
          </w:tcPr>
          <w:p w14:paraId="691CD701">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将图像识别的内容和船只信息进行结构化设计，将船只类型、坐标、船牌等识别信息生成数据表。</w:t>
            </w:r>
          </w:p>
        </w:tc>
      </w:tr>
      <w:tr w14:paraId="73B33319">
        <w:tblPrEx>
          <w:tblCellMar>
            <w:top w:w="0" w:type="dxa"/>
            <w:left w:w="108" w:type="dxa"/>
            <w:bottom w:w="0" w:type="dxa"/>
            <w:right w:w="108" w:type="dxa"/>
          </w:tblCellMar>
        </w:tblPrEx>
        <w:trPr>
          <w:trHeight w:val="56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3A2632D7">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12939A01">
            <w:pPr>
              <w:widowControl/>
              <w:jc w:val="center"/>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05C94BF9">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信息存储与处理模块</w:t>
            </w:r>
          </w:p>
        </w:tc>
        <w:tc>
          <w:tcPr>
            <w:tcW w:w="5993" w:type="dxa"/>
            <w:tcBorders>
              <w:top w:val="nil"/>
              <w:left w:val="nil"/>
              <w:bottom w:val="single" w:color="auto" w:sz="4" w:space="0"/>
              <w:right w:val="single" w:color="auto" w:sz="4" w:space="0"/>
            </w:tcBorders>
            <w:noWrap w:val="0"/>
            <w:vAlign w:val="center"/>
          </w:tcPr>
          <w:p w14:paraId="30F97AC4">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输出图像识别数据、图像解析数据、图像标注文件三种文档，包含但不限于船只的港口、摄像头、船牌、经纬度、路径等信息，该部分需与事件判别模块、下游应用进行适配，对外提供API接口。</w:t>
            </w:r>
          </w:p>
        </w:tc>
      </w:tr>
      <w:tr w14:paraId="221FBA8B">
        <w:tblPrEx>
          <w:tblCellMar>
            <w:top w:w="0" w:type="dxa"/>
            <w:left w:w="108" w:type="dxa"/>
            <w:bottom w:w="0" w:type="dxa"/>
            <w:right w:w="108" w:type="dxa"/>
          </w:tblCellMar>
        </w:tblPrEx>
        <w:trPr>
          <w:trHeight w:val="418"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6F9B68C9">
            <w:pPr>
              <w:widowControl/>
              <w:autoSpaceDE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14:paraId="309C31A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渔业专属大模型事件判别</w:t>
            </w:r>
          </w:p>
        </w:tc>
        <w:tc>
          <w:tcPr>
            <w:tcW w:w="1372" w:type="dxa"/>
            <w:tcBorders>
              <w:top w:val="nil"/>
              <w:left w:val="nil"/>
              <w:bottom w:val="single" w:color="auto" w:sz="4" w:space="0"/>
              <w:right w:val="single" w:color="auto" w:sz="4" w:space="0"/>
            </w:tcBorders>
            <w:noWrap w:val="0"/>
            <w:vAlign w:val="center"/>
          </w:tcPr>
          <w:p w14:paraId="34AD237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图像基础判定模块</w:t>
            </w:r>
          </w:p>
        </w:tc>
        <w:tc>
          <w:tcPr>
            <w:tcW w:w="5993" w:type="dxa"/>
            <w:tcBorders>
              <w:top w:val="nil"/>
              <w:left w:val="nil"/>
              <w:bottom w:val="single" w:color="auto" w:sz="4" w:space="0"/>
              <w:right w:val="single" w:color="auto" w:sz="4" w:space="0"/>
            </w:tcBorders>
            <w:noWrap w:val="0"/>
            <w:vAlign w:val="center"/>
          </w:tcPr>
          <w:p w14:paraId="0365D9A5">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模型</w:t>
            </w:r>
            <w:r>
              <w:rPr>
                <w:rFonts w:hint="eastAsia" w:ascii="仿宋_GB2312" w:hAnsi="仿宋_GB2312" w:eastAsia="仿宋_GB2312" w:cs="仿宋_GB2312"/>
                <w:color w:val="auto"/>
                <w:sz w:val="24"/>
                <w:highlight w:val="none"/>
                <w:lang w:eastAsia="zh-CN"/>
              </w:rPr>
              <w:t>能够</w:t>
            </w:r>
            <w:r>
              <w:rPr>
                <w:rFonts w:hint="eastAsia" w:ascii="仿宋_GB2312" w:hAnsi="仿宋_GB2312" w:eastAsia="仿宋_GB2312" w:cs="仿宋_GB2312"/>
                <w:color w:val="auto"/>
                <w:sz w:val="24"/>
                <w:highlight w:val="none"/>
              </w:rPr>
              <w:t>根据海上船只运动状态调整识别方案，为后续事件判定提供依据。</w:t>
            </w:r>
          </w:p>
        </w:tc>
      </w:tr>
      <w:tr w14:paraId="7C0C1D8C">
        <w:tblPrEx>
          <w:tblCellMar>
            <w:top w:w="0" w:type="dxa"/>
            <w:left w:w="108" w:type="dxa"/>
            <w:bottom w:w="0" w:type="dxa"/>
            <w:right w:w="108" w:type="dxa"/>
          </w:tblCellMar>
        </w:tblPrEx>
        <w:trPr>
          <w:trHeight w:val="112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79681EA9">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63D48D17">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253CFEA7">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事件判定模块</w:t>
            </w:r>
          </w:p>
        </w:tc>
        <w:tc>
          <w:tcPr>
            <w:tcW w:w="5993" w:type="dxa"/>
            <w:tcBorders>
              <w:top w:val="nil"/>
              <w:left w:val="nil"/>
              <w:bottom w:val="single" w:color="auto" w:sz="4" w:space="0"/>
              <w:right w:val="single" w:color="auto" w:sz="4" w:space="0"/>
            </w:tcBorders>
            <w:noWrap w:val="0"/>
            <w:vAlign w:val="center"/>
          </w:tcPr>
          <w:p w14:paraId="73AAB0EB">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（1）通过对连续的视频帧序列进行分析,提取船舶的位置变化等运动特征,构建船舶运动状态模型。</w:t>
            </w:r>
          </w:p>
          <w:p w14:paraId="02A6DDB8">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（2）通过设定合理的阈值条件,如船舶位移超过一定距离、速度超过一定范围等,系统可以自动判断船舶是否处于运动状态。</w:t>
            </w:r>
          </w:p>
        </w:tc>
      </w:tr>
      <w:tr w14:paraId="1C87F8B0">
        <w:tblPrEx>
          <w:tblCellMar>
            <w:top w:w="0" w:type="dxa"/>
            <w:left w:w="108" w:type="dxa"/>
            <w:bottom w:w="0" w:type="dxa"/>
            <w:right w:w="108" w:type="dxa"/>
          </w:tblCellMar>
        </w:tblPrEx>
        <w:trPr>
          <w:trHeight w:val="797"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CDEC3DF">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6C8DCE54">
            <w:pPr>
              <w:widowControl/>
              <w:rPr>
                <w:rFonts w:hint="eastAsia" w:ascii="仿宋_GB2312" w:hAnsi="仿宋_GB2312" w:eastAsia="仿宋_GB2312" w:cs="仿宋_GB2312"/>
                <w:color w:val="auto"/>
                <w:sz w:val="24"/>
                <w:highlight w:val="none"/>
              </w:rPr>
            </w:pPr>
          </w:p>
        </w:tc>
        <w:tc>
          <w:tcPr>
            <w:tcW w:w="1372" w:type="dxa"/>
            <w:tcBorders>
              <w:top w:val="nil"/>
              <w:left w:val="nil"/>
              <w:bottom w:val="nil"/>
              <w:right w:val="single" w:color="auto" w:sz="4" w:space="0"/>
            </w:tcBorders>
            <w:noWrap w:val="0"/>
            <w:vAlign w:val="center"/>
          </w:tcPr>
          <w:p w14:paraId="274329E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船舶异常行为识别</w:t>
            </w:r>
          </w:p>
        </w:tc>
        <w:tc>
          <w:tcPr>
            <w:tcW w:w="5993" w:type="dxa"/>
            <w:tcBorders>
              <w:top w:val="nil"/>
              <w:left w:val="nil"/>
              <w:bottom w:val="nil"/>
              <w:right w:val="single" w:color="auto" w:sz="4" w:space="0"/>
            </w:tcBorders>
            <w:noWrap w:val="0"/>
            <w:vAlign w:val="center"/>
          </w:tcPr>
          <w:p w14:paraId="255333F9">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（1）识别船舶信息，创建船舶ID，分析历史违规行为和相关数据建立特征集，预测可能的违规行为。</w:t>
            </w:r>
          </w:p>
          <w:p w14:paraId="50E90E9D">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（2）对三无船只、重点船只等的信息进行结构化处理并归类，适配船脸/船牌识别和下游应用，存储相应信息。</w:t>
            </w:r>
          </w:p>
          <w:p w14:paraId="279CF719">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（3）针对不同港口和场景，设置休渔期规则和区域监控规则，适配船脸/船牌识别和下游应用，存储相应信息。</w:t>
            </w:r>
          </w:p>
        </w:tc>
      </w:tr>
      <w:tr w14:paraId="619954B5">
        <w:tblPrEx>
          <w:tblCellMar>
            <w:top w:w="0" w:type="dxa"/>
            <w:left w:w="108" w:type="dxa"/>
            <w:bottom w:w="0" w:type="dxa"/>
            <w:right w:w="108" w:type="dxa"/>
          </w:tblCellMar>
        </w:tblPrEx>
        <w:trPr>
          <w:trHeight w:val="90"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1F5C33C3">
            <w:pPr>
              <w:widowControl/>
              <w:autoSpaceDE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14:paraId="4C2DE6B8">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渔业专属大模型控制调度</w:t>
            </w:r>
          </w:p>
        </w:tc>
        <w:tc>
          <w:tcPr>
            <w:tcW w:w="1372" w:type="dxa"/>
            <w:tcBorders>
              <w:top w:val="single" w:color="auto" w:sz="4" w:space="0"/>
              <w:left w:val="nil"/>
              <w:bottom w:val="single" w:color="auto" w:sz="4" w:space="0"/>
              <w:right w:val="single" w:color="auto" w:sz="4" w:space="0"/>
            </w:tcBorders>
            <w:noWrap w:val="0"/>
            <w:vAlign w:val="center"/>
          </w:tcPr>
          <w:p w14:paraId="36913550">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基础功能模块</w:t>
            </w:r>
          </w:p>
        </w:tc>
        <w:tc>
          <w:tcPr>
            <w:tcW w:w="5993" w:type="dxa"/>
            <w:tcBorders>
              <w:top w:val="single" w:color="auto" w:sz="4" w:space="0"/>
              <w:left w:val="nil"/>
              <w:bottom w:val="single" w:color="auto" w:sz="4" w:space="0"/>
              <w:right w:val="single" w:color="auto" w:sz="4" w:space="0"/>
            </w:tcBorders>
            <w:noWrap w:val="0"/>
            <w:vAlign w:val="center"/>
          </w:tcPr>
          <w:p w14:paraId="516C7296">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（1）对视频监控系统中的摄像头数据进行调用，为目标检测提供支撑。</w:t>
            </w:r>
          </w:p>
          <w:p w14:paraId="754BE621">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（2）可对目标船只进行锁定。</w:t>
            </w:r>
          </w:p>
        </w:tc>
      </w:tr>
      <w:tr w14:paraId="521175E2">
        <w:tblPrEx>
          <w:tblCellMar>
            <w:top w:w="0" w:type="dxa"/>
            <w:left w:w="108" w:type="dxa"/>
            <w:bottom w:w="0" w:type="dxa"/>
            <w:right w:w="108" w:type="dxa"/>
          </w:tblCellMar>
        </w:tblPrEx>
        <w:trPr>
          <w:trHeight w:val="762"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151DDE3E">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nil"/>
              <w:bottom w:val="single" w:color="auto" w:sz="4" w:space="0"/>
              <w:right w:val="single" w:color="auto" w:sz="4" w:space="0"/>
            </w:tcBorders>
            <w:noWrap w:val="0"/>
            <w:vAlign w:val="center"/>
          </w:tcPr>
          <w:p w14:paraId="0D8D877F">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0C4B67BA">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单一目标模块</w:t>
            </w:r>
          </w:p>
        </w:tc>
        <w:tc>
          <w:tcPr>
            <w:tcW w:w="5993" w:type="dxa"/>
            <w:tcBorders>
              <w:top w:val="nil"/>
              <w:left w:val="nil"/>
              <w:bottom w:val="single" w:color="auto" w:sz="4" w:space="0"/>
              <w:right w:val="single" w:color="auto" w:sz="4" w:space="0"/>
            </w:tcBorders>
            <w:noWrap w:val="0"/>
            <w:vAlign w:val="center"/>
          </w:tcPr>
          <w:p w14:paraId="08BB0266">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当画面中有一艘船只，对目标船只进行识别。</w:t>
            </w:r>
          </w:p>
        </w:tc>
      </w:tr>
      <w:tr w14:paraId="3E1C625D">
        <w:tblPrEx>
          <w:tblCellMar>
            <w:top w:w="0" w:type="dxa"/>
            <w:left w:w="108" w:type="dxa"/>
            <w:bottom w:w="0" w:type="dxa"/>
            <w:right w:w="108" w:type="dxa"/>
          </w:tblCellMar>
        </w:tblPrEx>
        <w:trPr>
          <w:trHeight w:val="481"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5896E413">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nil"/>
              <w:bottom w:val="single" w:color="auto" w:sz="4" w:space="0"/>
              <w:right w:val="single" w:color="auto" w:sz="4" w:space="0"/>
            </w:tcBorders>
            <w:noWrap w:val="0"/>
            <w:vAlign w:val="center"/>
          </w:tcPr>
          <w:p w14:paraId="54E551E3">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3C98ED59">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多目标模块</w:t>
            </w:r>
          </w:p>
        </w:tc>
        <w:tc>
          <w:tcPr>
            <w:tcW w:w="5993" w:type="dxa"/>
            <w:tcBorders>
              <w:top w:val="nil"/>
              <w:left w:val="nil"/>
              <w:bottom w:val="single" w:color="auto" w:sz="4" w:space="0"/>
              <w:right w:val="single" w:color="auto" w:sz="4" w:space="0"/>
            </w:tcBorders>
            <w:noWrap w:val="0"/>
            <w:vAlign w:val="center"/>
          </w:tcPr>
          <w:p w14:paraId="7039E482">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当画面中若干艘船只，对目标船只进行识别。</w:t>
            </w:r>
          </w:p>
        </w:tc>
      </w:tr>
      <w:tr w14:paraId="0A7ABA0A">
        <w:tblPrEx>
          <w:tblCellMar>
            <w:top w:w="0" w:type="dxa"/>
            <w:left w:w="108" w:type="dxa"/>
            <w:bottom w:w="0" w:type="dxa"/>
            <w:right w:w="108" w:type="dxa"/>
          </w:tblCellMar>
        </w:tblPrEx>
        <w:trPr>
          <w:trHeight w:val="212"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3CBE9B32">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nil"/>
              <w:bottom w:val="single" w:color="auto" w:sz="4" w:space="0"/>
              <w:right w:val="single" w:color="auto" w:sz="4" w:space="0"/>
            </w:tcBorders>
            <w:noWrap w:val="0"/>
            <w:vAlign w:val="center"/>
          </w:tcPr>
          <w:p w14:paraId="4492F7FE">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2D7D69BE">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数据存储模块</w:t>
            </w:r>
          </w:p>
        </w:tc>
        <w:tc>
          <w:tcPr>
            <w:tcW w:w="5993" w:type="dxa"/>
            <w:tcBorders>
              <w:top w:val="nil"/>
              <w:left w:val="nil"/>
              <w:bottom w:val="single" w:color="auto" w:sz="4" w:space="0"/>
              <w:right w:val="single" w:color="auto" w:sz="4" w:space="0"/>
            </w:tcBorders>
            <w:noWrap w:val="0"/>
            <w:vAlign w:val="center"/>
          </w:tcPr>
          <w:p w14:paraId="1DB4DBE8">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（1）数据存储模块负责记录各类事件信息，数据落表，同时存储关键帧图片。</w:t>
            </w:r>
          </w:p>
          <w:p w14:paraId="7DD576C8">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（2）数据表的内容包括但不限于摄像头编号、船舶类别、船牌信息、天气信息、日期、时间、船舶位置等。</w:t>
            </w:r>
          </w:p>
        </w:tc>
      </w:tr>
      <w:tr w14:paraId="1A13A2C5">
        <w:tblPrEx>
          <w:tblCellMar>
            <w:top w:w="0" w:type="dxa"/>
            <w:left w:w="108" w:type="dxa"/>
            <w:bottom w:w="0" w:type="dxa"/>
            <w:right w:w="108" w:type="dxa"/>
          </w:tblCellMar>
        </w:tblPrEx>
        <w:trPr>
          <w:trHeight w:val="410"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ign w:val="center"/>
          </w:tcPr>
          <w:p w14:paraId="5BB7DC8D">
            <w:pPr>
              <w:widowControl/>
              <w:autoSpaceDE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1060" w:type="dxa"/>
            <w:vMerge w:val="restart"/>
            <w:tcBorders>
              <w:top w:val="single" w:color="auto" w:sz="4" w:space="0"/>
              <w:left w:val="nil"/>
              <w:bottom w:val="single" w:color="auto" w:sz="4" w:space="0"/>
              <w:right w:val="single" w:color="auto" w:sz="4" w:space="0"/>
            </w:tcBorders>
            <w:noWrap w:val="0"/>
            <w:vAlign w:val="center"/>
          </w:tcPr>
          <w:p w14:paraId="377EB64D">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模块间联动功能</w:t>
            </w:r>
          </w:p>
        </w:tc>
        <w:tc>
          <w:tcPr>
            <w:tcW w:w="1372" w:type="dxa"/>
            <w:tcBorders>
              <w:top w:val="nil"/>
              <w:left w:val="nil"/>
              <w:bottom w:val="single" w:color="auto" w:sz="4" w:space="0"/>
              <w:right w:val="single" w:color="auto" w:sz="4" w:space="0"/>
            </w:tcBorders>
            <w:noWrap w:val="0"/>
            <w:vAlign w:val="center"/>
          </w:tcPr>
          <w:p w14:paraId="3B67D744">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识别模块与事件判别模块联动</w:t>
            </w:r>
          </w:p>
        </w:tc>
        <w:tc>
          <w:tcPr>
            <w:tcW w:w="5993" w:type="dxa"/>
            <w:tcBorders>
              <w:top w:val="nil"/>
              <w:left w:val="nil"/>
              <w:bottom w:val="single" w:color="auto" w:sz="4" w:space="0"/>
              <w:right w:val="single" w:color="auto" w:sz="4" w:space="0"/>
            </w:tcBorders>
            <w:noWrap w:val="0"/>
            <w:vAlign w:val="center"/>
          </w:tcPr>
          <w:p w14:paraId="6911C050">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（1）配置合理的图像识别规则和事件判别规则，提升检测效率。</w:t>
            </w:r>
          </w:p>
          <w:p w14:paraId="0CD2D694">
            <w:pPr>
              <w:widowControl/>
              <w:autoSpaceDE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（2）配置图像识别模块和事件判别模块的交互规则和业务逻辑，以更好</w:t>
            </w:r>
            <w:r>
              <w:rPr>
                <w:rFonts w:hint="eastAsia" w:ascii="仿宋_GB2312" w:hAnsi="仿宋_GB2312" w:eastAsia="仿宋_GB2312" w:cs="仿宋_GB2312"/>
                <w:color w:val="auto"/>
                <w:sz w:val="24"/>
                <w:highlight w:val="none"/>
                <w:lang w:eastAsia="zh-CN"/>
              </w:rPr>
              <w:t>地</w:t>
            </w:r>
            <w:r>
              <w:rPr>
                <w:rFonts w:hint="eastAsia" w:ascii="仿宋_GB2312" w:hAnsi="仿宋_GB2312" w:eastAsia="仿宋_GB2312" w:cs="仿宋_GB2312"/>
                <w:color w:val="auto"/>
                <w:sz w:val="24"/>
                <w:highlight w:val="none"/>
              </w:rPr>
              <w:t>发现可疑事件和事件处置。</w:t>
            </w:r>
          </w:p>
        </w:tc>
      </w:tr>
      <w:tr w14:paraId="0B7CD661">
        <w:tblPrEx>
          <w:tblCellMar>
            <w:top w:w="0" w:type="dxa"/>
            <w:left w:w="108" w:type="dxa"/>
            <w:bottom w:w="0" w:type="dxa"/>
            <w:right w:w="108" w:type="dxa"/>
          </w:tblCellMar>
        </w:tblPrEx>
        <w:trPr>
          <w:trHeight w:val="112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ign w:val="center"/>
          </w:tcPr>
          <w:p w14:paraId="1D0EB286">
            <w:pPr>
              <w:widowControl/>
              <w:autoSpaceDE w:val="0"/>
              <w:jc w:val="center"/>
              <w:rPr>
                <w:rFonts w:hint="eastAsia" w:ascii="仿宋_GB2312" w:hAnsi="仿宋_GB2312" w:eastAsia="仿宋_GB2312" w:cs="仿宋_GB2312"/>
                <w:color w:val="auto"/>
                <w:sz w:val="24"/>
                <w:highlight w:val="none"/>
              </w:rPr>
            </w:pPr>
          </w:p>
        </w:tc>
        <w:tc>
          <w:tcPr>
            <w:tcW w:w="1060" w:type="dxa"/>
            <w:vMerge w:val="continue"/>
            <w:tcBorders>
              <w:top w:val="single" w:color="auto" w:sz="4" w:space="0"/>
              <w:left w:val="nil"/>
              <w:bottom w:val="single" w:color="auto" w:sz="4" w:space="0"/>
              <w:right w:val="single" w:color="auto" w:sz="4" w:space="0"/>
            </w:tcBorders>
            <w:noWrap w:val="0"/>
            <w:vAlign w:val="center"/>
          </w:tcPr>
          <w:p w14:paraId="62CE9838">
            <w:pPr>
              <w:widowControl/>
              <w:rPr>
                <w:rFonts w:hint="eastAsia" w:ascii="仿宋_GB2312" w:hAnsi="仿宋_GB2312" w:eastAsia="仿宋_GB2312" w:cs="仿宋_GB2312"/>
                <w:color w:val="auto"/>
                <w:sz w:val="24"/>
                <w:highlight w:val="none"/>
              </w:rPr>
            </w:pPr>
          </w:p>
        </w:tc>
        <w:tc>
          <w:tcPr>
            <w:tcW w:w="1372" w:type="dxa"/>
            <w:tcBorders>
              <w:top w:val="nil"/>
              <w:left w:val="nil"/>
              <w:bottom w:val="single" w:color="auto" w:sz="4" w:space="0"/>
              <w:right w:val="single" w:color="auto" w:sz="4" w:space="0"/>
            </w:tcBorders>
            <w:noWrap w:val="0"/>
            <w:vAlign w:val="center"/>
          </w:tcPr>
          <w:p w14:paraId="41234751">
            <w:pPr>
              <w:widowControl/>
              <w:autoSpaceDE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识别模块、事件判别模块和控制调度模块联动</w:t>
            </w:r>
          </w:p>
        </w:tc>
        <w:tc>
          <w:tcPr>
            <w:tcW w:w="5993" w:type="dxa"/>
            <w:tcBorders>
              <w:top w:val="nil"/>
              <w:left w:val="nil"/>
              <w:bottom w:val="single" w:color="auto" w:sz="4" w:space="0"/>
              <w:right w:val="single" w:color="auto" w:sz="4" w:space="0"/>
            </w:tcBorders>
            <w:noWrap w:val="0"/>
            <w:vAlign w:val="center"/>
          </w:tcPr>
          <w:p w14:paraId="07FD5099">
            <w:pPr>
              <w:widowControl/>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针对不同的场景，设计追踪事件规则，配置事件处理逻辑、处理流程和闭环规则。</w:t>
            </w:r>
          </w:p>
          <w:p w14:paraId="03A7DD9B">
            <w:pPr>
              <w:widowControl/>
              <w:autoSpaceDE w:val="0"/>
              <w:rPr>
                <w:rFonts w:hint="eastAsia" w:ascii="仿宋_GB2312" w:hAnsi="仿宋_GB2312" w:eastAsia="仿宋_GB2312" w:cs="仿宋_GB2312"/>
                <w:color w:val="auto"/>
                <w:sz w:val="24"/>
                <w:highlight w:val="none"/>
              </w:rPr>
            </w:pPr>
          </w:p>
        </w:tc>
      </w:tr>
    </w:tbl>
    <w:p w14:paraId="2F316A10">
      <w:pPr>
        <w:pStyle w:val="7"/>
        <w:spacing w:before="0" w:after="0" w:line="240" w:lineRule="auto"/>
        <w:ind w:firstLine="482" w:firstLineChars="200"/>
        <w:rPr>
          <w:rFonts w:hint="eastAsia" w:ascii="仿宋_GB2312" w:hAnsi="仿宋_GB2312" w:eastAsia="仿宋_GB2312" w:cs="仿宋_GB2312"/>
          <w:color w:val="auto"/>
          <w:sz w:val="24"/>
          <w:szCs w:val="24"/>
          <w:highlight w:val="none"/>
        </w:rPr>
      </w:pPr>
      <w:bookmarkStart w:id="105" w:name="_Toc31776"/>
    </w:p>
    <w:p w14:paraId="0E5CA63B">
      <w:pPr>
        <w:pStyle w:val="7"/>
        <w:spacing w:before="0" w:after="0" w:line="24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四、售后服务</w:t>
      </w:r>
    </w:p>
    <w:p w14:paraId="4E801F0C">
      <w:pPr>
        <w:pStyle w:val="7"/>
        <w:spacing w:before="0" w:after="0" w:line="24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（一）技术力量和人员配置</w:t>
      </w:r>
      <w:bookmarkEnd w:id="105"/>
    </w:p>
    <w:p w14:paraId="0CC58F68">
      <w:pPr>
        <w:pStyle w:val="7"/>
        <w:spacing w:before="0" w:after="0" w:line="240" w:lineRule="auto"/>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项目的实施将基于项目的整体设计和工作量，根据科学的分工比例，在保证项目建设质量和进度，保证系统的安全与正常运行维护的前提下合理配置技术和商务人员。项目建设期和试运行期间可根据对技术人员的特点和要求的不同以及业务量的多少，按需动态调整人员的配置。</w:t>
      </w:r>
    </w:p>
    <w:tbl>
      <w:tblPr>
        <w:tblStyle w:val="65"/>
        <w:tblW w:w="6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06"/>
        <w:gridCol w:w="3494"/>
      </w:tblGrid>
      <w:tr w14:paraId="7F64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754D8AFF">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1906" w:type="dxa"/>
            <w:noWrap w:val="0"/>
            <w:vAlign w:val="center"/>
          </w:tcPr>
          <w:p w14:paraId="7E39AB5E">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区域</w:t>
            </w:r>
          </w:p>
        </w:tc>
        <w:tc>
          <w:tcPr>
            <w:tcW w:w="3494" w:type="dxa"/>
            <w:noWrap w:val="0"/>
            <w:vAlign w:val="center"/>
          </w:tcPr>
          <w:p w14:paraId="79736D77">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技术人员数量</w:t>
            </w:r>
          </w:p>
        </w:tc>
      </w:tr>
      <w:tr w14:paraId="6A56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688299A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906" w:type="dxa"/>
            <w:noWrap w:val="0"/>
            <w:vAlign w:val="center"/>
          </w:tcPr>
          <w:p w14:paraId="32CE6223">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洞头区</w:t>
            </w:r>
          </w:p>
        </w:tc>
        <w:tc>
          <w:tcPr>
            <w:tcW w:w="3494" w:type="dxa"/>
            <w:noWrap w:val="0"/>
            <w:vAlign w:val="center"/>
          </w:tcPr>
          <w:p w14:paraId="7FFAA42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2-3人</w:t>
            </w:r>
          </w:p>
        </w:tc>
      </w:tr>
      <w:tr w14:paraId="08B5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60311B46">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906" w:type="dxa"/>
            <w:noWrap w:val="0"/>
            <w:vAlign w:val="center"/>
          </w:tcPr>
          <w:p w14:paraId="52CBC17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龙湾区</w:t>
            </w:r>
          </w:p>
        </w:tc>
        <w:tc>
          <w:tcPr>
            <w:tcW w:w="3494" w:type="dxa"/>
            <w:noWrap w:val="0"/>
            <w:vAlign w:val="center"/>
          </w:tcPr>
          <w:p w14:paraId="0C4773A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1-2人</w:t>
            </w:r>
          </w:p>
        </w:tc>
      </w:tr>
      <w:tr w14:paraId="33E2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26A05E3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906" w:type="dxa"/>
            <w:noWrap w:val="0"/>
            <w:vAlign w:val="center"/>
          </w:tcPr>
          <w:p w14:paraId="538F564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瑞安市</w:t>
            </w:r>
          </w:p>
        </w:tc>
        <w:tc>
          <w:tcPr>
            <w:tcW w:w="3494" w:type="dxa"/>
            <w:noWrap w:val="0"/>
            <w:vAlign w:val="center"/>
          </w:tcPr>
          <w:p w14:paraId="0C5C19B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2-3人</w:t>
            </w:r>
          </w:p>
        </w:tc>
      </w:tr>
      <w:tr w14:paraId="072A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0AF72A55">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906" w:type="dxa"/>
            <w:noWrap w:val="0"/>
            <w:vAlign w:val="center"/>
          </w:tcPr>
          <w:p w14:paraId="57630BE2">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平阳县</w:t>
            </w:r>
          </w:p>
        </w:tc>
        <w:tc>
          <w:tcPr>
            <w:tcW w:w="3494" w:type="dxa"/>
            <w:noWrap w:val="0"/>
            <w:vAlign w:val="center"/>
          </w:tcPr>
          <w:p w14:paraId="0B67EAA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2-3人</w:t>
            </w:r>
          </w:p>
        </w:tc>
      </w:tr>
      <w:tr w14:paraId="3000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55B46244">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906" w:type="dxa"/>
            <w:noWrap w:val="0"/>
            <w:vAlign w:val="center"/>
          </w:tcPr>
          <w:p w14:paraId="4A543A3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龙港市</w:t>
            </w:r>
          </w:p>
        </w:tc>
        <w:tc>
          <w:tcPr>
            <w:tcW w:w="3494" w:type="dxa"/>
            <w:noWrap w:val="0"/>
            <w:vAlign w:val="center"/>
          </w:tcPr>
          <w:p w14:paraId="32B26F9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1-2人</w:t>
            </w:r>
          </w:p>
        </w:tc>
      </w:tr>
      <w:tr w14:paraId="2680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7BAAA012">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1906" w:type="dxa"/>
            <w:noWrap w:val="0"/>
            <w:vAlign w:val="center"/>
          </w:tcPr>
          <w:p w14:paraId="188D0F7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乐清市</w:t>
            </w:r>
          </w:p>
        </w:tc>
        <w:tc>
          <w:tcPr>
            <w:tcW w:w="3494" w:type="dxa"/>
            <w:noWrap w:val="0"/>
            <w:vAlign w:val="center"/>
          </w:tcPr>
          <w:p w14:paraId="00A4C27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2-3人</w:t>
            </w:r>
          </w:p>
        </w:tc>
      </w:tr>
      <w:tr w14:paraId="645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14:paraId="1D03BA70">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7</w:t>
            </w:r>
          </w:p>
        </w:tc>
        <w:tc>
          <w:tcPr>
            <w:tcW w:w="1906" w:type="dxa"/>
            <w:noWrap w:val="0"/>
            <w:vAlign w:val="center"/>
          </w:tcPr>
          <w:p w14:paraId="01A1E41E">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市本级</w:t>
            </w:r>
          </w:p>
        </w:tc>
        <w:tc>
          <w:tcPr>
            <w:tcW w:w="3494" w:type="dxa"/>
            <w:noWrap w:val="0"/>
            <w:vAlign w:val="center"/>
          </w:tcPr>
          <w:p w14:paraId="49244A8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2-3人</w:t>
            </w:r>
          </w:p>
        </w:tc>
      </w:tr>
      <w:tr w14:paraId="1DE6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2" w:type="dxa"/>
            <w:gridSpan w:val="3"/>
            <w:noWrap w:val="0"/>
            <w:vAlign w:val="center"/>
          </w:tcPr>
          <w:p w14:paraId="44A9BB2E">
            <w:pPr>
              <w:rPr>
                <w:rFonts w:ascii="仿宋_GB2312" w:hAnsi="仿宋_GB2312" w:eastAsia="仿宋_GB2312" w:cs="仿宋_GB2312"/>
                <w:color w:val="auto"/>
                <w:sz w:val="24"/>
                <w:highlight w:val="none"/>
              </w:rPr>
            </w:pPr>
            <w:bookmarkStart w:id="106" w:name="_Toc24823"/>
            <w:r>
              <w:rPr>
                <w:rFonts w:hint="eastAsia" w:ascii="仿宋_GB2312" w:hAnsi="仿宋_GB2312" w:eastAsia="仿宋_GB2312" w:cs="仿宋_GB2312"/>
                <w:color w:val="auto"/>
                <w:sz w:val="24"/>
                <w:highlight w:val="none"/>
              </w:rPr>
              <w:t>注：</w:t>
            </w: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b/>
                <w:bCs/>
                <w:color w:val="auto"/>
                <w:sz w:val="24"/>
                <w:highlight w:val="none"/>
                <w:u w:val="single"/>
              </w:rPr>
              <w:t>项目委派人员不少于1</w:t>
            </w:r>
            <w:r>
              <w:rPr>
                <w:rFonts w:hint="eastAsia" w:ascii="仿宋_GB2312" w:hAnsi="仿宋_GB2312" w:eastAsia="仿宋_GB2312" w:cs="仿宋_GB2312"/>
                <w:b/>
                <w:bCs/>
                <w:color w:val="auto"/>
                <w:sz w:val="24"/>
                <w:highlight w:val="none"/>
                <w:u w:val="single"/>
                <w:lang w:val="en-US" w:eastAsia="zh-CN"/>
              </w:rPr>
              <w:t>2</w:t>
            </w:r>
            <w:r>
              <w:rPr>
                <w:rFonts w:hint="eastAsia" w:ascii="仿宋_GB2312" w:hAnsi="仿宋_GB2312" w:eastAsia="仿宋_GB2312" w:cs="仿宋_GB2312"/>
                <w:b/>
                <w:bCs/>
                <w:color w:val="auto"/>
                <w:sz w:val="24"/>
                <w:highlight w:val="none"/>
                <w:u w:val="single"/>
              </w:rPr>
              <w:t>人，各区县配备1名基础技术人员的前提下，按需动态调整人员的配置。</w:t>
            </w:r>
          </w:p>
        </w:tc>
      </w:tr>
    </w:tbl>
    <w:p w14:paraId="7029DA02">
      <w:pPr>
        <w:pStyle w:val="7"/>
        <w:spacing w:before="0" w:after="0" w:line="240" w:lineRule="auto"/>
        <w:ind w:left="420" w:leftChars="20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highlight w:val="none"/>
          <w:lang w:val="en-US" w:eastAsia="zh-CN"/>
        </w:rPr>
        <w:t>▲</w:t>
      </w:r>
      <w:r>
        <w:rPr>
          <w:rFonts w:hint="eastAsia" w:ascii="仿宋_GB2312" w:hAnsi="仿宋_GB2312" w:eastAsia="仿宋_GB2312" w:cs="仿宋_GB2312"/>
          <w:color w:val="auto"/>
          <w:sz w:val="24"/>
          <w:szCs w:val="24"/>
          <w:highlight w:val="none"/>
          <w:lang w:val="en-US" w:eastAsia="zh-CN"/>
        </w:rPr>
        <w:t>建设期内，安排人员驻点市本级1人，县级单位各1人，点对点服务支撑；</w:t>
      </w:r>
      <w:r>
        <w:rPr>
          <w:rFonts w:hint="eastAsia" w:ascii="仿宋_GB2312" w:hAnsi="仿宋_GB2312" w:eastAsia="仿宋_GB2312" w:cs="仿宋_GB2312"/>
          <w:color w:val="auto"/>
          <w:sz w:val="24"/>
          <w:szCs w:val="24"/>
          <w:highlight w:val="none"/>
          <w:lang w:val="en-US" w:eastAsia="zh-CN"/>
        </w:rPr>
        <w:t>保留市级驻点人员1人至软件运维期满。</w:t>
      </w:r>
    </w:p>
    <w:p w14:paraId="4F1AF2FA">
      <w:pPr>
        <w:pStyle w:val="7"/>
        <w:spacing w:before="0" w:after="0" w:line="240" w:lineRule="auto"/>
        <w:ind w:left="420" w:left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（二）人员培训方案</w:t>
      </w:r>
      <w:bookmarkEnd w:id="106"/>
    </w:p>
    <w:p w14:paraId="5B85ECEE">
      <w:pPr>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1、培训需求</w:t>
      </w:r>
    </w:p>
    <w:p w14:paraId="513D5E85">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为更好地推进温州市沿海视频监控系统升级改造项目建设，需要对市农业农村局业务人员、信息化技术人员以及各区市农业农村局的业务人员进行培训。</w:t>
      </w:r>
    </w:p>
    <w:p w14:paraId="39869BD2">
      <w:pPr>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2、培训内容</w:t>
      </w:r>
    </w:p>
    <w:p w14:paraId="383833DC">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信息系统使用：对本项目建设的前端点位新建与升级、网络系统建设、监控中心配套设施、沿海视频监控管理与AI算法建设等各业务系统的使用进行培训。</w:t>
      </w:r>
    </w:p>
    <w:p w14:paraId="6D5CF5D6">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技术维护、支持：对系统建设中所涉及的网络、安全、存储、系统软件等基础技术环境的配置、常见问题解决等进行培训，主要面向对象为技术人员。</w:t>
      </w:r>
    </w:p>
    <w:p w14:paraId="055C3549">
      <w:pPr>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3、培训方式</w:t>
      </w:r>
    </w:p>
    <w:p w14:paraId="3CDE1CDE">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人员培训分为建设中跟随培训、建设后培训、集中培训三种方式。</w:t>
      </w:r>
    </w:p>
    <w:p w14:paraId="3091087D">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（1）建设中跟随培训</w:t>
      </w:r>
    </w:p>
    <w:p w14:paraId="4D4DCF48">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市农业农村局的相关业务人员在建设阶段积极参与系统的建设，参与系统设计、系统实施，随时熟悉系统软件的使用方法和内容。</w:t>
      </w:r>
    </w:p>
    <w:p w14:paraId="7A66AAF2">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（2）建设后培训</w:t>
      </w:r>
    </w:p>
    <w:p w14:paraId="48C4A87B">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每个系统建设完成后，系统开发方对相关人员进行集中的系统使用和维护培训，使业务人员从整体和局部上掌握系统的使用。开发单位提供完整的用户手册，作为培训的材料。</w:t>
      </w:r>
    </w:p>
    <w:p w14:paraId="79AE8DB9">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（3）集中培训</w:t>
      </w:r>
    </w:p>
    <w:p w14:paraId="54AE2897">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在建设期，面向市县两级农业农村局相关业务人员进行集中培训，使业务人员从整体上掌握视频监控和系统平台的建设总体思路。</w:t>
      </w:r>
    </w:p>
    <w:p w14:paraId="0009DABF">
      <w:pPr>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4、培训计划</w:t>
      </w:r>
    </w:p>
    <w:p w14:paraId="5649C0B0">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本次项目计划安排多次培训，培训人数不低于200人次，初步培训计划初步安排见下表，具体培训次数及人数根据实际需求进行调整</w:t>
      </w:r>
      <w:bookmarkStart w:id="107" w:name="_Toc462567736"/>
      <w:bookmarkStart w:id="108" w:name="_Toc462650216"/>
      <w:r>
        <w:rPr>
          <w:rFonts w:hint="eastAsia" w:ascii="仿宋_GB2312" w:hAnsi="仿宋_GB2312" w:eastAsia="仿宋_GB2312" w:cs="仿宋_GB2312"/>
          <w:color w:val="auto"/>
          <w:sz w:val="24"/>
          <w:highlight w:val="none"/>
        </w:rPr>
        <w:t>。</w:t>
      </w:r>
    </w:p>
    <w:p w14:paraId="1B645ABC">
      <w:pPr>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表 人员培训计划</w:t>
      </w:r>
    </w:p>
    <w:bookmarkEnd w:id="107"/>
    <w:bookmarkEnd w:id="108"/>
    <w:tbl>
      <w:tblPr>
        <w:tblStyle w:val="65"/>
        <w:tblpPr w:leftFromText="180" w:rightFromText="180" w:vertAnchor="text" w:horzAnchor="page" w:tblpX="1921" w:tblpY="187"/>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474"/>
        <w:gridCol w:w="1323"/>
        <w:gridCol w:w="1711"/>
      </w:tblGrid>
      <w:tr w14:paraId="6D5F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4" w:type="dxa"/>
            <w:noWrap w:val="0"/>
            <w:vAlign w:val="center"/>
          </w:tcPr>
          <w:p w14:paraId="0CB5C494">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4474" w:type="dxa"/>
            <w:noWrap w:val="0"/>
            <w:vAlign w:val="center"/>
          </w:tcPr>
          <w:p w14:paraId="1E3F9D21">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培训内容</w:t>
            </w:r>
          </w:p>
        </w:tc>
        <w:tc>
          <w:tcPr>
            <w:tcW w:w="1323" w:type="dxa"/>
            <w:noWrap w:val="0"/>
            <w:vAlign w:val="center"/>
          </w:tcPr>
          <w:p w14:paraId="5187966C">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计划培训次数</w:t>
            </w:r>
          </w:p>
        </w:tc>
        <w:tc>
          <w:tcPr>
            <w:tcW w:w="1711" w:type="dxa"/>
            <w:noWrap w:val="0"/>
            <w:vAlign w:val="center"/>
          </w:tcPr>
          <w:p w14:paraId="753D44C3">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地 点</w:t>
            </w:r>
          </w:p>
        </w:tc>
      </w:tr>
      <w:tr w14:paraId="1D32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94" w:type="dxa"/>
            <w:noWrap w:val="0"/>
            <w:vAlign w:val="center"/>
          </w:tcPr>
          <w:p w14:paraId="0D78FE6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474" w:type="dxa"/>
            <w:noWrap w:val="0"/>
            <w:vAlign w:val="center"/>
          </w:tcPr>
          <w:p w14:paraId="4E391A32">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沿海视频监控管理与AI算法平台和监控中心配套设施的业务操作培训</w:t>
            </w:r>
          </w:p>
        </w:tc>
        <w:tc>
          <w:tcPr>
            <w:tcW w:w="1323" w:type="dxa"/>
            <w:noWrap w:val="0"/>
            <w:vAlign w:val="center"/>
          </w:tcPr>
          <w:p w14:paraId="37A08611">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2—3次</w:t>
            </w:r>
          </w:p>
        </w:tc>
        <w:tc>
          <w:tcPr>
            <w:tcW w:w="1711" w:type="dxa"/>
            <w:noWrap w:val="0"/>
            <w:vAlign w:val="center"/>
          </w:tcPr>
          <w:p w14:paraId="3FB1749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培训前确定</w:t>
            </w:r>
          </w:p>
        </w:tc>
      </w:tr>
      <w:tr w14:paraId="6D4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94" w:type="dxa"/>
            <w:noWrap w:val="0"/>
            <w:vAlign w:val="center"/>
          </w:tcPr>
          <w:p w14:paraId="4ADF7FAF">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474" w:type="dxa"/>
            <w:noWrap w:val="0"/>
            <w:vAlign w:val="center"/>
          </w:tcPr>
          <w:p w14:paraId="572A0972">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视频监控数据共享、沿海视频监控管理与AI算法平台建设和监控中心配套设施建设、业务协同等信息化技术培训</w:t>
            </w:r>
          </w:p>
        </w:tc>
        <w:tc>
          <w:tcPr>
            <w:tcW w:w="1323" w:type="dxa"/>
            <w:noWrap w:val="0"/>
            <w:vAlign w:val="center"/>
          </w:tcPr>
          <w:p w14:paraId="3D60EA1D">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2—3次</w:t>
            </w:r>
          </w:p>
        </w:tc>
        <w:tc>
          <w:tcPr>
            <w:tcW w:w="1711" w:type="dxa"/>
            <w:noWrap w:val="0"/>
            <w:vAlign w:val="center"/>
          </w:tcPr>
          <w:p w14:paraId="3887C96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培训前确定</w:t>
            </w:r>
          </w:p>
        </w:tc>
      </w:tr>
    </w:tbl>
    <w:p w14:paraId="04D2DB76">
      <w:pPr>
        <w:tabs>
          <w:tab w:val="left" w:pos="720"/>
          <w:tab w:val="left" w:pos="5355"/>
        </w:tabs>
        <w:ind w:firstLine="482" w:firstLineChars="200"/>
        <w:rPr>
          <w:rFonts w:hint="eastAsia" w:ascii="仿宋_GB2312" w:hAnsi="仿宋_GB2312" w:eastAsia="仿宋_GB2312" w:cs="仿宋_GB2312"/>
          <w:b/>
          <w:color w:val="auto"/>
          <w:kern w:val="0"/>
          <w:sz w:val="24"/>
          <w:highlight w:val="none"/>
        </w:rPr>
      </w:pPr>
    </w:p>
    <w:p w14:paraId="5F52305F">
      <w:pPr>
        <w:tabs>
          <w:tab w:val="left" w:pos="720"/>
          <w:tab w:val="left" w:pos="5355"/>
        </w:tabs>
        <w:spacing w:line="430" w:lineRule="exact"/>
        <w:ind w:firstLine="138" w:firstLineChars="49"/>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五、维保要求</w:t>
      </w:r>
    </w:p>
    <w:p w14:paraId="2BDCB2B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点位按维护难度分为陆地点位和岛屿点位，陆地点位又分一般陆地点位和偏远陆地点位；岛屿点位分有人岛屿点位和无人岛屿点位。</w:t>
      </w:r>
    </w:p>
    <w:p w14:paraId="11276F38">
      <w:pPr>
        <w:numPr>
          <w:ilvl w:val="0"/>
          <w:numId w:val="0"/>
        </w:num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szCs w:val="24"/>
          <w:highlight w:val="none"/>
          <w:lang w:val="en-US" w:eastAsia="zh-CN" w:bidi="ar-SA"/>
        </w:rPr>
        <w:t>（一）</w:t>
      </w:r>
      <w:r>
        <w:rPr>
          <w:rFonts w:hint="eastAsia" w:ascii="仿宋_GB2312" w:hAnsi="仿宋_GB2312" w:eastAsia="仿宋_GB2312" w:cs="仿宋_GB2312"/>
          <w:b/>
          <w:color w:val="auto"/>
          <w:kern w:val="0"/>
          <w:sz w:val="24"/>
          <w:highlight w:val="none"/>
        </w:rPr>
        <w:t>陆地点位</w:t>
      </w:r>
      <w:r>
        <w:rPr>
          <w:rFonts w:hint="eastAsia" w:ascii="仿宋_GB2312" w:hAnsi="仿宋_GB2312" w:eastAsia="仿宋_GB2312" w:cs="仿宋_GB2312"/>
          <w:b/>
          <w:color w:val="auto"/>
          <w:kern w:val="0"/>
          <w:sz w:val="24"/>
          <w:highlight w:val="none"/>
          <w:lang w:eastAsia="zh-CN"/>
        </w:rPr>
        <w:t>（</w:t>
      </w:r>
      <w:r>
        <w:rPr>
          <w:rFonts w:hint="eastAsia" w:ascii="仿宋_GB2312" w:hAnsi="仿宋_GB2312" w:eastAsia="仿宋_GB2312" w:cs="仿宋_GB2312"/>
          <w:b/>
          <w:color w:val="auto"/>
          <w:kern w:val="0"/>
          <w:sz w:val="24"/>
          <w:highlight w:val="none"/>
          <w:lang w:val="en-US" w:eastAsia="zh-CN"/>
        </w:rPr>
        <w:t>按属地分合同结算</w:t>
      </w:r>
      <w:r>
        <w:rPr>
          <w:rFonts w:hint="eastAsia" w:ascii="仿宋_GB2312" w:hAnsi="仿宋_GB2312" w:eastAsia="仿宋_GB2312" w:cs="仿宋_GB2312"/>
          <w:b/>
          <w:color w:val="auto"/>
          <w:kern w:val="0"/>
          <w:sz w:val="24"/>
          <w:highlight w:val="none"/>
          <w:lang w:eastAsia="zh-CN"/>
        </w:rPr>
        <w:t>）</w:t>
      </w:r>
    </w:p>
    <w:p w14:paraId="3C63A1F0">
      <w:pPr>
        <w:numPr>
          <w:ilvl w:val="0"/>
          <w:numId w:val="0"/>
        </w:numPr>
        <w:tabs>
          <w:tab w:val="left" w:pos="720"/>
          <w:tab w:val="left" w:pos="5355"/>
        </w:tabs>
        <w:spacing w:line="430" w:lineRule="exact"/>
        <w:ind w:firstLine="480" w:firstLineChars="200"/>
        <w:rPr>
          <w:rFonts w:hint="default" w:ascii="仿宋_GB2312" w:hAnsi="仿宋_GB2312" w:eastAsia="仿宋_GB2312" w:cs="仿宋_GB2312"/>
          <w:b w:val="0"/>
          <w:bCs/>
          <w:color w:val="auto"/>
          <w:kern w:val="0"/>
          <w:sz w:val="24"/>
          <w:highlight w:val="none"/>
          <w:lang w:val="en-US" w:eastAsia="zh-CN"/>
        </w:rPr>
      </w:pPr>
      <w:r>
        <w:rPr>
          <w:rFonts w:hint="eastAsia" w:ascii="仿宋_GB2312" w:hAnsi="仿宋_GB2312" w:eastAsia="仿宋_GB2312" w:cs="仿宋_GB2312"/>
          <w:b w:val="0"/>
          <w:bCs/>
          <w:color w:val="auto"/>
          <w:kern w:val="0"/>
          <w:sz w:val="24"/>
          <w:highlight w:val="none"/>
          <w:lang w:val="en-US" w:eastAsia="zh-CN"/>
        </w:rPr>
        <w:t>每月开展一次日常巡检，对故障点位采取以下措施：</w:t>
      </w:r>
    </w:p>
    <w:p w14:paraId="335CB3F9">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1.对经故障判断后确认是系统平台故障（确认时间为2小时），在4小时内恢复；</w:t>
      </w:r>
    </w:p>
    <w:p w14:paraId="6E3A651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2.对经故障判断后确认是光纤链路故障（确认时间为2小时），一般点位在8小时内恢复，偏远点位在12小时内恢复；</w:t>
      </w:r>
    </w:p>
    <w:p w14:paraId="6A9FC76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3.对经故障判断后确认是电路故障（确认时间为2小时），一般点位在12小时内恢复，偏远点位在24小时内恢复；如特殊原因不能在规定时间内修复的需要提供情况说明及业主签字。</w:t>
      </w:r>
    </w:p>
    <w:p w14:paraId="4797C8A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4.对经故障判断后确认是前端设备如摄像机被盗或损坏、线缆被剪断等故障，在24小时内恢复，如特殊原因不能在24小时内修复的需要提供情况说明及业主签字。</w:t>
      </w:r>
    </w:p>
    <w:p w14:paraId="063447E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陆地点位每个业务点每月的累计故障时间不超过48小时，所涉监控点月平均在线</w:t>
      </w:r>
      <w:r>
        <w:rPr>
          <w:rFonts w:hint="eastAsia" w:ascii="仿宋_GB2312" w:hAnsi="仿宋_GB2312" w:eastAsia="仿宋_GB2312" w:cs="仿宋_GB2312"/>
          <w:color w:val="auto"/>
          <w:kern w:val="0"/>
          <w:sz w:val="24"/>
          <w:highlight w:val="none"/>
        </w:rPr>
        <w:t>率≥96％；如超过承诺恢复时间，每超过1小时乙方将减免该业务点当月使用费（166元）的1%直至该业务点恢复为止。乙方承诺每个业务点每月如实际运行过程中，未能达</w:t>
      </w:r>
      <w:r>
        <w:rPr>
          <w:rFonts w:hint="eastAsia" w:ascii="仿宋_GB2312" w:hAnsi="仿宋_GB2312" w:eastAsia="仿宋_GB2312" w:cs="仿宋_GB2312"/>
          <w:color w:val="auto"/>
          <w:kern w:val="0"/>
          <w:sz w:val="24"/>
          <w:highlight w:val="none"/>
        </w:rPr>
        <w:t>到此正常运行率采购方有权不支付相应费用。</w:t>
      </w:r>
    </w:p>
    <w:p w14:paraId="4B1F39B1">
      <w:pPr>
        <w:numPr>
          <w:ilvl w:val="0"/>
          <w:numId w:val="0"/>
        </w:numPr>
        <w:tabs>
          <w:tab w:val="left" w:pos="720"/>
          <w:tab w:val="left" w:pos="5355"/>
        </w:tabs>
        <w:spacing w:line="430" w:lineRule="exact"/>
        <w:ind w:left="0" w:leftChars="0"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szCs w:val="24"/>
          <w:highlight w:val="none"/>
          <w:lang w:val="en-US" w:eastAsia="zh-CN" w:bidi="ar-SA"/>
        </w:rPr>
        <w:t>（二）</w:t>
      </w:r>
      <w:r>
        <w:rPr>
          <w:rFonts w:hint="eastAsia" w:ascii="仿宋_GB2312" w:hAnsi="仿宋_GB2312" w:eastAsia="仿宋_GB2312" w:cs="仿宋_GB2312"/>
          <w:b/>
          <w:color w:val="auto"/>
          <w:kern w:val="0"/>
          <w:sz w:val="24"/>
          <w:highlight w:val="none"/>
        </w:rPr>
        <w:t>岛屿点位</w:t>
      </w:r>
      <w:r>
        <w:rPr>
          <w:rFonts w:hint="eastAsia" w:ascii="仿宋_GB2312" w:hAnsi="仿宋_GB2312" w:eastAsia="仿宋_GB2312" w:cs="仿宋_GB2312"/>
          <w:b/>
          <w:color w:val="auto"/>
          <w:kern w:val="0"/>
          <w:sz w:val="24"/>
          <w:highlight w:val="none"/>
          <w:lang w:eastAsia="zh-CN"/>
        </w:rPr>
        <w:t>（</w:t>
      </w:r>
      <w:r>
        <w:rPr>
          <w:rFonts w:hint="eastAsia" w:ascii="仿宋_GB2312" w:hAnsi="仿宋_GB2312" w:eastAsia="仿宋_GB2312" w:cs="仿宋_GB2312"/>
          <w:b/>
          <w:color w:val="auto"/>
          <w:kern w:val="0"/>
          <w:sz w:val="24"/>
          <w:highlight w:val="none"/>
          <w:lang w:val="en-US" w:eastAsia="zh-CN"/>
        </w:rPr>
        <w:t>按属地分合同结算</w:t>
      </w:r>
      <w:r>
        <w:rPr>
          <w:rFonts w:hint="eastAsia" w:ascii="仿宋_GB2312" w:hAnsi="仿宋_GB2312" w:eastAsia="仿宋_GB2312" w:cs="仿宋_GB2312"/>
          <w:b/>
          <w:color w:val="auto"/>
          <w:kern w:val="0"/>
          <w:sz w:val="24"/>
          <w:highlight w:val="none"/>
          <w:lang w:eastAsia="zh-CN"/>
        </w:rPr>
        <w:t>）</w:t>
      </w:r>
    </w:p>
    <w:p w14:paraId="51AEA9FB">
      <w:pPr>
        <w:numPr>
          <w:ilvl w:val="0"/>
          <w:numId w:val="0"/>
        </w:numPr>
        <w:tabs>
          <w:tab w:val="left" w:pos="720"/>
          <w:tab w:val="left" w:pos="5355"/>
        </w:tabs>
        <w:spacing w:line="430" w:lineRule="exact"/>
        <w:ind w:firstLine="480" w:firstLineChars="200"/>
        <w:rPr>
          <w:rFonts w:hint="default" w:ascii="仿宋_GB2312" w:hAnsi="仿宋_GB2312" w:eastAsia="仿宋_GB2312" w:cs="仿宋_GB2312"/>
          <w:b w:val="0"/>
          <w:bCs/>
          <w:color w:val="auto"/>
          <w:kern w:val="0"/>
          <w:sz w:val="24"/>
          <w:highlight w:val="none"/>
          <w:lang w:val="en-US" w:eastAsia="zh-CN"/>
        </w:rPr>
      </w:pPr>
      <w:r>
        <w:rPr>
          <w:rFonts w:hint="eastAsia" w:ascii="仿宋_GB2312" w:hAnsi="仿宋_GB2312" w:eastAsia="仿宋_GB2312" w:cs="仿宋_GB2312"/>
          <w:b w:val="0"/>
          <w:bCs/>
          <w:color w:val="auto"/>
          <w:kern w:val="0"/>
          <w:sz w:val="24"/>
          <w:highlight w:val="none"/>
          <w:lang w:val="en-US" w:eastAsia="zh-CN"/>
        </w:rPr>
        <w:t>每季度开展一次日常巡检，对故障点位采取以下措施：</w:t>
      </w:r>
    </w:p>
    <w:p w14:paraId="5849169A">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1.对经故障判断后确认是系统平台故障（确认时间为2小时），在4小时内恢复；</w:t>
      </w:r>
    </w:p>
    <w:p w14:paraId="0D11C157">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2.对经故障判断后是光纤链路故障（确认时间为2小时），有人岛屿点位在48小时内恢复，无人岛屿要在72小时内恢复，如特殊原因不能在规定时间内修复的需要提供情况说明及业主签字。</w:t>
      </w:r>
    </w:p>
    <w:p w14:paraId="2496BBE8">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3.对经故障判断后确认是电路故障（确认时间为2小时），有人岛屿点位在72小时内恢复，无人点位在5天内恢复，如特殊原因不能在规定时间内修复的需要提供情况说明及业</w:t>
      </w:r>
      <w:r>
        <w:rPr>
          <w:rFonts w:hint="eastAsia" w:ascii="仿宋_GB2312" w:hAnsi="仿宋_GB2312" w:eastAsia="仿宋_GB2312" w:cs="仿宋_GB2312"/>
          <w:color w:val="auto"/>
          <w:kern w:val="0"/>
          <w:sz w:val="24"/>
          <w:highlight w:val="none"/>
        </w:rPr>
        <w:t>主签字。</w:t>
      </w:r>
    </w:p>
    <w:p w14:paraId="27346BA1">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4.对经故障判断后确认是前端设备如摄像机被盗或损坏、线缆被剪断等故障（确认时间为2小时），在72小时内恢复，如特殊原因不能在72小时内修复的需要提供情况说明及业主签字。</w:t>
      </w:r>
    </w:p>
    <w:p w14:paraId="1A4BEF54">
      <w:pPr>
        <w:tabs>
          <w:tab w:val="left" w:pos="720"/>
          <w:tab w:val="left" w:pos="5355"/>
        </w:tabs>
        <w:spacing w:line="430" w:lineRule="exact"/>
        <w:ind w:firstLine="470"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岛屿点位每个业务点每月的累计故障时间不超过72小时，所涉监控点月平均在线率≥90％；如超过承诺恢复时间，每超过1小时乙方将减免该业务点当月使用费（</w:t>
      </w:r>
      <w:r>
        <w:rPr>
          <w:rFonts w:hint="eastAsia" w:ascii="仿宋_GB2312" w:hAnsi="仿宋_GB2312" w:eastAsia="仿宋_GB2312" w:cs="仿宋_GB2312"/>
          <w:color w:val="auto"/>
          <w:kern w:val="0"/>
          <w:sz w:val="24"/>
          <w:highlight w:val="none"/>
          <w:lang w:val="en-US" w:eastAsia="zh-CN"/>
        </w:rPr>
        <w:t>166</w:t>
      </w:r>
      <w:r>
        <w:rPr>
          <w:rFonts w:hint="eastAsia" w:ascii="仿宋_GB2312" w:hAnsi="仿宋_GB2312" w:eastAsia="仿宋_GB2312" w:cs="仿宋_GB2312"/>
          <w:color w:val="auto"/>
          <w:kern w:val="0"/>
          <w:sz w:val="24"/>
          <w:highlight w:val="none"/>
        </w:rPr>
        <w:t>元）的1%直至该业务点恢</w:t>
      </w:r>
      <w:r>
        <w:rPr>
          <w:rFonts w:hint="eastAsia" w:ascii="仿宋_GB2312" w:hAnsi="仿宋_GB2312" w:eastAsia="仿宋_GB2312" w:cs="仿宋_GB2312"/>
          <w:color w:val="auto"/>
          <w:kern w:val="0"/>
          <w:sz w:val="24"/>
          <w:highlight w:val="none"/>
        </w:rPr>
        <w:t>复为止。乙方承诺每个业务点每月如实际运行过程中，未能达到此正常运行率采购方有权不支付相应费用。</w:t>
      </w:r>
    </w:p>
    <w:p w14:paraId="623C8A36">
      <w:pPr>
        <w:numPr>
          <w:ilvl w:val="0"/>
          <w:numId w:val="0"/>
        </w:num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highlight w:val="none"/>
          <w:lang w:val="en-US" w:eastAsia="zh-CN"/>
        </w:rPr>
      </w:pPr>
      <w:r>
        <w:rPr>
          <w:rFonts w:hint="eastAsia" w:ascii="仿宋_GB2312" w:hAnsi="仿宋_GB2312" w:eastAsia="仿宋_GB2312" w:cs="仿宋_GB2312"/>
          <w:b/>
          <w:color w:val="auto"/>
          <w:kern w:val="0"/>
          <w:sz w:val="24"/>
          <w:szCs w:val="24"/>
          <w:highlight w:val="none"/>
          <w:lang w:val="en-US" w:eastAsia="zh-CN" w:bidi="ar-SA"/>
        </w:rPr>
        <w:t>（三）</w:t>
      </w:r>
      <w:r>
        <w:rPr>
          <w:rFonts w:hint="eastAsia" w:ascii="仿宋_GB2312" w:hAnsi="仿宋_GB2312" w:eastAsia="仿宋_GB2312" w:cs="仿宋_GB2312"/>
          <w:b/>
          <w:color w:val="auto"/>
          <w:kern w:val="0"/>
          <w:sz w:val="24"/>
          <w:highlight w:val="none"/>
          <w:lang w:val="en-US" w:eastAsia="zh-CN"/>
        </w:rPr>
        <w:t>备品备件</w:t>
      </w:r>
    </w:p>
    <w:p w14:paraId="6CA5C376">
      <w:pPr>
        <w:numPr>
          <w:ilvl w:val="0"/>
          <w:numId w:val="0"/>
        </w:numPr>
        <w:tabs>
          <w:tab w:val="left" w:pos="720"/>
          <w:tab w:val="left" w:pos="5355"/>
        </w:tabs>
        <w:spacing w:line="430" w:lineRule="exact"/>
        <w:ind w:firstLine="480" w:firstLineChars="200"/>
        <w:rPr>
          <w:rFonts w:hint="eastAsia" w:ascii="仿宋_GB2312" w:hAnsi="仿宋_GB2312" w:eastAsia="仿宋_GB2312" w:cs="仿宋_GB2312"/>
          <w:b/>
          <w:color w:val="auto"/>
          <w:kern w:val="0"/>
          <w:sz w:val="24"/>
          <w:highlight w:val="none"/>
          <w:lang w:val="en-US" w:eastAsia="zh-CN"/>
        </w:rPr>
      </w:pPr>
      <w:r>
        <w:rPr>
          <w:rFonts w:hint="eastAsia" w:ascii="仿宋_GB2312" w:hAnsi="仿宋_GB2312" w:eastAsia="仿宋_GB2312" w:cs="仿宋_GB2312"/>
          <w:b w:val="0"/>
          <w:bCs/>
          <w:color w:val="auto"/>
          <w:kern w:val="0"/>
          <w:sz w:val="24"/>
          <w:highlight w:val="none"/>
          <w:lang w:val="en-US" w:eastAsia="zh-CN"/>
        </w:rPr>
        <w:t>供应商应在各区县建立备品仓库，储存足够的备品备件，包括不限于本项目涉及的枪机、球机、枪球一体机，鹰眼、太阳能板、</w:t>
      </w:r>
      <w:r>
        <w:rPr>
          <w:rFonts w:hint="eastAsia" w:ascii="仿宋_GB2312" w:hAnsi="仿宋_GB2312" w:eastAsia="仿宋_GB2312" w:cs="仿宋_GB2312"/>
          <w:color w:val="auto"/>
          <w:sz w:val="24"/>
          <w:highlight w:val="none"/>
        </w:rPr>
        <w:t>物联网网关</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b w:val="0"/>
          <w:bCs/>
          <w:color w:val="auto"/>
          <w:kern w:val="0"/>
          <w:sz w:val="24"/>
          <w:highlight w:val="none"/>
          <w:lang w:val="en-US" w:eastAsia="zh-CN"/>
        </w:rPr>
        <w:t>防雷保护、风能控制器以及中心硬盘等配件，保证满足故障抢修的要求。备品仓库应定期进行检查，并提供备品备件清单。</w:t>
      </w:r>
    </w:p>
    <w:p w14:paraId="7BA7C771">
      <w:pPr>
        <w:numPr>
          <w:ilvl w:val="0"/>
          <w:numId w:val="0"/>
        </w:num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szCs w:val="24"/>
          <w:highlight w:val="none"/>
          <w:lang w:val="en-US" w:eastAsia="zh-CN" w:bidi="ar-SA"/>
        </w:rPr>
      </w:pPr>
      <w:r>
        <w:rPr>
          <w:rFonts w:hint="eastAsia" w:ascii="仿宋_GB2312" w:hAnsi="仿宋_GB2312" w:eastAsia="仿宋_GB2312" w:cs="仿宋_GB2312"/>
          <w:b/>
          <w:color w:val="auto"/>
          <w:kern w:val="0"/>
          <w:sz w:val="24"/>
          <w:szCs w:val="24"/>
          <w:highlight w:val="none"/>
          <w:lang w:val="en-US" w:eastAsia="zh-CN" w:bidi="ar-SA"/>
        </w:rPr>
        <w:t>（四）供应商应建立详实可行运维方案。</w:t>
      </w:r>
    </w:p>
    <w:p w14:paraId="7A374F3D">
      <w:pPr>
        <w:numPr>
          <w:ilvl w:val="0"/>
          <w:numId w:val="0"/>
        </w:numPr>
        <w:spacing w:line="430" w:lineRule="exact"/>
        <w:ind w:firstLine="480" w:firstLineChars="200"/>
        <w:rPr>
          <w:rFonts w:hint="eastAsia" w:ascii="仿宋_GB2312" w:hAnsi="仿宋_GB2312" w:eastAsia="仿宋_GB2312" w:cs="仿宋_GB2312"/>
          <w:b w:val="0"/>
          <w:bCs/>
          <w:color w:val="auto"/>
          <w:kern w:val="2"/>
          <w:sz w:val="24"/>
          <w:szCs w:val="24"/>
          <w:highlight w:val="none"/>
        </w:rPr>
      </w:pPr>
      <w:r>
        <w:rPr>
          <w:rFonts w:hint="eastAsia" w:ascii="仿宋_GB2312" w:hAnsi="仿宋_GB2312" w:eastAsia="仿宋_GB2312" w:cs="仿宋_GB2312"/>
          <w:b w:val="0"/>
          <w:bCs/>
          <w:color w:val="auto"/>
          <w:kern w:val="2"/>
          <w:sz w:val="24"/>
          <w:szCs w:val="24"/>
          <w:highlight w:val="none"/>
        </w:rPr>
        <w:t>建立专业视频监控运维团队，建设完善的系统运行状态监测体系，能实时感知系统出现故障、及时进行处理并形成完整</w:t>
      </w:r>
      <w:r>
        <w:rPr>
          <w:rFonts w:hint="eastAsia" w:ascii="仿宋_GB2312" w:hAnsi="仿宋_GB2312" w:eastAsia="仿宋_GB2312" w:cs="仿宋_GB2312"/>
          <w:b w:val="0"/>
          <w:bCs/>
          <w:color w:val="auto"/>
          <w:kern w:val="2"/>
          <w:sz w:val="24"/>
          <w:szCs w:val="24"/>
          <w:highlight w:val="none"/>
          <w:lang w:eastAsia="zh-CN"/>
        </w:rPr>
        <w:t>台账</w:t>
      </w:r>
      <w:r>
        <w:rPr>
          <w:rFonts w:hint="eastAsia" w:ascii="仿宋_GB2312" w:hAnsi="仿宋_GB2312" w:eastAsia="仿宋_GB2312" w:cs="仿宋_GB2312"/>
          <w:b w:val="0"/>
          <w:bCs/>
          <w:color w:val="auto"/>
          <w:kern w:val="2"/>
          <w:sz w:val="24"/>
          <w:szCs w:val="24"/>
          <w:highlight w:val="none"/>
        </w:rPr>
        <w:t>；定期分析系统运行数据，发现系统故障隐患、研究优化方案。</w:t>
      </w:r>
      <w:r>
        <w:rPr>
          <w:rFonts w:hint="eastAsia" w:ascii="仿宋_GB2312" w:hAnsi="仿宋_GB2312" w:eastAsia="仿宋_GB2312" w:cs="仿宋_GB2312"/>
          <w:b w:val="0"/>
          <w:bCs/>
          <w:color w:val="auto"/>
          <w:kern w:val="2"/>
          <w:sz w:val="24"/>
          <w:szCs w:val="24"/>
          <w:highlight w:val="none"/>
          <w:lang w:val="en-US" w:eastAsia="zh-CN"/>
        </w:rPr>
        <w:t>监控在线巡检含“海上斑马线”系统对应的视频监控，</w:t>
      </w:r>
      <w:r>
        <w:rPr>
          <w:rFonts w:hint="eastAsia" w:ascii="仿宋_GB2312" w:hAnsi="仿宋_GB2312" w:eastAsia="仿宋_GB2312" w:cs="仿宋_GB2312"/>
          <w:b w:val="0"/>
          <w:bCs/>
          <w:color w:val="auto"/>
          <w:kern w:val="2"/>
          <w:sz w:val="24"/>
          <w:szCs w:val="24"/>
          <w:highlight w:val="none"/>
        </w:rPr>
        <w:t>每季度各前端巡检和卫生清理、系统微调一次。每半年对各前端系统进行一次全系统调试。建立运行维护汇报制度，每月形成视频监控运维月报和每年形成视频监控运维年报。</w:t>
      </w:r>
    </w:p>
    <w:p w14:paraId="2425E6B9">
      <w:pPr>
        <w:numPr>
          <w:ilvl w:val="0"/>
          <w:numId w:val="0"/>
        </w:numPr>
        <w:tabs>
          <w:tab w:val="left" w:pos="720"/>
          <w:tab w:val="left" w:pos="5355"/>
        </w:tabs>
        <w:spacing w:line="430" w:lineRule="exact"/>
        <w:ind w:firstLine="472" w:firstLineChars="196"/>
        <w:rPr>
          <w:rFonts w:hint="eastAsia" w:ascii="仿宋_GB2312" w:hAnsi="仿宋_GB2312" w:eastAsia="仿宋_GB2312" w:cs="仿宋_GB2312"/>
          <w:b/>
          <w:color w:val="auto"/>
          <w:kern w:val="0"/>
          <w:sz w:val="24"/>
          <w:szCs w:val="24"/>
          <w:highlight w:val="none"/>
          <w:lang w:val="en-US" w:eastAsia="zh-CN" w:bidi="ar-SA"/>
        </w:rPr>
      </w:pPr>
      <w:r>
        <w:rPr>
          <w:rFonts w:hint="eastAsia" w:ascii="仿宋_GB2312" w:hAnsi="仿宋_GB2312" w:eastAsia="仿宋_GB2312" w:cs="仿宋_GB2312"/>
          <w:b/>
          <w:color w:val="auto"/>
          <w:kern w:val="0"/>
          <w:sz w:val="24"/>
          <w:szCs w:val="24"/>
          <w:highlight w:val="none"/>
          <w:lang w:val="en-US" w:eastAsia="zh-CN" w:bidi="ar-SA"/>
        </w:rPr>
        <w:t>（五）提供应急处置措施方案。</w:t>
      </w:r>
    </w:p>
    <w:p w14:paraId="234973D4">
      <w:pPr>
        <w:numPr>
          <w:ilvl w:val="0"/>
          <w:numId w:val="0"/>
        </w:numPr>
        <w:tabs>
          <w:tab w:val="left" w:pos="720"/>
          <w:tab w:val="left" w:pos="5355"/>
        </w:tabs>
        <w:spacing w:line="430" w:lineRule="exact"/>
        <w:ind w:firstLine="480" w:firstLineChars="200"/>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在防台防寒潮等特殊时段，应无偿提供带宽临时扩容，保障高并发时段的服务质量。提供重要演示、节假日保障，应急响应出现的问题，处理过程快速、透明，处理完成后形成报告，用于总结分析；响应上级部门考核要求，重点巡检相关内容，形成记录，发现问题，立即向主管人员汇报并形成文档。</w:t>
      </w:r>
    </w:p>
    <w:p w14:paraId="2193768E">
      <w:pPr>
        <w:numPr>
          <w:ilvl w:val="0"/>
          <w:numId w:val="0"/>
        </w:numPr>
        <w:tabs>
          <w:tab w:val="left" w:pos="720"/>
          <w:tab w:val="left" w:pos="5355"/>
        </w:tabs>
        <w:spacing w:line="430" w:lineRule="exact"/>
        <w:ind w:firstLine="472" w:firstLineChars="196"/>
        <w:rPr>
          <w:rFonts w:hint="default" w:ascii="仿宋_GB2312" w:hAnsi="仿宋_GB2312" w:eastAsia="仿宋_GB2312" w:cs="仿宋_GB2312"/>
          <w:b/>
          <w:color w:val="auto"/>
          <w:kern w:val="0"/>
          <w:sz w:val="24"/>
          <w:szCs w:val="24"/>
          <w:highlight w:val="none"/>
          <w:lang w:val="en-US" w:eastAsia="zh-CN" w:bidi="ar-SA"/>
        </w:rPr>
      </w:pPr>
      <w:r>
        <w:rPr>
          <w:rFonts w:hint="eastAsia" w:ascii="仿宋_GB2312" w:hAnsi="仿宋_GB2312" w:eastAsia="仿宋_GB2312" w:cs="仿宋_GB2312"/>
          <w:b/>
          <w:color w:val="auto"/>
          <w:kern w:val="0"/>
          <w:sz w:val="24"/>
          <w:szCs w:val="24"/>
          <w:highlight w:val="none"/>
          <w:lang w:val="en-US" w:eastAsia="zh-CN" w:bidi="ar-SA"/>
        </w:rPr>
        <w:t>（六）免费质保期及维护期</w:t>
      </w:r>
    </w:p>
    <w:p w14:paraId="28D152A4">
      <w:pPr>
        <w:numPr>
          <w:ilvl w:val="0"/>
          <w:numId w:val="0"/>
        </w:numPr>
        <w:tabs>
          <w:tab w:val="left" w:pos="720"/>
          <w:tab w:val="left" w:pos="5355"/>
        </w:tabs>
        <w:spacing w:line="430" w:lineRule="exact"/>
        <w:ind w:firstLine="482" w:firstLineChars="200"/>
        <w:rPr>
          <w:rFonts w:hint="eastAsia" w:ascii="仿宋_GB2312" w:hAnsi="仿宋_GB2312" w:eastAsia="仿宋_GB2312" w:cs="仿宋_GB2312"/>
          <w:b/>
          <w:bCs/>
          <w:color w:val="auto"/>
          <w:kern w:val="0"/>
          <w:sz w:val="24"/>
          <w:highlight w:val="none"/>
          <w:u w:val="single"/>
          <w:lang w:eastAsia="zh-CN"/>
        </w:rPr>
      </w:pPr>
      <w:r>
        <w:rPr>
          <w:rFonts w:hint="eastAsia" w:ascii="仿宋_GB2312" w:hAnsi="仿宋_GB2312" w:eastAsia="仿宋_GB2312" w:cs="仿宋_GB2312"/>
          <w:b/>
          <w:bCs/>
          <w:color w:val="auto"/>
          <w:kern w:val="0"/>
          <w:sz w:val="24"/>
          <w:highlight w:val="none"/>
          <w:lang w:val="en-US" w:eastAsia="zh-CN"/>
        </w:rPr>
        <w:t>▲</w:t>
      </w:r>
      <w:r>
        <w:rPr>
          <w:rFonts w:hint="eastAsia" w:ascii="仿宋_GB2312" w:hAnsi="仿宋_GB2312" w:eastAsia="仿宋_GB2312" w:cs="仿宋_GB2312"/>
          <w:b/>
          <w:bCs/>
          <w:color w:val="auto"/>
          <w:kern w:val="0"/>
          <w:sz w:val="24"/>
          <w:highlight w:val="none"/>
          <w:u w:val="single"/>
        </w:rPr>
        <w:t>本次项目涉及的硬件部分免费质保期为</w:t>
      </w:r>
      <w:r>
        <w:rPr>
          <w:rFonts w:hint="eastAsia" w:ascii="仿宋_GB2312" w:hAnsi="仿宋_GB2312" w:eastAsia="仿宋_GB2312" w:cs="仿宋_GB2312"/>
          <w:b/>
          <w:bCs/>
          <w:color w:val="auto"/>
          <w:kern w:val="0"/>
          <w:sz w:val="24"/>
          <w:highlight w:val="none"/>
          <w:u w:val="single"/>
          <w:lang w:val="en-US" w:eastAsia="zh-CN"/>
        </w:rPr>
        <w:t>5</w:t>
      </w:r>
      <w:r>
        <w:rPr>
          <w:rFonts w:hint="eastAsia" w:ascii="仿宋_GB2312" w:hAnsi="仿宋_GB2312" w:eastAsia="仿宋_GB2312" w:cs="仿宋_GB2312"/>
          <w:b/>
          <w:bCs/>
          <w:color w:val="auto"/>
          <w:kern w:val="0"/>
          <w:sz w:val="24"/>
          <w:highlight w:val="none"/>
          <w:u w:val="single"/>
        </w:rPr>
        <w:t>年，算法及软件部分免费质保期为3年，前端点位及风光互补系统等巡检维护服务期为</w:t>
      </w:r>
      <w:r>
        <w:rPr>
          <w:rFonts w:hint="eastAsia" w:ascii="仿宋_GB2312" w:hAnsi="仿宋_GB2312" w:eastAsia="仿宋_GB2312" w:cs="仿宋_GB2312"/>
          <w:b/>
          <w:bCs/>
          <w:color w:val="auto"/>
          <w:kern w:val="0"/>
          <w:sz w:val="24"/>
          <w:highlight w:val="none"/>
          <w:u w:val="single"/>
          <w:lang w:eastAsia="zh-CN"/>
        </w:rPr>
        <w:t>验收之日起</w:t>
      </w:r>
      <w:r>
        <w:rPr>
          <w:rFonts w:hint="eastAsia" w:ascii="仿宋_GB2312" w:hAnsi="仿宋_GB2312" w:eastAsia="仿宋_GB2312" w:cs="仿宋_GB2312"/>
          <w:b/>
          <w:bCs/>
          <w:color w:val="auto"/>
          <w:kern w:val="0"/>
          <w:sz w:val="24"/>
          <w:highlight w:val="none"/>
          <w:u w:val="single"/>
        </w:rPr>
        <w:t>1年</w:t>
      </w:r>
      <w:r>
        <w:rPr>
          <w:rFonts w:hint="eastAsia" w:ascii="仿宋_GB2312" w:hAnsi="仿宋_GB2312" w:eastAsia="仿宋_GB2312" w:cs="仿宋_GB2312"/>
          <w:b/>
          <w:bCs/>
          <w:color w:val="auto"/>
          <w:kern w:val="0"/>
          <w:sz w:val="24"/>
          <w:highlight w:val="none"/>
          <w:u w:val="single"/>
          <w:lang w:val="en-US" w:eastAsia="zh-CN"/>
        </w:rPr>
        <w:t>，</w:t>
      </w:r>
      <w:r>
        <w:rPr>
          <w:rFonts w:hint="eastAsia" w:ascii="仿宋_GB2312" w:hAnsi="仿宋_GB2312" w:eastAsia="仿宋_GB2312" w:cs="仿宋_GB2312"/>
          <w:b/>
          <w:bCs/>
          <w:color w:val="auto"/>
          <w:kern w:val="0"/>
          <w:sz w:val="24"/>
          <w:highlight w:val="none"/>
          <w:u w:val="single"/>
          <w:lang w:eastAsia="zh-CN"/>
        </w:rPr>
        <w:t>电费为验收之日起2年，链路为验收之日起1年。</w:t>
      </w:r>
    </w:p>
    <w:p w14:paraId="2A3FF9FF">
      <w:pPr>
        <w:numPr>
          <w:ilvl w:val="0"/>
          <w:numId w:val="0"/>
        </w:numPr>
        <w:tabs>
          <w:tab w:val="left" w:pos="720"/>
          <w:tab w:val="left" w:pos="5355"/>
        </w:tabs>
        <w:spacing w:line="430" w:lineRule="exact"/>
        <w:ind w:firstLine="482" w:firstLineChars="200"/>
        <w:rPr>
          <w:rFonts w:hint="eastAsia" w:ascii="仿宋_GB2312" w:hAnsi="仿宋_GB2312" w:eastAsia="仿宋_GB2312" w:cs="仿宋_GB2312"/>
          <w:b/>
          <w:bCs/>
          <w:color w:val="auto"/>
          <w:kern w:val="0"/>
          <w:sz w:val="24"/>
          <w:highlight w:val="none"/>
          <w:lang w:val="en-US" w:eastAsia="zh-CN"/>
        </w:rPr>
      </w:pPr>
      <w:r>
        <w:rPr>
          <w:rFonts w:hint="eastAsia" w:ascii="仿宋_GB2312" w:hAnsi="仿宋_GB2312" w:eastAsia="仿宋_GB2312" w:cs="仿宋_GB2312"/>
          <w:b/>
          <w:bCs/>
          <w:color w:val="auto"/>
          <w:kern w:val="0"/>
          <w:sz w:val="24"/>
          <w:highlight w:val="none"/>
          <w:lang w:val="en-US" w:eastAsia="zh-CN"/>
        </w:rPr>
        <w:t>▲</w:t>
      </w:r>
      <w:r>
        <w:rPr>
          <w:rFonts w:hint="eastAsia" w:ascii="仿宋_GB2312" w:hAnsi="仿宋_GB2312" w:eastAsia="仿宋_GB2312" w:cs="仿宋_GB2312"/>
          <w:b/>
          <w:bCs/>
          <w:color w:val="auto"/>
          <w:kern w:val="0"/>
          <w:sz w:val="24"/>
          <w:highlight w:val="none"/>
          <w:u w:val="single"/>
          <w:lang w:val="en-US" w:eastAsia="zh-CN"/>
        </w:rPr>
        <w:t>在服务期内，设备的使用权归采购方所有，中标方若因各方面原因中途无法继续提供服务的，或服务期结束后中标方无法继续提供服务的（包括中标方和采购方无法就续费协议达成一致意见），本项目范围内包含的视频监控系统一切软硬件设备的资产使用权和处置权归采购人所有</w:t>
      </w:r>
      <w:r>
        <w:rPr>
          <w:rFonts w:hint="eastAsia" w:ascii="仿宋_GB2312" w:hAnsi="仿宋_GB2312" w:eastAsia="仿宋_GB2312" w:cs="仿宋_GB2312"/>
          <w:b/>
          <w:bCs/>
          <w:color w:val="auto"/>
          <w:kern w:val="0"/>
          <w:sz w:val="24"/>
          <w:highlight w:val="none"/>
          <w:lang w:val="en-US" w:eastAsia="zh-CN"/>
        </w:rPr>
        <w:t>。</w:t>
      </w:r>
    </w:p>
    <w:p w14:paraId="31B95718">
      <w:pPr>
        <w:numPr>
          <w:ilvl w:val="0"/>
          <w:numId w:val="0"/>
        </w:numPr>
        <w:tabs>
          <w:tab w:val="left" w:pos="720"/>
          <w:tab w:val="left" w:pos="5355"/>
        </w:tabs>
        <w:spacing w:line="430" w:lineRule="exact"/>
        <w:ind w:firstLine="472" w:firstLineChars="196"/>
        <w:rPr>
          <w:rFonts w:hint="default" w:ascii="仿宋_GB2312" w:hAnsi="仿宋_GB2312" w:eastAsia="仿宋_GB2312" w:cs="仿宋_GB2312"/>
          <w:b/>
          <w:color w:val="auto"/>
          <w:kern w:val="0"/>
          <w:sz w:val="24"/>
          <w:szCs w:val="24"/>
          <w:highlight w:val="none"/>
          <w:lang w:val="en-US" w:eastAsia="zh-CN" w:bidi="ar-SA"/>
        </w:rPr>
      </w:pPr>
      <w:r>
        <w:rPr>
          <w:rFonts w:hint="eastAsia" w:ascii="仿宋_GB2312" w:hAnsi="仿宋_GB2312" w:eastAsia="仿宋_GB2312" w:cs="仿宋_GB2312"/>
          <w:b/>
          <w:color w:val="auto"/>
          <w:kern w:val="0"/>
          <w:sz w:val="24"/>
          <w:szCs w:val="24"/>
          <w:highlight w:val="none"/>
          <w:lang w:val="en-US" w:eastAsia="zh-CN" w:bidi="ar-SA"/>
        </w:rPr>
        <w:t>（七）其他</w:t>
      </w:r>
    </w:p>
    <w:p w14:paraId="008DB4A2">
      <w:pPr>
        <w:numPr>
          <w:ilvl w:val="0"/>
          <w:numId w:val="0"/>
        </w:numPr>
        <w:tabs>
          <w:tab w:val="left" w:pos="720"/>
          <w:tab w:val="left" w:pos="5355"/>
        </w:tabs>
        <w:spacing w:line="430" w:lineRule="exact"/>
        <w:ind w:firstLine="482" w:firstLineChars="200"/>
        <w:rPr>
          <w:rFonts w:hint="eastAsia" w:ascii="仿宋_GB2312" w:hAnsi="仿宋_GB2312" w:eastAsia="仿宋_GB2312" w:cs="仿宋_GB2312"/>
          <w:b/>
          <w:bCs/>
          <w:i w:val="0"/>
          <w:caps w:val="0"/>
          <w:color w:val="auto"/>
          <w:spacing w:val="0"/>
          <w:kern w:val="0"/>
          <w:sz w:val="24"/>
          <w:szCs w:val="24"/>
          <w:highlight w:val="none"/>
          <w:shd w:val="clear" w:color="auto" w:fill="auto"/>
        </w:rPr>
      </w:pPr>
      <w:r>
        <w:rPr>
          <w:rFonts w:hint="eastAsia" w:ascii="仿宋_GB2312" w:hAnsi="仿宋_GB2312" w:eastAsia="仿宋_GB2312" w:cs="仿宋_GB2312"/>
          <w:b/>
          <w:bCs/>
          <w:i w:val="0"/>
          <w:caps w:val="0"/>
          <w:color w:val="auto"/>
          <w:spacing w:val="0"/>
          <w:kern w:val="0"/>
          <w:sz w:val="24"/>
          <w:szCs w:val="24"/>
          <w:highlight w:val="none"/>
          <w:u w:val="single"/>
          <w:shd w:val="clear" w:color="auto" w:fill="auto"/>
        </w:rPr>
        <w:t>▲具备系统建设、运行所需的管道、光纤资源【不具备的必须提供地市级网络资源运营商授予投标人对本项目相关管道、光纤资源的使用协议（协议约定资源使用区域为温州全域、周期与项目服务期一致）】（按资格文件投标文件中必须提供承诺函）</w:t>
      </w:r>
      <w:r>
        <w:rPr>
          <w:rFonts w:hint="eastAsia" w:ascii="仿宋_GB2312" w:hAnsi="仿宋_GB2312" w:eastAsia="仿宋_GB2312" w:cs="仿宋_GB2312"/>
          <w:b/>
          <w:bCs/>
          <w:i w:val="0"/>
          <w:caps w:val="0"/>
          <w:color w:val="auto"/>
          <w:spacing w:val="0"/>
          <w:kern w:val="0"/>
          <w:sz w:val="24"/>
          <w:szCs w:val="24"/>
          <w:highlight w:val="none"/>
          <w:shd w:val="clear" w:color="auto" w:fill="auto"/>
        </w:rPr>
        <w:t>。</w:t>
      </w:r>
    </w:p>
    <w:p w14:paraId="7B5612BA">
      <w:pPr>
        <w:tabs>
          <w:tab w:val="left" w:pos="720"/>
          <w:tab w:val="left" w:pos="5355"/>
        </w:tabs>
        <w:spacing w:line="430" w:lineRule="exact"/>
        <w:ind w:firstLine="480" w:firstLineChars="200"/>
        <w:rPr>
          <w:rFonts w:hint="eastAsia" w:ascii="仿宋_GB2312" w:hAnsi="仿宋_GB2312" w:eastAsia="仿宋_GB2312" w:cs="仿宋_GB2312"/>
          <w:color w:val="auto"/>
          <w:kern w:val="0"/>
          <w:sz w:val="24"/>
          <w:highlight w:val="none"/>
        </w:rPr>
      </w:pPr>
    </w:p>
    <w:p w14:paraId="447EDBC5">
      <w:pPr>
        <w:tabs>
          <w:tab w:val="left" w:pos="720"/>
          <w:tab w:val="left" w:pos="5355"/>
        </w:tabs>
        <w:spacing w:line="430" w:lineRule="exact"/>
        <w:ind w:firstLine="480" w:firstLineChars="200"/>
        <w:rPr>
          <w:rFonts w:hint="eastAsia" w:ascii="仿宋_GB2312" w:hAnsi="仿宋_GB2312" w:eastAsia="仿宋_GB2312" w:cs="仿宋_GB2312"/>
          <w:color w:val="auto"/>
          <w:kern w:val="0"/>
          <w:sz w:val="24"/>
          <w:highlight w:val="none"/>
        </w:rPr>
      </w:pPr>
    </w:p>
    <w:p w14:paraId="553D1E27">
      <w:pP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br w:type="page"/>
      </w:r>
    </w:p>
    <w:p w14:paraId="43EEE3EF">
      <w:pPr>
        <w:pStyle w:val="6"/>
        <w:tabs>
          <w:tab w:val="clear" w:pos="840"/>
        </w:tabs>
        <w:adjustRightInd/>
        <w:snapToGrid/>
        <w:spacing w:before="120" w:after="120" w:line="500" w:lineRule="exact"/>
        <w:jc w:val="center"/>
        <w:rPr>
          <w:rFonts w:hint="eastAsia" w:ascii="仿宋_GB2312" w:hAnsi="仿宋_GB2312" w:eastAsia="仿宋_GB2312" w:cs="仿宋_GB2312"/>
          <w:color w:val="auto"/>
          <w:szCs w:val="24"/>
          <w:highlight w:val="none"/>
        </w:rPr>
      </w:pPr>
      <w:bookmarkStart w:id="109" w:name="_Toc4253"/>
      <w:r>
        <w:rPr>
          <w:rFonts w:hint="eastAsia" w:ascii="仿宋_GB2312" w:hAnsi="仿宋_GB2312" w:eastAsia="仿宋_GB2312" w:cs="仿宋_GB2312"/>
          <w:color w:val="auto"/>
          <w:szCs w:val="24"/>
          <w:highlight w:val="none"/>
        </w:rPr>
        <w:t>第五部分  评标定标办法</w:t>
      </w:r>
      <w:bookmarkEnd w:id="109"/>
    </w:p>
    <w:p w14:paraId="174D0E4C">
      <w:pPr>
        <w:overflowPunct w:val="0"/>
        <w:spacing w:line="420" w:lineRule="exact"/>
        <w:ind w:left="439" w:leftChars="209"/>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根据《中华人民共和国政府采购法》等相关法规特制定以下评标办法。</w:t>
      </w:r>
    </w:p>
    <w:p w14:paraId="2C0F03E2">
      <w:pPr>
        <w:pStyle w:val="12"/>
        <w:overflowPunct w:val="0"/>
        <w:spacing w:before="120" w:beforeLines="50" w:afterLines="50"/>
        <w:rPr>
          <w:rFonts w:hint="eastAsia" w:ascii="仿宋_GB2312" w:hAnsi="仿宋_GB2312" w:eastAsia="仿宋_GB2312" w:cs="仿宋_GB2312"/>
          <w:b/>
          <w:color w:val="auto"/>
          <w:sz w:val="24"/>
          <w:highlight w:val="none"/>
        </w:rPr>
      </w:pPr>
      <w:bookmarkStart w:id="110" w:name="_Toc221356961"/>
      <w:bookmarkStart w:id="111" w:name="_Toc221356898"/>
      <w:r>
        <w:rPr>
          <w:rFonts w:hint="eastAsia" w:ascii="仿宋_GB2312" w:hAnsi="仿宋_GB2312" w:eastAsia="仿宋_GB2312" w:cs="仿宋_GB2312"/>
          <w:b/>
          <w:color w:val="auto"/>
          <w:sz w:val="24"/>
          <w:highlight w:val="none"/>
        </w:rPr>
        <w:t>一</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 xml:space="preserve"> 总  则</w:t>
      </w:r>
      <w:bookmarkEnd w:id="110"/>
      <w:bookmarkEnd w:id="111"/>
    </w:p>
    <w:p w14:paraId="18F7951F">
      <w:pPr>
        <w:overflowPunct w:val="0"/>
        <w:spacing w:line="420" w:lineRule="exact"/>
        <w:ind w:left="439" w:leftChars="20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评标工作遵循公平、公正、科学、择优原则和诚实、信誉、效率的服务原则。本着科学、严谨的态度，认真进行评标。择优选用，推进技术进步，确保工程质量、交货期，节约投资，最大限度</w:t>
      </w:r>
      <w:r>
        <w:rPr>
          <w:rFonts w:hint="eastAsia" w:ascii="仿宋_GB2312" w:hAnsi="仿宋_GB2312" w:eastAsia="仿宋_GB2312" w:cs="仿宋_GB2312"/>
          <w:color w:val="auto"/>
          <w:sz w:val="24"/>
          <w:highlight w:val="none"/>
          <w:lang w:eastAsia="zh-CN"/>
        </w:rPr>
        <w:t>地</w:t>
      </w:r>
      <w:r>
        <w:rPr>
          <w:rFonts w:hint="eastAsia" w:ascii="仿宋_GB2312" w:hAnsi="仿宋_GB2312" w:eastAsia="仿宋_GB2312" w:cs="仿宋_GB2312"/>
          <w:color w:val="auto"/>
          <w:sz w:val="24"/>
          <w:highlight w:val="none"/>
        </w:rPr>
        <w:t>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B6F2EFA">
      <w:pPr>
        <w:pStyle w:val="12"/>
        <w:overflowPunct w:val="0"/>
        <w:spacing w:before="120" w:beforeLines="50" w:afterLines="50"/>
        <w:rPr>
          <w:rFonts w:hint="eastAsia" w:ascii="仿宋_GB2312" w:hAnsi="仿宋_GB2312" w:eastAsia="仿宋_GB2312" w:cs="仿宋_GB2312"/>
          <w:b/>
          <w:color w:val="auto"/>
          <w:sz w:val="24"/>
          <w:highlight w:val="none"/>
        </w:rPr>
      </w:pPr>
      <w:bookmarkStart w:id="112" w:name="_Toc221356899"/>
      <w:bookmarkStart w:id="113" w:name="_Toc221356962"/>
      <w:r>
        <w:rPr>
          <w:rFonts w:hint="eastAsia" w:ascii="仿宋_GB2312" w:hAnsi="仿宋_GB2312" w:eastAsia="仿宋_GB2312" w:cs="仿宋_GB2312"/>
          <w:b/>
          <w:color w:val="auto"/>
          <w:sz w:val="24"/>
          <w:highlight w:val="none"/>
        </w:rPr>
        <w:t>二、评标组织</w:t>
      </w:r>
      <w:bookmarkEnd w:id="112"/>
      <w:bookmarkEnd w:id="113"/>
    </w:p>
    <w:p w14:paraId="5F6EF4BB">
      <w:pPr>
        <w:overflowPunct w:val="0"/>
        <w:spacing w:line="4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评标工作由招标人依法组建的评标委员会负责，评标全过程由有关部门指导监督。</w:t>
      </w:r>
    </w:p>
    <w:p w14:paraId="322C91D4">
      <w:pPr>
        <w:pStyle w:val="12"/>
        <w:overflowPunct w:val="0"/>
        <w:spacing w:before="120" w:beforeLines="50" w:afterLines="50"/>
        <w:rPr>
          <w:rFonts w:hint="eastAsia" w:ascii="仿宋_GB2312" w:hAnsi="仿宋_GB2312" w:eastAsia="仿宋_GB2312" w:cs="仿宋_GB2312"/>
          <w:b/>
          <w:color w:val="auto"/>
          <w:sz w:val="24"/>
          <w:highlight w:val="none"/>
        </w:rPr>
      </w:pPr>
      <w:bookmarkStart w:id="114" w:name="_Toc221356963"/>
      <w:bookmarkStart w:id="115" w:name="_Toc221356900"/>
      <w:r>
        <w:rPr>
          <w:rFonts w:hint="eastAsia" w:ascii="仿宋_GB2312" w:hAnsi="仿宋_GB2312" w:eastAsia="仿宋_GB2312" w:cs="仿宋_GB2312"/>
          <w:b/>
          <w:color w:val="auto"/>
          <w:sz w:val="24"/>
          <w:highlight w:val="none"/>
        </w:rPr>
        <w:t>三、评标程序</w:t>
      </w:r>
      <w:bookmarkEnd w:id="114"/>
      <w:bookmarkEnd w:id="115"/>
    </w:p>
    <w:p w14:paraId="1C2AE7D8">
      <w:pPr>
        <w:overflowPunct w:val="0"/>
        <w:spacing w:line="420" w:lineRule="exact"/>
        <w:ind w:left="439" w:leftChars="20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标委员会对各投标人的投标资格进行审查；然后对合格投标人的技术资信标进行评审；技术资信标评审结束后即公布投标人技术资信得分情况，之后开商务（报价）标；对商务（报价）标评审后，根据综合评审结果，提交评审报告。</w:t>
      </w:r>
    </w:p>
    <w:p w14:paraId="2C9F9F2B">
      <w:pPr>
        <w:pStyle w:val="12"/>
        <w:overflowPunct w:val="0"/>
        <w:spacing w:before="120" w:beforeLines="50" w:afterLines="50"/>
        <w:rPr>
          <w:rFonts w:hint="eastAsia" w:ascii="仿宋_GB2312" w:hAnsi="仿宋_GB2312" w:eastAsia="仿宋_GB2312" w:cs="仿宋_GB2312"/>
          <w:b/>
          <w:color w:val="auto"/>
          <w:sz w:val="24"/>
          <w:highlight w:val="none"/>
        </w:rPr>
      </w:pPr>
      <w:bookmarkStart w:id="116" w:name="_Toc221356901"/>
      <w:bookmarkStart w:id="117" w:name="_Toc221356964"/>
      <w:r>
        <w:rPr>
          <w:rFonts w:hint="eastAsia" w:ascii="仿宋_GB2312" w:hAnsi="仿宋_GB2312" w:eastAsia="仿宋_GB2312" w:cs="仿宋_GB2312"/>
          <w:b/>
          <w:color w:val="auto"/>
          <w:sz w:val="24"/>
          <w:highlight w:val="none"/>
        </w:rPr>
        <w:t>四、评标办法</w:t>
      </w:r>
      <w:bookmarkEnd w:id="116"/>
      <w:bookmarkEnd w:id="117"/>
    </w:p>
    <w:p w14:paraId="2E52F4B7">
      <w:pPr>
        <w:overflowPunct w:val="0"/>
        <w:spacing w:line="420" w:lineRule="exact"/>
        <w:ind w:left="439" w:leftChars="20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评标办法采用百分制综合评分法，技术资信80分（技术资信权值80%），商务（报价）20分（商务（报价）权值20%）。最大限度地满足招标文件中规定的各项综合评价标准且综合得分最高的投标人，将被推荐为中标候选人。</w:t>
      </w:r>
    </w:p>
    <w:p w14:paraId="10F99A63">
      <w:pPr>
        <w:spacing w:line="42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五、评分细则</w:t>
      </w:r>
    </w:p>
    <w:p w14:paraId="4361A8BE">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技术资信部分的评定（80分）</w:t>
      </w:r>
    </w:p>
    <w:p w14:paraId="5B9FC3C0">
      <w:pPr>
        <w:spacing w:line="360" w:lineRule="exact"/>
        <w:ind w:left="439" w:leftChars="20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评标委员会针对投标人所投设备的以下几个单项内容进行评审、独立打分，所有评标专家的评分的</w:t>
      </w:r>
      <w:r>
        <w:rPr>
          <w:rFonts w:hint="eastAsia" w:ascii="仿宋_GB2312" w:hAnsi="仿宋_GB2312" w:eastAsia="仿宋_GB2312" w:cs="仿宋_GB2312"/>
          <w:color w:val="auto"/>
          <w:sz w:val="24"/>
          <w:highlight w:val="none"/>
          <w:lang w:eastAsia="zh-CN"/>
        </w:rPr>
        <w:t>算术</w:t>
      </w:r>
      <w:r>
        <w:rPr>
          <w:rFonts w:hint="eastAsia" w:ascii="仿宋_GB2312" w:hAnsi="仿宋_GB2312" w:eastAsia="仿宋_GB2312" w:cs="仿宋_GB2312"/>
          <w:color w:val="auto"/>
          <w:sz w:val="24"/>
          <w:highlight w:val="none"/>
        </w:rPr>
        <w:t>平均值即为该投标人的最终得分（四舍五入后保留小数点后2位有效数字）。</w:t>
      </w:r>
    </w:p>
    <w:tbl>
      <w:tblPr>
        <w:tblStyle w:val="6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37"/>
        <w:gridCol w:w="765"/>
        <w:gridCol w:w="6164"/>
        <w:gridCol w:w="717"/>
      </w:tblGrid>
      <w:tr w14:paraId="6806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48E8F442">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序号</w:t>
            </w:r>
          </w:p>
        </w:tc>
        <w:tc>
          <w:tcPr>
            <w:tcW w:w="1437" w:type="dxa"/>
            <w:tcBorders>
              <w:top w:val="single" w:color="auto" w:sz="4" w:space="0"/>
              <w:left w:val="nil"/>
              <w:bottom w:val="single" w:color="auto" w:sz="4" w:space="0"/>
              <w:right w:val="single" w:color="auto" w:sz="4" w:space="0"/>
            </w:tcBorders>
            <w:noWrap w:val="0"/>
            <w:vAlign w:val="center"/>
          </w:tcPr>
          <w:p w14:paraId="11198E30">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评分内容</w:t>
            </w:r>
          </w:p>
        </w:tc>
        <w:tc>
          <w:tcPr>
            <w:tcW w:w="765" w:type="dxa"/>
            <w:tcBorders>
              <w:top w:val="single" w:color="auto" w:sz="4" w:space="0"/>
              <w:left w:val="nil"/>
              <w:bottom w:val="single" w:color="auto" w:sz="4" w:space="0"/>
              <w:right w:val="single" w:color="auto" w:sz="4" w:space="0"/>
            </w:tcBorders>
            <w:noWrap w:val="0"/>
            <w:vAlign w:val="center"/>
          </w:tcPr>
          <w:p w14:paraId="4D3F0134">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满分</w:t>
            </w:r>
          </w:p>
        </w:tc>
        <w:tc>
          <w:tcPr>
            <w:tcW w:w="6164" w:type="dxa"/>
            <w:tcBorders>
              <w:top w:val="single" w:color="auto" w:sz="4" w:space="0"/>
              <w:left w:val="nil"/>
              <w:bottom w:val="single" w:color="auto" w:sz="4" w:space="0"/>
              <w:right w:val="single" w:color="auto" w:sz="4" w:space="0"/>
            </w:tcBorders>
            <w:noWrap w:val="0"/>
            <w:vAlign w:val="center"/>
          </w:tcPr>
          <w:p w14:paraId="21EAE0A5">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评审标准</w:t>
            </w:r>
          </w:p>
        </w:tc>
        <w:tc>
          <w:tcPr>
            <w:tcW w:w="717" w:type="dxa"/>
            <w:tcBorders>
              <w:top w:val="single" w:color="auto" w:sz="4" w:space="0"/>
              <w:left w:val="nil"/>
              <w:bottom w:val="single" w:color="auto" w:sz="4" w:space="0"/>
              <w:right w:val="single" w:color="auto" w:sz="4" w:space="0"/>
            </w:tcBorders>
            <w:noWrap w:val="0"/>
            <w:vAlign w:val="center"/>
          </w:tcPr>
          <w:p w14:paraId="6FD26F0B">
            <w:pPr>
              <w:autoSpaceDE w:val="0"/>
              <w:autoSpaceDN w:val="0"/>
              <w:adjustRightInd w:val="0"/>
              <w:snapToGrid w:val="0"/>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备注</w:t>
            </w:r>
          </w:p>
        </w:tc>
      </w:tr>
      <w:tr w14:paraId="14DB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4E12C4FB">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w:t>
            </w:r>
          </w:p>
        </w:tc>
        <w:tc>
          <w:tcPr>
            <w:tcW w:w="1437" w:type="dxa"/>
            <w:tcBorders>
              <w:top w:val="single" w:color="auto" w:sz="4" w:space="0"/>
              <w:left w:val="nil"/>
              <w:bottom w:val="single" w:color="auto" w:sz="4" w:space="0"/>
              <w:right w:val="single" w:color="auto" w:sz="4" w:space="0"/>
            </w:tcBorders>
            <w:noWrap w:val="0"/>
            <w:vAlign w:val="center"/>
          </w:tcPr>
          <w:p w14:paraId="067F5ABB">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投标人综合实力</w:t>
            </w:r>
          </w:p>
        </w:tc>
        <w:tc>
          <w:tcPr>
            <w:tcW w:w="765" w:type="dxa"/>
            <w:tcBorders>
              <w:top w:val="single" w:color="auto" w:sz="4" w:space="0"/>
              <w:left w:val="nil"/>
              <w:bottom w:val="single" w:color="auto" w:sz="4" w:space="0"/>
              <w:right w:val="single" w:color="auto" w:sz="4" w:space="0"/>
            </w:tcBorders>
            <w:noWrap w:val="0"/>
            <w:vAlign w:val="center"/>
          </w:tcPr>
          <w:p w14:paraId="59E8E806">
            <w:pPr>
              <w:autoSpaceDE w:val="0"/>
              <w:autoSpaceDN w:val="0"/>
              <w:adjustRightInd w:val="0"/>
              <w:snapToGrid w:val="0"/>
              <w:jc w:val="center"/>
              <w:outlineLvl w:val="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lang w:val="en-US" w:eastAsia="zh-CN"/>
              </w:rPr>
              <w:t>2</w:t>
            </w:r>
          </w:p>
        </w:tc>
        <w:tc>
          <w:tcPr>
            <w:tcW w:w="6164" w:type="dxa"/>
            <w:tcBorders>
              <w:top w:val="single" w:color="auto" w:sz="4" w:space="0"/>
              <w:left w:val="nil"/>
              <w:bottom w:val="single" w:color="auto" w:sz="4" w:space="0"/>
              <w:right w:val="single" w:color="auto" w:sz="4" w:space="0"/>
            </w:tcBorders>
            <w:noWrap w:val="0"/>
            <w:vAlign w:val="center"/>
          </w:tcPr>
          <w:p w14:paraId="4D7A99B0">
            <w:pPr>
              <w:autoSpaceDE w:val="0"/>
              <w:autoSpaceDN w:val="0"/>
              <w:adjustRightInd w:val="0"/>
              <w:snapToGrid w:val="0"/>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snapToGrid w:val="0"/>
                <w:color w:val="auto"/>
                <w:kern w:val="0"/>
                <w:sz w:val="22"/>
                <w:szCs w:val="22"/>
                <w:highlight w:val="none"/>
              </w:rPr>
              <w:t>具有有效期内的信息技术服务运行维护（ITSS）；质量管理体系认证证书；信息安全管理体系认证证书；</w:t>
            </w:r>
            <w:r>
              <w:rPr>
                <w:rFonts w:hint="eastAsia" w:ascii="仿宋_GB2312" w:hAnsi="仿宋_GB2312" w:eastAsia="仿宋_GB2312" w:cs="仿宋_GB2312"/>
                <w:color w:val="auto"/>
                <w:sz w:val="24"/>
                <w:szCs w:val="24"/>
                <w:highlight w:val="none"/>
              </w:rPr>
              <w:t>业务连续性管理体系认证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Cs/>
                <w:snapToGrid w:val="0"/>
                <w:color w:val="auto"/>
                <w:kern w:val="0"/>
                <w:sz w:val="22"/>
                <w:szCs w:val="22"/>
                <w:highlight w:val="none"/>
              </w:rPr>
              <w:t>每具备1项得</w:t>
            </w:r>
            <w:r>
              <w:rPr>
                <w:rFonts w:hint="eastAsia" w:ascii="仿宋_GB2312" w:hAnsi="仿宋_GB2312" w:eastAsia="仿宋_GB2312" w:cs="仿宋_GB2312"/>
                <w:bCs/>
                <w:snapToGrid w:val="0"/>
                <w:color w:val="auto"/>
                <w:kern w:val="0"/>
                <w:sz w:val="22"/>
                <w:szCs w:val="22"/>
                <w:highlight w:val="none"/>
                <w:lang w:val="en-US" w:eastAsia="zh-CN"/>
              </w:rPr>
              <w:t>0.5</w:t>
            </w:r>
            <w:r>
              <w:rPr>
                <w:rFonts w:hint="eastAsia" w:ascii="仿宋_GB2312" w:hAnsi="仿宋_GB2312" w:eastAsia="仿宋_GB2312" w:cs="仿宋_GB2312"/>
                <w:bCs/>
                <w:snapToGrid w:val="0"/>
                <w:color w:val="auto"/>
                <w:kern w:val="0"/>
                <w:sz w:val="22"/>
                <w:szCs w:val="22"/>
                <w:highlight w:val="none"/>
              </w:rPr>
              <w:t>分，最高得</w:t>
            </w:r>
            <w:r>
              <w:rPr>
                <w:rFonts w:hint="eastAsia" w:ascii="仿宋_GB2312" w:hAnsi="仿宋_GB2312" w:eastAsia="仿宋_GB2312" w:cs="仿宋_GB2312"/>
                <w:bCs/>
                <w:snapToGrid w:val="0"/>
                <w:color w:val="auto"/>
                <w:kern w:val="0"/>
                <w:sz w:val="22"/>
                <w:szCs w:val="22"/>
                <w:highlight w:val="none"/>
                <w:lang w:val="en-US" w:eastAsia="zh-CN"/>
              </w:rPr>
              <w:t>2</w:t>
            </w:r>
            <w:r>
              <w:rPr>
                <w:rFonts w:hint="eastAsia" w:ascii="仿宋_GB2312" w:hAnsi="仿宋_GB2312" w:eastAsia="仿宋_GB2312" w:cs="仿宋_GB2312"/>
                <w:bCs/>
                <w:snapToGrid w:val="0"/>
                <w:color w:val="auto"/>
                <w:kern w:val="0"/>
                <w:sz w:val="22"/>
                <w:szCs w:val="22"/>
                <w:highlight w:val="none"/>
              </w:rPr>
              <w:t>分。</w:t>
            </w:r>
            <w:r>
              <w:rPr>
                <w:rFonts w:hint="eastAsia" w:ascii="仿宋_GB2312" w:hAnsi="仿宋_GB2312" w:eastAsia="仿宋_GB2312" w:cs="仿宋_GB2312"/>
                <w:b/>
                <w:bCs/>
                <w:color w:val="auto"/>
                <w:kern w:val="0"/>
                <w:sz w:val="22"/>
                <w:szCs w:val="22"/>
                <w:highlight w:val="none"/>
                <w:lang w:bidi="ar"/>
              </w:rPr>
              <w:t>（投标文件中提供有效证书，否则不得分。）</w:t>
            </w:r>
          </w:p>
        </w:tc>
        <w:tc>
          <w:tcPr>
            <w:tcW w:w="717" w:type="dxa"/>
            <w:tcBorders>
              <w:top w:val="single" w:color="auto" w:sz="4" w:space="0"/>
              <w:left w:val="nil"/>
              <w:bottom w:val="single" w:color="auto" w:sz="4" w:space="0"/>
              <w:right w:val="single" w:color="auto" w:sz="4" w:space="0"/>
            </w:tcBorders>
            <w:noWrap w:val="0"/>
            <w:vAlign w:val="center"/>
          </w:tcPr>
          <w:p w14:paraId="50E33CFB">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0064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7782E591">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p>
        </w:tc>
        <w:tc>
          <w:tcPr>
            <w:tcW w:w="1437" w:type="dxa"/>
            <w:tcBorders>
              <w:top w:val="single" w:color="auto" w:sz="4" w:space="0"/>
              <w:left w:val="nil"/>
              <w:bottom w:val="single" w:color="auto" w:sz="4" w:space="0"/>
              <w:right w:val="single" w:color="auto" w:sz="4" w:space="0"/>
            </w:tcBorders>
            <w:noWrap w:val="0"/>
            <w:vAlign w:val="center"/>
          </w:tcPr>
          <w:p w14:paraId="2D6B873C">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同类服务项目业绩</w:t>
            </w:r>
          </w:p>
        </w:tc>
        <w:tc>
          <w:tcPr>
            <w:tcW w:w="765" w:type="dxa"/>
            <w:tcBorders>
              <w:top w:val="single" w:color="auto" w:sz="4" w:space="0"/>
              <w:left w:val="nil"/>
              <w:bottom w:val="single" w:color="auto" w:sz="4" w:space="0"/>
              <w:right w:val="single" w:color="auto" w:sz="4" w:space="0"/>
            </w:tcBorders>
            <w:noWrap w:val="0"/>
            <w:vAlign w:val="center"/>
          </w:tcPr>
          <w:p w14:paraId="6D5BEA26">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p>
        </w:tc>
        <w:tc>
          <w:tcPr>
            <w:tcW w:w="6164" w:type="dxa"/>
            <w:tcBorders>
              <w:top w:val="single" w:color="auto" w:sz="4" w:space="0"/>
              <w:left w:val="nil"/>
              <w:bottom w:val="single" w:color="auto" w:sz="4" w:space="0"/>
              <w:right w:val="single" w:color="auto" w:sz="4" w:space="0"/>
            </w:tcBorders>
            <w:noWrap w:val="0"/>
            <w:vAlign w:val="center"/>
          </w:tcPr>
          <w:p w14:paraId="6959BA8E">
            <w:pPr>
              <w:autoSpaceDE w:val="0"/>
              <w:autoSpaceDN w:val="0"/>
              <w:adjustRightInd w:val="0"/>
              <w:snapToGrid w:val="0"/>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投标人提供2021年1月1日以来（以合同签订时间为准）签订的同类项目合同业绩，每提供一个得1分，最高得2分。</w:t>
            </w:r>
            <w:r>
              <w:rPr>
                <w:rFonts w:hint="eastAsia" w:ascii="仿宋_GB2312" w:hAnsi="仿宋_GB2312" w:eastAsia="仿宋_GB2312" w:cs="仿宋_GB2312"/>
                <w:b/>
                <w:bCs/>
                <w:color w:val="auto"/>
                <w:sz w:val="24"/>
                <w:highlight w:val="none"/>
              </w:rPr>
              <w:t>（提供合同复印件，否则不得分。）</w:t>
            </w:r>
          </w:p>
        </w:tc>
        <w:tc>
          <w:tcPr>
            <w:tcW w:w="717" w:type="dxa"/>
            <w:tcBorders>
              <w:top w:val="single" w:color="auto" w:sz="4" w:space="0"/>
              <w:left w:val="nil"/>
              <w:bottom w:val="single" w:color="auto" w:sz="4" w:space="0"/>
              <w:right w:val="single" w:color="auto" w:sz="4" w:space="0"/>
            </w:tcBorders>
            <w:noWrap w:val="0"/>
            <w:vAlign w:val="center"/>
          </w:tcPr>
          <w:p w14:paraId="34D78053">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31BD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6FFFD62D">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w:t>
            </w:r>
          </w:p>
        </w:tc>
        <w:tc>
          <w:tcPr>
            <w:tcW w:w="1437" w:type="dxa"/>
            <w:tcBorders>
              <w:top w:val="single" w:color="auto" w:sz="4" w:space="0"/>
              <w:left w:val="nil"/>
              <w:bottom w:val="single" w:color="auto" w:sz="4" w:space="0"/>
              <w:right w:val="single" w:color="auto" w:sz="4" w:space="0"/>
            </w:tcBorders>
            <w:noWrap w:val="0"/>
            <w:vAlign w:val="center"/>
          </w:tcPr>
          <w:p w14:paraId="06334F21">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人员配备情况</w:t>
            </w:r>
          </w:p>
        </w:tc>
        <w:tc>
          <w:tcPr>
            <w:tcW w:w="765" w:type="dxa"/>
            <w:tcBorders>
              <w:top w:val="single" w:color="auto" w:sz="4" w:space="0"/>
              <w:left w:val="nil"/>
              <w:bottom w:val="single" w:color="auto" w:sz="4" w:space="0"/>
              <w:right w:val="single" w:color="auto" w:sz="4" w:space="0"/>
            </w:tcBorders>
            <w:noWrap w:val="0"/>
            <w:vAlign w:val="center"/>
          </w:tcPr>
          <w:p w14:paraId="347AE7F5">
            <w:pPr>
              <w:autoSpaceDE w:val="0"/>
              <w:autoSpaceDN w:val="0"/>
              <w:adjustRightInd w:val="0"/>
              <w:snapToGrid w:val="0"/>
              <w:jc w:val="center"/>
              <w:outlineLvl w:val="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1</w:t>
            </w:r>
            <w:r>
              <w:rPr>
                <w:rFonts w:hint="eastAsia" w:ascii="仿宋_GB2312" w:hAnsi="仿宋_GB2312" w:eastAsia="仿宋_GB2312" w:cs="仿宋_GB2312"/>
                <w:bCs/>
                <w:color w:val="auto"/>
                <w:sz w:val="24"/>
                <w:highlight w:val="none"/>
                <w:lang w:val="en-US" w:eastAsia="zh-CN"/>
              </w:rPr>
              <w:t>2</w:t>
            </w:r>
          </w:p>
        </w:tc>
        <w:tc>
          <w:tcPr>
            <w:tcW w:w="6164" w:type="dxa"/>
            <w:tcBorders>
              <w:top w:val="single" w:color="auto" w:sz="4" w:space="0"/>
              <w:left w:val="nil"/>
              <w:bottom w:val="single" w:color="auto" w:sz="4" w:space="0"/>
              <w:right w:val="single" w:color="auto" w:sz="4" w:space="0"/>
            </w:tcBorders>
            <w:noWrap w:val="0"/>
            <w:vAlign w:val="center"/>
          </w:tcPr>
          <w:p w14:paraId="3D640D63">
            <w:pPr>
              <w:adjustRightInd w:val="0"/>
              <w:snapToGrid w:val="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拟派人员情况：</w:t>
            </w:r>
          </w:p>
          <w:p w14:paraId="0C73B6BD">
            <w:pPr>
              <w:keepNext w:val="0"/>
              <w:keepLines w:val="0"/>
              <w:suppressLineNumbers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color w:val="auto"/>
                <w:kern w:val="2"/>
                <w:sz w:val="24"/>
                <w:szCs w:val="24"/>
                <w:highlight w:val="none"/>
                <w:lang w:bidi="ar"/>
              </w:rPr>
            </w:pPr>
            <w:r>
              <w:rPr>
                <w:rFonts w:hint="eastAsia" w:ascii="仿宋_GB2312" w:hAnsi="仿宋_GB2312" w:eastAsia="仿宋_GB2312" w:cs="仿宋_GB2312"/>
                <w:color w:val="auto"/>
                <w:kern w:val="2"/>
                <w:sz w:val="24"/>
                <w:szCs w:val="24"/>
                <w:highlight w:val="none"/>
                <w:lang w:bidi="ar"/>
              </w:rPr>
              <w:t>1、项目负责人（一名）需具有信创规划管理师，信息系统项目管理师，通信工程师（终端与业务），每提供一个得1分，最高得</w:t>
            </w:r>
            <w:r>
              <w:rPr>
                <w:rFonts w:hint="eastAsia" w:ascii="仿宋_GB2312" w:hAnsi="仿宋_GB2312" w:eastAsia="仿宋_GB2312" w:cs="仿宋_GB2312"/>
                <w:color w:val="auto"/>
                <w:kern w:val="2"/>
                <w:sz w:val="24"/>
                <w:szCs w:val="24"/>
                <w:highlight w:val="none"/>
                <w:lang w:val="en-US" w:eastAsia="zh-CN" w:bidi="ar"/>
              </w:rPr>
              <w:t>3</w:t>
            </w:r>
            <w:r>
              <w:rPr>
                <w:rFonts w:hint="eastAsia" w:ascii="仿宋_GB2312" w:hAnsi="仿宋_GB2312" w:eastAsia="仿宋_GB2312" w:cs="仿宋_GB2312"/>
                <w:color w:val="auto"/>
                <w:kern w:val="2"/>
                <w:sz w:val="24"/>
                <w:szCs w:val="24"/>
                <w:highlight w:val="none"/>
                <w:lang w:bidi="ar"/>
              </w:rPr>
              <w:t>分。</w:t>
            </w:r>
          </w:p>
          <w:p w14:paraId="0F8DBC44">
            <w:pPr>
              <w:keepNext w:val="0"/>
              <w:keepLines w:val="0"/>
              <w:suppressLineNumbers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color w:val="auto"/>
                <w:kern w:val="2"/>
                <w:sz w:val="24"/>
                <w:szCs w:val="24"/>
                <w:highlight w:val="none"/>
                <w:lang w:bidi="ar"/>
              </w:rPr>
            </w:pPr>
            <w:r>
              <w:rPr>
                <w:rFonts w:hint="eastAsia" w:ascii="仿宋_GB2312" w:hAnsi="仿宋_GB2312" w:eastAsia="仿宋_GB2312" w:cs="仿宋_GB2312"/>
                <w:color w:val="auto"/>
                <w:kern w:val="2"/>
                <w:sz w:val="24"/>
                <w:szCs w:val="24"/>
                <w:highlight w:val="none"/>
                <w:lang w:bidi="ar"/>
              </w:rPr>
              <w:t>2、技术负责人（一名）需具有高级工程师</w:t>
            </w:r>
            <w:r>
              <w:rPr>
                <w:rFonts w:hint="eastAsia" w:ascii="仿宋_GB2312" w:hAnsi="仿宋_GB2312" w:eastAsia="仿宋_GB2312" w:cs="仿宋_GB2312"/>
                <w:color w:val="auto"/>
                <w:kern w:val="2"/>
                <w:sz w:val="24"/>
                <w:szCs w:val="24"/>
                <w:highlight w:val="none"/>
                <w:lang w:val="en-US" w:eastAsia="zh-CN" w:bidi="ar"/>
              </w:rPr>
              <w:t>[</w:t>
            </w:r>
            <w:r>
              <w:rPr>
                <w:rFonts w:hint="eastAsia" w:ascii="仿宋_GB2312" w:hAnsi="仿宋_GB2312" w:eastAsia="仿宋_GB2312" w:cs="仿宋_GB2312"/>
                <w:color w:val="auto"/>
                <w:kern w:val="2"/>
                <w:sz w:val="24"/>
                <w:szCs w:val="24"/>
                <w:highlight w:val="none"/>
                <w:lang w:bidi="ar"/>
              </w:rPr>
              <w:t>信息技术（技术开发）</w:t>
            </w:r>
            <w:r>
              <w:rPr>
                <w:rFonts w:hint="eastAsia" w:ascii="仿宋_GB2312" w:hAnsi="仿宋_GB2312" w:eastAsia="仿宋_GB2312" w:cs="仿宋_GB2312"/>
                <w:color w:val="auto"/>
                <w:kern w:val="2"/>
                <w:sz w:val="24"/>
                <w:szCs w:val="24"/>
                <w:highlight w:val="none"/>
                <w:lang w:val="en-US" w:eastAsia="zh-CN" w:bidi="ar"/>
              </w:rPr>
              <w:t>]</w:t>
            </w:r>
            <w:r>
              <w:rPr>
                <w:rFonts w:hint="eastAsia" w:ascii="仿宋_GB2312" w:hAnsi="仿宋_GB2312" w:eastAsia="仿宋_GB2312" w:cs="仿宋_GB2312"/>
                <w:color w:val="auto"/>
                <w:kern w:val="2"/>
                <w:sz w:val="24"/>
                <w:szCs w:val="24"/>
                <w:highlight w:val="none"/>
                <w:lang w:bidi="ar"/>
              </w:rPr>
              <w:t>、信创集成项目管理师、系统架构设计师，每提供一个得1分，最高得</w:t>
            </w:r>
            <w:r>
              <w:rPr>
                <w:rFonts w:hint="eastAsia" w:ascii="仿宋_GB2312" w:hAnsi="仿宋_GB2312" w:eastAsia="仿宋_GB2312" w:cs="仿宋_GB2312"/>
                <w:color w:val="auto"/>
                <w:kern w:val="2"/>
                <w:sz w:val="24"/>
                <w:szCs w:val="24"/>
                <w:highlight w:val="none"/>
                <w:lang w:val="en-US" w:eastAsia="zh-CN" w:bidi="ar"/>
              </w:rPr>
              <w:t>3</w:t>
            </w:r>
            <w:r>
              <w:rPr>
                <w:rFonts w:hint="eastAsia" w:ascii="仿宋_GB2312" w:hAnsi="仿宋_GB2312" w:eastAsia="仿宋_GB2312" w:cs="仿宋_GB2312"/>
                <w:color w:val="auto"/>
                <w:kern w:val="2"/>
                <w:sz w:val="24"/>
                <w:szCs w:val="24"/>
                <w:highlight w:val="none"/>
                <w:lang w:bidi="ar"/>
              </w:rPr>
              <w:t>分。</w:t>
            </w:r>
          </w:p>
          <w:p w14:paraId="200906E6">
            <w:pPr>
              <w:keepNext w:val="0"/>
              <w:keepLines w:val="0"/>
              <w:suppressLineNumbers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color w:val="auto"/>
                <w:kern w:val="2"/>
                <w:sz w:val="24"/>
                <w:szCs w:val="24"/>
                <w:highlight w:val="none"/>
                <w:lang w:bidi="ar"/>
              </w:rPr>
            </w:pPr>
            <w:r>
              <w:rPr>
                <w:rFonts w:hint="eastAsia" w:ascii="仿宋_GB2312" w:hAnsi="仿宋_GB2312" w:eastAsia="仿宋_GB2312" w:cs="仿宋_GB2312"/>
                <w:color w:val="auto"/>
                <w:kern w:val="2"/>
                <w:sz w:val="24"/>
                <w:szCs w:val="24"/>
                <w:highlight w:val="none"/>
                <w:lang w:bidi="ar"/>
              </w:rPr>
              <w:t>3、安全负责人（一名）需具有</w:t>
            </w:r>
            <w:r>
              <w:rPr>
                <w:rFonts w:hint="eastAsia" w:ascii="仿宋_GB2312" w:hAnsi="仿宋_GB2312" w:eastAsia="仿宋_GB2312" w:cs="仿宋_GB2312"/>
                <w:color w:val="auto"/>
                <w:kern w:val="2"/>
                <w:sz w:val="24"/>
                <w:szCs w:val="24"/>
                <w:highlight w:val="none"/>
                <w:lang w:val="en-US" w:eastAsia="zh-CN" w:bidi="ar"/>
              </w:rPr>
              <w:t>信息安全管理师（软考）、</w:t>
            </w:r>
            <w:r>
              <w:rPr>
                <w:rFonts w:hint="eastAsia" w:ascii="仿宋_GB2312" w:hAnsi="仿宋_GB2312" w:eastAsia="仿宋_GB2312" w:cs="仿宋_GB2312"/>
                <w:color w:val="auto"/>
                <w:kern w:val="2"/>
                <w:sz w:val="24"/>
                <w:szCs w:val="24"/>
                <w:highlight w:val="none"/>
                <w:lang w:bidi="ar"/>
              </w:rPr>
              <w:t>网络规划设计师、信创集成系统管理师，每提供一个得1分，最高得</w:t>
            </w:r>
            <w:r>
              <w:rPr>
                <w:rFonts w:hint="eastAsia" w:ascii="仿宋_GB2312" w:hAnsi="仿宋_GB2312" w:eastAsia="仿宋_GB2312" w:cs="仿宋_GB2312"/>
                <w:color w:val="auto"/>
                <w:kern w:val="2"/>
                <w:sz w:val="24"/>
                <w:szCs w:val="24"/>
                <w:highlight w:val="none"/>
                <w:lang w:val="en-US" w:eastAsia="zh-CN" w:bidi="ar"/>
              </w:rPr>
              <w:t>3</w:t>
            </w:r>
            <w:r>
              <w:rPr>
                <w:rFonts w:hint="eastAsia" w:ascii="仿宋_GB2312" w:hAnsi="仿宋_GB2312" w:eastAsia="仿宋_GB2312" w:cs="仿宋_GB2312"/>
                <w:color w:val="auto"/>
                <w:kern w:val="2"/>
                <w:sz w:val="24"/>
                <w:szCs w:val="24"/>
                <w:highlight w:val="none"/>
                <w:lang w:bidi="ar"/>
              </w:rPr>
              <w:t>分。</w:t>
            </w:r>
          </w:p>
          <w:p w14:paraId="10E119CE">
            <w:pPr>
              <w:keepNext w:val="0"/>
              <w:keepLines w:val="0"/>
              <w:suppressLineNumbers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color w:val="auto"/>
                <w:kern w:val="2"/>
                <w:sz w:val="24"/>
                <w:szCs w:val="24"/>
                <w:highlight w:val="none"/>
                <w:lang w:eastAsia="zh-CN" w:bidi="ar"/>
              </w:rPr>
            </w:pPr>
            <w:r>
              <w:rPr>
                <w:rFonts w:hint="eastAsia" w:ascii="仿宋_GB2312" w:hAnsi="仿宋_GB2312" w:eastAsia="仿宋_GB2312" w:cs="仿宋_GB2312"/>
                <w:color w:val="auto"/>
                <w:kern w:val="2"/>
                <w:sz w:val="24"/>
                <w:szCs w:val="24"/>
                <w:highlight w:val="none"/>
                <w:lang w:bidi="ar"/>
              </w:rPr>
              <w:t>4、项目组成员（除项目负责人、技术负责人、安全负责人外）需具有系统分析师、软件设计师</w:t>
            </w:r>
            <w:r>
              <w:rPr>
                <w:rFonts w:hint="eastAsia" w:ascii="仿宋_GB2312" w:hAnsi="仿宋_GB2312" w:eastAsia="仿宋_GB2312" w:cs="仿宋_GB2312"/>
                <w:color w:val="auto"/>
                <w:kern w:val="2"/>
                <w:sz w:val="24"/>
                <w:szCs w:val="24"/>
                <w:highlight w:val="none"/>
                <w:lang w:eastAsia="zh-CN" w:bidi="ar"/>
              </w:rPr>
              <w:t>、</w:t>
            </w:r>
            <w:r>
              <w:rPr>
                <w:rFonts w:hint="eastAsia" w:ascii="仿宋_GB2312" w:hAnsi="仿宋_GB2312" w:eastAsia="仿宋_GB2312" w:cs="仿宋_GB2312"/>
                <w:color w:val="auto"/>
                <w:kern w:val="2"/>
                <w:sz w:val="24"/>
                <w:szCs w:val="24"/>
                <w:highlight w:val="none"/>
                <w:lang w:val="en-US" w:eastAsia="zh-CN" w:bidi="ar"/>
              </w:rPr>
              <w:t>一级建造师、特种作业操作</w:t>
            </w:r>
            <w:r>
              <w:rPr>
                <w:rFonts w:hint="eastAsia" w:ascii="Times New Roman" w:hAnsi="Times New Roman" w:eastAsia="宋体" w:cs="宋体"/>
                <w:color w:val="auto"/>
                <w:kern w:val="0"/>
                <w:sz w:val="22"/>
                <w:szCs w:val="22"/>
                <w:highlight w:val="none"/>
                <w:lang w:val="en-US" w:eastAsia="zh-CN" w:bidi="ar"/>
              </w:rPr>
              <w:t>（电工或高空作业）证</w:t>
            </w:r>
            <w:r>
              <w:rPr>
                <w:rFonts w:hint="eastAsia" w:ascii="仿宋_GB2312" w:hAnsi="仿宋_GB2312" w:eastAsia="仿宋_GB2312" w:cs="仿宋_GB2312"/>
                <w:color w:val="auto"/>
                <w:kern w:val="2"/>
                <w:sz w:val="24"/>
                <w:szCs w:val="24"/>
                <w:highlight w:val="none"/>
                <w:lang w:bidi="ar"/>
              </w:rPr>
              <w:t>每提供一个得</w:t>
            </w:r>
            <w:r>
              <w:rPr>
                <w:rFonts w:hint="eastAsia" w:ascii="仿宋_GB2312" w:hAnsi="仿宋_GB2312" w:eastAsia="仿宋_GB2312" w:cs="仿宋_GB2312"/>
                <w:color w:val="auto"/>
                <w:kern w:val="2"/>
                <w:sz w:val="24"/>
                <w:szCs w:val="24"/>
                <w:highlight w:val="none"/>
                <w:lang w:val="en-US" w:eastAsia="zh-CN" w:bidi="ar"/>
              </w:rPr>
              <w:t>1</w:t>
            </w:r>
            <w:r>
              <w:rPr>
                <w:rFonts w:hint="eastAsia" w:ascii="仿宋_GB2312" w:hAnsi="仿宋_GB2312" w:eastAsia="仿宋_GB2312" w:cs="仿宋_GB2312"/>
                <w:color w:val="auto"/>
                <w:kern w:val="2"/>
                <w:sz w:val="24"/>
                <w:szCs w:val="24"/>
                <w:highlight w:val="none"/>
                <w:lang w:bidi="ar"/>
              </w:rPr>
              <w:t>分，最高得</w:t>
            </w:r>
            <w:r>
              <w:rPr>
                <w:rFonts w:hint="eastAsia" w:ascii="仿宋_GB2312" w:hAnsi="仿宋_GB2312" w:eastAsia="仿宋_GB2312" w:cs="仿宋_GB2312"/>
                <w:color w:val="auto"/>
                <w:kern w:val="2"/>
                <w:sz w:val="24"/>
                <w:szCs w:val="24"/>
                <w:highlight w:val="none"/>
                <w:lang w:val="en-US" w:eastAsia="zh-CN" w:bidi="ar"/>
              </w:rPr>
              <w:t>3</w:t>
            </w:r>
            <w:r>
              <w:rPr>
                <w:rFonts w:hint="eastAsia" w:ascii="仿宋_GB2312" w:hAnsi="仿宋_GB2312" w:eastAsia="仿宋_GB2312" w:cs="仿宋_GB2312"/>
                <w:color w:val="auto"/>
                <w:kern w:val="2"/>
                <w:sz w:val="24"/>
                <w:szCs w:val="24"/>
                <w:highlight w:val="none"/>
                <w:lang w:bidi="ar"/>
              </w:rPr>
              <w:t>分。</w:t>
            </w:r>
            <w:r>
              <w:rPr>
                <w:rFonts w:hint="eastAsia" w:ascii="仿宋_GB2312" w:hAnsi="仿宋_GB2312" w:eastAsia="仿宋_GB2312" w:cs="仿宋_GB2312"/>
                <w:color w:val="auto"/>
                <w:kern w:val="2"/>
                <w:sz w:val="24"/>
                <w:szCs w:val="24"/>
                <w:highlight w:val="none"/>
                <w:lang w:eastAsia="zh-CN" w:bidi="ar"/>
              </w:rPr>
              <w:t>（</w:t>
            </w:r>
            <w:r>
              <w:rPr>
                <w:rFonts w:hint="eastAsia" w:ascii="仿宋_GB2312" w:hAnsi="仿宋_GB2312" w:eastAsia="仿宋_GB2312" w:cs="仿宋_GB2312"/>
                <w:color w:val="auto"/>
                <w:sz w:val="24"/>
                <w:highlight w:val="none"/>
              </w:rPr>
              <w:t>同一人具有多个证书只能计一个</w:t>
            </w:r>
            <w:r>
              <w:rPr>
                <w:rFonts w:hint="eastAsia" w:ascii="仿宋_GB2312" w:hAnsi="仿宋_GB2312" w:eastAsia="仿宋_GB2312" w:cs="仿宋_GB2312"/>
                <w:color w:val="auto"/>
                <w:kern w:val="2"/>
                <w:sz w:val="24"/>
                <w:szCs w:val="24"/>
                <w:highlight w:val="none"/>
                <w:lang w:eastAsia="zh-CN" w:bidi="ar"/>
              </w:rPr>
              <w:t>）</w:t>
            </w:r>
          </w:p>
          <w:p w14:paraId="54857D46">
            <w:pPr>
              <w:adjustRightInd w:val="0"/>
              <w:snapToGrid w:val="0"/>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注：需提供相关职称资格证书复印件及所在投标单位近三个月任意一个月缴纳社保证明，否则不得分。</w:t>
            </w:r>
          </w:p>
        </w:tc>
        <w:tc>
          <w:tcPr>
            <w:tcW w:w="717" w:type="dxa"/>
            <w:tcBorders>
              <w:top w:val="single" w:color="auto" w:sz="4" w:space="0"/>
              <w:left w:val="nil"/>
              <w:bottom w:val="single" w:color="auto" w:sz="4" w:space="0"/>
              <w:right w:val="single" w:color="auto" w:sz="4" w:space="0"/>
            </w:tcBorders>
            <w:noWrap w:val="0"/>
            <w:vAlign w:val="center"/>
          </w:tcPr>
          <w:p w14:paraId="12683400">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1EF2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tcBorders>
              <w:top w:val="nil"/>
              <w:left w:val="single" w:color="auto" w:sz="4" w:space="0"/>
              <w:bottom w:val="single" w:color="auto" w:sz="4" w:space="0"/>
              <w:right w:val="single" w:color="auto" w:sz="4" w:space="0"/>
            </w:tcBorders>
            <w:noWrap w:val="0"/>
            <w:vAlign w:val="center"/>
          </w:tcPr>
          <w:p w14:paraId="63A4442C">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w:t>
            </w:r>
          </w:p>
        </w:tc>
        <w:tc>
          <w:tcPr>
            <w:tcW w:w="1437" w:type="dxa"/>
            <w:vMerge w:val="restart"/>
            <w:tcBorders>
              <w:top w:val="nil"/>
              <w:left w:val="nil"/>
              <w:bottom w:val="single" w:color="auto" w:sz="4" w:space="0"/>
              <w:right w:val="single" w:color="auto" w:sz="4" w:space="0"/>
            </w:tcBorders>
            <w:noWrap w:val="0"/>
            <w:vAlign w:val="center"/>
          </w:tcPr>
          <w:p w14:paraId="5E0E81F6">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技术服务方案</w:t>
            </w:r>
          </w:p>
        </w:tc>
        <w:tc>
          <w:tcPr>
            <w:tcW w:w="765" w:type="dxa"/>
            <w:tcBorders>
              <w:top w:val="single" w:color="auto" w:sz="4" w:space="0"/>
              <w:left w:val="nil"/>
              <w:bottom w:val="single" w:color="auto" w:sz="4" w:space="0"/>
              <w:right w:val="single" w:color="auto" w:sz="4" w:space="0"/>
            </w:tcBorders>
            <w:noWrap w:val="0"/>
            <w:vAlign w:val="center"/>
          </w:tcPr>
          <w:p w14:paraId="1B6F9CCA">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w:t>
            </w:r>
          </w:p>
        </w:tc>
        <w:tc>
          <w:tcPr>
            <w:tcW w:w="6164" w:type="dxa"/>
            <w:tcBorders>
              <w:top w:val="single" w:color="auto" w:sz="4" w:space="0"/>
              <w:left w:val="nil"/>
              <w:bottom w:val="single" w:color="auto" w:sz="4" w:space="0"/>
              <w:right w:val="single" w:color="auto" w:sz="4" w:space="0"/>
            </w:tcBorders>
            <w:noWrap w:val="0"/>
            <w:vAlign w:val="center"/>
          </w:tcPr>
          <w:p w14:paraId="26A7222A">
            <w:pPr>
              <w:widowControl/>
              <w:autoSpaceDE w:val="0"/>
              <w:autoSpaceDN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color w:val="auto"/>
                <w:sz w:val="24"/>
                <w:szCs w:val="24"/>
                <w:highlight w:val="none"/>
                <w:lang w:val="zh-CN"/>
              </w:rPr>
              <w:t>根据招标文件提出的要求，技术方案合理，叙述准确，</w:t>
            </w:r>
            <w:r>
              <w:rPr>
                <w:rFonts w:hint="eastAsia" w:ascii="仿宋_GB2312" w:hAnsi="仿宋_GB2312" w:eastAsia="仿宋_GB2312" w:cs="仿宋_GB2312"/>
                <w:b w:val="0"/>
                <w:color w:val="auto"/>
                <w:sz w:val="24"/>
                <w:szCs w:val="24"/>
                <w:highlight w:val="none"/>
                <w:lang w:val="en-US" w:eastAsia="zh-CN"/>
              </w:rPr>
              <w:t>系统总体架构图、网络拓扑图</w:t>
            </w:r>
            <w:r>
              <w:rPr>
                <w:rFonts w:hint="eastAsia" w:ascii="仿宋_GB2312" w:hAnsi="仿宋_GB2312" w:eastAsia="仿宋_GB2312" w:cs="仿宋_GB2312"/>
                <w:b w:val="0"/>
                <w:color w:val="auto"/>
                <w:sz w:val="24"/>
                <w:szCs w:val="24"/>
                <w:highlight w:val="none"/>
                <w:lang w:val="en-US" w:eastAsia="zh-CN"/>
              </w:rPr>
              <w:t>点位勘察信息（含点位经纬度、供电方式等关键信息）</w:t>
            </w:r>
            <w:r>
              <w:rPr>
                <w:rFonts w:hint="eastAsia" w:ascii="仿宋_GB2312" w:hAnsi="仿宋_GB2312" w:eastAsia="仿宋_GB2312" w:cs="仿宋_GB2312"/>
                <w:b w:val="0"/>
                <w:color w:val="auto"/>
                <w:sz w:val="24"/>
                <w:szCs w:val="24"/>
                <w:highlight w:val="none"/>
                <w:lang w:val="en-US" w:eastAsia="zh-CN"/>
              </w:rPr>
              <w:t>、</w:t>
            </w:r>
            <w:r>
              <w:rPr>
                <w:rFonts w:hint="eastAsia" w:ascii="仿宋_GB2312" w:hAnsi="仿宋_GB2312" w:eastAsia="仿宋_GB2312" w:cs="仿宋_GB2312"/>
                <w:b w:val="0"/>
                <w:color w:val="auto"/>
                <w:sz w:val="24"/>
                <w:szCs w:val="24"/>
                <w:highlight w:val="none"/>
                <w:lang w:val="zh-CN"/>
              </w:rPr>
              <w:t>流程图</w:t>
            </w:r>
            <w:r>
              <w:rPr>
                <w:rFonts w:hint="eastAsia" w:ascii="仿宋_GB2312" w:hAnsi="仿宋_GB2312" w:eastAsia="仿宋_GB2312" w:cs="仿宋_GB2312"/>
                <w:b w:val="0"/>
                <w:color w:val="auto"/>
                <w:sz w:val="24"/>
                <w:szCs w:val="24"/>
                <w:highlight w:val="none"/>
                <w:lang w:val="en-US" w:eastAsia="zh-CN"/>
              </w:rPr>
              <w:t>等，提供</w:t>
            </w:r>
            <w:r>
              <w:rPr>
                <w:rFonts w:hint="eastAsia" w:ascii="仿宋_GB2312" w:hAnsi="仿宋_GB2312" w:eastAsia="仿宋_GB2312" w:cs="仿宋_GB2312"/>
                <w:b w:val="0"/>
                <w:color w:val="auto"/>
                <w:sz w:val="24"/>
                <w:szCs w:val="24"/>
                <w:highlight w:val="none"/>
                <w:lang w:val="zh-CN"/>
              </w:rPr>
              <w:t>完整、准确、规范</w:t>
            </w:r>
            <w:r>
              <w:rPr>
                <w:rFonts w:hint="eastAsia" w:ascii="仿宋_GB2312" w:hAnsi="仿宋_GB2312" w:eastAsia="仿宋_GB2312" w:cs="仿宋_GB2312"/>
                <w:b w:val="0"/>
                <w:color w:val="auto"/>
                <w:sz w:val="24"/>
                <w:szCs w:val="24"/>
                <w:highlight w:val="none"/>
                <w:lang w:val="en-US" w:eastAsia="zh-CN"/>
              </w:rPr>
              <w:t>的</w:t>
            </w:r>
            <w:r>
              <w:rPr>
                <w:rFonts w:hint="eastAsia" w:ascii="仿宋_GB2312" w:hAnsi="仿宋_GB2312" w:eastAsia="仿宋_GB2312" w:cs="仿宋_GB2312"/>
                <w:b w:val="0"/>
                <w:color w:val="auto"/>
                <w:sz w:val="24"/>
                <w:szCs w:val="24"/>
                <w:highlight w:val="none"/>
                <w:lang w:val="zh-CN"/>
              </w:rPr>
              <w:t>方案，内容能够符合实际需求。</w:t>
            </w:r>
            <w:r>
              <w:rPr>
                <w:rFonts w:hint="eastAsia" w:ascii="仿宋_GB2312" w:hAnsi="仿宋_GB2312" w:eastAsia="仿宋_GB2312" w:cs="仿宋_GB2312"/>
                <w:color w:val="auto"/>
                <w:sz w:val="24"/>
                <w:highlight w:val="none"/>
              </w:rPr>
              <w:t>（0-4分）</w:t>
            </w:r>
          </w:p>
        </w:tc>
        <w:tc>
          <w:tcPr>
            <w:tcW w:w="717" w:type="dxa"/>
            <w:tcBorders>
              <w:top w:val="single" w:color="auto" w:sz="4" w:space="0"/>
              <w:left w:val="nil"/>
              <w:bottom w:val="single" w:color="auto" w:sz="4" w:space="0"/>
              <w:right w:val="single" w:color="auto" w:sz="4" w:space="0"/>
            </w:tcBorders>
            <w:noWrap w:val="0"/>
            <w:vAlign w:val="center"/>
          </w:tcPr>
          <w:p w14:paraId="7A96572D">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6F62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76" w:type="dxa"/>
            <w:vMerge w:val="continue"/>
            <w:tcBorders>
              <w:top w:val="nil"/>
              <w:left w:val="single" w:color="auto" w:sz="4" w:space="0"/>
              <w:bottom w:val="single" w:color="auto" w:sz="4" w:space="0"/>
              <w:right w:val="single" w:color="auto" w:sz="4" w:space="0"/>
            </w:tcBorders>
            <w:noWrap w:val="0"/>
            <w:vAlign w:val="center"/>
          </w:tcPr>
          <w:p w14:paraId="78BD5D61">
            <w:pPr>
              <w:widowControl/>
              <w:rPr>
                <w:rFonts w:hint="eastAsia" w:ascii="仿宋_GB2312" w:hAnsi="仿宋_GB2312" w:eastAsia="仿宋_GB2312" w:cs="仿宋_GB2312"/>
                <w:bCs/>
                <w:color w:val="auto"/>
                <w:sz w:val="24"/>
                <w:highlight w:val="none"/>
              </w:rPr>
            </w:pPr>
          </w:p>
        </w:tc>
        <w:tc>
          <w:tcPr>
            <w:tcW w:w="1437" w:type="dxa"/>
            <w:vMerge w:val="continue"/>
            <w:tcBorders>
              <w:top w:val="nil"/>
              <w:left w:val="nil"/>
              <w:bottom w:val="single" w:color="auto" w:sz="4" w:space="0"/>
              <w:right w:val="single" w:color="auto" w:sz="4" w:space="0"/>
            </w:tcBorders>
            <w:noWrap w:val="0"/>
            <w:vAlign w:val="center"/>
          </w:tcPr>
          <w:p w14:paraId="766BC92F">
            <w:pPr>
              <w:widowControl/>
              <w:rPr>
                <w:rFonts w:hint="eastAsia" w:ascii="仿宋_GB2312" w:hAnsi="仿宋_GB2312" w:eastAsia="仿宋_GB2312" w:cs="仿宋_GB2312"/>
                <w:bCs/>
                <w:color w:val="auto"/>
                <w:sz w:val="24"/>
                <w:highlight w:val="none"/>
              </w:rPr>
            </w:pPr>
          </w:p>
        </w:tc>
        <w:tc>
          <w:tcPr>
            <w:tcW w:w="765" w:type="dxa"/>
            <w:tcBorders>
              <w:top w:val="single" w:color="auto" w:sz="4" w:space="0"/>
              <w:left w:val="nil"/>
              <w:bottom w:val="single" w:color="auto" w:sz="4" w:space="0"/>
              <w:right w:val="single" w:color="auto" w:sz="4" w:space="0"/>
            </w:tcBorders>
            <w:noWrap w:val="0"/>
            <w:vAlign w:val="center"/>
          </w:tcPr>
          <w:p w14:paraId="20FCF90F">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w:t>
            </w:r>
          </w:p>
        </w:tc>
        <w:tc>
          <w:tcPr>
            <w:tcW w:w="6164" w:type="dxa"/>
            <w:tcBorders>
              <w:top w:val="single" w:color="auto" w:sz="4" w:space="0"/>
              <w:left w:val="nil"/>
              <w:bottom w:val="single" w:color="auto" w:sz="4" w:space="0"/>
              <w:right w:val="single" w:color="auto" w:sz="4" w:space="0"/>
            </w:tcBorders>
            <w:noWrap w:val="0"/>
            <w:vAlign w:val="center"/>
          </w:tcPr>
          <w:p w14:paraId="617CABE6">
            <w:pPr>
              <w:autoSpaceDE w:val="0"/>
              <w:autoSpaceDN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投标人体现项目应用支撑体系的理解、数据采集和标注流程、模型训练过程和调优方案、各模块内的功能实现的技术细节和关键步骤及其目的等，内容完整、条理清晰，符合用户当前和未来发展的要求。（0-4分）</w:t>
            </w:r>
          </w:p>
        </w:tc>
        <w:tc>
          <w:tcPr>
            <w:tcW w:w="717" w:type="dxa"/>
            <w:tcBorders>
              <w:top w:val="single" w:color="auto" w:sz="4" w:space="0"/>
              <w:left w:val="nil"/>
              <w:bottom w:val="single" w:color="auto" w:sz="4" w:space="0"/>
              <w:right w:val="single" w:color="auto" w:sz="4" w:space="0"/>
            </w:tcBorders>
            <w:noWrap w:val="0"/>
            <w:vAlign w:val="center"/>
          </w:tcPr>
          <w:p w14:paraId="3C804B39">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3413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7A2E3E0B">
            <w:pPr>
              <w:adjustRightInd w:val="0"/>
              <w:snapToGrid w:val="0"/>
              <w:jc w:val="center"/>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5</w:t>
            </w:r>
          </w:p>
        </w:tc>
        <w:tc>
          <w:tcPr>
            <w:tcW w:w="1437" w:type="dxa"/>
            <w:tcBorders>
              <w:top w:val="single" w:color="auto" w:sz="4" w:space="0"/>
              <w:left w:val="nil"/>
              <w:bottom w:val="single" w:color="auto" w:sz="4" w:space="0"/>
              <w:right w:val="single" w:color="auto" w:sz="4" w:space="0"/>
            </w:tcBorders>
            <w:noWrap w:val="0"/>
            <w:vAlign w:val="center"/>
          </w:tcPr>
          <w:p w14:paraId="79C0EA5F">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技术要求响应程度</w:t>
            </w:r>
          </w:p>
        </w:tc>
        <w:tc>
          <w:tcPr>
            <w:tcW w:w="765" w:type="dxa"/>
            <w:tcBorders>
              <w:top w:val="single" w:color="auto" w:sz="4" w:space="0"/>
              <w:left w:val="nil"/>
              <w:bottom w:val="single" w:color="auto" w:sz="4" w:space="0"/>
              <w:right w:val="single" w:color="auto" w:sz="4" w:space="0"/>
            </w:tcBorders>
            <w:noWrap w:val="0"/>
            <w:vAlign w:val="center"/>
          </w:tcPr>
          <w:p w14:paraId="1A21AA00">
            <w:pPr>
              <w:autoSpaceDE w:val="0"/>
              <w:autoSpaceDN w:val="0"/>
              <w:adjustRightInd w:val="0"/>
              <w:snapToGrid w:val="0"/>
              <w:jc w:val="center"/>
              <w:outlineLvl w:val="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20</w:t>
            </w:r>
          </w:p>
        </w:tc>
        <w:tc>
          <w:tcPr>
            <w:tcW w:w="6164" w:type="dxa"/>
            <w:tcBorders>
              <w:top w:val="single" w:color="auto" w:sz="4" w:space="0"/>
              <w:left w:val="nil"/>
              <w:bottom w:val="single" w:color="auto" w:sz="4" w:space="0"/>
              <w:right w:val="single" w:color="auto" w:sz="4" w:space="0"/>
            </w:tcBorders>
            <w:noWrap w:val="0"/>
            <w:vAlign w:val="center"/>
          </w:tcPr>
          <w:p w14:paraId="4AEC563E">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根据投标产品配置及技术参数先进性、兼容性、可扩展性是否能够满足招标文件要求由评委进行打分（</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分）。核心参数标★项每负偏离一项扣1分，其他非核心参数每项负偏离一项扣0.5分，扣完为止。</w:t>
            </w:r>
          </w:p>
          <w:p w14:paraId="3611FB4F">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注：1、投标文件中需</w:t>
            </w:r>
            <w:r>
              <w:rPr>
                <w:rFonts w:hint="eastAsia" w:ascii="仿宋_GB2312" w:hAnsi="仿宋_GB2312" w:eastAsia="仿宋_GB2312" w:cs="仿宋_GB2312"/>
                <w:color w:val="auto"/>
                <w:sz w:val="24"/>
                <w:highlight w:val="none"/>
                <w:lang w:val="en-US" w:eastAsia="zh-CN"/>
              </w:rPr>
              <w:t>在</w:t>
            </w:r>
            <w:r>
              <w:rPr>
                <w:rFonts w:hint="eastAsia" w:ascii="仿宋_GB2312" w:hAnsi="仿宋_GB2312" w:eastAsia="仿宋_GB2312" w:cs="仿宋_GB2312"/>
                <w:color w:val="auto"/>
                <w:sz w:val="24"/>
                <w:highlight w:val="none"/>
              </w:rPr>
              <w:t>相关证明材料</w:t>
            </w:r>
            <w:r>
              <w:rPr>
                <w:rFonts w:hint="eastAsia" w:ascii="仿宋_GB2312" w:hAnsi="仿宋_GB2312" w:eastAsia="仿宋_GB2312" w:cs="仿宋_GB2312"/>
                <w:color w:val="auto"/>
                <w:sz w:val="24"/>
                <w:highlight w:val="none"/>
                <w:lang w:val="en-US" w:eastAsia="zh-CN"/>
              </w:rPr>
              <w:t>上进行标注及建立</w:t>
            </w:r>
            <w:r>
              <w:rPr>
                <w:rFonts w:hint="eastAsia" w:ascii="仿宋_GB2312" w:hAnsi="仿宋_GB2312" w:eastAsia="仿宋_GB2312" w:cs="仿宋_GB2312"/>
                <w:color w:val="auto"/>
                <w:sz w:val="24"/>
                <w:highlight w:val="none"/>
              </w:rPr>
              <w:t>索引标注页码，如</w:t>
            </w:r>
            <w:r>
              <w:rPr>
                <w:rFonts w:hint="eastAsia" w:ascii="仿宋_GB2312" w:hAnsi="仿宋_GB2312" w:eastAsia="仿宋_GB2312" w:cs="仿宋_GB2312"/>
                <w:color w:val="auto"/>
                <w:sz w:val="24"/>
                <w:highlight w:val="none"/>
                <w:lang w:val="en-US" w:eastAsia="zh-CN"/>
              </w:rPr>
              <w:t>因</w:t>
            </w:r>
            <w:r>
              <w:rPr>
                <w:rFonts w:hint="eastAsia" w:ascii="仿宋_GB2312" w:hAnsi="仿宋_GB2312" w:eastAsia="仿宋_GB2312" w:cs="仿宋_GB2312"/>
                <w:color w:val="auto"/>
                <w:sz w:val="24"/>
                <w:highlight w:val="none"/>
              </w:rPr>
              <w:t>未标注页码或页码错误导致扣分的情况，责任由投标人自行承担。</w:t>
            </w:r>
          </w:p>
          <w:p w14:paraId="1547A73D">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2、不满足或未按要求提供相关证明材料的视为负偏离。</w:t>
            </w:r>
          </w:p>
          <w:p w14:paraId="0BD5378D">
            <w:pPr>
              <w:autoSpaceDE w:val="0"/>
              <w:autoSpaceDN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投标单位必须保证提供资料和数据的真实性，如查实有任一投标产品技术参数有造假行为，则作无效标处理。</w:t>
            </w:r>
          </w:p>
        </w:tc>
        <w:tc>
          <w:tcPr>
            <w:tcW w:w="717" w:type="dxa"/>
            <w:tcBorders>
              <w:top w:val="single" w:color="auto" w:sz="4" w:space="0"/>
              <w:left w:val="nil"/>
              <w:bottom w:val="single" w:color="auto" w:sz="4" w:space="0"/>
              <w:right w:val="single" w:color="auto" w:sz="4" w:space="0"/>
            </w:tcBorders>
            <w:noWrap w:val="0"/>
            <w:vAlign w:val="center"/>
          </w:tcPr>
          <w:p w14:paraId="060C4012">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57EB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7C729F88">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w:t>
            </w:r>
          </w:p>
        </w:tc>
        <w:tc>
          <w:tcPr>
            <w:tcW w:w="1437" w:type="dxa"/>
            <w:tcBorders>
              <w:top w:val="single" w:color="auto" w:sz="4" w:space="0"/>
              <w:left w:val="nil"/>
              <w:bottom w:val="single" w:color="auto" w:sz="4" w:space="0"/>
              <w:right w:val="single" w:color="auto" w:sz="4" w:space="0"/>
            </w:tcBorders>
            <w:noWrap w:val="0"/>
            <w:vAlign w:val="center"/>
          </w:tcPr>
          <w:p w14:paraId="5FB39E43">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szCs w:val="24"/>
                <w:highlight w:val="none"/>
                <w:lang w:val="en-US" w:eastAsia="zh-CN"/>
              </w:rPr>
              <w:t>施工组织方案</w:t>
            </w:r>
          </w:p>
        </w:tc>
        <w:tc>
          <w:tcPr>
            <w:tcW w:w="765" w:type="dxa"/>
            <w:tcBorders>
              <w:top w:val="single" w:color="auto" w:sz="4" w:space="0"/>
              <w:left w:val="nil"/>
              <w:bottom w:val="single" w:color="auto" w:sz="4" w:space="0"/>
              <w:right w:val="single" w:color="auto" w:sz="4" w:space="0"/>
            </w:tcBorders>
            <w:noWrap w:val="0"/>
            <w:vAlign w:val="center"/>
          </w:tcPr>
          <w:p w14:paraId="3F217B37">
            <w:pPr>
              <w:autoSpaceDE w:val="0"/>
              <w:autoSpaceDN w:val="0"/>
              <w:adjustRightInd w:val="0"/>
              <w:snapToGrid w:val="0"/>
              <w:jc w:val="center"/>
              <w:outlineLvl w:val="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lang w:val="en-US" w:eastAsia="zh-CN"/>
              </w:rPr>
              <w:t>3</w:t>
            </w:r>
          </w:p>
        </w:tc>
        <w:tc>
          <w:tcPr>
            <w:tcW w:w="6164" w:type="dxa"/>
            <w:tcBorders>
              <w:top w:val="single" w:color="auto" w:sz="4" w:space="0"/>
              <w:left w:val="nil"/>
              <w:bottom w:val="single" w:color="auto" w:sz="4" w:space="0"/>
              <w:right w:val="single" w:color="auto" w:sz="4" w:space="0"/>
            </w:tcBorders>
            <w:noWrap w:val="0"/>
            <w:vAlign w:val="center"/>
          </w:tcPr>
          <w:p w14:paraId="59A2BF03">
            <w:pPr>
              <w:autoSpaceDE w:val="0"/>
              <w:autoSpaceDN w:val="0"/>
              <w:adjustRightInd w:val="0"/>
              <w:snapToGrid w:val="0"/>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项目施工计划的合理性（包括进度安排、验收方案、项目实施周期和质量保证措施等）情况</w:t>
            </w:r>
            <w:r>
              <w:rPr>
                <w:rFonts w:hint="eastAsia" w:ascii="仿宋_GB2312" w:hAnsi="仿宋_GB2312" w:eastAsia="仿宋_GB2312" w:cs="仿宋_GB2312"/>
                <w:bCs/>
                <w:color w:val="auto"/>
                <w:sz w:val="24"/>
                <w:highlight w:val="none"/>
              </w:rPr>
              <w:t>进行综合打分。</w:t>
            </w:r>
            <w:r>
              <w:rPr>
                <w:rFonts w:hint="eastAsia" w:ascii="仿宋_GB2312" w:hAnsi="仿宋_GB2312" w:eastAsia="仿宋_GB2312" w:cs="仿宋_GB2312"/>
                <w:color w:val="auto"/>
                <w:sz w:val="24"/>
                <w:highlight w:val="none"/>
              </w:rPr>
              <w:t>（0-</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p>
        </w:tc>
        <w:tc>
          <w:tcPr>
            <w:tcW w:w="717" w:type="dxa"/>
            <w:tcBorders>
              <w:top w:val="single" w:color="auto" w:sz="4" w:space="0"/>
              <w:left w:val="nil"/>
              <w:bottom w:val="single" w:color="auto" w:sz="4" w:space="0"/>
              <w:right w:val="single" w:color="auto" w:sz="4" w:space="0"/>
            </w:tcBorders>
            <w:noWrap w:val="0"/>
            <w:vAlign w:val="center"/>
          </w:tcPr>
          <w:p w14:paraId="024D8B78">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5FFE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099BA721">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7</w:t>
            </w:r>
          </w:p>
        </w:tc>
        <w:tc>
          <w:tcPr>
            <w:tcW w:w="1437" w:type="dxa"/>
            <w:tcBorders>
              <w:top w:val="single" w:color="auto" w:sz="4" w:space="0"/>
              <w:left w:val="nil"/>
              <w:bottom w:val="single" w:color="auto" w:sz="4" w:space="0"/>
              <w:right w:val="single" w:color="auto" w:sz="4" w:space="0"/>
            </w:tcBorders>
            <w:noWrap w:val="0"/>
            <w:vAlign w:val="center"/>
          </w:tcPr>
          <w:p w14:paraId="7A4223D3">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维护考核办法</w:t>
            </w:r>
          </w:p>
        </w:tc>
        <w:tc>
          <w:tcPr>
            <w:tcW w:w="765" w:type="dxa"/>
            <w:tcBorders>
              <w:top w:val="single" w:color="auto" w:sz="4" w:space="0"/>
              <w:left w:val="nil"/>
              <w:bottom w:val="single" w:color="auto" w:sz="4" w:space="0"/>
              <w:right w:val="single" w:color="auto" w:sz="4" w:space="0"/>
            </w:tcBorders>
            <w:noWrap w:val="0"/>
            <w:vAlign w:val="center"/>
          </w:tcPr>
          <w:p w14:paraId="101B5BB3">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p>
        </w:tc>
        <w:tc>
          <w:tcPr>
            <w:tcW w:w="6164" w:type="dxa"/>
            <w:tcBorders>
              <w:top w:val="single" w:color="auto" w:sz="4" w:space="0"/>
              <w:left w:val="nil"/>
              <w:bottom w:val="single" w:color="auto" w:sz="4" w:space="0"/>
              <w:right w:val="single" w:color="auto" w:sz="4" w:space="0"/>
            </w:tcBorders>
            <w:noWrap w:val="0"/>
            <w:vAlign w:val="center"/>
          </w:tcPr>
          <w:p w14:paraId="34EFE477">
            <w:pPr>
              <w:autoSpaceDE w:val="0"/>
              <w:autoSpaceDN w:val="0"/>
              <w:adjustRightInd w:val="0"/>
              <w:snapToGrid w:val="0"/>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投标人提供的服务管理制度、维保操作规程及切实可行的考核办法</w:t>
            </w:r>
            <w:r>
              <w:rPr>
                <w:rFonts w:hint="eastAsia" w:ascii="仿宋_GB2312" w:hAnsi="仿宋_GB2312" w:eastAsia="仿宋_GB2312" w:cs="仿宋_GB2312"/>
                <w:color w:val="auto"/>
                <w:sz w:val="24"/>
                <w:highlight w:val="none"/>
              </w:rPr>
              <w:t>及实际特点情况综合打分（0-2分）</w:t>
            </w:r>
          </w:p>
        </w:tc>
        <w:tc>
          <w:tcPr>
            <w:tcW w:w="717" w:type="dxa"/>
            <w:tcBorders>
              <w:top w:val="single" w:color="auto" w:sz="4" w:space="0"/>
              <w:left w:val="nil"/>
              <w:bottom w:val="single" w:color="auto" w:sz="4" w:space="0"/>
              <w:right w:val="single" w:color="auto" w:sz="4" w:space="0"/>
            </w:tcBorders>
            <w:noWrap w:val="0"/>
            <w:vAlign w:val="center"/>
          </w:tcPr>
          <w:p w14:paraId="67159B0C">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24BF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Merge w:val="restart"/>
            <w:tcBorders>
              <w:top w:val="nil"/>
              <w:left w:val="single" w:color="auto" w:sz="4" w:space="0"/>
              <w:bottom w:val="single" w:color="auto" w:sz="4" w:space="0"/>
              <w:right w:val="single" w:color="auto" w:sz="4" w:space="0"/>
            </w:tcBorders>
            <w:noWrap w:val="0"/>
            <w:vAlign w:val="center"/>
          </w:tcPr>
          <w:p w14:paraId="47EE4448">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8</w:t>
            </w:r>
          </w:p>
        </w:tc>
        <w:tc>
          <w:tcPr>
            <w:tcW w:w="1437" w:type="dxa"/>
            <w:vMerge w:val="restart"/>
            <w:tcBorders>
              <w:top w:val="nil"/>
              <w:left w:val="nil"/>
              <w:bottom w:val="single" w:color="auto" w:sz="4" w:space="0"/>
              <w:right w:val="single" w:color="auto" w:sz="4" w:space="0"/>
            </w:tcBorders>
            <w:noWrap w:val="0"/>
            <w:vAlign w:val="center"/>
          </w:tcPr>
          <w:p w14:paraId="53FABA43">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售后服务</w:t>
            </w:r>
          </w:p>
        </w:tc>
        <w:tc>
          <w:tcPr>
            <w:tcW w:w="765" w:type="dxa"/>
            <w:tcBorders>
              <w:top w:val="single" w:color="auto" w:sz="4" w:space="0"/>
              <w:left w:val="nil"/>
              <w:bottom w:val="single" w:color="auto" w:sz="4" w:space="0"/>
              <w:right w:val="single" w:color="auto" w:sz="4" w:space="0"/>
            </w:tcBorders>
            <w:noWrap w:val="0"/>
            <w:vAlign w:val="center"/>
          </w:tcPr>
          <w:p w14:paraId="1E4FDD00">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t>2</w:t>
            </w:r>
          </w:p>
        </w:tc>
        <w:tc>
          <w:tcPr>
            <w:tcW w:w="6164" w:type="dxa"/>
            <w:tcBorders>
              <w:top w:val="single" w:color="auto" w:sz="4" w:space="0"/>
              <w:left w:val="nil"/>
              <w:bottom w:val="single" w:color="auto" w:sz="4" w:space="0"/>
              <w:right w:val="single" w:color="auto" w:sz="4" w:space="0"/>
            </w:tcBorders>
            <w:noWrap w:val="0"/>
            <w:vAlign w:val="center"/>
          </w:tcPr>
          <w:p w14:paraId="2B482E7A">
            <w:pPr>
              <w:autoSpaceDE w:val="0"/>
              <w:autoSpaceDN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根据本项目售后服务承诺的范围和完善程度(包括保修部件范围，保修、服务标准，人员配备，故障响应修复时间方式及保障措施，客户评价情况进行打分。（0-</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w:t>
            </w:r>
          </w:p>
        </w:tc>
        <w:tc>
          <w:tcPr>
            <w:tcW w:w="717" w:type="dxa"/>
            <w:tcBorders>
              <w:top w:val="single" w:color="auto" w:sz="4" w:space="0"/>
              <w:left w:val="nil"/>
              <w:bottom w:val="single" w:color="auto" w:sz="4" w:space="0"/>
              <w:right w:val="single" w:color="auto" w:sz="4" w:space="0"/>
            </w:tcBorders>
            <w:noWrap w:val="0"/>
            <w:vAlign w:val="center"/>
          </w:tcPr>
          <w:p w14:paraId="59AC5F9A">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427A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6" w:type="dxa"/>
            <w:vMerge w:val="continue"/>
            <w:tcBorders>
              <w:top w:val="nil"/>
              <w:left w:val="single" w:color="auto" w:sz="4" w:space="0"/>
              <w:bottom w:val="single" w:color="auto" w:sz="4" w:space="0"/>
              <w:right w:val="single" w:color="auto" w:sz="4" w:space="0"/>
            </w:tcBorders>
            <w:noWrap w:val="0"/>
            <w:vAlign w:val="center"/>
          </w:tcPr>
          <w:p w14:paraId="3DBD014D">
            <w:pPr>
              <w:widowControl/>
              <w:rPr>
                <w:rFonts w:hint="eastAsia" w:ascii="仿宋_GB2312" w:hAnsi="仿宋_GB2312" w:eastAsia="仿宋_GB2312" w:cs="仿宋_GB2312"/>
                <w:bCs/>
                <w:color w:val="auto"/>
                <w:sz w:val="24"/>
                <w:highlight w:val="none"/>
              </w:rPr>
            </w:pPr>
          </w:p>
        </w:tc>
        <w:tc>
          <w:tcPr>
            <w:tcW w:w="1437" w:type="dxa"/>
            <w:vMerge w:val="continue"/>
            <w:tcBorders>
              <w:top w:val="nil"/>
              <w:left w:val="nil"/>
              <w:bottom w:val="single" w:color="auto" w:sz="4" w:space="0"/>
              <w:right w:val="single" w:color="auto" w:sz="4" w:space="0"/>
            </w:tcBorders>
            <w:noWrap w:val="0"/>
            <w:vAlign w:val="center"/>
          </w:tcPr>
          <w:p w14:paraId="43A8189C">
            <w:pPr>
              <w:widowControl/>
              <w:rPr>
                <w:rFonts w:hint="eastAsia" w:ascii="仿宋_GB2312" w:hAnsi="仿宋_GB2312" w:eastAsia="仿宋_GB2312" w:cs="仿宋_GB2312"/>
                <w:bCs/>
                <w:color w:val="auto"/>
                <w:sz w:val="24"/>
                <w:highlight w:val="none"/>
              </w:rPr>
            </w:pPr>
          </w:p>
        </w:tc>
        <w:tc>
          <w:tcPr>
            <w:tcW w:w="765" w:type="dxa"/>
            <w:tcBorders>
              <w:top w:val="single" w:color="auto" w:sz="4" w:space="0"/>
              <w:left w:val="nil"/>
              <w:bottom w:val="single" w:color="auto" w:sz="4" w:space="0"/>
              <w:right w:val="single" w:color="auto" w:sz="4" w:space="0"/>
            </w:tcBorders>
            <w:noWrap w:val="0"/>
            <w:vAlign w:val="center"/>
          </w:tcPr>
          <w:p w14:paraId="2E7E8AB3">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t>4</w:t>
            </w:r>
          </w:p>
        </w:tc>
        <w:tc>
          <w:tcPr>
            <w:tcW w:w="6164" w:type="dxa"/>
            <w:tcBorders>
              <w:top w:val="single" w:color="auto" w:sz="4" w:space="0"/>
              <w:left w:val="nil"/>
              <w:bottom w:val="single" w:color="auto" w:sz="4" w:space="0"/>
              <w:right w:val="single" w:color="auto" w:sz="4" w:space="0"/>
            </w:tcBorders>
            <w:noWrap w:val="0"/>
            <w:vAlign w:val="center"/>
          </w:tcPr>
          <w:p w14:paraId="4A54B3D4">
            <w:pPr>
              <w:autoSpaceDE w:val="0"/>
              <w:autoSpaceDN w:val="0"/>
              <w:ind w:right="3"/>
              <w:rPr>
                <w:rFonts w:hint="eastAsia" w:ascii="Times New Roman" w:hAnsi="Times New Roman" w:eastAsia="仿宋_GB2312" w:cs="Times New Roman"/>
                <w:color w:val="auto"/>
                <w:highlight w:val="none"/>
                <w:lang w:val="en-US" w:eastAsia="zh-CN"/>
              </w:rPr>
            </w:pPr>
            <w:r>
              <w:rPr>
                <w:rFonts w:hint="eastAsia" w:ascii="仿宋_GB2312" w:hAnsi="仿宋_GB2312" w:eastAsia="仿宋_GB2312" w:cs="仿宋_GB2312"/>
                <w:color w:val="auto"/>
                <w:sz w:val="24"/>
                <w:highlight w:val="none"/>
              </w:rPr>
              <w:t>本次项目电费为验收之日起</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链路为验收之日起</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如承诺</w:t>
            </w:r>
            <w:r>
              <w:rPr>
                <w:rFonts w:hint="eastAsia" w:ascii="仿宋_GB2312" w:hAnsi="仿宋_GB2312" w:eastAsia="仿宋_GB2312" w:cs="仿宋_GB2312"/>
                <w:color w:val="auto"/>
                <w:sz w:val="24"/>
                <w:highlight w:val="none"/>
              </w:rPr>
              <w:t>链路</w:t>
            </w:r>
            <w:r>
              <w:rPr>
                <w:rFonts w:hint="eastAsia" w:ascii="仿宋_GB2312" w:hAnsi="仿宋_GB2312" w:eastAsia="仿宋_GB2312" w:cs="仿宋_GB2312"/>
                <w:color w:val="auto"/>
                <w:sz w:val="24"/>
                <w:highlight w:val="none"/>
                <w:lang w:val="en-US" w:eastAsia="zh-CN"/>
              </w:rPr>
              <w:t>和</w:t>
            </w:r>
            <w:r>
              <w:rPr>
                <w:rFonts w:hint="eastAsia" w:ascii="仿宋_GB2312" w:hAnsi="仿宋_GB2312" w:eastAsia="仿宋_GB2312" w:cs="仿宋_GB2312"/>
                <w:color w:val="auto"/>
                <w:sz w:val="24"/>
                <w:highlight w:val="none"/>
              </w:rPr>
              <w:t>电费每增加1年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不足1年不计分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分别各</w:t>
            </w:r>
            <w:r>
              <w:rPr>
                <w:rFonts w:hint="eastAsia" w:ascii="仿宋_GB2312" w:hAnsi="仿宋_GB2312" w:eastAsia="仿宋_GB2312" w:cs="仿宋_GB2312"/>
                <w:color w:val="auto"/>
                <w:sz w:val="24"/>
                <w:highlight w:val="none"/>
              </w:rPr>
              <w:t>增加</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分，最高得</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分。</w:t>
            </w:r>
          </w:p>
        </w:tc>
        <w:tc>
          <w:tcPr>
            <w:tcW w:w="717" w:type="dxa"/>
            <w:tcBorders>
              <w:top w:val="single" w:color="auto" w:sz="4" w:space="0"/>
              <w:left w:val="nil"/>
              <w:bottom w:val="single" w:color="auto" w:sz="4" w:space="0"/>
              <w:right w:val="single" w:color="auto" w:sz="4" w:space="0"/>
            </w:tcBorders>
            <w:noWrap w:val="0"/>
            <w:vAlign w:val="center"/>
          </w:tcPr>
          <w:p w14:paraId="7B99F230">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0EC4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6" w:type="dxa"/>
            <w:vMerge w:val="continue"/>
            <w:tcBorders>
              <w:top w:val="nil"/>
              <w:left w:val="single" w:color="auto" w:sz="4" w:space="0"/>
              <w:bottom w:val="single" w:color="auto" w:sz="4" w:space="0"/>
              <w:right w:val="single" w:color="auto" w:sz="4" w:space="0"/>
            </w:tcBorders>
            <w:noWrap w:val="0"/>
            <w:vAlign w:val="center"/>
          </w:tcPr>
          <w:p w14:paraId="273A5B77">
            <w:pPr>
              <w:widowControl/>
              <w:rPr>
                <w:rFonts w:hint="eastAsia" w:ascii="仿宋_GB2312" w:hAnsi="仿宋_GB2312" w:eastAsia="仿宋_GB2312" w:cs="仿宋_GB2312"/>
                <w:bCs/>
                <w:color w:val="auto"/>
                <w:sz w:val="24"/>
                <w:highlight w:val="none"/>
              </w:rPr>
            </w:pPr>
          </w:p>
        </w:tc>
        <w:tc>
          <w:tcPr>
            <w:tcW w:w="1437" w:type="dxa"/>
            <w:vMerge w:val="continue"/>
            <w:tcBorders>
              <w:top w:val="nil"/>
              <w:left w:val="nil"/>
              <w:bottom w:val="single" w:color="auto" w:sz="4" w:space="0"/>
              <w:right w:val="single" w:color="auto" w:sz="4" w:space="0"/>
            </w:tcBorders>
            <w:noWrap w:val="0"/>
            <w:vAlign w:val="center"/>
          </w:tcPr>
          <w:p w14:paraId="2864446E">
            <w:pPr>
              <w:widowControl/>
              <w:rPr>
                <w:rFonts w:hint="eastAsia" w:ascii="仿宋_GB2312" w:hAnsi="仿宋_GB2312" w:eastAsia="仿宋_GB2312" w:cs="仿宋_GB2312"/>
                <w:bCs/>
                <w:color w:val="auto"/>
                <w:sz w:val="24"/>
                <w:highlight w:val="none"/>
              </w:rPr>
            </w:pPr>
          </w:p>
        </w:tc>
        <w:tc>
          <w:tcPr>
            <w:tcW w:w="765" w:type="dxa"/>
            <w:tcBorders>
              <w:top w:val="single" w:color="auto" w:sz="4" w:space="0"/>
              <w:left w:val="nil"/>
              <w:bottom w:val="single" w:color="auto" w:sz="4" w:space="0"/>
              <w:right w:val="single" w:color="auto" w:sz="4" w:space="0"/>
            </w:tcBorders>
            <w:noWrap w:val="0"/>
            <w:vAlign w:val="center"/>
          </w:tcPr>
          <w:p w14:paraId="42A46D9A">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t>1</w:t>
            </w:r>
          </w:p>
        </w:tc>
        <w:tc>
          <w:tcPr>
            <w:tcW w:w="6164" w:type="dxa"/>
            <w:tcBorders>
              <w:top w:val="single" w:color="auto" w:sz="4" w:space="0"/>
              <w:left w:val="nil"/>
              <w:bottom w:val="single" w:color="auto" w:sz="4" w:space="0"/>
              <w:right w:val="single" w:color="auto" w:sz="4" w:space="0"/>
            </w:tcBorders>
            <w:noWrap w:val="0"/>
            <w:vAlign w:val="center"/>
          </w:tcPr>
          <w:p w14:paraId="57C8E9D4">
            <w:pPr>
              <w:autoSpaceDE w:val="0"/>
              <w:autoSpaceDN w:val="0"/>
              <w:ind w:right="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根据投标人提供的详细的主要产品备品备件清单数量及备品备件及</w:t>
            </w:r>
            <w:r>
              <w:rPr>
                <w:rFonts w:hint="eastAsia" w:ascii="仿宋_GB2312" w:hAnsi="仿宋_GB2312" w:eastAsia="仿宋_GB2312" w:cs="仿宋_GB2312"/>
                <w:bCs/>
                <w:color w:val="auto"/>
                <w:sz w:val="24"/>
                <w:highlight w:val="none"/>
              </w:rPr>
              <w:t>售后服务网点等情况</w:t>
            </w:r>
            <w:r>
              <w:rPr>
                <w:rFonts w:hint="eastAsia" w:ascii="仿宋_GB2312" w:hAnsi="仿宋_GB2312" w:eastAsia="仿宋_GB2312" w:cs="仿宋_GB2312"/>
                <w:color w:val="auto"/>
                <w:sz w:val="24"/>
                <w:highlight w:val="none"/>
              </w:rPr>
              <w:t>进行打分。（0-</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分）</w:t>
            </w:r>
          </w:p>
        </w:tc>
        <w:tc>
          <w:tcPr>
            <w:tcW w:w="717" w:type="dxa"/>
            <w:tcBorders>
              <w:top w:val="single" w:color="auto" w:sz="4" w:space="0"/>
              <w:left w:val="nil"/>
              <w:bottom w:val="single" w:color="auto" w:sz="4" w:space="0"/>
              <w:right w:val="single" w:color="auto" w:sz="4" w:space="0"/>
            </w:tcBorders>
            <w:noWrap w:val="0"/>
            <w:vAlign w:val="center"/>
          </w:tcPr>
          <w:p w14:paraId="492FAE7F">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67C8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6DD0D609">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9</w:t>
            </w:r>
          </w:p>
        </w:tc>
        <w:tc>
          <w:tcPr>
            <w:tcW w:w="1437" w:type="dxa"/>
            <w:tcBorders>
              <w:top w:val="single" w:color="auto" w:sz="4" w:space="0"/>
              <w:left w:val="nil"/>
              <w:bottom w:val="single" w:color="auto" w:sz="4" w:space="0"/>
              <w:right w:val="single" w:color="auto" w:sz="4" w:space="0"/>
            </w:tcBorders>
            <w:noWrap w:val="0"/>
            <w:vAlign w:val="center"/>
          </w:tcPr>
          <w:p w14:paraId="26ECC630">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培训方案</w:t>
            </w:r>
          </w:p>
        </w:tc>
        <w:tc>
          <w:tcPr>
            <w:tcW w:w="765" w:type="dxa"/>
            <w:tcBorders>
              <w:top w:val="single" w:color="auto" w:sz="4" w:space="0"/>
              <w:left w:val="nil"/>
              <w:bottom w:val="single" w:color="auto" w:sz="4" w:space="0"/>
              <w:right w:val="single" w:color="auto" w:sz="4" w:space="0"/>
            </w:tcBorders>
            <w:noWrap w:val="0"/>
            <w:vAlign w:val="center"/>
          </w:tcPr>
          <w:p w14:paraId="479C8FFF">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p>
        </w:tc>
        <w:tc>
          <w:tcPr>
            <w:tcW w:w="6164" w:type="dxa"/>
            <w:tcBorders>
              <w:top w:val="single" w:color="auto" w:sz="4" w:space="0"/>
              <w:left w:val="nil"/>
              <w:bottom w:val="single" w:color="auto" w:sz="4" w:space="0"/>
              <w:right w:val="single" w:color="auto" w:sz="4" w:space="0"/>
            </w:tcBorders>
            <w:noWrap w:val="0"/>
            <w:vAlign w:val="center"/>
          </w:tcPr>
          <w:p w14:paraId="0B2A4C1A">
            <w:pPr>
              <w:autoSpaceDE w:val="0"/>
              <w:autoSpaceDN w:val="0"/>
              <w:adjustRightInd w:val="0"/>
              <w:snapToGrid w:val="0"/>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投标人应提供培训方案包括培训内容、培训方式、培训对象、师资力量等，根据培训方案设计合理性、全面性进行打分。（0-2分）</w:t>
            </w:r>
          </w:p>
        </w:tc>
        <w:tc>
          <w:tcPr>
            <w:tcW w:w="717" w:type="dxa"/>
            <w:tcBorders>
              <w:top w:val="single" w:color="auto" w:sz="4" w:space="0"/>
              <w:left w:val="nil"/>
              <w:bottom w:val="single" w:color="auto" w:sz="4" w:space="0"/>
              <w:right w:val="single" w:color="auto" w:sz="4" w:space="0"/>
            </w:tcBorders>
            <w:noWrap w:val="0"/>
            <w:vAlign w:val="center"/>
          </w:tcPr>
          <w:p w14:paraId="0D970017">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r w14:paraId="3B80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122F2184">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10</w:t>
            </w:r>
          </w:p>
        </w:tc>
        <w:tc>
          <w:tcPr>
            <w:tcW w:w="1437" w:type="dxa"/>
            <w:tcBorders>
              <w:top w:val="single" w:color="auto" w:sz="4" w:space="0"/>
              <w:left w:val="nil"/>
              <w:bottom w:val="single" w:color="auto" w:sz="4" w:space="0"/>
              <w:right w:val="single" w:color="auto" w:sz="4" w:space="0"/>
            </w:tcBorders>
            <w:noWrap w:val="0"/>
            <w:vAlign w:val="center"/>
          </w:tcPr>
          <w:p w14:paraId="72FF1B9E">
            <w:pPr>
              <w:autoSpaceDE w:val="0"/>
              <w:autoSpaceDN w:val="0"/>
              <w:adjustRightInd w:val="0"/>
              <w:snapToGrid w:val="0"/>
              <w:jc w:val="center"/>
              <w:outlineLvl w:val="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视频演示（不超过</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0分钟，演示视频以U盘形式提交，U盘内同时存放可播放视频的视频播放软件，递交时间方式同备份文件）</w:t>
            </w:r>
          </w:p>
        </w:tc>
        <w:tc>
          <w:tcPr>
            <w:tcW w:w="765" w:type="dxa"/>
            <w:tcBorders>
              <w:top w:val="single" w:color="auto" w:sz="4" w:space="0"/>
              <w:left w:val="nil"/>
              <w:bottom w:val="single" w:color="auto" w:sz="4" w:space="0"/>
              <w:right w:val="single" w:color="auto" w:sz="4" w:space="0"/>
            </w:tcBorders>
            <w:noWrap w:val="0"/>
            <w:vAlign w:val="center"/>
          </w:tcPr>
          <w:p w14:paraId="718CDF4D">
            <w:pPr>
              <w:autoSpaceDE w:val="0"/>
              <w:autoSpaceDN w:val="0"/>
              <w:adjustRightInd w:val="0"/>
              <w:snapToGrid w:val="0"/>
              <w:jc w:val="center"/>
              <w:outlineLvl w:val="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w:t>
            </w:r>
            <w:r>
              <w:rPr>
                <w:rFonts w:hint="eastAsia" w:ascii="仿宋_GB2312" w:hAnsi="仿宋_GB2312" w:eastAsia="仿宋_GB2312" w:cs="仿宋_GB2312"/>
                <w:bCs/>
                <w:color w:val="auto"/>
                <w:sz w:val="24"/>
                <w:highlight w:val="none"/>
                <w:lang w:val="en-US" w:eastAsia="zh-CN"/>
              </w:rPr>
              <w:t>2</w:t>
            </w:r>
          </w:p>
        </w:tc>
        <w:tc>
          <w:tcPr>
            <w:tcW w:w="6164" w:type="dxa"/>
            <w:tcBorders>
              <w:top w:val="single" w:color="auto" w:sz="4" w:space="0"/>
              <w:left w:val="nil"/>
              <w:bottom w:val="single" w:color="auto" w:sz="4" w:space="0"/>
              <w:right w:val="single" w:color="auto" w:sz="4" w:space="0"/>
            </w:tcBorders>
            <w:noWrap w:val="0"/>
            <w:vAlign w:val="center"/>
          </w:tcPr>
          <w:p w14:paraId="10E23B86">
            <w:pPr>
              <w:keepNext w:val="0"/>
              <w:keepLines w:val="0"/>
              <w:suppressLineNumbers w:val="0"/>
              <w:autoSpaceDE w:val="0"/>
              <w:autoSpaceDN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本次演示所用模型，必须通过国家网信办生成合成类算法备案，且备案能够证明算法同时具备图像理解与文本对话两项能力。（否则本次演示不得分）</w:t>
            </w:r>
          </w:p>
          <w:p w14:paraId="63F235C0">
            <w:pPr>
              <w:keepNext w:val="0"/>
              <w:keepLines w:val="0"/>
              <w:suppressLineNumbers w:val="0"/>
              <w:autoSpaceDE w:val="0"/>
              <w:autoSpaceDN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本次演示所用模型，必须取得模型厂商对模型有效使用授权。（否则本次演示不得分）</w:t>
            </w:r>
          </w:p>
          <w:p w14:paraId="39A73E48">
            <w:pPr>
              <w:keepNext w:val="0"/>
              <w:keepLines w:val="0"/>
              <w:suppressLineNumbers w:val="0"/>
              <w:autoSpaceDE w:val="0"/>
              <w:autoSpaceDN w:val="0"/>
              <w:adjustRightInd w:val="0"/>
              <w:snapToGrid w:val="0"/>
              <w:spacing w:before="0" w:beforeAutospacing="0" w:after="0" w:afterAutospacing="0" w:line="240" w:lineRule="auto"/>
              <w:ind w:left="0" w:right="0"/>
              <w:jc w:val="left"/>
              <w:outlineLvl w:val="0"/>
              <w:rPr>
                <w:rFonts w:hint="eastAsia" w:ascii="仿宋_GB2312" w:hAnsi="仿宋_GB2312" w:eastAsia="仿宋_GB2312" w:cs="仿宋_GB2312"/>
                <w:bCs w:val="0"/>
                <w:snapToGrid/>
                <w:color w:val="auto"/>
                <w:kern w:val="2"/>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bidi="ar-SA"/>
              </w:rPr>
              <w:t>本次演示所用模型，必须与项目实施交付所用模型保持一致。（提供承诺函，格式自拟）</w:t>
            </w:r>
          </w:p>
          <w:p w14:paraId="530713DF">
            <w:pPr>
              <w:keepNext w:val="0"/>
              <w:keepLines w:val="0"/>
              <w:suppressLineNumbers w:val="0"/>
              <w:autoSpaceDE w:val="0"/>
              <w:autoSpaceDN w:val="0"/>
              <w:adjustRightInd w:val="0"/>
              <w:snapToGrid w:val="0"/>
              <w:spacing w:before="0" w:beforeAutospacing="0" w:after="0" w:afterAutospacing="0"/>
              <w:ind w:left="0" w:right="0"/>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图片理解</w:t>
            </w:r>
            <w:r>
              <w:rPr>
                <w:rFonts w:hint="eastAsia" w:ascii="仿宋_GB2312" w:hAnsi="仿宋_GB2312" w:eastAsia="仿宋_GB2312" w:cs="仿宋_GB2312"/>
                <w:color w:val="auto"/>
                <w:sz w:val="24"/>
                <w:szCs w:val="24"/>
                <w:highlight w:val="none"/>
              </w:rPr>
              <w:t>能力演示</w:t>
            </w:r>
          </w:p>
          <w:p w14:paraId="4457E697">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模型能够对海上视频监控画面进行理解，并通过文字</w:t>
            </w:r>
            <w:r>
              <w:rPr>
                <w:rFonts w:hint="eastAsia" w:ascii="仿宋_GB2312" w:hAnsi="仿宋_GB2312" w:eastAsia="仿宋_GB2312" w:cs="仿宋_GB2312"/>
                <w:color w:val="auto"/>
                <w:sz w:val="24"/>
                <w:szCs w:val="24"/>
                <w:highlight w:val="none"/>
              </w:rPr>
              <w:t>准确</w:t>
            </w:r>
            <w:r>
              <w:rPr>
                <w:rFonts w:hint="eastAsia" w:ascii="仿宋_GB2312" w:hAnsi="仿宋_GB2312" w:eastAsia="仿宋_GB2312" w:cs="仿宋_GB2312"/>
                <w:color w:val="auto"/>
                <w:sz w:val="24"/>
                <w:szCs w:val="24"/>
                <w:highlight w:val="none"/>
                <w:lang w:val="en-US" w:eastAsia="zh-CN"/>
              </w:rPr>
              <w:t>描述图片中的地理环境、天气、</w:t>
            </w:r>
            <w:r>
              <w:rPr>
                <w:rFonts w:hint="eastAsia" w:ascii="仿宋_GB2312" w:hAnsi="仿宋_GB2312" w:eastAsia="仿宋_GB2312" w:cs="仿宋_GB2312"/>
                <w:color w:val="auto"/>
                <w:sz w:val="24"/>
                <w:szCs w:val="24"/>
                <w:highlight w:val="none"/>
              </w:rPr>
              <w:t>船只</w:t>
            </w:r>
            <w:r>
              <w:rPr>
                <w:rFonts w:hint="eastAsia" w:ascii="仿宋_GB2312" w:hAnsi="仿宋_GB2312" w:eastAsia="仿宋_GB2312" w:cs="仿宋_GB2312"/>
                <w:color w:val="auto"/>
                <w:sz w:val="24"/>
                <w:szCs w:val="24"/>
                <w:highlight w:val="none"/>
                <w:lang w:val="en-US" w:eastAsia="zh-CN"/>
              </w:rPr>
              <w:t>数量及船型</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得2分。</w:t>
            </w:r>
          </w:p>
          <w:p w14:paraId="1883A87F">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船只外观识别能力演示</w:t>
            </w:r>
          </w:p>
          <w:p w14:paraId="6DA434B0">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模型能够对海上视频监控画面进行理解，并通过文字准确描述图片中的船只外观，包括船只颜色、桅杆数量等特征，</w:t>
            </w:r>
            <w:r>
              <w:rPr>
                <w:rFonts w:hint="eastAsia" w:ascii="仿宋_GB2312" w:hAnsi="仿宋_GB2312" w:eastAsia="仿宋_GB2312" w:cs="仿宋_GB2312"/>
                <w:color w:val="auto"/>
                <w:sz w:val="24"/>
                <w:szCs w:val="24"/>
                <w:highlight w:val="none"/>
              </w:rPr>
              <w:t>为识别提供更细粒度的信息，得0-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p>
          <w:p w14:paraId="2863CA4A">
            <w:pPr>
              <w:keepNext w:val="0"/>
              <w:keepLines w:val="0"/>
              <w:numPr>
                <w:ilvl w:val="0"/>
                <w:numId w:val="0"/>
              </w:numPr>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3）船上人员识别能力演示</w:t>
            </w:r>
          </w:p>
          <w:p w14:paraId="4C14067A">
            <w:pPr>
              <w:keepNext w:val="0"/>
              <w:keepLines w:val="0"/>
              <w:numPr>
                <w:ilvl w:val="0"/>
                <w:numId w:val="0"/>
              </w:numPr>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模型能够对海上视频监控画面进行理解，并通过文字准确描述图片中船上的人员信息，包括船上人员数量，外观及大致动作，得0-2分。</w:t>
            </w:r>
          </w:p>
          <w:p w14:paraId="67C17FC5">
            <w:pPr>
              <w:keepNext w:val="0"/>
              <w:keepLines w:val="0"/>
              <w:numPr>
                <w:ilvl w:val="0"/>
                <w:numId w:val="0"/>
              </w:numPr>
              <w:suppressLineNumbers w:val="0"/>
              <w:autoSpaceDE w:val="0"/>
              <w:autoSpaceDN w:val="0"/>
              <w:adjustRightInd w:val="0"/>
              <w:snapToGrid w:val="0"/>
              <w:spacing w:before="0" w:beforeAutospacing="0" w:after="0" w:afterAutospacing="0"/>
              <w:ind w:left="0" w:leftChars="0" w:right="0" w:firstLine="0" w:firstLineChars="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4）多船运动状态判断能力演示</w:t>
            </w:r>
          </w:p>
          <w:p w14:paraId="0C55D660">
            <w:pPr>
              <w:keepNext w:val="0"/>
              <w:keepLines w:val="0"/>
              <w:numPr>
                <w:ilvl w:val="0"/>
                <w:numId w:val="0"/>
              </w:numPr>
              <w:suppressLineNumbers w:val="0"/>
              <w:autoSpaceDE w:val="0"/>
              <w:autoSpaceDN w:val="0"/>
              <w:adjustRightInd w:val="0"/>
              <w:snapToGrid w:val="0"/>
              <w:spacing w:before="0" w:beforeAutospacing="0" w:after="0" w:afterAutospacing="0"/>
              <w:ind w:left="0" w:leftChars="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模型能够对海上视频监控画面进行理解，并通过文字准确描述图片中多艘船只运动或静止状态、运动方向，以及判断的逻辑，得0-3分。</w:t>
            </w:r>
          </w:p>
          <w:p w14:paraId="25286F8B">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远距离获取船只清晰图像能力</w:t>
            </w:r>
            <w:r>
              <w:rPr>
                <w:rFonts w:hint="eastAsia" w:ascii="仿宋_GB2312" w:hAnsi="仿宋_GB2312" w:eastAsia="仿宋_GB2312" w:cs="仿宋_GB2312"/>
                <w:color w:val="auto"/>
                <w:sz w:val="24"/>
                <w:szCs w:val="24"/>
                <w:highlight w:val="none"/>
              </w:rPr>
              <w:t>演示</w:t>
            </w:r>
          </w:p>
          <w:p w14:paraId="1A38813E">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模型能够远距离</w:t>
            </w:r>
            <w:r>
              <w:rPr>
                <w:rFonts w:hint="eastAsia" w:ascii="仿宋_GB2312" w:hAnsi="仿宋_GB2312" w:eastAsia="仿宋_GB2312" w:cs="仿宋_GB2312"/>
                <w:color w:val="auto"/>
                <w:sz w:val="24"/>
                <w:szCs w:val="24"/>
                <w:highlight w:val="none"/>
              </w:rPr>
              <w:t>获取船体的高清特写图像</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展示</w:t>
            </w:r>
            <w:r>
              <w:rPr>
                <w:rFonts w:hint="eastAsia" w:ascii="仿宋_GB2312" w:hAnsi="仿宋_GB2312" w:eastAsia="仿宋_GB2312" w:cs="仿宋_GB2312"/>
                <w:color w:val="auto"/>
                <w:sz w:val="24"/>
                <w:szCs w:val="24"/>
                <w:highlight w:val="none"/>
              </w:rPr>
              <w:t>对船只细节的清晰捕捉能力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识别并判断船只类型，</w:t>
            </w:r>
            <w:r>
              <w:rPr>
                <w:rFonts w:hint="eastAsia" w:ascii="仿宋_GB2312" w:hAnsi="仿宋_GB2312" w:eastAsia="仿宋_GB2312" w:cs="仿宋_GB2312"/>
                <w:color w:val="auto"/>
                <w:sz w:val="24"/>
                <w:szCs w:val="24"/>
                <w:highlight w:val="none"/>
              </w:rPr>
              <w:t>对技术细节和关键点进行说明，得0-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p>
          <w:p w14:paraId="01436483">
            <w:pPr>
              <w:keepNext w:val="0"/>
              <w:keepLines w:val="0"/>
              <w:numPr>
                <w:ilvl w:val="0"/>
                <w:numId w:val="0"/>
              </w:numPr>
              <w:suppressLineNumbers w:val="0"/>
              <w:autoSpaceDE w:val="0"/>
              <w:autoSpaceDN w:val="0"/>
              <w:adjustRightInd w:val="0"/>
              <w:snapToGrid w:val="0"/>
              <w:spacing w:before="0" w:beforeAutospacing="0" w:after="0" w:afterAutospacing="0"/>
              <w:ind w:left="0" w:leftChars="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6）超远距离高速小型船只追踪识别能力演示</w:t>
            </w:r>
          </w:p>
          <w:p w14:paraId="618A87B7">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模型能够在一定时间内，保持对运动中的超远距离（离岸500米外）目标船只的识别与追踪，同时获取清晰的船只图像，识别并判断船只类型，</w:t>
            </w:r>
            <w:r>
              <w:rPr>
                <w:rFonts w:hint="eastAsia" w:ascii="仿宋_GB2312" w:hAnsi="仿宋_GB2312" w:eastAsia="仿宋_GB2312" w:cs="仿宋_GB2312"/>
                <w:color w:val="auto"/>
                <w:sz w:val="24"/>
                <w:szCs w:val="24"/>
                <w:highlight w:val="none"/>
              </w:rPr>
              <w:t>对技术细节和关键点进行说明，得0-3分</w:t>
            </w:r>
            <w:r>
              <w:rPr>
                <w:rFonts w:hint="eastAsia" w:ascii="仿宋_GB2312" w:hAnsi="仿宋_GB2312" w:eastAsia="仿宋_GB2312" w:cs="仿宋_GB2312"/>
                <w:color w:val="auto"/>
                <w:sz w:val="24"/>
                <w:szCs w:val="24"/>
                <w:highlight w:val="none"/>
                <w:lang w:eastAsia="zh-CN"/>
              </w:rPr>
              <w:t>。</w:t>
            </w:r>
          </w:p>
          <w:p w14:paraId="37FEAC08">
            <w:pPr>
              <w:keepNext w:val="0"/>
              <w:keepLines w:val="0"/>
              <w:numPr>
                <w:ilvl w:val="0"/>
                <w:numId w:val="0"/>
              </w:numPr>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7）多船分别追踪识别能力演、</w:t>
            </w:r>
          </w:p>
          <w:p w14:paraId="64B840F8">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模型能够根据船只类型和运动速度主动选择目标追踪顺序，观察船只细节，分别识别并判断船只类型，</w:t>
            </w:r>
            <w:r>
              <w:rPr>
                <w:rFonts w:hint="eastAsia" w:ascii="仿宋_GB2312" w:hAnsi="仿宋_GB2312" w:eastAsia="仿宋_GB2312" w:cs="仿宋_GB2312"/>
                <w:color w:val="auto"/>
                <w:sz w:val="24"/>
                <w:szCs w:val="24"/>
                <w:highlight w:val="none"/>
              </w:rPr>
              <w:t>对技术细节和关键点进行说明，得0-3分</w:t>
            </w:r>
            <w:r>
              <w:rPr>
                <w:rFonts w:hint="eastAsia" w:ascii="仿宋_GB2312" w:hAnsi="仿宋_GB2312" w:eastAsia="仿宋_GB2312" w:cs="仿宋_GB2312"/>
                <w:color w:val="auto"/>
                <w:sz w:val="24"/>
                <w:szCs w:val="24"/>
                <w:highlight w:val="none"/>
                <w:lang w:eastAsia="zh-CN"/>
              </w:rPr>
              <w:t>。</w:t>
            </w:r>
          </w:p>
          <w:p w14:paraId="55B19F62">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多摄像头识别同一目标演示</w:t>
            </w:r>
          </w:p>
          <w:p w14:paraId="3C47A463">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模型能够自主控制多个摄像头，同时从不同角度识别同一艘行驶中的小型船只，分别获取不同角度的船只清晰图像，</w:t>
            </w:r>
            <w:r>
              <w:rPr>
                <w:rFonts w:hint="eastAsia" w:ascii="仿宋_GB2312" w:hAnsi="仿宋_GB2312" w:eastAsia="仿宋_GB2312" w:cs="仿宋_GB2312"/>
                <w:color w:val="auto"/>
                <w:sz w:val="24"/>
                <w:szCs w:val="24"/>
                <w:highlight w:val="none"/>
              </w:rPr>
              <w:t>对技术细节和关键点进行说明，得0-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14:paraId="5B43F25C">
            <w:pPr>
              <w:keepNext w:val="0"/>
              <w:keepLines w:val="0"/>
              <w:suppressLineNumbers w:val="0"/>
              <w:autoSpaceDE w:val="0"/>
              <w:autoSpaceDN w:val="0"/>
              <w:adjustRightInd w:val="0"/>
              <w:snapToGrid w:val="0"/>
              <w:spacing w:before="0" w:beforeAutospacing="0" w:after="0" w:afterAutospacing="0"/>
              <w:ind w:left="0" w:right="0"/>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算力调整能力</w:t>
            </w:r>
          </w:p>
          <w:p w14:paraId="58709017">
            <w:pPr>
              <w:autoSpaceDE w:val="0"/>
              <w:autoSpaceDN w:val="0"/>
              <w:adjustRightInd w:val="0"/>
              <w:snapToGrid w:val="0"/>
              <w:outlineLvl w:val="0"/>
              <w:rPr>
                <w:rFonts w:hint="eastAsia" w:ascii="仿宋_GB2312" w:hAnsi="仿宋_GB2312" w:eastAsia="仿宋_GB2312" w:cs="仿宋_GB2312"/>
                <w:bCs w:val="0"/>
                <w:color w:val="auto"/>
                <w:sz w:val="24"/>
                <w:highlight w:val="none"/>
              </w:rPr>
            </w:pPr>
            <w:r>
              <w:rPr>
                <w:rFonts w:hint="eastAsia" w:ascii="仿宋_GB2312" w:hAnsi="仿宋_GB2312" w:eastAsia="仿宋_GB2312" w:cs="仿宋_GB2312"/>
                <w:color w:val="auto"/>
                <w:sz w:val="24"/>
                <w:szCs w:val="24"/>
                <w:highlight w:val="none"/>
                <w:lang w:val="en-US" w:eastAsia="zh-CN"/>
              </w:rPr>
              <w:t>模型能够根据船只运动状态的变化和识别结果进行算力调整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对技术细节和关键点进行说明，得0-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tc>
        <w:tc>
          <w:tcPr>
            <w:tcW w:w="717" w:type="dxa"/>
            <w:tcBorders>
              <w:top w:val="single" w:color="auto" w:sz="4" w:space="0"/>
              <w:left w:val="nil"/>
              <w:bottom w:val="single" w:color="auto" w:sz="4" w:space="0"/>
              <w:right w:val="single" w:color="auto" w:sz="4" w:space="0"/>
            </w:tcBorders>
            <w:noWrap w:val="0"/>
            <w:vAlign w:val="center"/>
          </w:tcPr>
          <w:p w14:paraId="0CA97D18">
            <w:pPr>
              <w:autoSpaceDE w:val="0"/>
              <w:autoSpaceDN w:val="0"/>
              <w:adjustRightInd w:val="0"/>
              <w:snapToGrid w:val="0"/>
              <w:outlineLvl w:val="0"/>
              <w:rPr>
                <w:rFonts w:hint="eastAsia" w:ascii="仿宋_GB2312" w:hAnsi="仿宋_GB2312" w:eastAsia="仿宋_GB2312" w:cs="仿宋_GB2312"/>
                <w:bCs/>
                <w:color w:val="auto"/>
                <w:sz w:val="24"/>
                <w:highlight w:val="none"/>
              </w:rPr>
            </w:pPr>
          </w:p>
        </w:tc>
      </w:tr>
    </w:tbl>
    <w:p w14:paraId="130418E0">
      <w:pPr>
        <w:overflowPunct w:val="0"/>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2、商务（报价）评分（20分）：</w:t>
      </w:r>
    </w:p>
    <w:p w14:paraId="24E992AD">
      <w:pPr>
        <w:overflowPunct w:val="0"/>
        <w:spacing w:line="400" w:lineRule="exact"/>
        <w:ind w:left="328" w:leftChars="15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1）资格及符合性审查通过的有效投标人进入商务（报价）评分。</w:t>
      </w:r>
    </w:p>
    <w:p w14:paraId="3C443086">
      <w:pPr>
        <w:spacing w:line="460" w:lineRule="exact"/>
        <w:ind w:firstLine="588" w:firstLineChars="245"/>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报价评分采用低价优先法计算，即满足招标文件要求且投标价格折扣后最低的为评标基准价，其他投标人的报价分按照下列公式计算：（</w:t>
      </w:r>
      <w:r>
        <w:rPr>
          <w:rFonts w:hint="eastAsia" w:ascii="仿宋_GB2312" w:hAnsi="仿宋_GB2312" w:eastAsia="仿宋_GB2312" w:cs="仿宋_GB2312"/>
          <w:color w:val="auto"/>
          <w:sz w:val="24"/>
          <w:highlight w:val="none"/>
        </w:rPr>
        <w:t>四舍五入保留小数后2位有效数字</w:t>
      </w:r>
      <w:r>
        <w:rPr>
          <w:rFonts w:hint="eastAsia" w:ascii="仿宋_GB2312" w:hAnsi="仿宋_GB2312" w:eastAsia="仿宋_GB2312" w:cs="仿宋_GB2312"/>
          <w:color w:val="auto"/>
          <w:sz w:val="24"/>
          <w:highlight w:val="none"/>
          <w:lang w:val="zh-CN"/>
        </w:rPr>
        <w:t>）：</w:t>
      </w:r>
    </w:p>
    <w:p w14:paraId="40A6909C">
      <w:pPr>
        <w:overflowPunct w:val="0"/>
        <w:spacing w:line="400" w:lineRule="exact"/>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有效投标人的投标价等于评标基准价时，其投标报价评分值为满分；</w:t>
      </w:r>
    </w:p>
    <w:p w14:paraId="319A688C">
      <w:pPr>
        <w:overflowPunct w:val="0"/>
        <w:spacing w:line="400" w:lineRule="exact"/>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未满足价格扣除条件的报价得分=（评标基准价/投标人投标报价）×20（四舍五入，保留小数点后2位）</w:t>
      </w:r>
    </w:p>
    <w:p w14:paraId="2549BB06">
      <w:pPr>
        <w:overflowPunct w:val="0"/>
        <w:spacing w:line="400" w:lineRule="exact"/>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满足价格扣除条件的报价得分=评标基准价/(投标人投标报价×90%)×20（四舍五入，保留小数点后2位）</w:t>
      </w:r>
    </w:p>
    <w:p w14:paraId="12E0B70E">
      <w:pPr>
        <w:overflowPunct w:val="0"/>
        <w:spacing w:line="400" w:lineRule="exact"/>
        <w:ind w:firstLine="361" w:firstLineChars="1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①根据《关于进一步加大政府采购支持中小企业力度的通知》（财库〔2022〕19号）、财库〔2022〕19号及浙财采监【2022】8号文件的规定，投标人所提供的投标产品为小型或微型企业生产的并提供中小企业声明函的，其小型或微型企业部分投标报价扣除10%后参与评审，即投标报价×90%；</w:t>
      </w:r>
    </w:p>
    <w:p w14:paraId="0039B711">
      <w:pPr>
        <w:overflowPunct w:val="0"/>
        <w:spacing w:line="400" w:lineRule="exact"/>
        <w:ind w:firstLine="361" w:firstLineChars="1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②根据《关于政府采购支持监狱企业发展有关问题的通知》（财库[2014]68号）、财库〔2022〕19号及浙财采监【2022】8号文件的规定，在政府采购活动中，监狱企业视同小型、微型企业（须按招标文件要求提供证明材料），其小型或微型企业部分投标报价扣除10%后参与评审，即投标报价×90%；</w:t>
      </w:r>
    </w:p>
    <w:p w14:paraId="4D1AAC9E">
      <w:pPr>
        <w:overflowPunct w:val="0"/>
        <w:spacing w:line="400" w:lineRule="exact"/>
        <w:ind w:firstLine="361" w:firstLineChars="1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小型或微型企业部分投标报价扣除10%后参与评审，即投标报价×90%。</w:t>
      </w:r>
    </w:p>
    <w:p w14:paraId="721C432B">
      <w:pPr>
        <w:overflowPunct w:val="0"/>
        <w:spacing w:line="400" w:lineRule="exact"/>
        <w:ind w:firstLine="361" w:firstLineChars="1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④如允许联合体的对于联合协议或者分包意向协议约定小微企业合同份额占到合同总金额30%以上的，对其投标报价给予4%的扣除，用扣除后的价格参与评审，即投标报价×96%。</w:t>
      </w:r>
    </w:p>
    <w:p w14:paraId="6D5FDBE7">
      <w:pPr>
        <w:overflowPunct w:val="0"/>
        <w:spacing w:line="400" w:lineRule="exact"/>
        <w:ind w:firstLine="361"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⑤以上小型、微型企业的，不重复享受政策。未提供完整证明材料的，投标报价不予扣除。</w:t>
      </w:r>
    </w:p>
    <w:p w14:paraId="1DF25F39">
      <w:pPr>
        <w:overflowPunct w:val="0"/>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 有效投标人的综合得分为技术资信分和商务（报价）分的总和。</w:t>
      </w:r>
    </w:p>
    <w:p w14:paraId="40227824">
      <w:pPr>
        <w:overflowPunct w:val="0"/>
        <w:spacing w:line="400" w:lineRule="exact"/>
        <w:ind w:left="480" w:hanging="480" w:hanging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评标委员会按综合得分高低顺序排列，综合得分前两名投标人依次作为第一中标候选人和第二中标候选人向招标人推荐，并提交评标报告。得分相同的，按投标报价由低到高顺序排列，若报价再相同，则抽签决定排序。</w:t>
      </w:r>
    </w:p>
    <w:p w14:paraId="4A395923">
      <w:pPr>
        <w:pStyle w:val="12"/>
        <w:overflowPunct w:val="0"/>
        <w:spacing w:before="120" w:beforeLines="50" w:afterLines="50"/>
        <w:rPr>
          <w:rFonts w:hint="eastAsia" w:ascii="仿宋_GB2312" w:hAnsi="仿宋_GB2312" w:eastAsia="仿宋_GB2312" w:cs="仿宋_GB2312"/>
          <w:b/>
          <w:color w:val="auto"/>
          <w:sz w:val="24"/>
          <w:highlight w:val="none"/>
        </w:rPr>
      </w:pPr>
      <w:bookmarkStart w:id="118" w:name="_Toc221356903"/>
      <w:bookmarkStart w:id="119" w:name="_Toc221356966"/>
      <w:r>
        <w:rPr>
          <w:rFonts w:hint="eastAsia" w:ascii="仿宋_GB2312" w:hAnsi="仿宋_GB2312" w:eastAsia="仿宋_GB2312" w:cs="仿宋_GB2312"/>
          <w:b/>
          <w:color w:val="auto"/>
          <w:sz w:val="24"/>
          <w:highlight w:val="none"/>
        </w:rPr>
        <w:t>六、定标办法</w:t>
      </w:r>
      <w:bookmarkEnd w:id="118"/>
      <w:bookmarkEnd w:id="119"/>
    </w:p>
    <w:p w14:paraId="073FC6BE">
      <w:pPr>
        <w:overflowPunct w:val="0"/>
        <w:spacing w:line="400" w:lineRule="exact"/>
        <w:ind w:left="439" w:leftChars="20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本次招标由评标委员会推荐中标候选人，采购人根据评标委员会的推荐结果进行最终确认（最终根据采购人《采购活动现场授权意见确认书》确定的中标（成交）供应商确认事项确定）。如中标人放弃中标</w:t>
      </w:r>
      <w:r>
        <w:rPr>
          <w:rFonts w:hint="eastAsia" w:ascii="仿宋_GB2312" w:hAnsi="仿宋_GB2312" w:eastAsia="仿宋_GB2312" w:cs="仿宋_GB2312"/>
          <w:color w:val="auto"/>
          <w:sz w:val="24"/>
          <w:highlight w:val="none"/>
          <w:lang w:eastAsia="zh-CN"/>
        </w:rPr>
        <w:t>或</w:t>
      </w:r>
      <w:r>
        <w:rPr>
          <w:rFonts w:hint="eastAsia" w:ascii="仿宋_GB2312" w:hAnsi="仿宋_GB2312" w:eastAsia="仿宋_GB2312" w:cs="仿宋_GB2312"/>
          <w:color w:val="auto"/>
          <w:sz w:val="24"/>
          <w:highlight w:val="none"/>
        </w:rPr>
        <w:t>因不可抗力提出不能履行合同；或未能在规定时间内与招标人签订合同的；或者经质疑，招标人审查后，确因排名第一的候选人在本次采购活动中存在违法违规行为或其他原因使质疑成立的，招标人可以视具体情况确定是否由排名第二的中标候选人为中标人。如第二中标候选人因前款规定的同样原因不能签订合同的，本次招标失败，重新组织招标。</w:t>
      </w:r>
    </w:p>
    <w:p w14:paraId="4CFB9C2F">
      <w:pPr>
        <w:pStyle w:val="12"/>
        <w:overflowPunct w:val="0"/>
        <w:spacing w:before="120" w:beforeLines="50" w:afterLines="50"/>
        <w:rPr>
          <w:rFonts w:hint="eastAsia" w:ascii="仿宋_GB2312" w:hAnsi="仿宋_GB2312" w:eastAsia="仿宋_GB2312" w:cs="仿宋_GB2312"/>
          <w:b/>
          <w:color w:val="auto"/>
          <w:sz w:val="24"/>
          <w:highlight w:val="none"/>
        </w:rPr>
      </w:pPr>
      <w:bookmarkStart w:id="120" w:name="_Toc221356967"/>
      <w:bookmarkStart w:id="121" w:name="_Toc221356904"/>
      <w:r>
        <w:rPr>
          <w:rFonts w:hint="eastAsia" w:ascii="仿宋_GB2312" w:hAnsi="仿宋_GB2312" w:eastAsia="仿宋_GB2312" w:cs="仿宋_GB2312"/>
          <w:b/>
          <w:color w:val="auto"/>
          <w:sz w:val="24"/>
          <w:highlight w:val="none"/>
        </w:rPr>
        <w:t>七、确定中标人</w:t>
      </w:r>
      <w:bookmarkEnd w:id="120"/>
      <w:bookmarkEnd w:id="121"/>
    </w:p>
    <w:p w14:paraId="23BC250E">
      <w:pPr>
        <w:spacing w:line="420" w:lineRule="exact"/>
        <w:ind w:left="548" w:leftChars="261"/>
        <w:rPr>
          <w:rFonts w:hint="eastAsia" w:ascii="仿宋_GB2312" w:hAnsi="仿宋_GB2312" w:eastAsia="仿宋_GB2312" w:cs="仿宋_GB2312"/>
          <w:color w:val="auto"/>
          <w:sz w:val="24"/>
          <w:highlight w:val="none"/>
        </w:rPr>
      </w:pPr>
      <w:bookmarkStart w:id="122" w:name="_Toc221356968"/>
      <w:bookmarkStart w:id="123" w:name="_Toc221356905"/>
      <w:r>
        <w:rPr>
          <w:rFonts w:hint="eastAsia" w:ascii="仿宋_GB2312" w:hAnsi="仿宋_GB2312" w:eastAsia="仿宋_GB2312" w:cs="仿宋_GB2312"/>
          <w:color w:val="auto"/>
          <w:sz w:val="24"/>
          <w:highlight w:val="none"/>
        </w:rPr>
        <w:t>中标人确定后，中标公告在浙江政府采购网上发布，公示期为1个工作日，在发布中标公告的同时，采购人将向中标供应商发出中标通知书。中标通知书对采购人和中标人具有同等法律效力。</w:t>
      </w:r>
    </w:p>
    <w:p w14:paraId="2799F063">
      <w:pPr>
        <w:pStyle w:val="12"/>
        <w:overflowPunct w:val="0"/>
        <w:spacing w:before="120" w:beforeLines="50" w:afterLines="5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八、投标人义务</w:t>
      </w:r>
      <w:bookmarkEnd w:id="122"/>
      <w:bookmarkEnd w:id="123"/>
    </w:p>
    <w:p w14:paraId="55E56E2C">
      <w:pPr>
        <w:overflowPunct w:val="0"/>
        <w:spacing w:line="360" w:lineRule="auto"/>
        <w:ind w:left="359" w:leftChars="171" w:right="-40" w:rightChars="-19"/>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投标人应随时接受评标委员会的询标，解答包括有关的商务、技术问题等。评标结束，所有评标资料存招标机构备查。</w:t>
      </w:r>
    </w:p>
    <w:p w14:paraId="2A5F2D65">
      <w:pPr>
        <w:overflowPunct w:val="0"/>
        <w:spacing w:line="360" w:lineRule="auto"/>
        <w:ind w:left="359" w:leftChars="171" w:right="-40" w:rightChars="-19"/>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br w:type="page"/>
      </w:r>
      <w:r>
        <w:rPr>
          <w:rFonts w:hint="eastAsia" w:ascii="仿宋_GB2312" w:hAnsi="仿宋_GB2312" w:eastAsia="仿宋_GB2312" w:cs="仿宋_GB2312"/>
          <w:b/>
          <w:bCs/>
          <w:color w:val="auto"/>
          <w:sz w:val="24"/>
          <w:highlight w:val="none"/>
        </w:rPr>
        <w:t>政府采购活动现场确认声明书</w:t>
      </w:r>
    </w:p>
    <w:p w14:paraId="4744E620">
      <w:pPr>
        <w:pStyle w:val="251"/>
        <w:widowControl w:val="0"/>
        <w:snapToGrid w:val="0"/>
        <w:spacing w:line="420" w:lineRule="exact"/>
        <w:jc w:val="both"/>
        <w:rPr>
          <w:rFonts w:ascii="仿宋_GB2312" w:hAnsi="仿宋_GB2312" w:eastAsia="仿宋_GB2312" w:cs="仿宋_GB2312"/>
          <w:b/>
          <w:color w:val="auto"/>
          <w:sz w:val="24"/>
          <w:szCs w:val="24"/>
          <w:highlight w:val="none"/>
        </w:rPr>
      </w:pPr>
      <w:r>
        <w:rPr>
          <w:rFonts w:ascii="仿宋_GB2312" w:hAnsi="仿宋_GB2312" w:eastAsia="仿宋_GB2312" w:cs="仿宋_GB2312"/>
          <w:color w:val="auto"/>
          <w:kern w:val="0"/>
          <w:sz w:val="24"/>
          <w:szCs w:val="24"/>
          <w:highlight w:val="none"/>
          <w:u w:val="single"/>
        </w:rPr>
        <w:t>浙江巨合建设项目管理有限公司</w:t>
      </w:r>
      <w:r>
        <w:rPr>
          <w:rFonts w:ascii="仿宋_GB2312" w:hAnsi="仿宋_GB2312" w:eastAsia="仿宋_GB2312" w:cs="仿宋_GB2312"/>
          <w:color w:val="auto"/>
          <w:kern w:val="0"/>
          <w:sz w:val="24"/>
          <w:szCs w:val="24"/>
          <w:highlight w:val="none"/>
        </w:rPr>
        <w:t>（采购组织机构名称）：</w:t>
      </w:r>
    </w:p>
    <w:p w14:paraId="5713A734">
      <w:pPr>
        <w:pStyle w:val="251"/>
        <w:widowControl w:val="0"/>
        <w:snapToGrid w:val="0"/>
        <w:spacing w:line="420" w:lineRule="exact"/>
        <w:ind w:firstLine="504" w:firstLineChars="200"/>
        <w:jc w:val="both"/>
        <w:rPr>
          <w:rFonts w:ascii="仿宋_GB2312" w:hAnsi="仿宋_GB2312" w:eastAsia="仿宋_GB2312" w:cs="仿宋_GB2312"/>
          <w:color w:val="auto"/>
          <w:spacing w:val="6"/>
          <w:sz w:val="24"/>
          <w:szCs w:val="24"/>
          <w:highlight w:val="none"/>
        </w:rPr>
      </w:pPr>
      <w:r>
        <w:rPr>
          <w:rFonts w:ascii="仿宋_GB2312" w:hAnsi="仿宋_GB2312" w:eastAsia="仿宋_GB2312" w:cs="仿宋_GB2312"/>
          <w:color w:val="auto"/>
          <w:spacing w:val="6"/>
          <w:sz w:val="24"/>
          <w:szCs w:val="24"/>
          <w:highlight w:val="none"/>
        </w:rPr>
        <w:t>本人经由</w:t>
      </w:r>
      <w:r>
        <w:rPr>
          <w:rFonts w:ascii="仿宋_GB2312" w:hAnsi="仿宋_GB2312" w:eastAsia="仿宋_GB2312" w:cs="仿宋_GB2312"/>
          <w:color w:val="auto"/>
          <w:spacing w:val="6"/>
          <w:sz w:val="24"/>
          <w:szCs w:val="24"/>
          <w:highlight w:val="none"/>
          <w:u w:val="single"/>
        </w:rPr>
        <w:t xml:space="preserve">                        （单位）</w:t>
      </w:r>
      <w:r>
        <w:rPr>
          <w:rFonts w:ascii="仿宋_GB2312" w:hAnsi="仿宋_GB2312" w:eastAsia="仿宋_GB2312" w:cs="仿宋_GB2312"/>
          <w:color w:val="auto"/>
          <w:spacing w:val="6"/>
          <w:sz w:val="24"/>
          <w:szCs w:val="24"/>
          <w:highlight w:val="none"/>
        </w:rPr>
        <w:t>负责人</w:t>
      </w:r>
      <w:r>
        <w:rPr>
          <w:rFonts w:ascii="仿宋_GB2312" w:hAnsi="仿宋_GB2312" w:eastAsia="仿宋_GB2312" w:cs="仿宋_GB2312"/>
          <w:color w:val="auto"/>
          <w:spacing w:val="6"/>
          <w:sz w:val="24"/>
          <w:szCs w:val="24"/>
          <w:highlight w:val="none"/>
          <w:u w:val="single"/>
        </w:rPr>
        <w:t xml:space="preserve">        （姓名）</w:t>
      </w:r>
      <w:r>
        <w:rPr>
          <w:rFonts w:ascii="仿宋_GB2312" w:hAnsi="仿宋_GB2312" w:eastAsia="仿宋_GB2312" w:cs="仿宋_GB2312"/>
          <w:color w:val="auto"/>
          <w:spacing w:val="6"/>
          <w:sz w:val="24"/>
          <w:szCs w:val="24"/>
          <w:highlight w:val="none"/>
        </w:rPr>
        <w:t>合法授权参加</w:t>
      </w:r>
      <w:r>
        <w:rPr>
          <w:rFonts w:ascii="仿宋_GB2312" w:hAnsi="仿宋_GB2312" w:eastAsia="仿宋_GB2312" w:cs="仿宋_GB2312"/>
          <w:bCs/>
          <w:color w:val="auto"/>
          <w:sz w:val="24"/>
          <w:szCs w:val="24"/>
          <w:highlight w:val="none"/>
          <w:u w:val="single"/>
        </w:rPr>
        <w:t>温州市沿海视频监控系统升级改造项目</w:t>
      </w:r>
      <w:r>
        <w:rPr>
          <w:rFonts w:ascii="仿宋_GB2312" w:hAnsi="仿宋_GB2312" w:eastAsia="仿宋_GB2312" w:cs="仿宋_GB2312"/>
          <w:color w:val="auto"/>
          <w:spacing w:val="6"/>
          <w:sz w:val="24"/>
          <w:szCs w:val="24"/>
          <w:highlight w:val="none"/>
        </w:rPr>
        <w:t>（编号：</w:t>
      </w:r>
      <w:r>
        <w:rPr>
          <w:rFonts w:hint="eastAsia" w:ascii="仿宋_GB2312" w:hAnsi="仿宋_GB2312" w:eastAsia="仿宋_GB2312" w:cs="仿宋_GB2312"/>
          <w:color w:val="auto"/>
          <w:spacing w:val="6"/>
          <w:sz w:val="24"/>
          <w:szCs w:val="24"/>
          <w:highlight w:val="none"/>
          <w:u w:val="single"/>
          <w:lang w:eastAsia="zh-CN"/>
        </w:rPr>
        <w:t>WZJHCG-20240817</w:t>
      </w:r>
      <w:r>
        <w:rPr>
          <w:rFonts w:ascii="仿宋_GB2312" w:hAnsi="仿宋_GB2312" w:eastAsia="仿宋_GB2312" w:cs="仿宋_GB2312"/>
          <w:color w:val="auto"/>
          <w:spacing w:val="6"/>
          <w:sz w:val="24"/>
          <w:szCs w:val="24"/>
          <w:highlight w:val="none"/>
        </w:rPr>
        <w:t xml:space="preserve">）政府采购活动，经与本单位法人代表（负责人）联系确认，现就有关公平竞争事项郑重声明如下： </w:t>
      </w:r>
    </w:p>
    <w:p w14:paraId="6A1DFBE1">
      <w:pPr>
        <w:overflowPunct w:val="0"/>
        <w:spacing w:line="360" w:lineRule="auto"/>
        <w:ind w:right="-40" w:rightChars="-19"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一、本单位与采购人之间 □不存在利害关系 □存在下列利害关系</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14:paraId="4ED8A238">
      <w:pPr>
        <w:pStyle w:val="11"/>
        <w:ind w:firstLine="24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A.投资关系    B.行政隶属关系    C.业务指导关系</w:t>
      </w:r>
    </w:p>
    <w:p w14:paraId="5A4356A3">
      <w:pPr>
        <w:pStyle w:val="13"/>
        <w:ind w:left="0" w:firstLine="240" w:firstLineChars="1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D.其他可能</w:t>
      </w:r>
      <w:r>
        <w:rPr>
          <w:rFonts w:hint="eastAsia" w:ascii="仿宋_GB2312" w:hAnsi="仿宋_GB2312" w:eastAsia="仿宋_GB2312" w:cs="仿宋_GB2312"/>
          <w:color w:val="auto"/>
          <w:sz w:val="24"/>
          <w:szCs w:val="24"/>
          <w:highlight w:val="none"/>
        </w:rPr>
        <w:t>影响采购公正的</w:t>
      </w:r>
      <w:r>
        <w:rPr>
          <w:rFonts w:hint="eastAsia" w:ascii="仿宋_GB2312" w:hAnsi="仿宋_GB2312" w:eastAsia="仿宋_GB2312" w:cs="仿宋_GB2312"/>
          <w:color w:val="auto"/>
          <w:kern w:val="0"/>
          <w:sz w:val="24"/>
          <w:szCs w:val="24"/>
          <w:highlight w:val="none"/>
        </w:rPr>
        <w:t>利害关系</w:t>
      </w:r>
      <w:r>
        <w:rPr>
          <w:rFonts w:hint="eastAsia" w:ascii="仿宋_GB2312" w:hAnsi="仿宋_GB2312" w:eastAsia="仿宋_GB2312" w:cs="仿宋_GB2312"/>
          <w:color w:val="auto"/>
          <w:kern w:val="0"/>
          <w:sz w:val="24"/>
          <w:szCs w:val="24"/>
          <w:highlight w:val="none"/>
          <w:u w:val="single"/>
        </w:rPr>
        <w:t xml:space="preserve">（如有，请如实说明）                 </w:t>
      </w:r>
      <w:r>
        <w:rPr>
          <w:rFonts w:hint="eastAsia" w:ascii="仿宋_GB2312" w:hAnsi="仿宋_GB2312" w:eastAsia="仿宋_GB2312" w:cs="仿宋_GB2312"/>
          <w:color w:val="auto"/>
          <w:kern w:val="0"/>
          <w:sz w:val="24"/>
          <w:szCs w:val="24"/>
          <w:highlight w:val="none"/>
        </w:rPr>
        <w:t>。</w:t>
      </w:r>
    </w:p>
    <w:p w14:paraId="6FB61482">
      <w:pPr>
        <w:ind w:firstLine="504"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6"/>
          <w:sz w:val="24"/>
          <w:highlight w:val="none"/>
        </w:rPr>
        <w:t>二、</w:t>
      </w:r>
      <w:r>
        <w:rPr>
          <w:rFonts w:hint="eastAsia" w:ascii="仿宋_GB2312" w:hAnsi="仿宋_GB2312" w:eastAsia="仿宋_GB2312" w:cs="仿宋_GB2312"/>
          <w:color w:val="auto"/>
          <w:kern w:val="0"/>
          <w:sz w:val="24"/>
          <w:highlight w:val="none"/>
        </w:rPr>
        <w:t>现已清楚知道参加本项目采购活动的其他所有供应商名称，本单位 □与其他所有供应商之间均不存在利害关系 □与</w:t>
      </w:r>
      <w:r>
        <w:rPr>
          <w:rFonts w:hint="eastAsia" w:ascii="仿宋_GB2312" w:hAnsi="仿宋_GB2312" w:eastAsia="仿宋_GB2312" w:cs="仿宋_GB2312"/>
          <w:color w:val="auto"/>
          <w:kern w:val="0"/>
          <w:sz w:val="24"/>
          <w:highlight w:val="none"/>
          <w:u w:val="single"/>
        </w:rPr>
        <w:t xml:space="preserve">           （供应商名称）</w:t>
      </w:r>
      <w:r>
        <w:rPr>
          <w:rFonts w:hint="eastAsia" w:ascii="仿宋_GB2312" w:hAnsi="仿宋_GB2312" w:eastAsia="仿宋_GB2312" w:cs="仿宋_GB2312"/>
          <w:color w:val="auto"/>
          <w:kern w:val="0"/>
          <w:sz w:val="24"/>
          <w:highlight w:val="none"/>
        </w:rPr>
        <w:t>之间存在下列利害关系</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14:paraId="3475B29C">
      <w:pPr>
        <w:pStyle w:val="251"/>
        <w:widowControl w:val="0"/>
        <w:snapToGrid w:val="0"/>
        <w:spacing w:line="420" w:lineRule="exact"/>
        <w:jc w:val="both"/>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 xml:space="preserve">  A.法定代表人或负责人或实际控制人是同一人</w:t>
      </w:r>
    </w:p>
    <w:p w14:paraId="132889C4">
      <w:pPr>
        <w:pStyle w:val="251"/>
        <w:widowControl w:val="0"/>
        <w:snapToGrid w:val="0"/>
        <w:spacing w:line="420" w:lineRule="exact"/>
        <w:jc w:val="both"/>
        <w:rPr>
          <w:rFonts w:ascii="仿宋_GB2312" w:hAnsi="仿宋_GB2312" w:eastAsia="仿宋_GB2312" w:cs="仿宋_GB2312"/>
          <w:color w:val="auto"/>
          <w:spacing w:val="6"/>
          <w:sz w:val="24"/>
          <w:szCs w:val="24"/>
          <w:highlight w:val="none"/>
        </w:rPr>
      </w:pPr>
      <w:r>
        <w:rPr>
          <w:rFonts w:ascii="仿宋_GB2312" w:hAnsi="仿宋_GB2312" w:eastAsia="仿宋_GB2312" w:cs="仿宋_GB2312"/>
          <w:color w:val="auto"/>
          <w:kern w:val="0"/>
          <w:sz w:val="24"/>
          <w:szCs w:val="24"/>
          <w:highlight w:val="none"/>
        </w:rPr>
        <w:t xml:space="preserve">  B.法定代表人或负责人或实际控制人是夫妻关系</w:t>
      </w:r>
    </w:p>
    <w:p w14:paraId="73D800B7">
      <w:pPr>
        <w:pStyle w:val="251"/>
        <w:widowControl w:val="0"/>
        <w:snapToGrid w:val="0"/>
        <w:spacing w:line="420" w:lineRule="exact"/>
        <w:jc w:val="both"/>
        <w:rPr>
          <w:rFonts w:ascii="仿宋_GB2312" w:hAnsi="仿宋_GB2312" w:eastAsia="仿宋_GB2312" w:cs="仿宋_GB2312"/>
          <w:color w:val="auto"/>
          <w:spacing w:val="6"/>
          <w:sz w:val="24"/>
          <w:szCs w:val="24"/>
          <w:highlight w:val="none"/>
        </w:rPr>
      </w:pPr>
      <w:r>
        <w:rPr>
          <w:rFonts w:ascii="仿宋_GB2312" w:hAnsi="仿宋_GB2312" w:eastAsia="仿宋_GB2312" w:cs="仿宋_GB2312"/>
          <w:color w:val="auto"/>
          <w:kern w:val="0"/>
          <w:sz w:val="24"/>
          <w:szCs w:val="24"/>
          <w:highlight w:val="none"/>
        </w:rPr>
        <w:t xml:space="preserve">  C.法定代表人或负责人或实际控制人是直系血亲关系</w:t>
      </w:r>
    </w:p>
    <w:p w14:paraId="26485B80">
      <w:pPr>
        <w:pStyle w:val="251"/>
        <w:widowControl w:val="0"/>
        <w:snapToGrid w:val="0"/>
        <w:spacing w:line="420" w:lineRule="exact"/>
        <w:jc w:val="both"/>
        <w:rPr>
          <w:rFonts w:ascii="仿宋_GB2312" w:hAnsi="仿宋_GB2312" w:eastAsia="仿宋_GB2312" w:cs="仿宋_GB2312"/>
          <w:color w:val="auto"/>
          <w:spacing w:val="6"/>
          <w:sz w:val="24"/>
          <w:szCs w:val="24"/>
          <w:highlight w:val="none"/>
        </w:rPr>
      </w:pPr>
      <w:r>
        <w:rPr>
          <w:rFonts w:ascii="仿宋_GB2312" w:hAnsi="仿宋_GB2312" w:eastAsia="仿宋_GB2312" w:cs="仿宋_GB2312"/>
          <w:color w:val="auto"/>
          <w:kern w:val="0"/>
          <w:sz w:val="24"/>
          <w:szCs w:val="24"/>
          <w:highlight w:val="none"/>
        </w:rPr>
        <w:t xml:space="preserve">  D.法定代表人或负责人或实际控制人存在三代以内旁系血亲关系</w:t>
      </w:r>
    </w:p>
    <w:p w14:paraId="61507356">
      <w:pPr>
        <w:pStyle w:val="251"/>
        <w:widowControl w:val="0"/>
        <w:snapToGrid w:val="0"/>
        <w:spacing w:line="420" w:lineRule="exact"/>
        <w:jc w:val="both"/>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 xml:space="preserve">  E.法定代表人或负责人或实际控制人存在近姻亲关系</w:t>
      </w:r>
    </w:p>
    <w:p w14:paraId="101A3208">
      <w:pPr>
        <w:pStyle w:val="251"/>
        <w:widowControl w:val="0"/>
        <w:snapToGrid w:val="0"/>
        <w:spacing w:line="420" w:lineRule="exact"/>
        <w:jc w:val="both"/>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 xml:space="preserve">  F.法定代表人或负责人或实际控制人存在股份控制或实际控制关系</w:t>
      </w:r>
    </w:p>
    <w:p w14:paraId="75F8FAD8">
      <w:pPr>
        <w:pStyle w:val="251"/>
        <w:widowControl w:val="0"/>
        <w:snapToGrid w:val="0"/>
        <w:spacing w:line="420" w:lineRule="exact"/>
        <w:jc w:val="both"/>
        <w:outlineLvl w:val="0"/>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rPr>
        <w:t xml:space="preserve">  </w:t>
      </w:r>
      <w:bookmarkStart w:id="124" w:name="_Toc54280777"/>
      <w:bookmarkStart w:id="125" w:name="_Toc15119"/>
      <w:r>
        <w:rPr>
          <w:rFonts w:ascii="仿宋_GB2312" w:hAnsi="仿宋_GB2312" w:eastAsia="仿宋_GB2312" w:cs="仿宋_GB2312"/>
          <w:color w:val="auto"/>
          <w:kern w:val="0"/>
          <w:sz w:val="24"/>
          <w:szCs w:val="24"/>
          <w:highlight w:val="none"/>
        </w:rPr>
        <w:t>G.存在共同直接或间接投资设立子公司、联营企业和合营企业情况</w:t>
      </w:r>
      <w:bookmarkEnd w:id="124"/>
      <w:bookmarkEnd w:id="125"/>
    </w:p>
    <w:p w14:paraId="598CFB36">
      <w:pPr>
        <w:pStyle w:val="251"/>
        <w:widowControl w:val="0"/>
        <w:snapToGrid w:val="0"/>
        <w:spacing w:line="420" w:lineRule="exact"/>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kern w:val="0"/>
          <w:sz w:val="24"/>
          <w:szCs w:val="24"/>
          <w:highlight w:val="none"/>
        </w:rPr>
        <w:t xml:space="preserve">  H.存在分级代理或代销关系、同一生产制造商关系、</w:t>
      </w:r>
      <w:r>
        <w:rPr>
          <w:rFonts w:ascii="仿宋_GB2312" w:hAnsi="仿宋_GB2312" w:eastAsia="仿宋_GB2312" w:cs="仿宋_GB2312"/>
          <w:color w:val="auto"/>
          <w:sz w:val="24"/>
          <w:szCs w:val="24"/>
          <w:highlight w:val="none"/>
        </w:rPr>
        <w:t>管理关系、重要业务（占主营业务收入50%以上）或重要财务往来关系（如融资）等其他实质性控制关系</w:t>
      </w:r>
    </w:p>
    <w:p w14:paraId="45CB802F">
      <w:pPr>
        <w:pStyle w:val="251"/>
        <w:widowControl w:val="0"/>
        <w:snapToGrid w:val="0"/>
        <w:spacing w:line="420" w:lineRule="exact"/>
        <w:ind w:firstLine="240" w:firstLineChars="100"/>
        <w:jc w:val="both"/>
        <w:rPr>
          <w:rFonts w:ascii="仿宋_GB2312" w:hAnsi="仿宋_GB2312" w:eastAsia="仿宋_GB2312" w:cs="仿宋_GB2312"/>
          <w:color w:val="auto"/>
          <w:spacing w:val="6"/>
          <w:sz w:val="24"/>
          <w:szCs w:val="24"/>
          <w:highlight w:val="none"/>
        </w:rPr>
      </w:pPr>
      <w:r>
        <w:rPr>
          <w:rFonts w:ascii="仿宋_GB2312" w:hAnsi="仿宋_GB2312" w:eastAsia="仿宋_GB2312" w:cs="仿宋_GB2312"/>
          <w:color w:val="auto"/>
          <w:sz w:val="24"/>
          <w:szCs w:val="24"/>
          <w:highlight w:val="none"/>
        </w:rPr>
        <w:t>I</w:t>
      </w:r>
      <w:r>
        <w:rPr>
          <w:rFonts w:ascii="仿宋_GB2312" w:hAnsi="仿宋_GB2312" w:eastAsia="仿宋_GB2312" w:cs="仿宋_GB2312"/>
          <w:color w:val="auto"/>
          <w:kern w:val="0"/>
          <w:sz w:val="24"/>
          <w:szCs w:val="24"/>
          <w:highlight w:val="none"/>
        </w:rPr>
        <w:t>.</w:t>
      </w:r>
      <w:r>
        <w:rPr>
          <w:rFonts w:ascii="仿宋_GB2312" w:hAnsi="仿宋_GB2312" w:eastAsia="仿宋_GB2312" w:cs="仿宋_GB2312"/>
          <w:color w:val="auto"/>
          <w:sz w:val="24"/>
          <w:szCs w:val="24"/>
          <w:highlight w:val="none"/>
        </w:rPr>
        <w:t>其他利害关系情况</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kern w:val="0"/>
          <w:sz w:val="24"/>
          <w:szCs w:val="24"/>
          <w:highlight w:val="none"/>
        </w:rPr>
        <w:t>。</w:t>
      </w:r>
    </w:p>
    <w:p w14:paraId="28791272">
      <w:pPr>
        <w:pStyle w:val="188"/>
        <w:widowControl/>
        <w:numPr>
          <w:ilvl w:val="0"/>
          <w:numId w:val="18"/>
        </w:numPr>
        <w:tabs>
          <w:tab w:val="clear" w:pos="1800"/>
        </w:tabs>
        <w:snapToGrid w:val="0"/>
        <w:spacing w:before="0" w:after="0" w:line="420" w:lineRule="exact"/>
        <w:jc w:val="both"/>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szCs w:val="24"/>
          <w:highlight w:val="none"/>
        </w:rPr>
        <w:t>现已清楚知道并</w:t>
      </w:r>
      <w:r>
        <w:rPr>
          <w:rFonts w:hint="eastAsia" w:ascii="仿宋_GB2312" w:hAnsi="仿宋_GB2312" w:eastAsia="仿宋_GB2312" w:cs="仿宋_GB2312"/>
          <w:color w:val="auto"/>
          <w:kern w:val="0"/>
          <w:szCs w:val="24"/>
          <w:highlight w:val="none"/>
        </w:rPr>
        <w:t>严格遵守政府采购法律法规和现场纪律。</w:t>
      </w:r>
    </w:p>
    <w:p w14:paraId="24C0DB45">
      <w:pPr>
        <w:pStyle w:val="188"/>
        <w:widowControl/>
        <w:numPr>
          <w:ilvl w:val="0"/>
          <w:numId w:val="18"/>
        </w:numPr>
        <w:tabs>
          <w:tab w:val="left" w:pos="525"/>
          <w:tab w:val="clear" w:pos="1280"/>
          <w:tab w:val="clear" w:pos="1800"/>
        </w:tabs>
        <w:snapToGrid w:val="0"/>
        <w:spacing w:before="0" w:after="0" w:line="420" w:lineRule="exact"/>
        <w:ind w:left="0" w:firstLine="560"/>
        <w:jc w:val="both"/>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我发现</w:t>
      </w:r>
      <w:r>
        <w:rPr>
          <w:rFonts w:hint="eastAsia" w:ascii="仿宋_GB2312" w:hAnsi="仿宋_GB2312" w:eastAsia="仿宋_GB2312" w:cs="仿宋_GB2312"/>
          <w:color w:val="auto"/>
          <w:kern w:val="0"/>
          <w:szCs w:val="24"/>
          <w:highlight w:val="none"/>
          <w:u w:val="single"/>
        </w:rPr>
        <w:t xml:space="preserve">                    </w:t>
      </w:r>
      <w:r>
        <w:rPr>
          <w:rFonts w:hint="eastAsia" w:ascii="仿宋_GB2312" w:hAnsi="仿宋_GB2312" w:eastAsia="仿宋_GB2312" w:cs="仿宋_GB2312"/>
          <w:color w:val="auto"/>
          <w:kern w:val="0"/>
          <w:szCs w:val="24"/>
          <w:highlight w:val="none"/>
        </w:rPr>
        <w:t>供应商之间存在或可能存在上述第二条第</w:t>
      </w:r>
      <w:r>
        <w:rPr>
          <w:rFonts w:hint="eastAsia" w:ascii="仿宋_GB2312" w:hAnsi="仿宋_GB2312" w:eastAsia="仿宋_GB2312" w:cs="仿宋_GB2312"/>
          <w:color w:val="auto"/>
          <w:kern w:val="0"/>
          <w:szCs w:val="24"/>
          <w:highlight w:val="none"/>
          <w:u w:val="single"/>
        </w:rPr>
        <w:t xml:space="preserve">        </w:t>
      </w:r>
      <w:r>
        <w:rPr>
          <w:rFonts w:hint="eastAsia" w:ascii="仿宋_GB2312" w:hAnsi="仿宋_GB2312" w:eastAsia="仿宋_GB2312" w:cs="仿宋_GB2312"/>
          <w:color w:val="auto"/>
          <w:kern w:val="0"/>
          <w:szCs w:val="24"/>
          <w:highlight w:val="none"/>
        </w:rPr>
        <w:t>项利害关系。</w:t>
      </w:r>
    </w:p>
    <w:p w14:paraId="3AC8C2FB">
      <w:pPr>
        <w:rPr>
          <w:rFonts w:hint="eastAsia" w:ascii="仿宋_GB2312" w:hAnsi="仿宋_GB2312" w:eastAsia="仿宋_GB2312" w:cs="仿宋_GB2312"/>
          <w:color w:val="auto"/>
          <w:sz w:val="24"/>
          <w:highlight w:val="none"/>
        </w:rPr>
      </w:pPr>
    </w:p>
    <w:p w14:paraId="1F55B175">
      <w:pPr>
        <w:pStyle w:val="251"/>
        <w:widowControl w:val="0"/>
        <w:snapToGrid w:val="0"/>
        <w:spacing w:line="420" w:lineRule="exact"/>
        <w:ind w:firstLine="480" w:firstLineChars="200"/>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                                （供应商代表签名）</w:t>
      </w:r>
    </w:p>
    <w:p w14:paraId="548C3F39">
      <w:pPr>
        <w:pStyle w:val="251"/>
        <w:widowControl w:val="0"/>
        <w:snapToGrid w:val="0"/>
        <w:spacing w:line="420" w:lineRule="exact"/>
        <w:ind w:firstLine="480" w:firstLineChars="200"/>
        <w:jc w:val="both"/>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 xml:space="preserve">                          20    年   月   日</w:t>
      </w:r>
    </w:p>
    <w:p w14:paraId="5D7CC3F8">
      <w:pPr>
        <w:pStyle w:val="251"/>
        <w:widowControl w:val="0"/>
        <w:snapToGrid w:val="0"/>
        <w:spacing w:line="420" w:lineRule="exact"/>
        <w:ind w:firstLine="480" w:firstLineChars="200"/>
        <w:jc w:val="both"/>
        <w:rPr>
          <w:rFonts w:ascii="仿宋_GB2312" w:hAnsi="仿宋_GB2312" w:eastAsia="仿宋_GB2312" w:cs="仿宋_GB2312"/>
          <w:color w:val="auto"/>
          <w:sz w:val="24"/>
          <w:szCs w:val="24"/>
          <w:highlight w:val="none"/>
        </w:rPr>
      </w:pPr>
    </w:p>
    <w:p w14:paraId="75C9A266">
      <w:pPr>
        <w:pStyle w:val="251"/>
        <w:widowControl w:val="0"/>
        <w:snapToGrid w:val="0"/>
        <w:spacing w:line="420" w:lineRule="exact"/>
        <w:ind w:firstLine="480" w:firstLineChars="200"/>
        <w:jc w:val="both"/>
        <w:rPr>
          <w:rFonts w:ascii="仿宋_GB2312" w:hAnsi="仿宋_GB2312" w:eastAsia="仿宋_GB2312" w:cs="仿宋_GB2312"/>
          <w:color w:val="auto"/>
          <w:sz w:val="24"/>
          <w:szCs w:val="24"/>
          <w:highlight w:val="none"/>
        </w:rPr>
      </w:pPr>
    </w:p>
    <w:p w14:paraId="360B42DE">
      <w:pPr>
        <w:tabs>
          <w:tab w:val="left" w:pos="540"/>
        </w:tabs>
        <w:spacing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val="zh-CN"/>
        </w:rPr>
        <w:t>解密结束后</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zh-CN"/>
        </w:rPr>
        <w:t>各</w:t>
      </w:r>
      <w:r>
        <w:rPr>
          <w:rFonts w:hint="eastAsia" w:ascii="仿宋_GB2312" w:hAnsi="仿宋_GB2312" w:eastAsia="仿宋_GB2312" w:cs="仿宋_GB2312"/>
          <w:b/>
          <w:bCs/>
          <w:color w:val="auto"/>
          <w:sz w:val="24"/>
          <w:highlight w:val="none"/>
        </w:rPr>
        <w:t>供应商签署后将扫描件发送至采购代理机构邮箱735135867@qq.com</w:t>
      </w:r>
      <w:r>
        <w:rPr>
          <w:rFonts w:hint="eastAsia" w:ascii="仿宋_GB2312" w:hAnsi="仿宋_GB2312" w:eastAsia="仿宋_GB2312" w:cs="仿宋_GB2312"/>
          <w:b/>
          <w:bCs/>
          <w:color w:val="auto"/>
          <w:sz w:val="24"/>
          <w:highlight w:val="none"/>
          <w:lang w:val="zh-CN"/>
        </w:rPr>
        <w:t>。</w:t>
      </w:r>
    </w:p>
    <w:p w14:paraId="67D1D50C">
      <w:pPr>
        <w:tabs>
          <w:tab w:val="left" w:pos="540"/>
        </w:tabs>
        <w:spacing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r>
        <w:rPr>
          <w:rFonts w:hint="eastAsia" w:ascii="仿宋_GB2312" w:hAnsi="仿宋_GB2312" w:eastAsia="仿宋_GB2312" w:cs="仿宋_GB2312"/>
          <w:b/>
          <w:bCs/>
          <w:color w:val="auto"/>
          <w:sz w:val="24"/>
          <w:highlight w:val="none"/>
        </w:rPr>
        <w:t>政府采购政策相关说明</w:t>
      </w:r>
    </w:p>
    <w:p w14:paraId="3A282D9A">
      <w:pPr>
        <w:jc w:val="left"/>
        <w:rPr>
          <w:rFonts w:hint="eastAsia" w:ascii="仿宋_GB2312" w:hAnsi="仿宋_GB2312" w:eastAsia="仿宋_GB2312" w:cs="仿宋_GB2312"/>
          <w:b/>
          <w:color w:val="auto"/>
          <w:sz w:val="24"/>
          <w:highlight w:val="none"/>
        </w:rPr>
      </w:pPr>
    </w:p>
    <w:p w14:paraId="7166C210">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一、小、微企业（含监狱企业、残疾人福利性单位）扶持政策说明</w:t>
      </w:r>
    </w:p>
    <w:p w14:paraId="14A9130E">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1、文件依据</w:t>
      </w:r>
    </w:p>
    <w:p w14:paraId="6490BB6B">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（1）关于印发《关于进一步加大政府采购支持中小企业力度的通知》（财库〔2022〕19号）</w:t>
      </w:r>
    </w:p>
    <w:p w14:paraId="45AEDD86">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w:t>
      </w:r>
      <w:r>
        <w:rPr>
          <w:rFonts w:hint="eastAsia" w:ascii="仿宋_GB2312" w:hAnsi="仿宋_GB2312" w:eastAsia="仿宋_GB2312" w:cs="仿宋_GB2312"/>
          <w:bCs/>
          <w:color w:val="auto"/>
          <w:sz w:val="24"/>
          <w:highlight w:val="none"/>
          <w:lang w:eastAsia="zh-CN"/>
        </w:rPr>
        <w:t>浙江省财政厅</w:t>
      </w:r>
      <w:r>
        <w:rPr>
          <w:rFonts w:hint="eastAsia" w:ascii="仿宋_GB2312" w:hAnsi="仿宋_GB2312" w:eastAsia="仿宋_GB2312" w:cs="仿宋_GB2312"/>
          <w:bCs/>
          <w:color w:val="auto"/>
          <w:sz w:val="24"/>
          <w:highlight w:val="none"/>
        </w:rPr>
        <w:t>《关于开展政府采购投标人网上注册登记和诚信管理工作的通知》（浙财采监〔2010〕8号)</w:t>
      </w:r>
    </w:p>
    <w:p w14:paraId="22E1B007">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（3）《工业和信息化部、国家统计局、国家发展和改革委员会、财政部关于印发中小企业划型标准规定的通知》（工信部联企业[2011]300号）</w:t>
      </w:r>
    </w:p>
    <w:p w14:paraId="6EDEF9D3">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（4）财政部、司法部《关于政府采购支持监狱企业发展有关问题的通知》（财库〔2014〕68号）</w:t>
      </w:r>
    </w:p>
    <w:p w14:paraId="1B136B6D">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（5）《财政部 民政部 中国残疾人联合会关于促进残疾人就业政府采购政策的通知》（财库〔2017〕 141号）</w:t>
      </w:r>
    </w:p>
    <w:p w14:paraId="54DA4C44">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（6）《浙江省财政厅  浙江省经济和信息化委员会关于简化中小企业类别确认流程有关事项的通知》（浙财采监〔2018〕2号)</w:t>
      </w:r>
    </w:p>
    <w:p w14:paraId="4C889C86">
      <w:pPr>
        <w:spacing w:line="360" w:lineRule="auto"/>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（7）《关于进一步加大政府采购支持中小企业力度的通知》（财库〔2022〕19号）</w:t>
      </w:r>
    </w:p>
    <w:p w14:paraId="3039105C">
      <w:pPr>
        <w:spacing w:line="360" w:lineRule="auto"/>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2.供应商提供的货物、工程或者服务符合下列情形的，享受中小企业扶持政策：</w:t>
      </w:r>
    </w:p>
    <w:p w14:paraId="42087005">
      <w:pPr>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（1）在货物采购项目中，货物由中小企业制造，即货物由中小企业生产且使用该中小企业商号或者注册商标；</w:t>
      </w:r>
    </w:p>
    <w:p w14:paraId="55190D4D">
      <w:pPr>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（2）在工程采购项目中，工程由中小企业承建，即工程施工单位为中小企业；</w:t>
      </w:r>
    </w:p>
    <w:p w14:paraId="371E8966">
      <w:pPr>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（3）在服务采购项目中，服务由中小企业承接，即提供服务的人员为中小企业依照《中华人民共和国劳动合同法》订立劳动合同的从业人员。</w:t>
      </w:r>
    </w:p>
    <w:p w14:paraId="65638120">
      <w:pPr>
        <w:spacing w:line="360" w:lineRule="auto"/>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3.小微企业（含监狱企业、残疾人福利性单位）评审扶持政策</w:t>
      </w:r>
    </w:p>
    <w:p w14:paraId="4C64C3B3">
      <w:pPr>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（1）本项目对小型企业和微型企业（含监狱企业、残疾人福利性单位）的投标报价（折扣率）给予10%的扣除，用扣除后的价格参与评审。</w:t>
      </w:r>
    </w:p>
    <w:p w14:paraId="7E6F6D04">
      <w:pPr>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（2）在货物采购项目中，供应商提供的货物既有中小企业制造货物，也有大型企业制造货物的，不享受中小企业扶持政策。</w:t>
      </w:r>
    </w:p>
    <w:p w14:paraId="2C8E3001">
      <w:pPr>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（3）以联合体形式参加政府采购活动，联合体各方均为中小企业的，联合体视同中小企业。其中，联合体各方均为小微企业的，联合体视同小微企业。</w:t>
      </w:r>
    </w:p>
    <w:p w14:paraId="7F1C627A">
      <w:pPr>
        <w:spacing w:line="440" w:lineRule="atLeas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4.对于联合协议或者分包意向协议约定小微企业合同份额占到合同总金额30%以上的，对其投标报价（折扣率）给予4%的扣除，用扣除后的价格参与评审。</w:t>
      </w:r>
    </w:p>
    <w:p w14:paraId="3569950F">
      <w:pPr>
        <w:spacing w:line="440" w:lineRule="atLeas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5.组成联合体或者接受分包合同的中小企业与联合体内其他企业、分包企业之间不得存在直接控股、管理关系。</w:t>
      </w:r>
    </w:p>
    <w:p w14:paraId="0F20002D">
      <w:pPr>
        <w:spacing w:line="440" w:lineRule="atLeast"/>
        <w:jc w:val="left"/>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bCs/>
          <w:color w:val="auto"/>
          <w:sz w:val="24"/>
          <w:highlight w:val="none"/>
        </w:rPr>
        <w:t>二、</w:t>
      </w:r>
      <w:r>
        <w:rPr>
          <w:rFonts w:hint="eastAsia" w:ascii="仿宋_GB2312" w:hAnsi="仿宋_GB2312" w:eastAsia="仿宋_GB2312" w:cs="仿宋_GB2312"/>
          <w:bCs/>
          <w:color w:val="auto"/>
          <w:sz w:val="24"/>
          <w:highlight w:val="none"/>
          <w:u w:val="single"/>
        </w:rPr>
        <w:t>享受小微企业价格扣除应提供以下证明材料（编制在投标文件报价文件中，不提供的不享受价格扣除）：</w:t>
      </w:r>
    </w:p>
    <w:p w14:paraId="5330AF33">
      <w:pPr>
        <w:spacing w:line="440" w:lineRule="atLeas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（1）投标人《中小企业声明函》（加盖投标人公章，格式见报价响应文件附件）</w:t>
      </w:r>
    </w:p>
    <w:p w14:paraId="768649C8">
      <w:pPr>
        <w:spacing w:line="440" w:lineRule="atLeas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三、</w:t>
      </w:r>
      <w:r>
        <w:rPr>
          <w:rFonts w:hint="eastAsia" w:ascii="仿宋_GB2312" w:hAnsi="仿宋_GB2312" w:eastAsia="仿宋_GB2312" w:cs="仿宋_GB2312"/>
          <w:bCs/>
          <w:color w:val="auto"/>
          <w:sz w:val="24"/>
          <w:highlight w:val="none"/>
          <w:u w:val="single"/>
        </w:rPr>
        <w:t>享受监狱企业价格扣除应提供以下证明材料（编制在投标文件报价文件中，不提供的不享受价格扣除）</w:t>
      </w:r>
      <w:r>
        <w:rPr>
          <w:rFonts w:hint="eastAsia" w:ascii="仿宋_GB2312" w:hAnsi="仿宋_GB2312" w:eastAsia="仿宋_GB2312" w:cs="仿宋_GB2312"/>
          <w:bCs/>
          <w:color w:val="auto"/>
          <w:sz w:val="24"/>
          <w:highlight w:val="none"/>
        </w:rPr>
        <w:t>：</w:t>
      </w:r>
    </w:p>
    <w:p w14:paraId="3894367A">
      <w:pPr>
        <w:spacing w:line="440" w:lineRule="atLeas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（1）监狱企业声明函（加盖投标人公章，格式见报价响应文件附件）</w:t>
      </w:r>
    </w:p>
    <w:p w14:paraId="67795153">
      <w:pPr>
        <w:spacing w:line="440" w:lineRule="atLeas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（2）监狱企业参加政府采购活动时，应当提供由省级以上监狱管理局、戒毒管理局(含新疆生产建设兵团)出具的属于监狱企业的证明文件（复</w:t>
      </w:r>
      <w:r>
        <w:rPr>
          <w:rFonts w:hint="eastAsia" w:ascii="仿宋_GB2312" w:hAnsi="仿宋_GB2312" w:eastAsia="仿宋_GB2312" w:cs="仿宋_GB2312"/>
          <w:bCs/>
          <w:color w:val="auto"/>
          <w:sz w:val="24"/>
          <w:highlight w:val="none"/>
          <w:lang w:eastAsia="zh-CN"/>
        </w:rPr>
        <w:t>印件</w:t>
      </w:r>
      <w:r>
        <w:rPr>
          <w:rFonts w:hint="eastAsia" w:ascii="仿宋_GB2312" w:hAnsi="仿宋_GB2312" w:eastAsia="仿宋_GB2312" w:cs="仿宋_GB2312"/>
          <w:bCs/>
          <w:color w:val="auto"/>
          <w:sz w:val="24"/>
          <w:highlight w:val="none"/>
        </w:rPr>
        <w:t>加盖公章）。在政府采购活动中，监狱企业视同小型、微型企业，享受评审中价格扣除政策。</w:t>
      </w:r>
    </w:p>
    <w:p w14:paraId="611FD050">
      <w:pPr>
        <w:spacing w:line="440" w:lineRule="atLeas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四、</w:t>
      </w:r>
      <w:r>
        <w:rPr>
          <w:rFonts w:hint="eastAsia" w:ascii="仿宋_GB2312" w:hAnsi="仿宋_GB2312" w:eastAsia="仿宋_GB2312" w:cs="仿宋_GB2312"/>
          <w:bCs/>
          <w:color w:val="auto"/>
          <w:sz w:val="24"/>
          <w:highlight w:val="none"/>
          <w:u w:val="single"/>
        </w:rPr>
        <w:t>享受残疾人福利性单</w:t>
      </w:r>
      <w:r>
        <w:rPr>
          <w:rFonts w:hint="eastAsia" w:ascii="仿宋_GB2312" w:hAnsi="仿宋_GB2312" w:eastAsia="仿宋_GB2312" w:cs="仿宋_GB2312"/>
          <w:bCs/>
          <w:color w:val="auto"/>
          <w:sz w:val="24"/>
          <w:highlight w:val="none"/>
          <w:u w:val="single"/>
          <w:lang w:eastAsia="zh-CN"/>
        </w:rPr>
        <w:t>位价</w:t>
      </w:r>
      <w:r>
        <w:rPr>
          <w:rFonts w:hint="eastAsia" w:ascii="仿宋_GB2312" w:hAnsi="仿宋_GB2312" w:eastAsia="仿宋_GB2312" w:cs="仿宋_GB2312"/>
          <w:bCs/>
          <w:color w:val="auto"/>
          <w:sz w:val="24"/>
          <w:highlight w:val="none"/>
          <w:u w:val="single"/>
        </w:rPr>
        <w:t>格扣除应提供以下证明材料（编制在投标文件报价文件中，不提供的不享受价格扣除）</w:t>
      </w:r>
      <w:r>
        <w:rPr>
          <w:rFonts w:hint="eastAsia" w:ascii="仿宋_GB2312" w:hAnsi="仿宋_GB2312" w:eastAsia="仿宋_GB2312" w:cs="仿宋_GB2312"/>
          <w:bCs/>
          <w:color w:val="auto"/>
          <w:sz w:val="24"/>
          <w:highlight w:val="none"/>
        </w:rPr>
        <w:t>：</w:t>
      </w:r>
    </w:p>
    <w:p w14:paraId="50D8E422">
      <w:pPr>
        <w:spacing w:line="440" w:lineRule="atLeast"/>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（1）投标人《残疾人福利性单位声明函》（加盖投标人公章，格式见报价响应文件附件）；</w:t>
      </w:r>
    </w:p>
    <w:p w14:paraId="31FD2E03">
      <w:pPr>
        <w:spacing w:line="440" w:lineRule="atLeas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76E03193">
      <w:pPr>
        <w:spacing w:line="440" w:lineRule="atLeas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六、监狱企业、残疾人福利性单位参加投标，视为小型、微型企业，享受小微企业政策扶持，监狱企业、残疾人福利性单位属于小型、微型企业的，不重复享受政策。</w:t>
      </w:r>
    </w:p>
    <w:p w14:paraId="3EAA3E1A">
      <w:pPr>
        <w:spacing w:line="440" w:lineRule="atLeas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七、享受扶持政策获得政府采购合同的，小微企业不得将合同分包给大中型企业，中型企业不得将合同分包给大型企业。</w:t>
      </w:r>
    </w:p>
    <w:p w14:paraId="7671DBA9">
      <w:pPr>
        <w:pStyle w:val="13"/>
        <w:rPr>
          <w:rFonts w:hint="eastAsia" w:ascii="仿宋_GB2312" w:hAnsi="仿宋_GB2312" w:eastAsia="仿宋_GB2312" w:cs="仿宋_GB2312"/>
          <w:color w:val="auto"/>
          <w:sz w:val="24"/>
          <w:szCs w:val="24"/>
          <w:highlight w:val="none"/>
        </w:rPr>
      </w:pPr>
    </w:p>
    <w:sectPr>
      <w:headerReference r:id="rId4" w:type="default"/>
      <w:footerReference r:id="rId5" w:type="default"/>
      <w:footerReference r:id="rId6" w:type="even"/>
      <w:pgSz w:w="11906" w:h="16838"/>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黑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宋体,Verdana,Arial">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全真楷書">
    <w:altName w:val="宋体"/>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TimesNewRomanPSMT">
    <w:altName w:val="Times New Roman"/>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6FAF">
    <w:pPr>
      <w:pStyle w:val="45"/>
      <w:jc w:val="center"/>
    </w:pPr>
    <w:r>
      <w:fldChar w:fldCharType="begin"/>
    </w:r>
    <w:r>
      <w:rPr>
        <w:rStyle w:val="71"/>
      </w:rPr>
      <w:instrText xml:space="preserve"> PAGE </w:instrText>
    </w:r>
    <w:r>
      <w:fldChar w:fldCharType="separate"/>
    </w:r>
    <w:r>
      <w:rPr>
        <w:rStyle w:val="71"/>
      </w:rP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3F0F">
    <w:pPr>
      <w:pStyle w:val="45"/>
      <w:framePr w:wrap="around" w:vAnchor="text" w:hAnchor="margin" w:xAlign="center" w:y="1"/>
      <w:rPr>
        <w:rStyle w:val="71"/>
      </w:rPr>
    </w:pPr>
    <w:r>
      <w:fldChar w:fldCharType="begin"/>
    </w:r>
    <w:r>
      <w:rPr>
        <w:rStyle w:val="71"/>
      </w:rPr>
      <w:instrText xml:space="preserve">PAGE  </w:instrText>
    </w:r>
    <w:r>
      <w:fldChar w:fldCharType="separate"/>
    </w:r>
    <w:r>
      <w:rPr>
        <w:rStyle w:val="71"/>
      </w:rPr>
      <w:t>0</w:t>
    </w:r>
    <w:r>
      <w:fldChar w:fldCharType="end"/>
    </w:r>
  </w:p>
  <w:p w14:paraId="60DDA1B2">
    <w:pPr>
      <w:pStyle w:val="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9D532F">
      <w:pPr>
        <w:pStyle w:val="53"/>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AA9F">
    <w:pPr>
      <w:pStyle w:val="4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4E910"/>
    <w:multiLevelType w:val="singleLevel"/>
    <w:tmpl w:val="D2F4E910"/>
    <w:lvl w:ilvl="0" w:tentative="0">
      <w:start w:val="1"/>
      <w:numFmt w:val="decimal"/>
      <w:lvlText w:val="%1."/>
      <w:lvlJc w:val="left"/>
      <w:pPr>
        <w:tabs>
          <w:tab w:val="left" w:pos="312"/>
        </w:tabs>
      </w:pPr>
    </w:lvl>
  </w:abstractNum>
  <w:abstractNum w:abstractNumId="1">
    <w:nsid w:val="E25D606A"/>
    <w:multiLevelType w:val="singleLevel"/>
    <w:tmpl w:val="E25D606A"/>
    <w:lvl w:ilvl="0" w:tentative="0">
      <w:start w:val="1"/>
      <w:numFmt w:val="decimal"/>
      <w:lvlText w:val="%1."/>
      <w:lvlJc w:val="left"/>
      <w:pPr>
        <w:tabs>
          <w:tab w:val="left" w:pos="312"/>
        </w:tabs>
      </w:pPr>
    </w:lvl>
  </w:abstractNum>
  <w:abstractNum w:abstractNumId="2">
    <w:nsid w:val="0000000A"/>
    <w:multiLevelType w:val="singleLevel"/>
    <w:tmpl w:val="0000000A"/>
    <w:lvl w:ilvl="0" w:tentative="0">
      <w:start w:val="1"/>
      <w:numFmt w:val="decimal"/>
      <w:lvlText w:val="(%1)"/>
      <w:lvlJc w:val="left"/>
      <w:pPr>
        <w:ind w:left="425" w:hanging="425"/>
      </w:pPr>
      <w:rPr>
        <w:rFonts w:hint="default"/>
      </w:rPr>
    </w:lvl>
  </w:abstractNum>
  <w:abstractNum w:abstractNumId="3">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decimal"/>
      <w:lvlText w:val="附件%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7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japaneseCounting"/>
      <w:pStyle w:val="2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420"/>
      </w:pPr>
      <w:rPr>
        <w:rFonts w:hint="eastAsia"/>
      </w:rPr>
    </w:lvl>
    <w:lvl w:ilvl="2" w:tentative="0">
      <w:start w:val="1"/>
      <w:numFmt w:val="lowerRoman"/>
      <w:lvlText w:val="%3."/>
      <w:lvlJc w:val="right"/>
      <w:pPr>
        <w:tabs>
          <w:tab w:val="left" w:pos="300"/>
        </w:tabs>
        <w:ind w:left="300" w:hanging="420"/>
      </w:pPr>
    </w:lvl>
    <w:lvl w:ilvl="3" w:tentative="0">
      <w:start w:val="1"/>
      <w:numFmt w:val="decimal"/>
      <w:lvlText w:val="%4."/>
      <w:lvlJc w:val="left"/>
      <w:pPr>
        <w:tabs>
          <w:tab w:val="left" w:pos="720"/>
        </w:tabs>
        <w:ind w:left="720" w:hanging="420"/>
      </w:pPr>
    </w:lvl>
    <w:lvl w:ilvl="4" w:tentative="0">
      <w:start w:val="1"/>
      <w:numFmt w:val="lowerLetter"/>
      <w:lvlText w:val="%5)"/>
      <w:lvlJc w:val="left"/>
      <w:pPr>
        <w:tabs>
          <w:tab w:val="left" w:pos="1140"/>
        </w:tabs>
        <w:ind w:left="1140" w:hanging="420"/>
      </w:pPr>
    </w:lvl>
    <w:lvl w:ilvl="5" w:tentative="0">
      <w:start w:val="1"/>
      <w:numFmt w:val="lowerRoman"/>
      <w:lvlText w:val="%6."/>
      <w:lvlJc w:val="right"/>
      <w:pPr>
        <w:tabs>
          <w:tab w:val="left" w:pos="1560"/>
        </w:tabs>
        <w:ind w:left="1560" w:hanging="420"/>
      </w:pPr>
    </w:lvl>
    <w:lvl w:ilvl="6" w:tentative="0">
      <w:start w:val="1"/>
      <w:numFmt w:val="decimal"/>
      <w:lvlText w:val="%7."/>
      <w:lvlJc w:val="left"/>
      <w:pPr>
        <w:tabs>
          <w:tab w:val="left" w:pos="1980"/>
        </w:tabs>
        <w:ind w:left="198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2820"/>
        </w:tabs>
        <w:ind w:left="2820" w:hanging="420"/>
      </w:pPr>
    </w:lvl>
  </w:abstractNum>
  <w:abstractNum w:abstractNumId="6">
    <w:nsid w:val="0000000E"/>
    <w:multiLevelType w:val="multilevel"/>
    <w:tmpl w:val="0000000E"/>
    <w:lvl w:ilvl="0" w:tentative="0">
      <w:start w:val="1"/>
      <w:numFmt w:val="decimal"/>
      <w:pStyle w:val="291"/>
      <w:lvlText w:val="%1、"/>
      <w:lvlJc w:val="left"/>
      <w:pPr>
        <w:tabs>
          <w:tab w:val="left" w:pos="810"/>
        </w:tabs>
        <w:ind w:left="810" w:hanging="360"/>
      </w:pPr>
      <w:rPr>
        <w:rFonts w:hint="default" w:ascii="黑体" w:eastAsia="黑体"/>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7">
    <w:nsid w:val="0000000F"/>
    <w:multiLevelType w:val="singleLevel"/>
    <w:tmpl w:val="0000000F"/>
    <w:lvl w:ilvl="0" w:tentative="0">
      <w:start w:val="1"/>
      <w:numFmt w:val="bullet"/>
      <w:pStyle w:val="198"/>
      <w:lvlText w:val=""/>
      <w:lvlJc w:val="left"/>
      <w:pPr>
        <w:tabs>
          <w:tab w:val="left" w:pos="360"/>
        </w:tabs>
        <w:ind w:left="360" w:hanging="360"/>
      </w:pPr>
      <w:rPr>
        <w:rFonts w:hint="default" w:ascii="Symbol" w:hAnsi="Symbol"/>
      </w:rPr>
    </w:lvl>
  </w:abstractNum>
  <w:abstractNum w:abstractNumId="8">
    <w:nsid w:val="00000010"/>
    <w:multiLevelType w:val="multilevel"/>
    <w:tmpl w:val="00000010"/>
    <w:lvl w:ilvl="0" w:tentative="0">
      <w:start w:val="1"/>
      <w:numFmt w:val="japaneseCounting"/>
      <w:pStyle w:val="188"/>
      <w:lvlText w:val="第%1条"/>
      <w:lvlJc w:val="left"/>
      <w:pPr>
        <w:tabs>
          <w:tab w:val="left" w:pos="3894"/>
        </w:tabs>
        <w:ind w:left="3894" w:hanging="1200"/>
      </w:pPr>
      <w:rPr>
        <w:rFonts w:hint="eastAsia" w:ascii="黑体" w:eastAsia="黑体"/>
      </w:rPr>
    </w:lvl>
    <w:lvl w:ilvl="1" w:tentative="0">
      <w:start w:val="1"/>
      <w:numFmt w:val="lowerLetter"/>
      <w:lvlText w:val="%2)"/>
      <w:lvlJc w:val="left"/>
      <w:pPr>
        <w:tabs>
          <w:tab w:val="left" w:pos="3534"/>
        </w:tabs>
        <w:ind w:left="3534" w:hanging="420"/>
      </w:pPr>
    </w:lvl>
    <w:lvl w:ilvl="2" w:tentative="0">
      <w:start w:val="1"/>
      <w:numFmt w:val="lowerRoman"/>
      <w:lvlText w:val="%3."/>
      <w:lvlJc w:val="right"/>
      <w:pPr>
        <w:tabs>
          <w:tab w:val="left" w:pos="3954"/>
        </w:tabs>
        <w:ind w:left="3954" w:hanging="420"/>
      </w:pPr>
    </w:lvl>
    <w:lvl w:ilvl="3" w:tentative="0">
      <w:start w:val="1"/>
      <w:numFmt w:val="decimal"/>
      <w:lvlText w:val="%4."/>
      <w:lvlJc w:val="left"/>
      <w:pPr>
        <w:tabs>
          <w:tab w:val="left" w:pos="4374"/>
        </w:tabs>
        <w:ind w:left="4374" w:hanging="420"/>
      </w:pPr>
    </w:lvl>
    <w:lvl w:ilvl="4" w:tentative="0">
      <w:start w:val="1"/>
      <w:numFmt w:val="lowerLetter"/>
      <w:lvlText w:val="%5)"/>
      <w:lvlJc w:val="left"/>
      <w:pPr>
        <w:tabs>
          <w:tab w:val="left" w:pos="4794"/>
        </w:tabs>
        <w:ind w:left="4794" w:hanging="420"/>
      </w:pPr>
    </w:lvl>
    <w:lvl w:ilvl="5" w:tentative="0">
      <w:start w:val="1"/>
      <w:numFmt w:val="lowerRoman"/>
      <w:lvlText w:val="%6."/>
      <w:lvlJc w:val="right"/>
      <w:pPr>
        <w:tabs>
          <w:tab w:val="left" w:pos="5214"/>
        </w:tabs>
        <w:ind w:left="5214" w:hanging="420"/>
      </w:pPr>
    </w:lvl>
    <w:lvl w:ilvl="6" w:tentative="0">
      <w:start w:val="1"/>
      <w:numFmt w:val="decimal"/>
      <w:lvlText w:val="%7."/>
      <w:lvlJc w:val="left"/>
      <w:pPr>
        <w:tabs>
          <w:tab w:val="left" w:pos="5634"/>
        </w:tabs>
        <w:ind w:left="5634" w:hanging="420"/>
      </w:pPr>
    </w:lvl>
    <w:lvl w:ilvl="7" w:tentative="0">
      <w:start w:val="1"/>
      <w:numFmt w:val="lowerLetter"/>
      <w:lvlText w:val="%8)"/>
      <w:lvlJc w:val="left"/>
      <w:pPr>
        <w:tabs>
          <w:tab w:val="left" w:pos="6054"/>
        </w:tabs>
        <w:ind w:left="6054" w:hanging="420"/>
      </w:pPr>
    </w:lvl>
    <w:lvl w:ilvl="8" w:tentative="0">
      <w:start w:val="1"/>
      <w:numFmt w:val="lowerRoman"/>
      <w:lvlText w:val="%9."/>
      <w:lvlJc w:val="right"/>
      <w:pPr>
        <w:tabs>
          <w:tab w:val="left" w:pos="6474"/>
        </w:tabs>
        <w:ind w:left="6474" w:hanging="420"/>
      </w:pPr>
    </w:lvl>
  </w:abstractNum>
  <w:abstractNum w:abstractNumId="9">
    <w:nsid w:val="00000011"/>
    <w:multiLevelType w:val="singleLevel"/>
    <w:tmpl w:val="00000011"/>
    <w:lvl w:ilvl="0" w:tentative="0">
      <w:start w:val="1"/>
      <w:numFmt w:val="bullet"/>
      <w:pStyle w:val="43"/>
      <w:lvlText w:val=""/>
      <w:lvlJc w:val="left"/>
      <w:pPr>
        <w:tabs>
          <w:tab w:val="left" w:pos="360"/>
        </w:tabs>
        <w:ind w:left="360" w:hanging="360"/>
      </w:pPr>
      <w:rPr>
        <w:rFonts w:hint="default" w:ascii="Wingdings" w:hAnsi="Wingdings"/>
      </w:rPr>
    </w:lvl>
  </w:abstractNum>
  <w:abstractNum w:abstractNumId="10">
    <w:nsid w:val="00000012"/>
    <w:multiLevelType w:val="multilevel"/>
    <w:tmpl w:val="00000012"/>
    <w:lvl w:ilvl="0" w:tentative="0">
      <w:start w:val="1"/>
      <w:numFmt w:val="decimal"/>
      <w:lvlText w:val="%1."/>
      <w:lvlJc w:val="left"/>
      <w:pPr>
        <w:tabs>
          <w:tab w:val="left" w:pos="680"/>
        </w:tabs>
        <w:ind w:left="680" w:hanging="680"/>
      </w:pPr>
      <w:rPr>
        <w:rFonts w:hint="default" w:ascii="Arial" w:hAnsi="Arial" w:eastAsia="宋体"/>
        <w:b/>
        <w:i w:val="0"/>
        <w:sz w:val="24"/>
      </w:rPr>
    </w:lvl>
    <w:lvl w:ilvl="1" w:tentative="0">
      <w:start w:val="1"/>
      <w:numFmt w:val="decimal"/>
      <w:lvlText w:val="%1.%2"/>
      <w:lvlJc w:val="left"/>
      <w:pPr>
        <w:tabs>
          <w:tab w:val="left" w:pos="680"/>
        </w:tabs>
        <w:ind w:left="680" w:hanging="680"/>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14"/>
    <w:multiLevelType w:val="singleLevel"/>
    <w:tmpl w:val="00000014"/>
    <w:lvl w:ilvl="0" w:tentative="0">
      <w:start w:val="3"/>
      <w:numFmt w:val="decimal"/>
      <w:suff w:val="space"/>
      <w:lvlText w:val="%1."/>
      <w:lvlJc w:val="left"/>
    </w:lvl>
  </w:abstractNum>
  <w:abstractNum w:abstractNumId="12">
    <w:nsid w:val="00000015"/>
    <w:multiLevelType w:val="singleLevel"/>
    <w:tmpl w:val="00000015"/>
    <w:lvl w:ilvl="0" w:tentative="0">
      <w:start w:val="1"/>
      <w:numFmt w:val="decimal"/>
      <w:lvlText w:val="(%1)"/>
      <w:lvlJc w:val="left"/>
      <w:pPr>
        <w:ind w:left="425" w:hanging="425"/>
      </w:pPr>
      <w:rPr>
        <w:rFonts w:hint="default"/>
      </w:rPr>
    </w:lvl>
  </w:abstractNum>
  <w:abstractNum w:abstractNumId="13">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ECE7B2"/>
    <w:multiLevelType w:val="singleLevel"/>
    <w:tmpl w:val="12ECE7B2"/>
    <w:lvl w:ilvl="0" w:tentative="0">
      <w:start w:val="1"/>
      <w:numFmt w:val="decimal"/>
      <w:lvlText w:val="%1."/>
      <w:lvlJc w:val="left"/>
      <w:pPr>
        <w:tabs>
          <w:tab w:val="left" w:pos="312"/>
        </w:tabs>
      </w:pPr>
    </w:lvl>
  </w:abstractNum>
  <w:abstractNum w:abstractNumId="15">
    <w:nsid w:val="15C39EA0"/>
    <w:multiLevelType w:val="singleLevel"/>
    <w:tmpl w:val="15C39EA0"/>
    <w:lvl w:ilvl="0" w:tentative="0">
      <w:start w:val="1"/>
      <w:numFmt w:val="decimal"/>
      <w:lvlText w:val="%1."/>
      <w:lvlJc w:val="left"/>
      <w:pPr>
        <w:tabs>
          <w:tab w:val="left" w:pos="312"/>
        </w:tabs>
      </w:pPr>
    </w:lvl>
  </w:abstractNum>
  <w:abstractNum w:abstractNumId="16">
    <w:nsid w:val="56C4E654"/>
    <w:multiLevelType w:val="singleLevel"/>
    <w:tmpl w:val="56C4E654"/>
    <w:lvl w:ilvl="0" w:tentative="0">
      <w:start w:val="1"/>
      <w:numFmt w:val="decimal"/>
      <w:lvlText w:val="%1."/>
      <w:lvlJc w:val="left"/>
      <w:pPr>
        <w:tabs>
          <w:tab w:val="left" w:pos="312"/>
        </w:tabs>
      </w:pPr>
    </w:lvl>
  </w:abstractNum>
  <w:abstractNum w:abstractNumId="17">
    <w:nsid w:val="7FA40193"/>
    <w:multiLevelType w:val="multilevel"/>
    <w:tmpl w:val="7FA40193"/>
    <w:lvl w:ilvl="0" w:tentative="0">
      <w:start w:val="3"/>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9"/>
  </w:num>
  <w:num w:numId="2">
    <w:abstractNumId w:val="8"/>
  </w:num>
  <w:num w:numId="3">
    <w:abstractNumId w:val="7"/>
  </w:num>
  <w:num w:numId="4">
    <w:abstractNumId w:val="3"/>
  </w:num>
  <w:num w:numId="5">
    <w:abstractNumId w:val="5"/>
  </w:num>
  <w:num w:numId="6">
    <w:abstractNumId w:val="6"/>
  </w:num>
  <w:num w:numId="7">
    <w:abstractNumId w:val="4"/>
  </w:num>
  <w:num w:numId="8">
    <w:abstractNumId w:val="13"/>
  </w:num>
  <w:num w:numId="9">
    <w:abstractNumId w:val="10"/>
  </w:num>
  <w:num w:numId="10">
    <w:abstractNumId w:val="2"/>
  </w:num>
  <w:num w:numId="11">
    <w:abstractNumId w:val="12"/>
  </w:num>
  <w:num w:numId="12">
    <w:abstractNumId w:val="11"/>
  </w:num>
  <w:num w:numId="13">
    <w:abstractNumId w:val="1"/>
  </w:num>
  <w:num w:numId="14">
    <w:abstractNumId w:val="15"/>
  </w:num>
  <w:num w:numId="15">
    <w:abstractNumId w:val="14"/>
  </w:num>
  <w:num w:numId="16">
    <w:abstractNumId w:val="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TU5NjFjMGJhNTUyNzAzMjVkOWQ0N2JjN2Q0OTgifQ=="/>
  </w:docVars>
  <w:rsids>
    <w:rsidRoot w:val="00172A27"/>
    <w:rsid w:val="00001888"/>
    <w:rsid w:val="0000244B"/>
    <w:rsid w:val="00006601"/>
    <w:rsid w:val="00006DE0"/>
    <w:rsid w:val="00011C0C"/>
    <w:rsid w:val="00012CE9"/>
    <w:rsid w:val="00016F09"/>
    <w:rsid w:val="00016FFB"/>
    <w:rsid w:val="000216CD"/>
    <w:rsid w:val="0002193B"/>
    <w:rsid w:val="00023501"/>
    <w:rsid w:val="00023607"/>
    <w:rsid w:val="00023C29"/>
    <w:rsid w:val="000242DD"/>
    <w:rsid w:val="00024616"/>
    <w:rsid w:val="000255D7"/>
    <w:rsid w:val="00025BE8"/>
    <w:rsid w:val="00026104"/>
    <w:rsid w:val="0002700C"/>
    <w:rsid w:val="000272D5"/>
    <w:rsid w:val="00027F07"/>
    <w:rsid w:val="00030F54"/>
    <w:rsid w:val="00031A53"/>
    <w:rsid w:val="00032511"/>
    <w:rsid w:val="0003462C"/>
    <w:rsid w:val="00034A78"/>
    <w:rsid w:val="0003640E"/>
    <w:rsid w:val="0004069C"/>
    <w:rsid w:val="000416A2"/>
    <w:rsid w:val="00042C4D"/>
    <w:rsid w:val="00043CA7"/>
    <w:rsid w:val="00045EF9"/>
    <w:rsid w:val="000466EE"/>
    <w:rsid w:val="0004694F"/>
    <w:rsid w:val="00046DB8"/>
    <w:rsid w:val="000470F8"/>
    <w:rsid w:val="00047C7A"/>
    <w:rsid w:val="00050808"/>
    <w:rsid w:val="00050A39"/>
    <w:rsid w:val="000510E7"/>
    <w:rsid w:val="00052F0B"/>
    <w:rsid w:val="000530F0"/>
    <w:rsid w:val="000555EC"/>
    <w:rsid w:val="00055AEA"/>
    <w:rsid w:val="00055FCB"/>
    <w:rsid w:val="00057070"/>
    <w:rsid w:val="00061273"/>
    <w:rsid w:val="000637B7"/>
    <w:rsid w:val="00064387"/>
    <w:rsid w:val="000663CE"/>
    <w:rsid w:val="00067B35"/>
    <w:rsid w:val="00073F5B"/>
    <w:rsid w:val="00077386"/>
    <w:rsid w:val="00077A30"/>
    <w:rsid w:val="0008294F"/>
    <w:rsid w:val="000842AD"/>
    <w:rsid w:val="000917B1"/>
    <w:rsid w:val="0009402F"/>
    <w:rsid w:val="000A196B"/>
    <w:rsid w:val="000A19CD"/>
    <w:rsid w:val="000A75ED"/>
    <w:rsid w:val="000A771B"/>
    <w:rsid w:val="000B1326"/>
    <w:rsid w:val="000B1DA1"/>
    <w:rsid w:val="000B4E8C"/>
    <w:rsid w:val="000B4FC1"/>
    <w:rsid w:val="000B56FA"/>
    <w:rsid w:val="000B5E9F"/>
    <w:rsid w:val="000B6569"/>
    <w:rsid w:val="000B663C"/>
    <w:rsid w:val="000C11BC"/>
    <w:rsid w:val="000C1B22"/>
    <w:rsid w:val="000C2127"/>
    <w:rsid w:val="000C2ADF"/>
    <w:rsid w:val="000C4736"/>
    <w:rsid w:val="000C5054"/>
    <w:rsid w:val="000C7A71"/>
    <w:rsid w:val="000D2742"/>
    <w:rsid w:val="000D2989"/>
    <w:rsid w:val="000D55AD"/>
    <w:rsid w:val="000D6B29"/>
    <w:rsid w:val="000D74A0"/>
    <w:rsid w:val="000E130A"/>
    <w:rsid w:val="000E1BAC"/>
    <w:rsid w:val="000E2575"/>
    <w:rsid w:val="000E3543"/>
    <w:rsid w:val="000E547B"/>
    <w:rsid w:val="000E6CA0"/>
    <w:rsid w:val="000F0A76"/>
    <w:rsid w:val="000F792B"/>
    <w:rsid w:val="00101275"/>
    <w:rsid w:val="00102300"/>
    <w:rsid w:val="00102A7B"/>
    <w:rsid w:val="001044BD"/>
    <w:rsid w:val="0010544E"/>
    <w:rsid w:val="0010554B"/>
    <w:rsid w:val="00105C33"/>
    <w:rsid w:val="00106446"/>
    <w:rsid w:val="00107CFB"/>
    <w:rsid w:val="00110934"/>
    <w:rsid w:val="0011252F"/>
    <w:rsid w:val="00112A89"/>
    <w:rsid w:val="00115A07"/>
    <w:rsid w:val="00116C0D"/>
    <w:rsid w:val="00117F68"/>
    <w:rsid w:val="00121506"/>
    <w:rsid w:val="0012269F"/>
    <w:rsid w:val="0012274F"/>
    <w:rsid w:val="001244F9"/>
    <w:rsid w:val="00126793"/>
    <w:rsid w:val="001268F8"/>
    <w:rsid w:val="00127209"/>
    <w:rsid w:val="00130CC1"/>
    <w:rsid w:val="00131357"/>
    <w:rsid w:val="0013162F"/>
    <w:rsid w:val="00131C22"/>
    <w:rsid w:val="00131D6C"/>
    <w:rsid w:val="00133D75"/>
    <w:rsid w:val="00135628"/>
    <w:rsid w:val="00135771"/>
    <w:rsid w:val="001361F9"/>
    <w:rsid w:val="00136647"/>
    <w:rsid w:val="00136B0F"/>
    <w:rsid w:val="00137531"/>
    <w:rsid w:val="001423D4"/>
    <w:rsid w:val="00142FC1"/>
    <w:rsid w:val="00143566"/>
    <w:rsid w:val="00144971"/>
    <w:rsid w:val="0014526A"/>
    <w:rsid w:val="0015142E"/>
    <w:rsid w:val="00152323"/>
    <w:rsid w:val="00154740"/>
    <w:rsid w:val="001548EB"/>
    <w:rsid w:val="00154A34"/>
    <w:rsid w:val="00154C6D"/>
    <w:rsid w:val="001552DA"/>
    <w:rsid w:val="001559F1"/>
    <w:rsid w:val="00155AE8"/>
    <w:rsid w:val="001563E7"/>
    <w:rsid w:val="001609B6"/>
    <w:rsid w:val="00163271"/>
    <w:rsid w:val="001675EF"/>
    <w:rsid w:val="00170B08"/>
    <w:rsid w:val="00171F35"/>
    <w:rsid w:val="00172D7D"/>
    <w:rsid w:val="00174CF9"/>
    <w:rsid w:val="0017530B"/>
    <w:rsid w:val="0017685E"/>
    <w:rsid w:val="00176DA3"/>
    <w:rsid w:val="0017754D"/>
    <w:rsid w:val="001805B8"/>
    <w:rsid w:val="001806B1"/>
    <w:rsid w:val="001812E8"/>
    <w:rsid w:val="001816A6"/>
    <w:rsid w:val="00181E65"/>
    <w:rsid w:val="00182CA5"/>
    <w:rsid w:val="00182F0E"/>
    <w:rsid w:val="001838B1"/>
    <w:rsid w:val="0018411A"/>
    <w:rsid w:val="001850EC"/>
    <w:rsid w:val="00186466"/>
    <w:rsid w:val="00186886"/>
    <w:rsid w:val="00186CEC"/>
    <w:rsid w:val="0019212C"/>
    <w:rsid w:val="00196183"/>
    <w:rsid w:val="001974A7"/>
    <w:rsid w:val="001A05F9"/>
    <w:rsid w:val="001A1001"/>
    <w:rsid w:val="001A12FA"/>
    <w:rsid w:val="001A2A65"/>
    <w:rsid w:val="001A51C1"/>
    <w:rsid w:val="001A5E67"/>
    <w:rsid w:val="001A7F69"/>
    <w:rsid w:val="001B131B"/>
    <w:rsid w:val="001B2702"/>
    <w:rsid w:val="001B363F"/>
    <w:rsid w:val="001B3FD4"/>
    <w:rsid w:val="001B46AD"/>
    <w:rsid w:val="001B5237"/>
    <w:rsid w:val="001B530B"/>
    <w:rsid w:val="001B605F"/>
    <w:rsid w:val="001B661C"/>
    <w:rsid w:val="001B6A90"/>
    <w:rsid w:val="001B6F97"/>
    <w:rsid w:val="001C09AF"/>
    <w:rsid w:val="001C0C59"/>
    <w:rsid w:val="001C1A97"/>
    <w:rsid w:val="001C228C"/>
    <w:rsid w:val="001C4436"/>
    <w:rsid w:val="001C4EF3"/>
    <w:rsid w:val="001C705F"/>
    <w:rsid w:val="001C73BF"/>
    <w:rsid w:val="001D019C"/>
    <w:rsid w:val="001D0CCE"/>
    <w:rsid w:val="001D0FD1"/>
    <w:rsid w:val="001D17D6"/>
    <w:rsid w:val="001D1F94"/>
    <w:rsid w:val="001D319D"/>
    <w:rsid w:val="001D67DB"/>
    <w:rsid w:val="001D7111"/>
    <w:rsid w:val="001D737F"/>
    <w:rsid w:val="001D7B82"/>
    <w:rsid w:val="001E4123"/>
    <w:rsid w:val="001E518B"/>
    <w:rsid w:val="001E59E3"/>
    <w:rsid w:val="001F0449"/>
    <w:rsid w:val="001F2116"/>
    <w:rsid w:val="001F3084"/>
    <w:rsid w:val="001F35D5"/>
    <w:rsid w:val="001F3860"/>
    <w:rsid w:val="001F44AC"/>
    <w:rsid w:val="001F5869"/>
    <w:rsid w:val="0020061B"/>
    <w:rsid w:val="002015C8"/>
    <w:rsid w:val="002022C4"/>
    <w:rsid w:val="00202D8B"/>
    <w:rsid w:val="00204682"/>
    <w:rsid w:val="00204790"/>
    <w:rsid w:val="00204AB4"/>
    <w:rsid w:val="00204E7B"/>
    <w:rsid w:val="00205289"/>
    <w:rsid w:val="00205776"/>
    <w:rsid w:val="00205D06"/>
    <w:rsid w:val="00206DA8"/>
    <w:rsid w:val="00210EB0"/>
    <w:rsid w:val="002128A7"/>
    <w:rsid w:val="002130C2"/>
    <w:rsid w:val="00214B14"/>
    <w:rsid w:val="00216859"/>
    <w:rsid w:val="00216B98"/>
    <w:rsid w:val="002213A4"/>
    <w:rsid w:val="00222175"/>
    <w:rsid w:val="0022304E"/>
    <w:rsid w:val="00224CB5"/>
    <w:rsid w:val="00226E5D"/>
    <w:rsid w:val="00231611"/>
    <w:rsid w:val="002328E7"/>
    <w:rsid w:val="00232C80"/>
    <w:rsid w:val="0023375A"/>
    <w:rsid w:val="00233B65"/>
    <w:rsid w:val="002350EA"/>
    <w:rsid w:val="00235E7F"/>
    <w:rsid w:val="002364D6"/>
    <w:rsid w:val="00236F33"/>
    <w:rsid w:val="002444AE"/>
    <w:rsid w:val="00244AEF"/>
    <w:rsid w:val="00244F7D"/>
    <w:rsid w:val="00246F1A"/>
    <w:rsid w:val="00247C6F"/>
    <w:rsid w:val="00251339"/>
    <w:rsid w:val="00252BEC"/>
    <w:rsid w:val="00253984"/>
    <w:rsid w:val="0025457B"/>
    <w:rsid w:val="00254BB4"/>
    <w:rsid w:val="0025603B"/>
    <w:rsid w:val="00256461"/>
    <w:rsid w:val="00256F18"/>
    <w:rsid w:val="0025760C"/>
    <w:rsid w:val="00260DA1"/>
    <w:rsid w:val="00263037"/>
    <w:rsid w:val="002637FC"/>
    <w:rsid w:val="00263962"/>
    <w:rsid w:val="0026397D"/>
    <w:rsid w:val="00264487"/>
    <w:rsid w:val="00265B19"/>
    <w:rsid w:val="00271C20"/>
    <w:rsid w:val="00272C84"/>
    <w:rsid w:val="00272E00"/>
    <w:rsid w:val="002737CB"/>
    <w:rsid w:val="00273967"/>
    <w:rsid w:val="00273A17"/>
    <w:rsid w:val="00273AA0"/>
    <w:rsid w:val="00274703"/>
    <w:rsid w:val="002760BC"/>
    <w:rsid w:val="002764F1"/>
    <w:rsid w:val="00277E2B"/>
    <w:rsid w:val="00280370"/>
    <w:rsid w:val="00280B98"/>
    <w:rsid w:val="002811B1"/>
    <w:rsid w:val="002824CF"/>
    <w:rsid w:val="002827A1"/>
    <w:rsid w:val="00282A3E"/>
    <w:rsid w:val="00283F06"/>
    <w:rsid w:val="002847FB"/>
    <w:rsid w:val="00284B88"/>
    <w:rsid w:val="00285C4F"/>
    <w:rsid w:val="002866EF"/>
    <w:rsid w:val="00286B0D"/>
    <w:rsid w:val="00287ACD"/>
    <w:rsid w:val="00294716"/>
    <w:rsid w:val="0029508F"/>
    <w:rsid w:val="00297075"/>
    <w:rsid w:val="00297EDA"/>
    <w:rsid w:val="002A53C4"/>
    <w:rsid w:val="002A72AE"/>
    <w:rsid w:val="002A787A"/>
    <w:rsid w:val="002B24CB"/>
    <w:rsid w:val="002B57E6"/>
    <w:rsid w:val="002B5ACF"/>
    <w:rsid w:val="002B6053"/>
    <w:rsid w:val="002C04BE"/>
    <w:rsid w:val="002C1DEF"/>
    <w:rsid w:val="002C3728"/>
    <w:rsid w:val="002C4003"/>
    <w:rsid w:val="002C7243"/>
    <w:rsid w:val="002C752C"/>
    <w:rsid w:val="002C7B82"/>
    <w:rsid w:val="002D0FF7"/>
    <w:rsid w:val="002D10D2"/>
    <w:rsid w:val="002D1DAE"/>
    <w:rsid w:val="002D32F2"/>
    <w:rsid w:val="002D4420"/>
    <w:rsid w:val="002D5F00"/>
    <w:rsid w:val="002D6B11"/>
    <w:rsid w:val="002D7124"/>
    <w:rsid w:val="002D7FB1"/>
    <w:rsid w:val="002E0775"/>
    <w:rsid w:val="002E206B"/>
    <w:rsid w:val="002E4298"/>
    <w:rsid w:val="002E4D9E"/>
    <w:rsid w:val="002E4F19"/>
    <w:rsid w:val="002E760B"/>
    <w:rsid w:val="002E7DCB"/>
    <w:rsid w:val="002F1E1E"/>
    <w:rsid w:val="002F244A"/>
    <w:rsid w:val="002F2E21"/>
    <w:rsid w:val="002F42ED"/>
    <w:rsid w:val="002F5855"/>
    <w:rsid w:val="002F7729"/>
    <w:rsid w:val="00302248"/>
    <w:rsid w:val="00302A1A"/>
    <w:rsid w:val="00302FBB"/>
    <w:rsid w:val="00304149"/>
    <w:rsid w:val="00305405"/>
    <w:rsid w:val="0030617C"/>
    <w:rsid w:val="00310DBE"/>
    <w:rsid w:val="0031149C"/>
    <w:rsid w:val="003114AE"/>
    <w:rsid w:val="00311768"/>
    <w:rsid w:val="00312BBA"/>
    <w:rsid w:val="0031358B"/>
    <w:rsid w:val="00314812"/>
    <w:rsid w:val="003159A8"/>
    <w:rsid w:val="00315B01"/>
    <w:rsid w:val="00316C85"/>
    <w:rsid w:val="00320DBE"/>
    <w:rsid w:val="003212DF"/>
    <w:rsid w:val="00322551"/>
    <w:rsid w:val="0032366A"/>
    <w:rsid w:val="00323F4F"/>
    <w:rsid w:val="00326096"/>
    <w:rsid w:val="00327818"/>
    <w:rsid w:val="003329F5"/>
    <w:rsid w:val="00333134"/>
    <w:rsid w:val="00333A71"/>
    <w:rsid w:val="00334687"/>
    <w:rsid w:val="003356BA"/>
    <w:rsid w:val="00335D27"/>
    <w:rsid w:val="00336758"/>
    <w:rsid w:val="0034251E"/>
    <w:rsid w:val="00344628"/>
    <w:rsid w:val="00344E04"/>
    <w:rsid w:val="00344E3A"/>
    <w:rsid w:val="003452F6"/>
    <w:rsid w:val="00347D56"/>
    <w:rsid w:val="00347E19"/>
    <w:rsid w:val="003500D8"/>
    <w:rsid w:val="00352043"/>
    <w:rsid w:val="00352554"/>
    <w:rsid w:val="00352EB9"/>
    <w:rsid w:val="00354282"/>
    <w:rsid w:val="00354B3D"/>
    <w:rsid w:val="003555D2"/>
    <w:rsid w:val="00355DE8"/>
    <w:rsid w:val="00356CAF"/>
    <w:rsid w:val="003604A0"/>
    <w:rsid w:val="00360CC0"/>
    <w:rsid w:val="0036144C"/>
    <w:rsid w:val="003633FC"/>
    <w:rsid w:val="00365707"/>
    <w:rsid w:val="00365A4D"/>
    <w:rsid w:val="00366523"/>
    <w:rsid w:val="003708B2"/>
    <w:rsid w:val="00371FF1"/>
    <w:rsid w:val="00373A48"/>
    <w:rsid w:val="00373DAE"/>
    <w:rsid w:val="003743E9"/>
    <w:rsid w:val="00376A41"/>
    <w:rsid w:val="00376B2A"/>
    <w:rsid w:val="00377623"/>
    <w:rsid w:val="00380425"/>
    <w:rsid w:val="0038080B"/>
    <w:rsid w:val="0038355B"/>
    <w:rsid w:val="00385948"/>
    <w:rsid w:val="0038604D"/>
    <w:rsid w:val="00386E14"/>
    <w:rsid w:val="00387902"/>
    <w:rsid w:val="003879B9"/>
    <w:rsid w:val="00394DCE"/>
    <w:rsid w:val="00396C5E"/>
    <w:rsid w:val="003A15DB"/>
    <w:rsid w:val="003A1BDD"/>
    <w:rsid w:val="003A1CB9"/>
    <w:rsid w:val="003A2EAF"/>
    <w:rsid w:val="003A35BE"/>
    <w:rsid w:val="003A52BB"/>
    <w:rsid w:val="003A5AD4"/>
    <w:rsid w:val="003B09AB"/>
    <w:rsid w:val="003B0B15"/>
    <w:rsid w:val="003B2B7C"/>
    <w:rsid w:val="003B38D0"/>
    <w:rsid w:val="003B7111"/>
    <w:rsid w:val="003C13F3"/>
    <w:rsid w:val="003C1C94"/>
    <w:rsid w:val="003C35E5"/>
    <w:rsid w:val="003C5BD0"/>
    <w:rsid w:val="003C7CC2"/>
    <w:rsid w:val="003C7E8D"/>
    <w:rsid w:val="003D026F"/>
    <w:rsid w:val="003D0A1F"/>
    <w:rsid w:val="003D1AE9"/>
    <w:rsid w:val="003D30C4"/>
    <w:rsid w:val="003D68C4"/>
    <w:rsid w:val="003D7AAD"/>
    <w:rsid w:val="003D7D76"/>
    <w:rsid w:val="003E0A9F"/>
    <w:rsid w:val="003E1DD6"/>
    <w:rsid w:val="003E2268"/>
    <w:rsid w:val="003E42B2"/>
    <w:rsid w:val="003E7F2E"/>
    <w:rsid w:val="003F14C6"/>
    <w:rsid w:val="003F4BB1"/>
    <w:rsid w:val="003F6133"/>
    <w:rsid w:val="003F6CB7"/>
    <w:rsid w:val="003F6F29"/>
    <w:rsid w:val="00401381"/>
    <w:rsid w:val="00401B80"/>
    <w:rsid w:val="00401B87"/>
    <w:rsid w:val="004020BA"/>
    <w:rsid w:val="00403286"/>
    <w:rsid w:val="004033A3"/>
    <w:rsid w:val="0040350D"/>
    <w:rsid w:val="0040426B"/>
    <w:rsid w:val="004044F7"/>
    <w:rsid w:val="004049AD"/>
    <w:rsid w:val="00406D5B"/>
    <w:rsid w:val="004076AF"/>
    <w:rsid w:val="00410662"/>
    <w:rsid w:val="00412343"/>
    <w:rsid w:val="00413B74"/>
    <w:rsid w:val="00414FAC"/>
    <w:rsid w:val="00417F48"/>
    <w:rsid w:val="00420115"/>
    <w:rsid w:val="00420318"/>
    <w:rsid w:val="004207D4"/>
    <w:rsid w:val="00422CCA"/>
    <w:rsid w:val="0042547D"/>
    <w:rsid w:val="00425699"/>
    <w:rsid w:val="0042655D"/>
    <w:rsid w:val="004308F9"/>
    <w:rsid w:val="0043401D"/>
    <w:rsid w:val="00434225"/>
    <w:rsid w:val="00434584"/>
    <w:rsid w:val="00434883"/>
    <w:rsid w:val="0043638A"/>
    <w:rsid w:val="00436F3F"/>
    <w:rsid w:val="0044189A"/>
    <w:rsid w:val="004444BD"/>
    <w:rsid w:val="004449BA"/>
    <w:rsid w:val="0044527F"/>
    <w:rsid w:val="004465B4"/>
    <w:rsid w:val="004466DE"/>
    <w:rsid w:val="00447DD2"/>
    <w:rsid w:val="00447F5B"/>
    <w:rsid w:val="004562A7"/>
    <w:rsid w:val="004569A4"/>
    <w:rsid w:val="00456F34"/>
    <w:rsid w:val="00457B67"/>
    <w:rsid w:val="004618E9"/>
    <w:rsid w:val="00461A5F"/>
    <w:rsid w:val="004622DD"/>
    <w:rsid w:val="00462450"/>
    <w:rsid w:val="0046301E"/>
    <w:rsid w:val="004639D0"/>
    <w:rsid w:val="00464313"/>
    <w:rsid w:val="00466E15"/>
    <w:rsid w:val="00467041"/>
    <w:rsid w:val="004677E6"/>
    <w:rsid w:val="00470314"/>
    <w:rsid w:val="0047149A"/>
    <w:rsid w:val="004723FF"/>
    <w:rsid w:val="004747F1"/>
    <w:rsid w:val="00475302"/>
    <w:rsid w:val="00477239"/>
    <w:rsid w:val="004804E3"/>
    <w:rsid w:val="00481050"/>
    <w:rsid w:val="00481697"/>
    <w:rsid w:val="004828E2"/>
    <w:rsid w:val="00482CDC"/>
    <w:rsid w:val="004832C9"/>
    <w:rsid w:val="00484530"/>
    <w:rsid w:val="00484691"/>
    <w:rsid w:val="00485E60"/>
    <w:rsid w:val="00485FB3"/>
    <w:rsid w:val="00486238"/>
    <w:rsid w:val="00493580"/>
    <w:rsid w:val="004945D3"/>
    <w:rsid w:val="00496C2F"/>
    <w:rsid w:val="00497F78"/>
    <w:rsid w:val="004A04D8"/>
    <w:rsid w:val="004A0FA4"/>
    <w:rsid w:val="004A2D5C"/>
    <w:rsid w:val="004A4841"/>
    <w:rsid w:val="004A4DDA"/>
    <w:rsid w:val="004A64F7"/>
    <w:rsid w:val="004B055C"/>
    <w:rsid w:val="004B12CD"/>
    <w:rsid w:val="004B1747"/>
    <w:rsid w:val="004B1B88"/>
    <w:rsid w:val="004B1F4C"/>
    <w:rsid w:val="004B2278"/>
    <w:rsid w:val="004B37EB"/>
    <w:rsid w:val="004B6978"/>
    <w:rsid w:val="004B7ED7"/>
    <w:rsid w:val="004C048E"/>
    <w:rsid w:val="004C4108"/>
    <w:rsid w:val="004C601A"/>
    <w:rsid w:val="004D0FC4"/>
    <w:rsid w:val="004D1A3B"/>
    <w:rsid w:val="004D2011"/>
    <w:rsid w:val="004D2434"/>
    <w:rsid w:val="004D2955"/>
    <w:rsid w:val="004D300E"/>
    <w:rsid w:val="004D391D"/>
    <w:rsid w:val="004D3D2F"/>
    <w:rsid w:val="004D43DD"/>
    <w:rsid w:val="004D4840"/>
    <w:rsid w:val="004D666E"/>
    <w:rsid w:val="004E07AA"/>
    <w:rsid w:val="004E09CF"/>
    <w:rsid w:val="004E1AB6"/>
    <w:rsid w:val="004E212F"/>
    <w:rsid w:val="004E254D"/>
    <w:rsid w:val="004E3BF5"/>
    <w:rsid w:val="004E43F2"/>
    <w:rsid w:val="004E69A2"/>
    <w:rsid w:val="004E6DE9"/>
    <w:rsid w:val="004F086B"/>
    <w:rsid w:val="004F0D35"/>
    <w:rsid w:val="004F1D0A"/>
    <w:rsid w:val="004F3201"/>
    <w:rsid w:val="004F4079"/>
    <w:rsid w:val="004F54AE"/>
    <w:rsid w:val="004F6E9D"/>
    <w:rsid w:val="00500D1E"/>
    <w:rsid w:val="005102F2"/>
    <w:rsid w:val="005115A9"/>
    <w:rsid w:val="005134E3"/>
    <w:rsid w:val="00513A43"/>
    <w:rsid w:val="00516DEF"/>
    <w:rsid w:val="00517DC0"/>
    <w:rsid w:val="005207B9"/>
    <w:rsid w:val="005211E6"/>
    <w:rsid w:val="00521718"/>
    <w:rsid w:val="00522C43"/>
    <w:rsid w:val="00523622"/>
    <w:rsid w:val="005237CB"/>
    <w:rsid w:val="00523A48"/>
    <w:rsid w:val="00525859"/>
    <w:rsid w:val="00526234"/>
    <w:rsid w:val="005301BB"/>
    <w:rsid w:val="00530C7E"/>
    <w:rsid w:val="005316AF"/>
    <w:rsid w:val="00534B38"/>
    <w:rsid w:val="00534C72"/>
    <w:rsid w:val="005351AE"/>
    <w:rsid w:val="00536074"/>
    <w:rsid w:val="00537B8F"/>
    <w:rsid w:val="00537E59"/>
    <w:rsid w:val="0054078D"/>
    <w:rsid w:val="005408A6"/>
    <w:rsid w:val="00540B8F"/>
    <w:rsid w:val="0055115E"/>
    <w:rsid w:val="00551E0D"/>
    <w:rsid w:val="0055387B"/>
    <w:rsid w:val="00554EA5"/>
    <w:rsid w:val="0055555A"/>
    <w:rsid w:val="005556FC"/>
    <w:rsid w:val="00557AF5"/>
    <w:rsid w:val="00560A25"/>
    <w:rsid w:val="00560AEC"/>
    <w:rsid w:val="00562135"/>
    <w:rsid w:val="005635F2"/>
    <w:rsid w:val="00565F55"/>
    <w:rsid w:val="005712D6"/>
    <w:rsid w:val="005717D1"/>
    <w:rsid w:val="00571D08"/>
    <w:rsid w:val="00573578"/>
    <w:rsid w:val="00573956"/>
    <w:rsid w:val="00575234"/>
    <w:rsid w:val="00575300"/>
    <w:rsid w:val="00575725"/>
    <w:rsid w:val="00575AA7"/>
    <w:rsid w:val="00576726"/>
    <w:rsid w:val="00576C27"/>
    <w:rsid w:val="005825E6"/>
    <w:rsid w:val="00582B26"/>
    <w:rsid w:val="00583D9A"/>
    <w:rsid w:val="00583E78"/>
    <w:rsid w:val="005847FC"/>
    <w:rsid w:val="0058761C"/>
    <w:rsid w:val="00587703"/>
    <w:rsid w:val="005901F5"/>
    <w:rsid w:val="00590D00"/>
    <w:rsid w:val="00592332"/>
    <w:rsid w:val="005931E7"/>
    <w:rsid w:val="00595E8C"/>
    <w:rsid w:val="00596B8E"/>
    <w:rsid w:val="005A041F"/>
    <w:rsid w:val="005A0C78"/>
    <w:rsid w:val="005A2EE8"/>
    <w:rsid w:val="005A3CB9"/>
    <w:rsid w:val="005A66C3"/>
    <w:rsid w:val="005A66D4"/>
    <w:rsid w:val="005B1871"/>
    <w:rsid w:val="005B434B"/>
    <w:rsid w:val="005B5208"/>
    <w:rsid w:val="005B5CF8"/>
    <w:rsid w:val="005B60B9"/>
    <w:rsid w:val="005B6D5A"/>
    <w:rsid w:val="005B773C"/>
    <w:rsid w:val="005B780E"/>
    <w:rsid w:val="005B7E4E"/>
    <w:rsid w:val="005C58ED"/>
    <w:rsid w:val="005D0321"/>
    <w:rsid w:val="005D1053"/>
    <w:rsid w:val="005D1478"/>
    <w:rsid w:val="005D16FC"/>
    <w:rsid w:val="005D1D64"/>
    <w:rsid w:val="005D2FF6"/>
    <w:rsid w:val="005D33D7"/>
    <w:rsid w:val="005D3F4A"/>
    <w:rsid w:val="005D4242"/>
    <w:rsid w:val="005D4ED5"/>
    <w:rsid w:val="005D6661"/>
    <w:rsid w:val="005D674A"/>
    <w:rsid w:val="005D727C"/>
    <w:rsid w:val="005E014E"/>
    <w:rsid w:val="005E3190"/>
    <w:rsid w:val="005E3FDB"/>
    <w:rsid w:val="005E46E3"/>
    <w:rsid w:val="005E57B4"/>
    <w:rsid w:val="005E72B9"/>
    <w:rsid w:val="005E7744"/>
    <w:rsid w:val="005F256E"/>
    <w:rsid w:val="005F497B"/>
    <w:rsid w:val="005F69D2"/>
    <w:rsid w:val="00600EF8"/>
    <w:rsid w:val="006016CE"/>
    <w:rsid w:val="00601E87"/>
    <w:rsid w:val="00602E72"/>
    <w:rsid w:val="00603406"/>
    <w:rsid w:val="0060441A"/>
    <w:rsid w:val="00604F6B"/>
    <w:rsid w:val="006050CF"/>
    <w:rsid w:val="0060624B"/>
    <w:rsid w:val="00611047"/>
    <w:rsid w:val="00611E95"/>
    <w:rsid w:val="00612408"/>
    <w:rsid w:val="00613069"/>
    <w:rsid w:val="00614ABE"/>
    <w:rsid w:val="00614BCD"/>
    <w:rsid w:val="00616110"/>
    <w:rsid w:val="006161F0"/>
    <w:rsid w:val="006169F8"/>
    <w:rsid w:val="00616B63"/>
    <w:rsid w:val="00616D05"/>
    <w:rsid w:val="0061768A"/>
    <w:rsid w:val="006200C1"/>
    <w:rsid w:val="00622C23"/>
    <w:rsid w:val="00623756"/>
    <w:rsid w:val="00624024"/>
    <w:rsid w:val="00624393"/>
    <w:rsid w:val="0062539D"/>
    <w:rsid w:val="006265C6"/>
    <w:rsid w:val="00626BB7"/>
    <w:rsid w:val="006276F0"/>
    <w:rsid w:val="00630FD4"/>
    <w:rsid w:val="0063287E"/>
    <w:rsid w:val="00633673"/>
    <w:rsid w:val="006346D8"/>
    <w:rsid w:val="0063654E"/>
    <w:rsid w:val="00637A1C"/>
    <w:rsid w:val="006410F9"/>
    <w:rsid w:val="006429F6"/>
    <w:rsid w:val="00643A21"/>
    <w:rsid w:val="00643D66"/>
    <w:rsid w:val="00643DBE"/>
    <w:rsid w:val="0064751B"/>
    <w:rsid w:val="0065017F"/>
    <w:rsid w:val="00651F59"/>
    <w:rsid w:val="00655195"/>
    <w:rsid w:val="006610AF"/>
    <w:rsid w:val="0066317C"/>
    <w:rsid w:val="00665B1B"/>
    <w:rsid w:val="00665B89"/>
    <w:rsid w:val="006673B0"/>
    <w:rsid w:val="00670359"/>
    <w:rsid w:val="0067178B"/>
    <w:rsid w:val="00671CDE"/>
    <w:rsid w:val="00672405"/>
    <w:rsid w:val="00674B79"/>
    <w:rsid w:val="00674DB5"/>
    <w:rsid w:val="006779C0"/>
    <w:rsid w:val="00677D56"/>
    <w:rsid w:val="00681041"/>
    <w:rsid w:val="00683D32"/>
    <w:rsid w:val="006843B3"/>
    <w:rsid w:val="0069053B"/>
    <w:rsid w:val="00691FB7"/>
    <w:rsid w:val="006964BB"/>
    <w:rsid w:val="00697E86"/>
    <w:rsid w:val="006A12FB"/>
    <w:rsid w:val="006A2849"/>
    <w:rsid w:val="006A3A80"/>
    <w:rsid w:val="006A4501"/>
    <w:rsid w:val="006A4CCF"/>
    <w:rsid w:val="006A5F49"/>
    <w:rsid w:val="006A6FD7"/>
    <w:rsid w:val="006A7EF2"/>
    <w:rsid w:val="006B087E"/>
    <w:rsid w:val="006B1519"/>
    <w:rsid w:val="006B18A6"/>
    <w:rsid w:val="006B1F74"/>
    <w:rsid w:val="006B21D1"/>
    <w:rsid w:val="006B29A3"/>
    <w:rsid w:val="006B3E76"/>
    <w:rsid w:val="006B42C5"/>
    <w:rsid w:val="006B4CE5"/>
    <w:rsid w:val="006B58E2"/>
    <w:rsid w:val="006B7DC6"/>
    <w:rsid w:val="006B7E72"/>
    <w:rsid w:val="006B7EE8"/>
    <w:rsid w:val="006C2E85"/>
    <w:rsid w:val="006C3463"/>
    <w:rsid w:val="006C3CCF"/>
    <w:rsid w:val="006C4804"/>
    <w:rsid w:val="006C4880"/>
    <w:rsid w:val="006C706A"/>
    <w:rsid w:val="006C7148"/>
    <w:rsid w:val="006D139E"/>
    <w:rsid w:val="006D21D0"/>
    <w:rsid w:val="006D2BD2"/>
    <w:rsid w:val="006D4400"/>
    <w:rsid w:val="006D5583"/>
    <w:rsid w:val="006D565A"/>
    <w:rsid w:val="006D58F1"/>
    <w:rsid w:val="006D5C3B"/>
    <w:rsid w:val="006D6A79"/>
    <w:rsid w:val="006E0F76"/>
    <w:rsid w:val="006E26CE"/>
    <w:rsid w:val="006E3732"/>
    <w:rsid w:val="006E429A"/>
    <w:rsid w:val="006E4828"/>
    <w:rsid w:val="006E697B"/>
    <w:rsid w:val="006E6F5B"/>
    <w:rsid w:val="006E7C8A"/>
    <w:rsid w:val="006F23E7"/>
    <w:rsid w:val="006F45B4"/>
    <w:rsid w:val="006F52ED"/>
    <w:rsid w:val="006F6E5A"/>
    <w:rsid w:val="006F710A"/>
    <w:rsid w:val="006F7C23"/>
    <w:rsid w:val="007036D3"/>
    <w:rsid w:val="0070442E"/>
    <w:rsid w:val="00705086"/>
    <w:rsid w:val="00705478"/>
    <w:rsid w:val="00706528"/>
    <w:rsid w:val="00707876"/>
    <w:rsid w:val="00707A48"/>
    <w:rsid w:val="007110D4"/>
    <w:rsid w:val="00711495"/>
    <w:rsid w:val="00711CAA"/>
    <w:rsid w:val="00711DC5"/>
    <w:rsid w:val="00712074"/>
    <w:rsid w:val="00712629"/>
    <w:rsid w:val="007128AF"/>
    <w:rsid w:val="0071302E"/>
    <w:rsid w:val="007140A3"/>
    <w:rsid w:val="007140C4"/>
    <w:rsid w:val="00714BB6"/>
    <w:rsid w:val="00715651"/>
    <w:rsid w:val="0071604D"/>
    <w:rsid w:val="0071706E"/>
    <w:rsid w:val="007177F4"/>
    <w:rsid w:val="00721384"/>
    <w:rsid w:val="00721A27"/>
    <w:rsid w:val="00721D9F"/>
    <w:rsid w:val="00722340"/>
    <w:rsid w:val="00722A7C"/>
    <w:rsid w:val="00723925"/>
    <w:rsid w:val="00724363"/>
    <w:rsid w:val="00724713"/>
    <w:rsid w:val="007252F9"/>
    <w:rsid w:val="00725F43"/>
    <w:rsid w:val="00727202"/>
    <w:rsid w:val="0073194F"/>
    <w:rsid w:val="007321A6"/>
    <w:rsid w:val="0073297B"/>
    <w:rsid w:val="007334FC"/>
    <w:rsid w:val="00737C8C"/>
    <w:rsid w:val="0074020F"/>
    <w:rsid w:val="00741C0A"/>
    <w:rsid w:val="00741C6C"/>
    <w:rsid w:val="00741FDC"/>
    <w:rsid w:val="00742BA0"/>
    <w:rsid w:val="007438DE"/>
    <w:rsid w:val="00744B13"/>
    <w:rsid w:val="007506CF"/>
    <w:rsid w:val="00750CEF"/>
    <w:rsid w:val="00751924"/>
    <w:rsid w:val="00753738"/>
    <w:rsid w:val="00753E13"/>
    <w:rsid w:val="007543B4"/>
    <w:rsid w:val="007604F0"/>
    <w:rsid w:val="00761AB8"/>
    <w:rsid w:val="00761DC0"/>
    <w:rsid w:val="0076599F"/>
    <w:rsid w:val="00765F41"/>
    <w:rsid w:val="00765F58"/>
    <w:rsid w:val="00767555"/>
    <w:rsid w:val="00774EDB"/>
    <w:rsid w:val="00775DE8"/>
    <w:rsid w:val="00776366"/>
    <w:rsid w:val="00777FF7"/>
    <w:rsid w:val="007810EE"/>
    <w:rsid w:val="0078216A"/>
    <w:rsid w:val="00786595"/>
    <w:rsid w:val="0078699A"/>
    <w:rsid w:val="00786F09"/>
    <w:rsid w:val="0078708B"/>
    <w:rsid w:val="00792008"/>
    <w:rsid w:val="0079381B"/>
    <w:rsid w:val="00796AB7"/>
    <w:rsid w:val="00797B5C"/>
    <w:rsid w:val="007A0944"/>
    <w:rsid w:val="007A1AC2"/>
    <w:rsid w:val="007A21A3"/>
    <w:rsid w:val="007A3356"/>
    <w:rsid w:val="007A4313"/>
    <w:rsid w:val="007A449C"/>
    <w:rsid w:val="007A46B1"/>
    <w:rsid w:val="007A51A3"/>
    <w:rsid w:val="007A5A34"/>
    <w:rsid w:val="007A6AED"/>
    <w:rsid w:val="007A7AC8"/>
    <w:rsid w:val="007A7E50"/>
    <w:rsid w:val="007B39E0"/>
    <w:rsid w:val="007B6530"/>
    <w:rsid w:val="007B75D5"/>
    <w:rsid w:val="007B776D"/>
    <w:rsid w:val="007B787F"/>
    <w:rsid w:val="007B7FB4"/>
    <w:rsid w:val="007C04A5"/>
    <w:rsid w:val="007C04A9"/>
    <w:rsid w:val="007C08BF"/>
    <w:rsid w:val="007C16A1"/>
    <w:rsid w:val="007C1998"/>
    <w:rsid w:val="007C3A40"/>
    <w:rsid w:val="007C4071"/>
    <w:rsid w:val="007C41E5"/>
    <w:rsid w:val="007C472A"/>
    <w:rsid w:val="007C67B4"/>
    <w:rsid w:val="007C721B"/>
    <w:rsid w:val="007D1482"/>
    <w:rsid w:val="007D1F99"/>
    <w:rsid w:val="007D269D"/>
    <w:rsid w:val="007D2A58"/>
    <w:rsid w:val="007D3A83"/>
    <w:rsid w:val="007D47C3"/>
    <w:rsid w:val="007D4A8B"/>
    <w:rsid w:val="007D4B1C"/>
    <w:rsid w:val="007D6159"/>
    <w:rsid w:val="007D7C8F"/>
    <w:rsid w:val="007E04F9"/>
    <w:rsid w:val="007E3055"/>
    <w:rsid w:val="007E3EB4"/>
    <w:rsid w:val="007E65C7"/>
    <w:rsid w:val="007E7ED7"/>
    <w:rsid w:val="007F00C9"/>
    <w:rsid w:val="007F044D"/>
    <w:rsid w:val="007F1795"/>
    <w:rsid w:val="007F19E1"/>
    <w:rsid w:val="007F2D6B"/>
    <w:rsid w:val="007F2F3C"/>
    <w:rsid w:val="007F32A0"/>
    <w:rsid w:val="007F38D4"/>
    <w:rsid w:val="007F3A86"/>
    <w:rsid w:val="007F3CCF"/>
    <w:rsid w:val="007F55AB"/>
    <w:rsid w:val="007F62D8"/>
    <w:rsid w:val="007F6D30"/>
    <w:rsid w:val="00800C8F"/>
    <w:rsid w:val="00800E8C"/>
    <w:rsid w:val="00801C53"/>
    <w:rsid w:val="0080270F"/>
    <w:rsid w:val="008032DC"/>
    <w:rsid w:val="00803435"/>
    <w:rsid w:val="008039AB"/>
    <w:rsid w:val="0080402C"/>
    <w:rsid w:val="0080542C"/>
    <w:rsid w:val="00806131"/>
    <w:rsid w:val="0080769D"/>
    <w:rsid w:val="00810B08"/>
    <w:rsid w:val="0081330D"/>
    <w:rsid w:val="00814DB3"/>
    <w:rsid w:val="0081558E"/>
    <w:rsid w:val="00817A99"/>
    <w:rsid w:val="00820E98"/>
    <w:rsid w:val="00821F89"/>
    <w:rsid w:val="00822E36"/>
    <w:rsid w:val="00825C32"/>
    <w:rsid w:val="008260AE"/>
    <w:rsid w:val="00826763"/>
    <w:rsid w:val="008274A8"/>
    <w:rsid w:val="00827EA8"/>
    <w:rsid w:val="008300D1"/>
    <w:rsid w:val="008309AC"/>
    <w:rsid w:val="00830EDC"/>
    <w:rsid w:val="00831FD3"/>
    <w:rsid w:val="008342E1"/>
    <w:rsid w:val="008365B4"/>
    <w:rsid w:val="008413F0"/>
    <w:rsid w:val="00841598"/>
    <w:rsid w:val="0084285A"/>
    <w:rsid w:val="00842BA8"/>
    <w:rsid w:val="0084413C"/>
    <w:rsid w:val="008466A6"/>
    <w:rsid w:val="00847DA4"/>
    <w:rsid w:val="008502E3"/>
    <w:rsid w:val="00850C67"/>
    <w:rsid w:val="00856B8C"/>
    <w:rsid w:val="008571F7"/>
    <w:rsid w:val="008617C6"/>
    <w:rsid w:val="008618BD"/>
    <w:rsid w:val="00861C05"/>
    <w:rsid w:val="00862BFF"/>
    <w:rsid w:val="008649B2"/>
    <w:rsid w:val="00866030"/>
    <w:rsid w:val="008667E4"/>
    <w:rsid w:val="008700CB"/>
    <w:rsid w:val="00870A0A"/>
    <w:rsid w:val="0087163E"/>
    <w:rsid w:val="0087428F"/>
    <w:rsid w:val="008760F3"/>
    <w:rsid w:val="008761D5"/>
    <w:rsid w:val="0087631A"/>
    <w:rsid w:val="00876454"/>
    <w:rsid w:val="00877511"/>
    <w:rsid w:val="008776F8"/>
    <w:rsid w:val="00880248"/>
    <w:rsid w:val="0088158B"/>
    <w:rsid w:val="0089152A"/>
    <w:rsid w:val="00891AA9"/>
    <w:rsid w:val="00893CD6"/>
    <w:rsid w:val="008940E7"/>
    <w:rsid w:val="00894FE3"/>
    <w:rsid w:val="00895C64"/>
    <w:rsid w:val="008977A4"/>
    <w:rsid w:val="008A0233"/>
    <w:rsid w:val="008A082E"/>
    <w:rsid w:val="008A1CEC"/>
    <w:rsid w:val="008A2C3C"/>
    <w:rsid w:val="008A4879"/>
    <w:rsid w:val="008A6011"/>
    <w:rsid w:val="008A7D74"/>
    <w:rsid w:val="008B0E08"/>
    <w:rsid w:val="008B1677"/>
    <w:rsid w:val="008B54B3"/>
    <w:rsid w:val="008B7896"/>
    <w:rsid w:val="008C0A50"/>
    <w:rsid w:val="008C0C1E"/>
    <w:rsid w:val="008C14AC"/>
    <w:rsid w:val="008C14CC"/>
    <w:rsid w:val="008C43BD"/>
    <w:rsid w:val="008C507E"/>
    <w:rsid w:val="008C5BA3"/>
    <w:rsid w:val="008C5BBB"/>
    <w:rsid w:val="008D3D12"/>
    <w:rsid w:val="008D3EEF"/>
    <w:rsid w:val="008D4029"/>
    <w:rsid w:val="008D46E3"/>
    <w:rsid w:val="008D5B56"/>
    <w:rsid w:val="008E0347"/>
    <w:rsid w:val="008E1850"/>
    <w:rsid w:val="008E1A96"/>
    <w:rsid w:val="008E2B40"/>
    <w:rsid w:val="008E43EC"/>
    <w:rsid w:val="008E4FAA"/>
    <w:rsid w:val="008E5598"/>
    <w:rsid w:val="008E7E57"/>
    <w:rsid w:val="008E7F02"/>
    <w:rsid w:val="008F10AE"/>
    <w:rsid w:val="008F136F"/>
    <w:rsid w:val="008F1A32"/>
    <w:rsid w:val="008F1AFA"/>
    <w:rsid w:val="008F1C64"/>
    <w:rsid w:val="008F1E45"/>
    <w:rsid w:val="008F2F0D"/>
    <w:rsid w:val="008F323D"/>
    <w:rsid w:val="008F546D"/>
    <w:rsid w:val="008F7FE5"/>
    <w:rsid w:val="0090020B"/>
    <w:rsid w:val="00900667"/>
    <w:rsid w:val="00903E1B"/>
    <w:rsid w:val="00903F2B"/>
    <w:rsid w:val="009041C2"/>
    <w:rsid w:val="0090675D"/>
    <w:rsid w:val="009100B8"/>
    <w:rsid w:val="00910356"/>
    <w:rsid w:val="009108EA"/>
    <w:rsid w:val="00911689"/>
    <w:rsid w:val="009116C4"/>
    <w:rsid w:val="00912F9C"/>
    <w:rsid w:val="00914513"/>
    <w:rsid w:val="0091460B"/>
    <w:rsid w:val="00914B2E"/>
    <w:rsid w:val="00915E22"/>
    <w:rsid w:val="00916091"/>
    <w:rsid w:val="0091627D"/>
    <w:rsid w:val="00917162"/>
    <w:rsid w:val="009177E1"/>
    <w:rsid w:val="00926161"/>
    <w:rsid w:val="009268F1"/>
    <w:rsid w:val="009274CA"/>
    <w:rsid w:val="009276CA"/>
    <w:rsid w:val="00930EF9"/>
    <w:rsid w:val="00931D77"/>
    <w:rsid w:val="00933EE1"/>
    <w:rsid w:val="00935352"/>
    <w:rsid w:val="0093659C"/>
    <w:rsid w:val="00936F77"/>
    <w:rsid w:val="00937867"/>
    <w:rsid w:val="00940639"/>
    <w:rsid w:val="00940643"/>
    <w:rsid w:val="0094073E"/>
    <w:rsid w:val="00940933"/>
    <w:rsid w:val="009421B0"/>
    <w:rsid w:val="0094260A"/>
    <w:rsid w:val="00942B88"/>
    <w:rsid w:val="00942CB9"/>
    <w:rsid w:val="00943267"/>
    <w:rsid w:val="009448A2"/>
    <w:rsid w:val="00945681"/>
    <w:rsid w:val="009464F5"/>
    <w:rsid w:val="00946ED1"/>
    <w:rsid w:val="009479F1"/>
    <w:rsid w:val="00950EF2"/>
    <w:rsid w:val="00951B22"/>
    <w:rsid w:val="00951FF2"/>
    <w:rsid w:val="00952136"/>
    <w:rsid w:val="0095262B"/>
    <w:rsid w:val="009530FA"/>
    <w:rsid w:val="00955535"/>
    <w:rsid w:val="009578F3"/>
    <w:rsid w:val="009610C6"/>
    <w:rsid w:val="009610DF"/>
    <w:rsid w:val="009628A4"/>
    <w:rsid w:val="009632DE"/>
    <w:rsid w:val="0096369E"/>
    <w:rsid w:val="0096412B"/>
    <w:rsid w:val="00964303"/>
    <w:rsid w:val="00964515"/>
    <w:rsid w:val="00964598"/>
    <w:rsid w:val="0096649B"/>
    <w:rsid w:val="00967118"/>
    <w:rsid w:val="00970C06"/>
    <w:rsid w:val="00971077"/>
    <w:rsid w:val="00972B34"/>
    <w:rsid w:val="00975A5C"/>
    <w:rsid w:val="00976F5E"/>
    <w:rsid w:val="009773A5"/>
    <w:rsid w:val="00981464"/>
    <w:rsid w:val="00982722"/>
    <w:rsid w:val="00982A7E"/>
    <w:rsid w:val="00982CD4"/>
    <w:rsid w:val="0098353B"/>
    <w:rsid w:val="009836B0"/>
    <w:rsid w:val="00984738"/>
    <w:rsid w:val="00984CE3"/>
    <w:rsid w:val="009931D4"/>
    <w:rsid w:val="009934EE"/>
    <w:rsid w:val="009938DD"/>
    <w:rsid w:val="009956BB"/>
    <w:rsid w:val="00995A70"/>
    <w:rsid w:val="00996A77"/>
    <w:rsid w:val="00996BE1"/>
    <w:rsid w:val="00997FD0"/>
    <w:rsid w:val="009A0104"/>
    <w:rsid w:val="009A29D1"/>
    <w:rsid w:val="009A2ECA"/>
    <w:rsid w:val="009A3097"/>
    <w:rsid w:val="009A382E"/>
    <w:rsid w:val="009A4243"/>
    <w:rsid w:val="009A5163"/>
    <w:rsid w:val="009A74DC"/>
    <w:rsid w:val="009B2B32"/>
    <w:rsid w:val="009B3CF5"/>
    <w:rsid w:val="009B3DCC"/>
    <w:rsid w:val="009B501F"/>
    <w:rsid w:val="009B769B"/>
    <w:rsid w:val="009B77C4"/>
    <w:rsid w:val="009C2C35"/>
    <w:rsid w:val="009C2D2A"/>
    <w:rsid w:val="009C5176"/>
    <w:rsid w:val="009C60EA"/>
    <w:rsid w:val="009C6212"/>
    <w:rsid w:val="009C70DE"/>
    <w:rsid w:val="009C7948"/>
    <w:rsid w:val="009D0575"/>
    <w:rsid w:val="009D0E78"/>
    <w:rsid w:val="009D1F7F"/>
    <w:rsid w:val="009D36AA"/>
    <w:rsid w:val="009D4965"/>
    <w:rsid w:val="009D66E8"/>
    <w:rsid w:val="009D7009"/>
    <w:rsid w:val="009E0D44"/>
    <w:rsid w:val="009E1651"/>
    <w:rsid w:val="009E16AE"/>
    <w:rsid w:val="009E29A8"/>
    <w:rsid w:val="009E2AC5"/>
    <w:rsid w:val="009E5817"/>
    <w:rsid w:val="009F1F94"/>
    <w:rsid w:val="009F2CBE"/>
    <w:rsid w:val="009F2F4F"/>
    <w:rsid w:val="009F4B5D"/>
    <w:rsid w:val="009F4FC6"/>
    <w:rsid w:val="009F6247"/>
    <w:rsid w:val="009F7567"/>
    <w:rsid w:val="009F7762"/>
    <w:rsid w:val="00A00184"/>
    <w:rsid w:val="00A00664"/>
    <w:rsid w:val="00A011F2"/>
    <w:rsid w:val="00A0142D"/>
    <w:rsid w:val="00A01FB6"/>
    <w:rsid w:val="00A05F6A"/>
    <w:rsid w:val="00A063BE"/>
    <w:rsid w:val="00A07FD1"/>
    <w:rsid w:val="00A13257"/>
    <w:rsid w:val="00A15C0E"/>
    <w:rsid w:val="00A161C0"/>
    <w:rsid w:val="00A161D4"/>
    <w:rsid w:val="00A20864"/>
    <w:rsid w:val="00A245A7"/>
    <w:rsid w:val="00A24F78"/>
    <w:rsid w:val="00A2518D"/>
    <w:rsid w:val="00A26464"/>
    <w:rsid w:val="00A277FC"/>
    <w:rsid w:val="00A2792A"/>
    <w:rsid w:val="00A32C2F"/>
    <w:rsid w:val="00A33275"/>
    <w:rsid w:val="00A332BF"/>
    <w:rsid w:val="00A356D8"/>
    <w:rsid w:val="00A36BD7"/>
    <w:rsid w:val="00A411B0"/>
    <w:rsid w:val="00A421C2"/>
    <w:rsid w:val="00A42977"/>
    <w:rsid w:val="00A42FC2"/>
    <w:rsid w:val="00A442F5"/>
    <w:rsid w:val="00A45273"/>
    <w:rsid w:val="00A46511"/>
    <w:rsid w:val="00A524D2"/>
    <w:rsid w:val="00A53B6E"/>
    <w:rsid w:val="00A541CF"/>
    <w:rsid w:val="00A54C5D"/>
    <w:rsid w:val="00A6037B"/>
    <w:rsid w:val="00A6277E"/>
    <w:rsid w:val="00A644A3"/>
    <w:rsid w:val="00A67C91"/>
    <w:rsid w:val="00A67E1F"/>
    <w:rsid w:val="00A71984"/>
    <w:rsid w:val="00A71BB5"/>
    <w:rsid w:val="00A71E76"/>
    <w:rsid w:val="00A726B0"/>
    <w:rsid w:val="00A73044"/>
    <w:rsid w:val="00A7331A"/>
    <w:rsid w:val="00A7388D"/>
    <w:rsid w:val="00A73FB7"/>
    <w:rsid w:val="00A74A3F"/>
    <w:rsid w:val="00A74B79"/>
    <w:rsid w:val="00A74FFD"/>
    <w:rsid w:val="00A757EC"/>
    <w:rsid w:val="00A77468"/>
    <w:rsid w:val="00A8003B"/>
    <w:rsid w:val="00A80BB7"/>
    <w:rsid w:val="00A81C50"/>
    <w:rsid w:val="00A822AF"/>
    <w:rsid w:val="00A84A1F"/>
    <w:rsid w:val="00A86459"/>
    <w:rsid w:val="00A87837"/>
    <w:rsid w:val="00A87FC6"/>
    <w:rsid w:val="00A92A72"/>
    <w:rsid w:val="00A92CDA"/>
    <w:rsid w:val="00A93585"/>
    <w:rsid w:val="00A93BD8"/>
    <w:rsid w:val="00A93CC6"/>
    <w:rsid w:val="00A96828"/>
    <w:rsid w:val="00A96AA4"/>
    <w:rsid w:val="00A971CC"/>
    <w:rsid w:val="00AA25B6"/>
    <w:rsid w:val="00AA571A"/>
    <w:rsid w:val="00AA59B6"/>
    <w:rsid w:val="00AA6039"/>
    <w:rsid w:val="00AA632D"/>
    <w:rsid w:val="00AA64B4"/>
    <w:rsid w:val="00AB029F"/>
    <w:rsid w:val="00AB0A34"/>
    <w:rsid w:val="00AB19C2"/>
    <w:rsid w:val="00AB27B1"/>
    <w:rsid w:val="00AB3C0C"/>
    <w:rsid w:val="00AB3C43"/>
    <w:rsid w:val="00AB4F5A"/>
    <w:rsid w:val="00AB570A"/>
    <w:rsid w:val="00AC0B87"/>
    <w:rsid w:val="00AC0CE3"/>
    <w:rsid w:val="00AC0F46"/>
    <w:rsid w:val="00AC21E6"/>
    <w:rsid w:val="00AC2AB8"/>
    <w:rsid w:val="00AC62D8"/>
    <w:rsid w:val="00AC7B86"/>
    <w:rsid w:val="00AD0DE2"/>
    <w:rsid w:val="00AD1998"/>
    <w:rsid w:val="00AD3DE5"/>
    <w:rsid w:val="00AD5876"/>
    <w:rsid w:val="00AD653C"/>
    <w:rsid w:val="00AD7724"/>
    <w:rsid w:val="00AE000C"/>
    <w:rsid w:val="00AE10D7"/>
    <w:rsid w:val="00AE42A5"/>
    <w:rsid w:val="00AE4C58"/>
    <w:rsid w:val="00AE69A9"/>
    <w:rsid w:val="00AE73E8"/>
    <w:rsid w:val="00AE7E38"/>
    <w:rsid w:val="00AE7EEC"/>
    <w:rsid w:val="00AF0855"/>
    <w:rsid w:val="00AF15BF"/>
    <w:rsid w:val="00AF4381"/>
    <w:rsid w:val="00B031FE"/>
    <w:rsid w:val="00B04017"/>
    <w:rsid w:val="00B0620F"/>
    <w:rsid w:val="00B077A5"/>
    <w:rsid w:val="00B10E70"/>
    <w:rsid w:val="00B13B78"/>
    <w:rsid w:val="00B13C90"/>
    <w:rsid w:val="00B143F4"/>
    <w:rsid w:val="00B1469C"/>
    <w:rsid w:val="00B156C1"/>
    <w:rsid w:val="00B232BF"/>
    <w:rsid w:val="00B2333D"/>
    <w:rsid w:val="00B244B0"/>
    <w:rsid w:val="00B272E5"/>
    <w:rsid w:val="00B30A4C"/>
    <w:rsid w:val="00B315EC"/>
    <w:rsid w:val="00B319A7"/>
    <w:rsid w:val="00B33B97"/>
    <w:rsid w:val="00B34F9C"/>
    <w:rsid w:val="00B35BF8"/>
    <w:rsid w:val="00B37CD9"/>
    <w:rsid w:val="00B40CC9"/>
    <w:rsid w:val="00B415DE"/>
    <w:rsid w:val="00B41EE7"/>
    <w:rsid w:val="00B42559"/>
    <w:rsid w:val="00B42FD9"/>
    <w:rsid w:val="00B436F3"/>
    <w:rsid w:val="00B461AB"/>
    <w:rsid w:val="00B46A25"/>
    <w:rsid w:val="00B46CAB"/>
    <w:rsid w:val="00B501F8"/>
    <w:rsid w:val="00B50CE2"/>
    <w:rsid w:val="00B539EB"/>
    <w:rsid w:val="00B540D1"/>
    <w:rsid w:val="00B543D2"/>
    <w:rsid w:val="00B546E3"/>
    <w:rsid w:val="00B54E2E"/>
    <w:rsid w:val="00B57DB6"/>
    <w:rsid w:val="00B57FAF"/>
    <w:rsid w:val="00B60627"/>
    <w:rsid w:val="00B6160F"/>
    <w:rsid w:val="00B6269B"/>
    <w:rsid w:val="00B62916"/>
    <w:rsid w:val="00B637C1"/>
    <w:rsid w:val="00B63E7A"/>
    <w:rsid w:val="00B64038"/>
    <w:rsid w:val="00B64C58"/>
    <w:rsid w:val="00B64D95"/>
    <w:rsid w:val="00B64E6C"/>
    <w:rsid w:val="00B71994"/>
    <w:rsid w:val="00B7208A"/>
    <w:rsid w:val="00B726F3"/>
    <w:rsid w:val="00B72E7D"/>
    <w:rsid w:val="00B738A5"/>
    <w:rsid w:val="00B739F9"/>
    <w:rsid w:val="00B73E51"/>
    <w:rsid w:val="00B7406F"/>
    <w:rsid w:val="00B7457A"/>
    <w:rsid w:val="00B7615D"/>
    <w:rsid w:val="00B7634D"/>
    <w:rsid w:val="00B76D9A"/>
    <w:rsid w:val="00B775A2"/>
    <w:rsid w:val="00B77F27"/>
    <w:rsid w:val="00B81D9D"/>
    <w:rsid w:val="00B8418D"/>
    <w:rsid w:val="00B8428B"/>
    <w:rsid w:val="00B84DD8"/>
    <w:rsid w:val="00B8730C"/>
    <w:rsid w:val="00B91417"/>
    <w:rsid w:val="00B91B0A"/>
    <w:rsid w:val="00B93AEC"/>
    <w:rsid w:val="00B948A0"/>
    <w:rsid w:val="00B95CA2"/>
    <w:rsid w:val="00B97D88"/>
    <w:rsid w:val="00BA2D37"/>
    <w:rsid w:val="00BA2E2C"/>
    <w:rsid w:val="00BA2FB8"/>
    <w:rsid w:val="00BA440A"/>
    <w:rsid w:val="00BA6D51"/>
    <w:rsid w:val="00BA770B"/>
    <w:rsid w:val="00BB0EFA"/>
    <w:rsid w:val="00BB16F1"/>
    <w:rsid w:val="00BB439F"/>
    <w:rsid w:val="00BB4D02"/>
    <w:rsid w:val="00BB5014"/>
    <w:rsid w:val="00BB5511"/>
    <w:rsid w:val="00BB6422"/>
    <w:rsid w:val="00BB72E8"/>
    <w:rsid w:val="00BC03B7"/>
    <w:rsid w:val="00BC0FB3"/>
    <w:rsid w:val="00BC119E"/>
    <w:rsid w:val="00BC1785"/>
    <w:rsid w:val="00BC45D7"/>
    <w:rsid w:val="00BC6F9A"/>
    <w:rsid w:val="00BC7FE2"/>
    <w:rsid w:val="00BD1145"/>
    <w:rsid w:val="00BD1A79"/>
    <w:rsid w:val="00BD2671"/>
    <w:rsid w:val="00BD2D77"/>
    <w:rsid w:val="00BD4DA3"/>
    <w:rsid w:val="00BE0625"/>
    <w:rsid w:val="00BE10E9"/>
    <w:rsid w:val="00BE4514"/>
    <w:rsid w:val="00BE4CF0"/>
    <w:rsid w:val="00BE4ED7"/>
    <w:rsid w:val="00BE5E1F"/>
    <w:rsid w:val="00BE6299"/>
    <w:rsid w:val="00BF17E8"/>
    <w:rsid w:val="00BF2003"/>
    <w:rsid w:val="00BF64D9"/>
    <w:rsid w:val="00C01054"/>
    <w:rsid w:val="00C01871"/>
    <w:rsid w:val="00C028C1"/>
    <w:rsid w:val="00C0369F"/>
    <w:rsid w:val="00C0451C"/>
    <w:rsid w:val="00C047AC"/>
    <w:rsid w:val="00C04E09"/>
    <w:rsid w:val="00C05345"/>
    <w:rsid w:val="00C06127"/>
    <w:rsid w:val="00C078BF"/>
    <w:rsid w:val="00C07D50"/>
    <w:rsid w:val="00C1003A"/>
    <w:rsid w:val="00C11849"/>
    <w:rsid w:val="00C11E2C"/>
    <w:rsid w:val="00C11FC7"/>
    <w:rsid w:val="00C123DB"/>
    <w:rsid w:val="00C12566"/>
    <w:rsid w:val="00C13C65"/>
    <w:rsid w:val="00C15169"/>
    <w:rsid w:val="00C166BB"/>
    <w:rsid w:val="00C20572"/>
    <w:rsid w:val="00C22806"/>
    <w:rsid w:val="00C2373F"/>
    <w:rsid w:val="00C247A0"/>
    <w:rsid w:val="00C2577F"/>
    <w:rsid w:val="00C25F42"/>
    <w:rsid w:val="00C2641A"/>
    <w:rsid w:val="00C26705"/>
    <w:rsid w:val="00C269E8"/>
    <w:rsid w:val="00C26BA0"/>
    <w:rsid w:val="00C26FBD"/>
    <w:rsid w:val="00C311FE"/>
    <w:rsid w:val="00C338C0"/>
    <w:rsid w:val="00C3481C"/>
    <w:rsid w:val="00C34E5C"/>
    <w:rsid w:val="00C41F9A"/>
    <w:rsid w:val="00C43787"/>
    <w:rsid w:val="00C44EE9"/>
    <w:rsid w:val="00C46E8C"/>
    <w:rsid w:val="00C47EE6"/>
    <w:rsid w:val="00C50343"/>
    <w:rsid w:val="00C513A2"/>
    <w:rsid w:val="00C51D2E"/>
    <w:rsid w:val="00C563EF"/>
    <w:rsid w:val="00C577CA"/>
    <w:rsid w:val="00C62E6C"/>
    <w:rsid w:val="00C646F3"/>
    <w:rsid w:val="00C650DA"/>
    <w:rsid w:val="00C65658"/>
    <w:rsid w:val="00C67092"/>
    <w:rsid w:val="00C67D27"/>
    <w:rsid w:val="00C70529"/>
    <w:rsid w:val="00C70F28"/>
    <w:rsid w:val="00C70F61"/>
    <w:rsid w:val="00C712EA"/>
    <w:rsid w:val="00C71D3D"/>
    <w:rsid w:val="00C72330"/>
    <w:rsid w:val="00C73D50"/>
    <w:rsid w:val="00C73DE6"/>
    <w:rsid w:val="00C74829"/>
    <w:rsid w:val="00C752BD"/>
    <w:rsid w:val="00C7554F"/>
    <w:rsid w:val="00C83EFC"/>
    <w:rsid w:val="00C8487C"/>
    <w:rsid w:val="00C906D5"/>
    <w:rsid w:val="00C90AD1"/>
    <w:rsid w:val="00C93314"/>
    <w:rsid w:val="00C934DA"/>
    <w:rsid w:val="00C93BAF"/>
    <w:rsid w:val="00C94B3C"/>
    <w:rsid w:val="00C953A8"/>
    <w:rsid w:val="00C97811"/>
    <w:rsid w:val="00C97827"/>
    <w:rsid w:val="00CA2D73"/>
    <w:rsid w:val="00CA4822"/>
    <w:rsid w:val="00CA4F22"/>
    <w:rsid w:val="00CA78D9"/>
    <w:rsid w:val="00CA796B"/>
    <w:rsid w:val="00CA797B"/>
    <w:rsid w:val="00CB040B"/>
    <w:rsid w:val="00CB2041"/>
    <w:rsid w:val="00CB2415"/>
    <w:rsid w:val="00CB3E5A"/>
    <w:rsid w:val="00CB63F0"/>
    <w:rsid w:val="00CC26F2"/>
    <w:rsid w:val="00CC45D9"/>
    <w:rsid w:val="00CC47FA"/>
    <w:rsid w:val="00CC4A7E"/>
    <w:rsid w:val="00CC4EB0"/>
    <w:rsid w:val="00CC6881"/>
    <w:rsid w:val="00CD0C5F"/>
    <w:rsid w:val="00CD4133"/>
    <w:rsid w:val="00CD7266"/>
    <w:rsid w:val="00CE014A"/>
    <w:rsid w:val="00CE4F30"/>
    <w:rsid w:val="00CE557F"/>
    <w:rsid w:val="00CE6135"/>
    <w:rsid w:val="00CE691D"/>
    <w:rsid w:val="00CE75F2"/>
    <w:rsid w:val="00CE773C"/>
    <w:rsid w:val="00CE7BC8"/>
    <w:rsid w:val="00CE7FD6"/>
    <w:rsid w:val="00CF0B82"/>
    <w:rsid w:val="00CF0CCF"/>
    <w:rsid w:val="00CF384D"/>
    <w:rsid w:val="00CF468F"/>
    <w:rsid w:val="00CF4C7D"/>
    <w:rsid w:val="00D00F68"/>
    <w:rsid w:val="00D026D0"/>
    <w:rsid w:val="00D069B8"/>
    <w:rsid w:val="00D073DF"/>
    <w:rsid w:val="00D074E7"/>
    <w:rsid w:val="00D12167"/>
    <w:rsid w:val="00D130A8"/>
    <w:rsid w:val="00D15734"/>
    <w:rsid w:val="00D16E8F"/>
    <w:rsid w:val="00D17DB7"/>
    <w:rsid w:val="00D209B6"/>
    <w:rsid w:val="00D2126B"/>
    <w:rsid w:val="00D222C5"/>
    <w:rsid w:val="00D22EFD"/>
    <w:rsid w:val="00D23522"/>
    <w:rsid w:val="00D23626"/>
    <w:rsid w:val="00D23905"/>
    <w:rsid w:val="00D23964"/>
    <w:rsid w:val="00D23FEE"/>
    <w:rsid w:val="00D24549"/>
    <w:rsid w:val="00D24750"/>
    <w:rsid w:val="00D24D50"/>
    <w:rsid w:val="00D25B7C"/>
    <w:rsid w:val="00D26421"/>
    <w:rsid w:val="00D26525"/>
    <w:rsid w:val="00D31323"/>
    <w:rsid w:val="00D32964"/>
    <w:rsid w:val="00D32B16"/>
    <w:rsid w:val="00D33934"/>
    <w:rsid w:val="00D37609"/>
    <w:rsid w:val="00D40FAE"/>
    <w:rsid w:val="00D41397"/>
    <w:rsid w:val="00D420D8"/>
    <w:rsid w:val="00D437FB"/>
    <w:rsid w:val="00D44C2A"/>
    <w:rsid w:val="00D44E5A"/>
    <w:rsid w:val="00D46541"/>
    <w:rsid w:val="00D46BE6"/>
    <w:rsid w:val="00D516B9"/>
    <w:rsid w:val="00D5215B"/>
    <w:rsid w:val="00D52CFC"/>
    <w:rsid w:val="00D53BDD"/>
    <w:rsid w:val="00D54CF5"/>
    <w:rsid w:val="00D55667"/>
    <w:rsid w:val="00D56A15"/>
    <w:rsid w:val="00D56C09"/>
    <w:rsid w:val="00D5701F"/>
    <w:rsid w:val="00D6001F"/>
    <w:rsid w:val="00D618D8"/>
    <w:rsid w:val="00D62A03"/>
    <w:rsid w:val="00D641A6"/>
    <w:rsid w:val="00D65523"/>
    <w:rsid w:val="00D658E8"/>
    <w:rsid w:val="00D66636"/>
    <w:rsid w:val="00D67CB6"/>
    <w:rsid w:val="00D708CB"/>
    <w:rsid w:val="00D733D3"/>
    <w:rsid w:val="00D746A1"/>
    <w:rsid w:val="00D756A3"/>
    <w:rsid w:val="00D75B8A"/>
    <w:rsid w:val="00D76D85"/>
    <w:rsid w:val="00D76E4A"/>
    <w:rsid w:val="00D80D8B"/>
    <w:rsid w:val="00D80DBE"/>
    <w:rsid w:val="00D828CB"/>
    <w:rsid w:val="00D85154"/>
    <w:rsid w:val="00D86110"/>
    <w:rsid w:val="00D87C67"/>
    <w:rsid w:val="00D92D83"/>
    <w:rsid w:val="00D9358A"/>
    <w:rsid w:val="00D96B44"/>
    <w:rsid w:val="00DA0441"/>
    <w:rsid w:val="00DA2E4E"/>
    <w:rsid w:val="00DA4257"/>
    <w:rsid w:val="00DA5C6E"/>
    <w:rsid w:val="00DA62E3"/>
    <w:rsid w:val="00DB1441"/>
    <w:rsid w:val="00DB53B7"/>
    <w:rsid w:val="00DB53BC"/>
    <w:rsid w:val="00DB541B"/>
    <w:rsid w:val="00DB55C6"/>
    <w:rsid w:val="00DB5A45"/>
    <w:rsid w:val="00DB5E67"/>
    <w:rsid w:val="00DB7E1F"/>
    <w:rsid w:val="00DC0166"/>
    <w:rsid w:val="00DC01DA"/>
    <w:rsid w:val="00DC08EB"/>
    <w:rsid w:val="00DC163B"/>
    <w:rsid w:val="00DC1DB4"/>
    <w:rsid w:val="00DC2DE6"/>
    <w:rsid w:val="00DC3E48"/>
    <w:rsid w:val="00DC472B"/>
    <w:rsid w:val="00DC4C46"/>
    <w:rsid w:val="00DD699C"/>
    <w:rsid w:val="00DD7AF0"/>
    <w:rsid w:val="00DE0EF9"/>
    <w:rsid w:val="00DE17F8"/>
    <w:rsid w:val="00DE2169"/>
    <w:rsid w:val="00DE2F94"/>
    <w:rsid w:val="00DE5B27"/>
    <w:rsid w:val="00DE5E41"/>
    <w:rsid w:val="00DE6C85"/>
    <w:rsid w:val="00DF043D"/>
    <w:rsid w:val="00DF2EAD"/>
    <w:rsid w:val="00DF6343"/>
    <w:rsid w:val="00DF7310"/>
    <w:rsid w:val="00DF7962"/>
    <w:rsid w:val="00DF79AF"/>
    <w:rsid w:val="00E007CD"/>
    <w:rsid w:val="00E00D43"/>
    <w:rsid w:val="00E01568"/>
    <w:rsid w:val="00E019F5"/>
    <w:rsid w:val="00E01AF8"/>
    <w:rsid w:val="00E0201C"/>
    <w:rsid w:val="00E02F9C"/>
    <w:rsid w:val="00E05CA5"/>
    <w:rsid w:val="00E067BC"/>
    <w:rsid w:val="00E071E2"/>
    <w:rsid w:val="00E072B2"/>
    <w:rsid w:val="00E074AF"/>
    <w:rsid w:val="00E07FDA"/>
    <w:rsid w:val="00E113EA"/>
    <w:rsid w:val="00E11F5D"/>
    <w:rsid w:val="00E1200C"/>
    <w:rsid w:val="00E13EC4"/>
    <w:rsid w:val="00E13F4F"/>
    <w:rsid w:val="00E1492D"/>
    <w:rsid w:val="00E20124"/>
    <w:rsid w:val="00E2258D"/>
    <w:rsid w:val="00E229E2"/>
    <w:rsid w:val="00E23807"/>
    <w:rsid w:val="00E24DAA"/>
    <w:rsid w:val="00E2521A"/>
    <w:rsid w:val="00E2695B"/>
    <w:rsid w:val="00E26B41"/>
    <w:rsid w:val="00E26CE6"/>
    <w:rsid w:val="00E27317"/>
    <w:rsid w:val="00E275D1"/>
    <w:rsid w:val="00E27998"/>
    <w:rsid w:val="00E3015F"/>
    <w:rsid w:val="00E309C1"/>
    <w:rsid w:val="00E317DA"/>
    <w:rsid w:val="00E31A8A"/>
    <w:rsid w:val="00E31F5F"/>
    <w:rsid w:val="00E35F37"/>
    <w:rsid w:val="00E36781"/>
    <w:rsid w:val="00E407C2"/>
    <w:rsid w:val="00E41681"/>
    <w:rsid w:val="00E43496"/>
    <w:rsid w:val="00E45D17"/>
    <w:rsid w:val="00E46B57"/>
    <w:rsid w:val="00E47FDD"/>
    <w:rsid w:val="00E5040D"/>
    <w:rsid w:val="00E50A6B"/>
    <w:rsid w:val="00E51CE9"/>
    <w:rsid w:val="00E5364B"/>
    <w:rsid w:val="00E5406A"/>
    <w:rsid w:val="00E55030"/>
    <w:rsid w:val="00E55C74"/>
    <w:rsid w:val="00E562E0"/>
    <w:rsid w:val="00E56811"/>
    <w:rsid w:val="00E63AF6"/>
    <w:rsid w:val="00E64A77"/>
    <w:rsid w:val="00E64BFD"/>
    <w:rsid w:val="00E651B2"/>
    <w:rsid w:val="00E6520D"/>
    <w:rsid w:val="00E65EE3"/>
    <w:rsid w:val="00E66BBE"/>
    <w:rsid w:val="00E716DD"/>
    <w:rsid w:val="00E71884"/>
    <w:rsid w:val="00E72414"/>
    <w:rsid w:val="00E72FCA"/>
    <w:rsid w:val="00E73079"/>
    <w:rsid w:val="00E7513C"/>
    <w:rsid w:val="00E75B4D"/>
    <w:rsid w:val="00E7759C"/>
    <w:rsid w:val="00E779A9"/>
    <w:rsid w:val="00E77E22"/>
    <w:rsid w:val="00E811EB"/>
    <w:rsid w:val="00E814E0"/>
    <w:rsid w:val="00E82540"/>
    <w:rsid w:val="00E85C26"/>
    <w:rsid w:val="00E861F7"/>
    <w:rsid w:val="00E867F1"/>
    <w:rsid w:val="00E871DA"/>
    <w:rsid w:val="00E87DEE"/>
    <w:rsid w:val="00E909E8"/>
    <w:rsid w:val="00E9382A"/>
    <w:rsid w:val="00E93AA0"/>
    <w:rsid w:val="00EA0090"/>
    <w:rsid w:val="00EA0B95"/>
    <w:rsid w:val="00EA18FA"/>
    <w:rsid w:val="00EA28F2"/>
    <w:rsid w:val="00EA3C1F"/>
    <w:rsid w:val="00EA3C34"/>
    <w:rsid w:val="00EA49EC"/>
    <w:rsid w:val="00EA55E7"/>
    <w:rsid w:val="00EA657B"/>
    <w:rsid w:val="00EA6976"/>
    <w:rsid w:val="00EA70DF"/>
    <w:rsid w:val="00EA74B3"/>
    <w:rsid w:val="00EB0117"/>
    <w:rsid w:val="00EB0940"/>
    <w:rsid w:val="00EB2E3A"/>
    <w:rsid w:val="00EB35F1"/>
    <w:rsid w:val="00EB434D"/>
    <w:rsid w:val="00EB6273"/>
    <w:rsid w:val="00EB7DA1"/>
    <w:rsid w:val="00EC030C"/>
    <w:rsid w:val="00EC0921"/>
    <w:rsid w:val="00EC09B2"/>
    <w:rsid w:val="00EC0F5A"/>
    <w:rsid w:val="00EC1800"/>
    <w:rsid w:val="00EC1CDD"/>
    <w:rsid w:val="00EC3143"/>
    <w:rsid w:val="00EC5CD7"/>
    <w:rsid w:val="00EC696B"/>
    <w:rsid w:val="00EC7224"/>
    <w:rsid w:val="00ED43FB"/>
    <w:rsid w:val="00ED530B"/>
    <w:rsid w:val="00ED6F88"/>
    <w:rsid w:val="00ED71F5"/>
    <w:rsid w:val="00ED77FA"/>
    <w:rsid w:val="00ED7DB9"/>
    <w:rsid w:val="00EE01CE"/>
    <w:rsid w:val="00EE242A"/>
    <w:rsid w:val="00EE2BE0"/>
    <w:rsid w:val="00EE4AE4"/>
    <w:rsid w:val="00EE7347"/>
    <w:rsid w:val="00EE7735"/>
    <w:rsid w:val="00EE7DBD"/>
    <w:rsid w:val="00EF0583"/>
    <w:rsid w:val="00EF2B6D"/>
    <w:rsid w:val="00EF2B85"/>
    <w:rsid w:val="00EF368C"/>
    <w:rsid w:val="00EF4A27"/>
    <w:rsid w:val="00F0129D"/>
    <w:rsid w:val="00F10202"/>
    <w:rsid w:val="00F120BC"/>
    <w:rsid w:val="00F13346"/>
    <w:rsid w:val="00F133B6"/>
    <w:rsid w:val="00F170ED"/>
    <w:rsid w:val="00F17146"/>
    <w:rsid w:val="00F1774C"/>
    <w:rsid w:val="00F17AD5"/>
    <w:rsid w:val="00F17F21"/>
    <w:rsid w:val="00F225F0"/>
    <w:rsid w:val="00F231B3"/>
    <w:rsid w:val="00F2368E"/>
    <w:rsid w:val="00F23ED3"/>
    <w:rsid w:val="00F24F31"/>
    <w:rsid w:val="00F310B6"/>
    <w:rsid w:val="00F310D0"/>
    <w:rsid w:val="00F311CD"/>
    <w:rsid w:val="00F32E54"/>
    <w:rsid w:val="00F32FA8"/>
    <w:rsid w:val="00F347BF"/>
    <w:rsid w:val="00F35486"/>
    <w:rsid w:val="00F357AE"/>
    <w:rsid w:val="00F37F53"/>
    <w:rsid w:val="00F41261"/>
    <w:rsid w:val="00F41698"/>
    <w:rsid w:val="00F41AD7"/>
    <w:rsid w:val="00F4298C"/>
    <w:rsid w:val="00F42EBD"/>
    <w:rsid w:val="00F43E43"/>
    <w:rsid w:val="00F459F2"/>
    <w:rsid w:val="00F45F17"/>
    <w:rsid w:val="00F4702C"/>
    <w:rsid w:val="00F47075"/>
    <w:rsid w:val="00F47CD9"/>
    <w:rsid w:val="00F53469"/>
    <w:rsid w:val="00F54202"/>
    <w:rsid w:val="00F5439E"/>
    <w:rsid w:val="00F551BB"/>
    <w:rsid w:val="00F55A61"/>
    <w:rsid w:val="00F5703A"/>
    <w:rsid w:val="00F5717B"/>
    <w:rsid w:val="00F57CA5"/>
    <w:rsid w:val="00F6062F"/>
    <w:rsid w:val="00F6088E"/>
    <w:rsid w:val="00F61295"/>
    <w:rsid w:val="00F61921"/>
    <w:rsid w:val="00F61AD1"/>
    <w:rsid w:val="00F61AFA"/>
    <w:rsid w:val="00F6292B"/>
    <w:rsid w:val="00F62B50"/>
    <w:rsid w:val="00F64739"/>
    <w:rsid w:val="00F653D6"/>
    <w:rsid w:val="00F6561D"/>
    <w:rsid w:val="00F70E61"/>
    <w:rsid w:val="00F73292"/>
    <w:rsid w:val="00F7553A"/>
    <w:rsid w:val="00F77758"/>
    <w:rsid w:val="00F777E1"/>
    <w:rsid w:val="00F77E58"/>
    <w:rsid w:val="00F803EA"/>
    <w:rsid w:val="00F83928"/>
    <w:rsid w:val="00F87AA6"/>
    <w:rsid w:val="00F90C19"/>
    <w:rsid w:val="00F9120B"/>
    <w:rsid w:val="00F91C0A"/>
    <w:rsid w:val="00F929D4"/>
    <w:rsid w:val="00F931F7"/>
    <w:rsid w:val="00F93572"/>
    <w:rsid w:val="00F949EB"/>
    <w:rsid w:val="00F96C08"/>
    <w:rsid w:val="00F96D0F"/>
    <w:rsid w:val="00FA06D9"/>
    <w:rsid w:val="00FA0CBB"/>
    <w:rsid w:val="00FA0D51"/>
    <w:rsid w:val="00FA32BD"/>
    <w:rsid w:val="00FA66F5"/>
    <w:rsid w:val="00FA79ED"/>
    <w:rsid w:val="00FB0933"/>
    <w:rsid w:val="00FB2AA8"/>
    <w:rsid w:val="00FB361E"/>
    <w:rsid w:val="00FB3A2B"/>
    <w:rsid w:val="00FB41E2"/>
    <w:rsid w:val="00FB635D"/>
    <w:rsid w:val="00FB6D60"/>
    <w:rsid w:val="00FC06C6"/>
    <w:rsid w:val="00FC23AA"/>
    <w:rsid w:val="00FC2801"/>
    <w:rsid w:val="00FC6D9D"/>
    <w:rsid w:val="00FC7910"/>
    <w:rsid w:val="00FD074D"/>
    <w:rsid w:val="00FD0EE1"/>
    <w:rsid w:val="00FD1C51"/>
    <w:rsid w:val="00FD1E6A"/>
    <w:rsid w:val="00FD3FC1"/>
    <w:rsid w:val="00FD47FD"/>
    <w:rsid w:val="00FD5727"/>
    <w:rsid w:val="00FD5766"/>
    <w:rsid w:val="00FD5930"/>
    <w:rsid w:val="00FD5DFF"/>
    <w:rsid w:val="00FD6CF7"/>
    <w:rsid w:val="00FD729D"/>
    <w:rsid w:val="00FD72F5"/>
    <w:rsid w:val="00FD7AB7"/>
    <w:rsid w:val="00FE00AC"/>
    <w:rsid w:val="00FE06CC"/>
    <w:rsid w:val="00FE0B3F"/>
    <w:rsid w:val="00FE5497"/>
    <w:rsid w:val="00FE71F9"/>
    <w:rsid w:val="00FF02C2"/>
    <w:rsid w:val="00FF0D6E"/>
    <w:rsid w:val="00FF27A5"/>
    <w:rsid w:val="00FF4457"/>
    <w:rsid w:val="00FF46BA"/>
    <w:rsid w:val="00FF4793"/>
    <w:rsid w:val="00FF4935"/>
    <w:rsid w:val="00FF6F62"/>
    <w:rsid w:val="00FF724F"/>
    <w:rsid w:val="018B7C64"/>
    <w:rsid w:val="01FB0958"/>
    <w:rsid w:val="020F5B76"/>
    <w:rsid w:val="02BB280A"/>
    <w:rsid w:val="02D17D09"/>
    <w:rsid w:val="031A23FB"/>
    <w:rsid w:val="0344016B"/>
    <w:rsid w:val="039648C8"/>
    <w:rsid w:val="03D56781"/>
    <w:rsid w:val="04CB5BB9"/>
    <w:rsid w:val="04E15802"/>
    <w:rsid w:val="04E83035"/>
    <w:rsid w:val="05BF60C0"/>
    <w:rsid w:val="05F16E3B"/>
    <w:rsid w:val="06343A4C"/>
    <w:rsid w:val="077E5BC7"/>
    <w:rsid w:val="08BA345B"/>
    <w:rsid w:val="091F063A"/>
    <w:rsid w:val="092403B3"/>
    <w:rsid w:val="0956439C"/>
    <w:rsid w:val="09D96BFC"/>
    <w:rsid w:val="0AE46BCB"/>
    <w:rsid w:val="0B226FFF"/>
    <w:rsid w:val="0B2A46A1"/>
    <w:rsid w:val="0BAE249A"/>
    <w:rsid w:val="0CE83C79"/>
    <w:rsid w:val="0D4A3B16"/>
    <w:rsid w:val="0D4F1761"/>
    <w:rsid w:val="0D5437E3"/>
    <w:rsid w:val="0DD71E98"/>
    <w:rsid w:val="0DF02010"/>
    <w:rsid w:val="0E926F4B"/>
    <w:rsid w:val="0EAA32B4"/>
    <w:rsid w:val="0EE27856"/>
    <w:rsid w:val="0FD7617F"/>
    <w:rsid w:val="120B2110"/>
    <w:rsid w:val="122907E8"/>
    <w:rsid w:val="127F4333"/>
    <w:rsid w:val="13B10A95"/>
    <w:rsid w:val="13D57F2D"/>
    <w:rsid w:val="13FC2444"/>
    <w:rsid w:val="14452276"/>
    <w:rsid w:val="14DB4B7D"/>
    <w:rsid w:val="14E86F45"/>
    <w:rsid w:val="15510782"/>
    <w:rsid w:val="15D0558C"/>
    <w:rsid w:val="1672275E"/>
    <w:rsid w:val="17CE166C"/>
    <w:rsid w:val="180A2E6A"/>
    <w:rsid w:val="18716A45"/>
    <w:rsid w:val="190A2AF7"/>
    <w:rsid w:val="19212219"/>
    <w:rsid w:val="195F60B9"/>
    <w:rsid w:val="19711F6D"/>
    <w:rsid w:val="1A1913CA"/>
    <w:rsid w:val="1A1D2114"/>
    <w:rsid w:val="1B6849C2"/>
    <w:rsid w:val="1C7B5AE0"/>
    <w:rsid w:val="1D1F134A"/>
    <w:rsid w:val="1D731730"/>
    <w:rsid w:val="1E5E6B54"/>
    <w:rsid w:val="1EDB5E75"/>
    <w:rsid w:val="1F3E6023"/>
    <w:rsid w:val="1F6C3086"/>
    <w:rsid w:val="20876BD8"/>
    <w:rsid w:val="20D66B25"/>
    <w:rsid w:val="2127428B"/>
    <w:rsid w:val="21551A36"/>
    <w:rsid w:val="21E368FD"/>
    <w:rsid w:val="21FD3FEC"/>
    <w:rsid w:val="23DD1433"/>
    <w:rsid w:val="2553017C"/>
    <w:rsid w:val="26482698"/>
    <w:rsid w:val="26825162"/>
    <w:rsid w:val="26A60658"/>
    <w:rsid w:val="29283114"/>
    <w:rsid w:val="29641E96"/>
    <w:rsid w:val="2A055649"/>
    <w:rsid w:val="2A085BB4"/>
    <w:rsid w:val="2A68593F"/>
    <w:rsid w:val="2AAD45B4"/>
    <w:rsid w:val="2AEF57A2"/>
    <w:rsid w:val="2BE31058"/>
    <w:rsid w:val="2C61028D"/>
    <w:rsid w:val="2DCE5235"/>
    <w:rsid w:val="2DE91438"/>
    <w:rsid w:val="2DFE5A38"/>
    <w:rsid w:val="2EED10C4"/>
    <w:rsid w:val="2F1B6016"/>
    <w:rsid w:val="30252154"/>
    <w:rsid w:val="303172A1"/>
    <w:rsid w:val="30A04ED5"/>
    <w:rsid w:val="30F00157"/>
    <w:rsid w:val="30F009EE"/>
    <w:rsid w:val="311D3372"/>
    <w:rsid w:val="327D275F"/>
    <w:rsid w:val="328A5CFA"/>
    <w:rsid w:val="33374183"/>
    <w:rsid w:val="34270C2A"/>
    <w:rsid w:val="344572AC"/>
    <w:rsid w:val="346433E9"/>
    <w:rsid w:val="346D2A08"/>
    <w:rsid w:val="349618B6"/>
    <w:rsid w:val="34A334A4"/>
    <w:rsid w:val="34D8600C"/>
    <w:rsid w:val="35FE0BA4"/>
    <w:rsid w:val="360B2FA8"/>
    <w:rsid w:val="365D6F5A"/>
    <w:rsid w:val="36AB244C"/>
    <w:rsid w:val="370A168E"/>
    <w:rsid w:val="37C057C9"/>
    <w:rsid w:val="37C80448"/>
    <w:rsid w:val="380E76C0"/>
    <w:rsid w:val="38136B01"/>
    <w:rsid w:val="387E0FDF"/>
    <w:rsid w:val="3914549F"/>
    <w:rsid w:val="39177DA7"/>
    <w:rsid w:val="39792DDD"/>
    <w:rsid w:val="39D43FD8"/>
    <w:rsid w:val="3A9C7617"/>
    <w:rsid w:val="3ACA2EA3"/>
    <w:rsid w:val="3B6D5EF1"/>
    <w:rsid w:val="3BB77808"/>
    <w:rsid w:val="3C1D100C"/>
    <w:rsid w:val="3C5263BC"/>
    <w:rsid w:val="3CBC5107"/>
    <w:rsid w:val="3D722EAC"/>
    <w:rsid w:val="3D8F5AFB"/>
    <w:rsid w:val="3E506DB1"/>
    <w:rsid w:val="3E6F05FE"/>
    <w:rsid w:val="3F122B27"/>
    <w:rsid w:val="3F524499"/>
    <w:rsid w:val="3F657CA3"/>
    <w:rsid w:val="3FA255B3"/>
    <w:rsid w:val="3FB70D9C"/>
    <w:rsid w:val="3FC72A5E"/>
    <w:rsid w:val="3FD80FD4"/>
    <w:rsid w:val="41487A27"/>
    <w:rsid w:val="41B04383"/>
    <w:rsid w:val="41ED7D93"/>
    <w:rsid w:val="42974A08"/>
    <w:rsid w:val="42C83582"/>
    <w:rsid w:val="43243738"/>
    <w:rsid w:val="44AB2DA2"/>
    <w:rsid w:val="459C0CF6"/>
    <w:rsid w:val="45E9327A"/>
    <w:rsid w:val="461F571F"/>
    <w:rsid w:val="469D65B9"/>
    <w:rsid w:val="481729EC"/>
    <w:rsid w:val="4832149E"/>
    <w:rsid w:val="48C93BB0"/>
    <w:rsid w:val="48FB60EB"/>
    <w:rsid w:val="49612B00"/>
    <w:rsid w:val="499B3991"/>
    <w:rsid w:val="4AD646BD"/>
    <w:rsid w:val="4B282E7F"/>
    <w:rsid w:val="4B5F7EC6"/>
    <w:rsid w:val="4BE309ED"/>
    <w:rsid w:val="4C110987"/>
    <w:rsid w:val="4CFA477F"/>
    <w:rsid w:val="4E9B1B4B"/>
    <w:rsid w:val="4EBC6940"/>
    <w:rsid w:val="4ED45994"/>
    <w:rsid w:val="4EDB288F"/>
    <w:rsid w:val="4F9F43AE"/>
    <w:rsid w:val="50197002"/>
    <w:rsid w:val="504A7CCC"/>
    <w:rsid w:val="504B10DC"/>
    <w:rsid w:val="50C450E3"/>
    <w:rsid w:val="50CA3508"/>
    <w:rsid w:val="51982332"/>
    <w:rsid w:val="52606363"/>
    <w:rsid w:val="52F81242"/>
    <w:rsid w:val="5377612B"/>
    <w:rsid w:val="539B4D5E"/>
    <w:rsid w:val="541F18D1"/>
    <w:rsid w:val="552D6F96"/>
    <w:rsid w:val="55CE4797"/>
    <w:rsid w:val="56224231"/>
    <w:rsid w:val="56BEE68B"/>
    <w:rsid w:val="578876A8"/>
    <w:rsid w:val="58900246"/>
    <w:rsid w:val="59575208"/>
    <w:rsid w:val="59B9013A"/>
    <w:rsid w:val="5A3E18BB"/>
    <w:rsid w:val="5B461090"/>
    <w:rsid w:val="5B75039C"/>
    <w:rsid w:val="5BDC50C3"/>
    <w:rsid w:val="5BE9D918"/>
    <w:rsid w:val="5C2F79EF"/>
    <w:rsid w:val="5CAD0095"/>
    <w:rsid w:val="5D4A309B"/>
    <w:rsid w:val="5DE80B7D"/>
    <w:rsid w:val="5E002A76"/>
    <w:rsid w:val="5F2E09BF"/>
    <w:rsid w:val="5F5F2786"/>
    <w:rsid w:val="5F99764C"/>
    <w:rsid w:val="60017C3E"/>
    <w:rsid w:val="60780CBC"/>
    <w:rsid w:val="60A85041"/>
    <w:rsid w:val="60A939C6"/>
    <w:rsid w:val="60D3786A"/>
    <w:rsid w:val="612777D1"/>
    <w:rsid w:val="612D6B7D"/>
    <w:rsid w:val="62741F7E"/>
    <w:rsid w:val="62B821F3"/>
    <w:rsid w:val="62B86D17"/>
    <w:rsid w:val="637B588D"/>
    <w:rsid w:val="63F722A7"/>
    <w:rsid w:val="640F2401"/>
    <w:rsid w:val="64875F7C"/>
    <w:rsid w:val="656D42A7"/>
    <w:rsid w:val="6703437F"/>
    <w:rsid w:val="670C7632"/>
    <w:rsid w:val="680A2B30"/>
    <w:rsid w:val="685A261F"/>
    <w:rsid w:val="695F6A02"/>
    <w:rsid w:val="69AD0CEC"/>
    <w:rsid w:val="6A3471BA"/>
    <w:rsid w:val="6A5D4F9B"/>
    <w:rsid w:val="6B0A032C"/>
    <w:rsid w:val="6B42286B"/>
    <w:rsid w:val="6BB1435E"/>
    <w:rsid w:val="6C3D627C"/>
    <w:rsid w:val="6CCA5757"/>
    <w:rsid w:val="6E7217BF"/>
    <w:rsid w:val="6E8C612B"/>
    <w:rsid w:val="6F37AE36"/>
    <w:rsid w:val="6F3A4862"/>
    <w:rsid w:val="701D465E"/>
    <w:rsid w:val="703345B1"/>
    <w:rsid w:val="70550A69"/>
    <w:rsid w:val="705F6A24"/>
    <w:rsid w:val="70AE302A"/>
    <w:rsid w:val="71930C32"/>
    <w:rsid w:val="71DB5960"/>
    <w:rsid w:val="72135D18"/>
    <w:rsid w:val="72372CB6"/>
    <w:rsid w:val="72D32A5D"/>
    <w:rsid w:val="72EE0D11"/>
    <w:rsid w:val="735E003D"/>
    <w:rsid w:val="749F4865"/>
    <w:rsid w:val="771D69EF"/>
    <w:rsid w:val="77F7F3D4"/>
    <w:rsid w:val="78803B5C"/>
    <w:rsid w:val="78C33215"/>
    <w:rsid w:val="78DA7876"/>
    <w:rsid w:val="792C3464"/>
    <w:rsid w:val="79751067"/>
    <w:rsid w:val="79C71B42"/>
    <w:rsid w:val="79FF19C6"/>
    <w:rsid w:val="7A07480C"/>
    <w:rsid w:val="7A614773"/>
    <w:rsid w:val="7A6A1640"/>
    <w:rsid w:val="7B0509C6"/>
    <w:rsid w:val="7B43242A"/>
    <w:rsid w:val="7BB75DB2"/>
    <w:rsid w:val="7BC77E91"/>
    <w:rsid w:val="7BFBF274"/>
    <w:rsid w:val="7C970076"/>
    <w:rsid w:val="7CFC7C90"/>
    <w:rsid w:val="7DF75C3A"/>
    <w:rsid w:val="7DF7B0E8"/>
    <w:rsid w:val="7E6B47E6"/>
    <w:rsid w:val="7EAA4BFD"/>
    <w:rsid w:val="7F127EB2"/>
    <w:rsid w:val="7F502798"/>
    <w:rsid w:val="7F8D69F9"/>
    <w:rsid w:val="7F9DE32F"/>
    <w:rsid w:val="7FBD70C0"/>
    <w:rsid w:val="7FCBE73C"/>
    <w:rsid w:val="7FDF8E19"/>
    <w:rsid w:val="7FE45B22"/>
    <w:rsid w:val="7FF700ED"/>
    <w:rsid w:val="7FFC7834"/>
    <w:rsid w:val="7FFFEC60"/>
    <w:rsid w:val="AED64C7D"/>
    <w:rsid w:val="AFD3EADD"/>
    <w:rsid w:val="B9FEE9BC"/>
    <w:rsid w:val="BEBFECC9"/>
    <w:rsid w:val="BFDFBFC8"/>
    <w:rsid w:val="BFEA9337"/>
    <w:rsid w:val="D37F6403"/>
    <w:rsid w:val="EDD59CD4"/>
    <w:rsid w:val="EFDFAF04"/>
    <w:rsid w:val="F7F7A1C4"/>
    <w:rsid w:val="F7FFD2BE"/>
    <w:rsid w:val="F8F39AAC"/>
    <w:rsid w:val="FFD75E6A"/>
    <w:rsid w:val="FFF9FD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9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nhideWhenUsed="0" w:uiPriority="1"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1"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0"/>
    <w:qFormat/>
    <w:uiPriority w:val="9"/>
    <w:pPr>
      <w:keepNext/>
      <w:keepLines/>
      <w:tabs>
        <w:tab w:val="left" w:pos="840"/>
      </w:tabs>
      <w:adjustRightInd w:val="0"/>
      <w:snapToGrid w:val="0"/>
      <w:spacing w:line="360" w:lineRule="auto"/>
      <w:outlineLvl w:val="0"/>
    </w:pPr>
    <w:rPr>
      <w:rFonts w:ascii="宋体"/>
      <w:b/>
      <w:kern w:val="44"/>
      <w:sz w:val="24"/>
      <w:szCs w:val="20"/>
    </w:rPr>
  </w:style>
  <w:style w:type="paragraph" w:styleId="7">
    <w:name w:val="heading 2"/>
    <w:basedOn w:val="1"/>
    <w:next w:val="1"/>
    <w:link w:val="8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8">
    <w:name w:val="heading 3"/>
    <w:basedOn w:val="7"/>
    <w:next w:val="1"/>
    <w:qFormat/>
    <w:uiPriority w:val="9"/>
    <w:pPr>
      <w:keepNext/>
      <w:keepLines/>
      <w:spacing w:before="260" w:beforeLines="0" w:after="260" w:afterLines="0" w:line="413" w:lineRule="auto"/>
      <w:outlineLvl w:val="2"/>
    </w:pPr>
    <w:rPr>
      <w:rFonts w:ascii="Times New Roman" w:hAnsi="Times New Roman" w:eastAsia="宋体" w:cs="Times New Roman"/>
      <w:sz w:val="32"/>
      <w:szCs w:val="32"/>
    </w:rPr>
  </w:style>
  <w:style w:type="paragraph" w:styleId="9">
    <w:name w:val="heading 4"/>
    <w:basedOn w:val="1"/>
    <w:next w:val="1"/>
    <w:link w:val="82"/>
    <w:qFormat/>
    <w:uiPriority w:val="0"/>
    <w:pPr>
      <w:adjustRightInd w:val="0"/>
      <w:outlineLvl w:val="3"/>
    </w:pPr>
    <w:rPr>
      <w:rFonts w:ascii="宋体"/>
      <w:kern w:val="21"/>
      <w:szCs w:val="20"/>
    </w:rPr>
  </w:style>
  <w:style w:type="paragraph" w:styleId="10">
    <w:name w:val="heading 5"/>
    <w:basedOn w:val="1"/>
    <w:next w:val="11"/>
    <w:link w:val="83"/>
    <w:qFormat/>
    <w:uiPriority w:val="9"/>
    <w:pPr>
      <w:adjustRightInd w:val="0"/>
      <w:outlineLvl w:val="4"/>
    </w:pPr>
    <w:rPr>
      <w:rFonts w:ascii="宋体"/>
      <w:szCs w:val="20"/>
    </w:rPr>
  </w:style>
  <w:style w:type="paragraph" w:styleId="14">
    <w:name w:val="heading 6"/>
    <w:basedOn w:val="1"/>
    <w:next w:val="11"/>
    <w:link w:val="86"/>
    <w:qFormat/>
    <w:uiPriority w:val="9"/>
    <w:pPr>
      <w:adjustRightInd w:val="0"/>
      <w:outlineLvl w:val="5"/>
    </w:pPr>
    <w:rPr>
      <w:rFonts w:ascii="宋体"/>
      <w:szCs w:val="20"/>
    </w:rPr>
  </w:style>
  <w:style w:type="paragraph" w:styleId="15">
    <w:name w:val="heading 7"/>
    <w:basedOn w:val="1"/>
    <w:next w:val="11"/>
    <w:link w:val="87"/>
    <w:qFormat/>
    <w:uiPriority w:val="9"/>
    <w:pPr>
      <w:adjustRightInd w:val="0"/>
      <w:outlineLvl w:val="6"/>
    </w:pPr>
    <w:rPr>
      <w:rFonts w:ascii="宋体"/>
      <w:szCs w:val="20"/>
    </w:rPr>
  </w:style>
  <w:style w:type="paragraph" w:styleId="16">
    <w:name w:val="heading 8"/>
    <w:basedOn w:val="1"/>
    <w:next w:val="1"/>
    <w:link w:val="88"/>
    <w:qFormat/>
    <w:uiPriority w:val="9"/>
    <w:pPr>
      <w:keepNext/>
      <w:keepLines/>
      <w:spacing w:before="240" w:beforeLines="0" w:after="64" w:afterLines="0" w:line="317" w:lineRule="auto"/>
      <w:outlineLvl w:val="7"/>
    </w:pPr>
    <w:rPr>
      <w:rFonts w:ascii="Arial" w:hAnsi="Arial" w:eastAsia="黑体"/>
      <w:sz w:val="24"/>
    </w:rPr>
  </w:style>
  <w:style w:type="paragraph" w:styleId="17">
    <w:name w:val="heading 9"/>
    <w:basedOn w:val="1"/>
    <w:next w:val="11"/>
    <w:link w:val="89"/>
    <w:qFormat/>
    <w:uiPriority w:val="9"/>
    <w:pPr>
      <w:adjustRightInd w:val="0"/>
      <w:outlineLvl w:val="8"/>
    </w:pPr>
    <w:rPr>
      <w:rFonts w:ascii="宋体"/>
      <w:kern w:val="21"/>
      <w:szCs w:val="20"/>
    </w:rPr>
  </w:style>
  <w:style w:type="character" w:default="1" w:styleId="68">
    <w:name w:val="Default Paragraph Font"/>
    <w:qFormat/>
    <w:uiPriority w:val="0"/>
    <w:rPr>
      <w:rFonts w:ascii="Times New Roman" w:hAnsi="Times New Roman" w:eastAsia="宋体" w:cs="Times New Roman"/>
    </w:rPr>
  </w:style>
  <w:style w:type="table" w:default="1" w:styleId="6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link w:val="113"/>
    <w:unhideWhenUsed/>
    <w:qFormat/>
    <w:uiPriority w:val="0"/>
    <w:pPr>
      <w:spacing w:after="120"/>
      <w:ind w:left="420" w:leftChars="200" w:firstLine="420" w:firstLineChars="200"/>
    </w:pPr>
    <w:rPr>
      <w:sz w:val="21"/>
    </w:rPr>
  </w:style>
  <w:style w:type="paragraph" w:styleId="3">
    <w:name w:val="Body Text Indent"/>
    <w:basedOn w:val="1"/>
    <w:next w:val="4"/>
    <w:link w:val="96"/>
    <w:qFormat/>
    <w:uiPriority w:val="0"/>
    <w:pPr>
      <w:ind w:left="480" w:hanging="480" w:hangingChars="200"/>
    </w:pPr>
    <w:rPr>
      <w:sz w:val="24"/>
    </w:rPr>
  </w:style>
  <w:style w:type="paragraph" w:styleId="4">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5">
    <w:name w:val="macro"/>
    <w:link w:val="1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1">
    <w:name w:val="Body Text First Indent"/>
    <w:basedOn w:val="12"/>
    <w:next w:val="13"/>
    <w:link w:val="85"/>
    <w:qFormat/>
    <w:uiPriority w:val="0"/>
    <w:pPr>
      <w:ind w:firstLine="420" w:firstLineChars="100"/>
    </w:pPr>
  </w:style>
  <w:style w:type="paragraph" w:styleId="12">
    <w:name w:val="Body Text"/>
    <w:basedOn w:val="1"/>
    <w:next w:val="11"/>
    <w:link w:val="84"/>
    <w:qFormat/>
    <w:uiPriority w:val="99"/>
    <w:pPr>
      <w:spacing w:after="120" w:afterLines="0"/>
    </w:pPr>
  </w:style>
  <w:style w:type="paragraph" w:styleId="13">
    <w:name w:val="toc 6"/>
    <w:basedOn w:val="1"/>
    <w:next w:val="1"/>
    <w:qFormat/>
    <w:uiPriority w:val="99"/>
    <w:pPr>
      <w:ind w:left="840"/>
      <w:jc w:val="left"/>
    </w:pPr>
    <w:rPr>
      <w:rFonts w:ascii="Times New Roman" w:hAnsi="Times New Roman" w:eastAsia="宋体" w:cs="Times New Roman"/>
      <w:sz w:val="20"/>
      <w:szCs w:val="20"/>
    </w:rPr>
  </w:style>
  <w:style w:type="paragraph" w:styleId="18">
    <w:name w:val="toc 7"/>
    <w:basedOn w:val="1"/>
    <w:next w:val="1"/>
    <w:qFormat/>
    <w:uiPriority w:val="39"/>
    <w:pPr>
      <w:ind w:left="1050"/>
      <w:jc w:val="left"/>
    </w:pPr>
    <w:rPr>
      <w:rFonts w:ascii="Times New Roman" w:hAnsi="Times New Roman" w:eastAsia="宋体" w:cs="Times New Roman"/>
      <w:sz w:val="20"/>
      <w:szCs w:val="20"/>
    </w:rPr>
  </w:style>
  <w:style w:type="paragraph" w:styleId="19">
    <w:name w:val="Note Heading"/>
    <w:basedOn w:val="1"/>
    <w:next w:val="1"/>
    <w:link w:val="90"/>
    <w:qFormat/>
    <w:uiPriority w:val="0"/>
    <w:pPr>
      <w:spacing w:line="360" w:lineRule="auto"/>
      <w:ind w:firstLine="200" w:firstLineChars="200"/>
      <w:jc w:val="center"/>
    </w:pPr>
    <w:rPr>
      <w:rFonts w:ascii="DFKai-SB" w:hAnsi="DFKai-SB" w:eastAsia="DFKai-SB" w:cs="等线"/>
      <w:sz w:val="20"/>
      <w:szCs w:val="20"/>
      <w:lang w:eastAsia="zh-TW"/>
    </w:rPr>
  </w:style>
  <w:style w:type="paragraph" w:styleId="20">
    <w:name w:val="List Number"/>
    <w:basedOn w:val="1"/>
    <w:qFormat/>
    <w:uiPriority w:val="0"/>
    <w:pPr>
      <w:tabs>
        <w:tab w:val="left" w:pos="360"/>
      </w:tabs>
      <w:ind w:left="360" w:hanging="360" w:hangingChars="200"/>
    </w:pPr>
    <w:rPr>
      <w:rFonts w:ascii="等线" w:hAnsi="等线" w:eastAsia="等线" w:cs="等线"/>
    </w:rPr>
  </w:style>
  <w:style w:type="paragraph" w:styleId="21">
    <w:name w:val="Normal Indent"/>
    <w:basedOn w:val="1"/>
    <w:link w:val="91"/>
    <w:qFormat/>
    <w:uiPriority w:val="0"/>
    <w:pPr>
      <w:adjustRightInd w:val="0"/>
      <w:spacing w:line="312" w:lineRule="atLeast"/>
      <w:ind w:firstLine="420"/>
      <w:textAlignment w:val="baseline"/>
    </w:pPr>
    <w:rPr>
      <w:kern w:val="0"/>
      <w:szCs w:val="20"/>
    </w:rPr>
  </w:style>
  <w:style w:type="paragraph" w:styleId="22">
    <w:name w:val="caption"/>
    <w:basedOn w:val="1"/>
    <w:next w:val="1"/>
    <w:qFormat/>
    <w:uiPriority w:val="0"/>
    <w:pPr>
      <w:shd w:val="clear" w:color="C0C0C0" w:fill="FFFFFF"/>
      <w:tabs>
        <w:tab w:val="left" w:pos="9000"/>
      </w:tabs>
      <w:ind w:firstLine="180" w:firstLineChars="75"/>
    </w:pPr>
    <w:rPr>
      <w:rFonts w:ascii="Arial Narrow" w:hAnsi="Arial Narrow" w:eastAsia="微软繁隶书" w:cs="Times New Roman"/>
      <w:b/>
      <w:color w:val="FF0000"/>
      <w:sz w:val="24"/>
    </w:rPr>
  </w:style>
  <w:style w:type="paragraph" w:styleId="23">
    <w:name w:val="List Bullet"/>
    <w:basedOn w:val="1"/>
    <w:qFormat/>
    <w:uiPriority w:val="0"/>
    <w:pPr>
      <w:widowControl/>
      <w:tabs>
        <w:tab w:val="left" w:pos="964"/>
      </w:tabs>
      <w:spacing w:before="100" w:beforeLines="0" w:beforeAutospacing="1" w:after="100" w:afterLines="50" w:afterAutospacing="1"/>
      <w:ind w:left="964" w:hanging="482"/>
      <w:jc w:val="left"/>
    </w:pPr>
    <w:rPr>
      <w:rFonts w:ascii="Times New Roman" w:hAnsi="Times New Roman" w:eastAsia="宋体" w:cs="Times New Roman"/>
      <w:kern w:val="0"/>
      <w:szCs w:val="20"/>
    </w:rPr>
  </w:style>
  <w:style w:type="paragraph" w:styleId="24">
    <w:name w:val="Document Map"/>
    <w:basedOn w:val="1"/>
    <w:link w:val="92"/>
    <w:qFormat/>
    <w:uiPriority w:val="0"/>
    <w:pPr>
      <w:shd w:val="clear" w:color="auto" w:fill="000080"/>
    </w:pPr>
  </w:style>
  <w:style w:type="paragraph" w:styleId="25">
    <w:name w:val="toa heading"/>
    <w:basedOn w:val="1"/>
    <w:next w:val="1"/>
    <w:qFormat/>
    <w:uiPriority w:val="0"/>
    <w:pPr>
      <w:spacing w:before="120"/>
    </w:pPr>
    <w:rPr>
      <w:rFonts w:ascii="Arial" w:hAnsi="Arial" w:cs="Arial"/>
      <w:sz w:val="24"/>
    </w:rPr>
  </w:style>
  <w:style w:type="paragraph" w:styleId="26">
    <w:name w:val="annotation text"/>
    <w:basedOn w:val="1"/>
    <w:link w:val="93"/>
    <w:qFormat/>
    <w:uiPriority w:val="0"/>
    <w:pPr>
      <w:jc w:val="left"/>
    </w:pPr>
    <w:rPr>
      <w:szCs w:val="20"/>
    </w:rPr>
  </w:style>
  <w:style w:type="paragraph" w:styleId="27">
    <w:name w:val="Salutation"/>
    <w:basedOn w:val="1"/>
    <w:next w:val="1"/>
    <w:link w:val="94"/>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8">
    <w:name w:val="Body Text 3"/>
    <w:basedOn w:val="1"/>
    <w:link w:val="95"/>
    <w:qFormat/>
    <w:uiPriority w:val="0"/>
    <w:pPr>
      <w:spacing w:after="120" w:afterLines="0"/>
    </w:pPr>
    <w:rPr>
      <w:sz w:val="16"/>
      <w:szCs w:val="16"/>
    </w:rPr>
  </w:style>
  <w:style w:type="paragraph" w:styleId="29">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30">
    <w:name w:val="List Number 3"/>
    <w:basedOn w:val="1"/>
    <w:qFormat/>
    <w:uiPriority w:val="0"/>
    <w:pPr>
      <w:tabs>
        <w:tab w:val="left" w:pos="1200"/>
      </w:tabs>
      <w:ind w:left="1200" w:leftChars="400" w:hanging="360" w:hangingChars="200"/>
    </w:pPr>
    <w:rPr>
      <w:rFonts w:ascii="等线" w:hAnsi="等线" w:eastAsia="等线" w:cs="等线"/>
    </w:rPr>
  </w:style>
  <w:style w:type="paragraph" w:styleId="31">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2">
    <w:name w:val="Block Text"/>
    <w:basedOn w:val="1"/>
    <w:qFormat/>
    <w:uiPriority w:val="0"/>
    <w:pPr>
      <w:spacing w:after="120"/>
      <w:ind w:left="1440" w:leftChars="700" w:right="1440" w:rightChars="700"/>
    </w:pPr>
    <w:rPr>
      <w:rFonts w:ascii="Calibri" w:hAnsi="Calibri" w:eastAsia="宋体" w:cs="Times New Roman"/>
    </w:rPr>
  </w:style>
  <w:style w:type="paragraph" w:styleId="33">
    <w:name w:val="List Bullet 2"/>
    <w:basedOn w:val="1"/>
    <w:qFormat/>
    <w:uiPriority w:val="0"/>
    <w:pPr>
      <w:tabs>
        <w:tab w:val="left" w:pos="360"/>
        <w:tab w:val="left" w:pos="1191"/>
      </w:tabs>
      <w:snapToGrid w:val="0"/>
      <w:spacing w:line="360" w:lineRule="auto"/>
      <w:ind w:left="482" w:hanging="482" w:hangingChars="200"/>
      <w:jc w:val="left"/>
    </w:pPr>
    <w:rPr>
      <w:rFonts w:ascii="Times New Roman" w:hAnsi="Times New Roman" w:eastAsia="宋体" w:cs="Times New Roman"/>
      <w:b/>
      <w:bCs/>
      <w:sz w:val="24"/>
      <w:szCs w:val="32"/>
    </w:rPr>
  </w:style>
  <w:style w:type="paragraph" w:styleId="34">
    <w:name w:val="index 4"/>
    <w:basedOn w:val="1"/>
    <w:next w:val="1"/>
    <w:qFormat/>
    <w:uiPriority w:val="0"/>
    <w:pPr>
      <w:ind w:left="600" w:leftChars="600"/>
    </w:pPr>
  </w:style>
  <w:style w:type="paragraph" w:styleId="35">
    <w:name w:val="toc 5"/>
    <w:basedOn w:val="1"/>
    <w:next w:val="1"/>
    <w:qFormat/>
    <w:uiPriority w:val="39"/>
    <w:pPr>
      <w:ind w:left="630"/>
      <w:jc w:val="left"/>
    </w:pPr>
    <w:rPr>
      <w:rFonts w:ascii="Times New Roman" w:hAnsi="Times New Roman" w:eastAsia="宋体" w:cs="Times New Roman"/>
      <w:sz w:val="20"/>
      <w:szCs w:val="20"/>
    </w:rPr>
  </w:style>
  <w:style w:type="paragraph" w:styleId="36">
    <w:name w:val="toc 3"/>
    <w:basedOn w:val="1"/>
    <w:next w:val="1"/>
    <w:qFormat/>
    <w:uiPriority w:val="39"/>
    <w:pPr>
      <w:ind w:left="210"/>
      <w:jc w:val="left"/>
    </w:pPr>
    <w:rPr>
      <w:rFonts w:ascii="Times New Roman" w:hAnsi="Times New Roman" w:eastAsia="宋体" w:cs="Times New Roman"/>
      <w:sz w:val="20"/>
      <w:szCs w:val="20"/>
    </w:rPr>
  </w:style>
  <w:style w:type="paragraph" w:styleId="37">
    <w:name w:val="Plain Text"/>
    <w:basedOn w:val="1"/>
    <w:next w:val="38"/>
    <w:link w:val="97"/>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8">
    <w:name w:val="toc 2"/>
    <w:basedOn w:val="1"/>
    <w:next w:val="1"/>
    <w:qFormat/>
    <w:uiPriority w:val="39"/>
    <w:pPr>
      <w:spacing w:before="240" w:beforeLines="0"/>
      <w:jc w:val="left"/>
    </w:pPr>
    <w:rPr>
      <w:rFonts w:ascii="Times New Roman" w:hAnsi="Times New Roman" w:eastAsia="宋体" w:cs="Times New Roman"/>
      <w:b/>
      <w:bCs/>
      <w:sz w:val="20"/>
      <w:szCs w:val="20"/>
    </w:rPr>
  </w:style>
  <w:style w:type="paragraph" w:styleId="39">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40">
    <w:name w:val="toc 8"/>
    <w:basedOn w:val="1"/>
    <w:next w:val="1"/>
    <w:qFormat/>
    <w:uiPriority w:val="39"/>
    <w:pPr>
      <w:ind w:left="1260"/>
      <w:jc w:val="left"/>
    </w:pPr>
    <w:rPr>
      <w:rFonts w:ascii="Times New Roman" w:hAnsi="Times New Roman" w:eastAsia="宋体" w:cs="Times New Roman"/>
      <w:sz w:val="20"/>
      <w:szCs w:val="20"/>
    </w:rPr>
  </w:style>
  <w:style w:type="paragraph" w:styleId="41">
    <w:name w:val="Date"/>
    <w:basedOn w:val="1"/>
    <w:next w:val="1"/>
    <w:link w:val="98"/>
    <w:qFormat/>
    <w:uiPriority w:val="0"/>
    <w:pPr>
      <w:ind w:left="100" w:leftChars="2500"/>
    </w:pPr>
    <w:rPr>
      <w:szCs w:val="20"/>
    </w:rPr>
  </w:style>
  <w:style w:type="paragraph" w:styleId="42">
    <w:name w:val="Body Text Indent 2"/>
    <w:basedOn w:val="1"/>
    <w:link w:val="99"/>
    <w:qFormat/>
    <w:uiPriority w:val="0"/>
    <w:pPr>
      <w:spacing w:line="500" w:lineRule="exact"/>
      <w:ind w:firstLine="511" w:firstLineChars="213"/>
    </w:pPr>
    <w:rPr>
      <w:sz w:val="24"/>
    </w:rPr>
  </w:style>
  <w:style w:type="paragraph" w:styleId="43">
    <w:name w:val="endnote text"/>
    <w:basedOn w:val="1"/>
    <w:link w:val="100"/>
    <w:qFormat/>
    <w:uiPriority w:val="1"/>
    <w:pPr>
      <w:numPr>
        <w:ilvl w:val="0"/>
        <w:numId w:val="1"/>
      </w:numPr>
      <w:tabs>
        <w:tab w:val="clear" w:pos="360"/>
      </w:tabs>
      <w:snapToGrid w:val="0"/>
      <w:spacing w:after="156" w:afterLines="50"/>
      <w:ind w:left="0" w:firstLine="0" w:firstLineChars="0"/>
      <w:jc w:val="left"/>
    </w:pPr>
    <w:rPr>
      <w:rFonts w:ascii="宋体"/>
      <w:snapToGrid w:val="0"/>
      <w:kern w:val="0"/>
      <w:szCs w:val="20"/>
    </w:rPr>
  </w:style>
  <w:style w:type="paragraph" w:styleId="44">
    <w:name w:val="Balloon Text"/>
    <w:basedOn w:val="1"/>
    <w:link w:val="101"/>
    <w:qFormat/>
    <w:uiPriority w:val="0"/>
    <w:rPr>
      <w:rFonts w:ascii="Arial" w:hAnsi="Arial" w:eastAsia="黑体"/>
      <w:b/>
      <w:bCs/>
      <w:sz w:val="32"/>
      <w:szCs w:val="32"/>
    </w:rPr>
  </w:style>
  <w:style w:type="paragraph" w:styleId="45">
    <w:name w:val="footer"/>
    <w:basedOn w:val="1"/>
    <w:link w:val="102"/>
    <w:qFormat/>
    <w:uiPriority w:val="0"/>
    <w:pPr>
      <w:tabs>
        <w:tab w:val="center" w:pos="4153"/>
        <w:tab w:val="right" w:pos="8306"/>
      </w:tabs>
      <w:snapToGrid w:val="0"/>
      <w:jc w:val="left"/>
    </w:pPr>
    <w:rPr>
      <w:sz w:val="18"/>
      <w:szCs w:val="18"/>
    </w:rPr>
  </w:style>
  <w:style w:type="paragraph" w:styleId="46">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04"/>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8">
    <w:name w:val="toc 1"/>
    <w:basedOn w:val="1"/>
    <w:next w:val="1"/>
    <w:qFormat/>
    <w:uiPriority w:val="39"/>
    <w:pPr>
      <w:spacing w:before="360" w:beforeLines="0"/>
      <w:jc w:val="left"/>
    </w:pPr>
    <w:rPr>
      <w:rFonts w:ascii="Arial" w:hAnsi="Arial" w:eastAsia="宋体" w:cs="Arial"/>
      <w:b/>
      <w:bCs/>
      <w:caps/>
      <w:sz w:val="24"/>
    </w:rPr>
  </w:style>
  <w:style w:type="paragraph" w:styleId="49">
    <w:name w:val="toc 4"/>
    <w:basedOn w:val="1"/>
    <w:next w:val="1"/>
    <w:qFormat/>
    <w:uiPriority w:val="39"/>
    <w:pPr>
      <w:ind w:left="420"/>
      <w:jc w:val="left"/>
    </w:pPr>
    <w:rPr>
      <w:rFonts w:ascii="Times New Roman" w:hAnsi="Times New Roman" w:eastAsia="宋体" w:cs="Times New Roman"/>
      <w:sz w:val="20"/>
      <w:szCs w:val="20"/>
    </w:rPr>
  </w:style>
  <w:style w:type="paragraph" w:styleId="50">
    <w:name w:val="Subtitle"/>
    <w:basedOn w:val="1"/>
    <w:link w:val="105"/>
    <w:qFormat/>
    <w:uiPriority w:val="0"/>
    <w:pPr>
      <w:spacing w:after="156" w:afterLines="50"/>
      <w:jc w:val="center"/>
    </w:pPr>
    <w:rPr>
      <w:rFonts w:ascii="宋体"/>
      <w:i/>
      <w:snapToGrid w:val="0"/>
      <w:kern w:val="0"/>
      <w:sz w:val="36"/>
      <w:szCs w:val="20"/>
      <w:lang w:val="en-AU"/>
    </w:rPr>
  </w:style>
  <w:style w:type="paragraph" w:styleId="51">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2">
    <w:name w:val="List"/>
    <w:basedOn w:val="1"/>
    <w:qFormat/>
    <w:uiPriority w:val="0"/>
    <w:pPr>
      <w:ind w:left="200" w:hanging="200" w:hangingChars="200"/>
    </w:pPr>
    <w:rPr>
      <w:rFonts w:ascii="Times New Roman" w:hAnsi="Times New Roman" w:eastAsia="宋体" w:cs="Times New Roman"/>
      <w:sz w:val="36"/>
    </w:rPr>
  </w:style>
  <w:style w:type="paragraph" w:styleId="53">
    <w:name w:val="footnote text"/>
    <w:basedOn w:val="1"/>
    <w:link w:val="106"/>
    <w:unhideWhenUsed/>
    <w:qFormat/>
    <w:uiPriority w:val="99"/>
    <w:pPr>
      <w:snapToGrid w:val="0"/>
      <w:jc w:val="left"/>
    </w:pPr>
    <w:rPr>
      <w:sz w:val="18"/>
      <w:szCs w:val="18"/>
    </w:rPr>
  </w:style>
  <w:style w:type="paragraph" w:styleId="54">
    <w:name w:val="Body Text Indent 3"/>
    <w:basedOn w:val="1"/>
    <w:link w:val="107"/>
    <w:qFormat/>
    <w:uiPriority w:val="0"/>
    <w:pPr>
      <w:spacing w:line="500" w:lineRule="exact"/>
      <w:ind w:left="511" w:hanging="511" w:hangingChars="213"/>
    </w:pPr>
    <w:rPr>
      <w:rFonts w:ascii="Times New Roman" w:hAnsi="Times New Roman" w:eastAsia="宋体" w:cs="Times New Roman"/>
      <w:sz w:val="24"/>
    </w:rPr>
  </w:style>
  <w:style w:type="paragraph" w:styleId="55">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6">
    <w:name w:val="toc 9"/>
    <w:basedOn w:val="1"/>
    <w:next w:val="1"/>
    <w:qFormat/>
    <w:uiPriority w:val="39"/>
    <w:pPr>
      <w:ind w:left="1470"/>
      <w:jc w:val="left"/>
    </w:pPr>
    <w:rPr>
      <w:rFonts w:ascii="Times New Roman" w:hAnsi="Times New Roman" w:eastAsia="宋体" w:cs="Times New Roman"/>
      <w:sz w:val="20"/>
      <w:szCs w:val="20"/>
    </w:rPr>
  </w:style>
  <w:style w:type="paragraph" w:styleId="57">
    <w:name w:val="Body Text 2"/>
    <w:basedOn w:val="1"/>
    <w:link w:val="108"/>
    <w:qFormat/>
    <w:uiPriority w:val="0"/>
    <w:pPr>
      <w:spacing w:after="120" w:afterLines="0" w:line="480" w:lineRule="auto"/>
    </w:pPr>
  </w:style>
  <w:style w:type="paragraph" w:styleId="58">
    <w:name w:val="Message Header"/>
    <w:basedOn w:val="1"/>
    <w:link w:val="115"/>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9">
    <w:name w:val="HTML Preformatted"/>
    <w:basedOn w:val="1"/>
    <w:link w:val="110"/>
    <w:qFormat/>
    <w:uiPriority w:val="0"/>
    <w:rPr>
      <w:rFonts w:ascii="Courier New" w:hAnsi="Courier New"/>
      <w:sz w:val="20"/>
      <w:szCs w:val="20"/>
    </w:rPr>
  </w:style>
  <w:style w:type="paragraph" w:styleId="6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61">
    <w:name w:val="index 1"/>
    <w:basedOn w:val="1"/>
    <w:next w:val="1"/>
    <w:qFormat/>
    <w:uiPriority w:val="0"/>
    <w:pPr>
      <w:spacing w:line="260" w:lineRule="exact"/>
      <w:jc w:val="center"/>
    </w:pPr>
    <w:rPr>
      <w:rFonts w:ascii="Times New Roman" w:hAnsi="Times New Roman" w:eastAsia="宋体" w:cs="Times New Roman"/>
    </w:rPr>
  </w:style>
  <w:style w:type="paragraph" w:styleId="62">
    <w:name w:val="index 2"/>
    <w:basedOn w:val="1"/>
    <w:next w:val="1"/>
    <w:qFormat/>
    <w:uiPriority w:val="0"/>
    <w:pPr>
      <w:ind w:left="200" w:leftChars="200"/>
    </w:pPr>
    <w:rPr>
      <w:rFonts w:ascii="Times New Roman" w:hAnsi="Times New Roman" w:eastAsia="宋体" w:cs="Times New Roman"/>
    </w:rPr>
  </w:style>
  <w:style w:type="paragraph" w:styleId="63">
    <w:name w:val="Title"/>
    <w:basedOn w:val="1"/>
    <w:link w:val="111"/>
    <w:qFormat/>
    <w:uiPriority w:val="0"/>
    <w:pPr>
      <w:widowControl/>
      <w:overflowPunct w:val="0"/>
      <w:autoSpaceDE w:val="0"/>
      <w:autoSpaceDN w:val="0"/>
      <w:adjustRightInd w:val="0"/>
      <w:jc w:val="center"/>
      <w:textAlignment w:val="baseline"/>
    </w:pPr>
    <w:rPr>
      <w:b/>
      <w:kern w:val="0"/>
      <w:sz w:val="24"/>
      <w:szCs w:val="20"/>
      <w:lang w:val="en-GB"/>
    </w:rPr>
  </w:style>
  <w:style w:type="paragraph" w:styleId="64">
    <w:name w:val="annotation subject"/>
    <w:basedOn w:val="26"/>
    <w:next w:val="26"/>
    <w:link w:val="112"/>
    <w:qFormat/>
    <w:uiPriority w:val="1"/>
    <w:rPr>
      <w:b/>
      <w:bCs/>
      <w:szCs w:val="24"/>
    </w:rPr>
  </w:style>
  <w:style w:type="table" w:styleId="66">
    <w:name w:val="Table Grid"/>
    <w:basedOn w:val="65"/>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9">
    <w:name w:val="Strong"/>
    <w:qFormat/>
    <w:uiPriority w:val="0"/>
    <w:rPr>
      <w:rFonts w:ascii="Times New Roman" w:hAnsi="Times New Roman" w:eastAsia="宋体" w:cs="Times New Roman"/>
      <w:b/>
      <w:bCs/>
    </w:rPr>
  </w:style>
  <w:style w:type="character" w:styleId="70">
    <w:name w:val="endnote reference"/>
    <w:unhideWhenUsed/>
    <w:qFormat/>
    <w:uiPriority w:val="1"/>
    <w:rPr>
      <w:vertAlign w:val="superscript"/>
    </w:rPr>
  </w:style>
  <w:style w:type="character" w:styleId="71">
    <w:name w:val="page number"/>
    <w:qFormat/>
    <w:uiPriority w:val="0"/>
    <w:rPr>
      <w:rFonts w:ascii="Times New Roman" w:hAnsi="Times New Roman" w:eastAsia="宋体" w:cs="Times New Roman"/>
    </w:rPr>
  </w:style>
  <w:style w:type="character" w:styleId="72">
    <w:name w:val="FollowedHyperlink"/>
    <w:qFormat/>
    <w:uiPriority w:val="0"/>
    <w:rPr>
      <w:rFonts w:ascii="Times New Roman" w:hAnsi="Times New Roman" w:eastAsia="宋体" w:cs="Times New Roman"/>
      <w:color w:val="800080"/>
      <w:u w:val="single"/>
    </w:rPr>
  </w:style>
  <w:style w:type="character" w:styleId="73">
    <w:name w:val="Emphasis"/>
    <w:qFormat/>
    <w:uiPriority w:val="1"/>
    <w:rPr>
      <w:rFonts w:ascii="Times New Roman" w:hAnsi="Times New Roman" w:eastAsia="宋体" w:cs="Times New Roman"/>
      <w:color w:val="CC0000"/>
    </w:rPr>
  </w:style>
  <w:style w:type="character" w:styleId="74">
    <w:name w:val="line number"/>
    <w:qFormat/>
    <w:uiPriority w:val="0"/>
  </w:style>
  <w:style w:type="character" w:styleId="75">
    <w:name w:val="Hyperlink"/>
    <w:qFormat/>
    <w:uiPriority w:val="99"/>
    <w:rPr>
      <w:rFonts w:ascii="Times New Roman" w:hAnsi="Times New Roman" w:eastAsia="宋体" w:cs="Times New Roman"/>
      <w:color w:val="0000FF"/>
      <w:u w:val="single"/>
    </w:rPr>
  </w:style>
  <w:style w:type="character" w:styleId="76">
    <w:name w:val="annotation reference"/>
    <w:qFormat/>
    <w:uiPriority w:val="1"/>
    <w:rPr>
      <w:rFonts w:ascii="Times New Roman" w:hAnsi="Times New Roman" w:eastAsia="宋体" w:cs="Times New Roman"/>
      <w:sz w:val="21"/>
      <w:szCs w:val="21"/>
    </w:rPr>
  </w:style>
  <w:style w:type="character" w:styleId="77">
    <w:name w:val="HTML Cite"/>
    <w:qFormat/>
    <w:uiPriority w:val="0"/>
    <w:rPr>
      <w:color w:val="008000"/>
    </w:rPr>
  </w:style>
  <w:style w:type="character" w:styleId="78">
    <w:name w:val="footnote reference"/>
    <w:qFormat/>
    <w:uiPriority w:val="99"/>
    <w:rPr>
      <w:rFonts w:ascii="Times New Roman" w:hAnsi="Times New Roman" w:eastAsia="宋体" w:cs="Times New Roman"/>
      <w:vertAlign w:val="superscript"/>
    </w:rPr>
  </w:style>
  <w:style w:type="character" w:customStyle="1" w:styleId="79">
    <w:name w:val="宏文本 字符"/>
    <w:link w:val="5"/>
    <w:qFormat/>
    <w:uiPriority w:val="0"/>
    <w:rPr>
      <w:rFonts w:ascii="Wingdings" w:hAnsi="Wingdings" w:eastAsia="Times New Roman"/>
      <w:kern w:val="2"/>
      <w:sz w:val="24"/>
      <w:szCs w:val="24"/>
      <w:lang w:val="en-US" w:eastAsia="zh-CN" w:bidi="ar-SA"/>
    </w:rPr>
  </w:style>
  <w:style w:type="character" w:customStyle="1" w:styleId="80">
    <w:name w:val="标题 1 字符1"/>
    <w:link w:val="6"/>
    <w:qFormat/>
    <w:uiPriority w:val="9"/>
    <w:rPr>
      <w:rFonts w:ascii="宋体"/>
      <w:b/>
      <w:kern w:val="44"/>
      <w:sz w:val="24"/>
    </w:rPr>
  </w:style>
  <w:style w:type="character" w:customStyle="1" w:styleId="81">
    <w:name w:val="标题 2 字符1"/>
    <w:link w:val="7"/>
    <w:qFormat/>
    <w:uiPriority w:val="0"/>
    <w:rPr>
      <w:rFonts w:ascii="Arial" w:hAnsi="Arial" w:eastAsia="黑体"/>
      <w:b/>
      <w:bCs/>
      <w:kern w:val="2"/>
      <w:sz w:val="32"/>
      <w:szCs w:val="32"/>
    </w:rPr>
  </w:style>
  <w:style w:type="character" w:customStyle="1" w:styleId="82">
    <w:name w:val="标题 4 字符1"/>
    <w:link w:val="9"/>
    <w:qFormat/>
    <w:uiPriority w:val="0"/>
    <w:rPr>
      <w:rFonts w:ascii="宋体"/>
      <w:kern w:val="21"/>
      <w:sz w:val="21"/>
    </w:rPr>
  </w:style>
  <w:style w:type="character" w:customStyle="1" w:styleId="83">
    <w:name w:val="标题 5 字符1"/>
    <w:link w:val="10"/>
    <w:qFormat/>
    <w:uiPriority w:val="9"/>
    <w:rPr>
      <w:rFonts w:ascii="宋体"/>
      <w:kern w:val="2"/>
      <w:sz w:val="21"/>
    </w:rPr>
  </w:style>
  <w:style w:type="character" w:customStyle="1" w:styleId="84">
    <w:name w:val="正文文本 字符1"/>
    <w:link w:val="12"/>
    <w:qFormat/>
    <w:uiPriority w:val="99"/>
    <w:rPr>
      <w:rFonts w:ascii="Times New Roman" w:hAnsi="Times New Roman" w:eastAsia="宋体" w:cs="Times New Roman"/>
      <w:kern w:val="2"/>
      <w:sz w:val="21"/>
      <w:szCs w:val="24"/>
      <w:lang w:val="en-US" w:eastAsia="zh-CN" w:bidi="ar-SA"/>
    </w:rPr>
  </w:style>
  <w:style w:type="character" w:customStyle="1" w:styleId="85">
    <w:name w:val="正文首行缩进 字符1"/>
    <w:link w:val="11"/>
    <w:qFormat/>
    <w:uiPriority w:val="0"/>
    <w:rPr>
      <w:kern w:val="2"/>
      <w:sz w:val="21"/>
      <w:szCs w:val="24"/>
    </w:rPr>
  </w:style>
  <w:style w:type="character" w:customStyle="1" w:styleId="86">
    <w:name w:val="标题 6 字符1"/>
    <w:link w:val="14"/>
    <w:qFormat/>
    <w:uiPriority w:val="9"/>
    <w:rPr>
      <w:rFonts w:ascii="宋体"/>
      <w:kern w:val="2"/>
      <w:sz w:val="21"/>
    </w:rPr>
  </w:style>
  <w:style w:type="character" w:customStyle="1" w:styleId="87">
    <w:name w:val="标题 7 字符1"/>
    <w:link w:val="15"/>
    <w:qFormat/>
    <w:uiPriority w:val="9"/>
    <w:rPr>
      <w:rFonts w:ascii="宋体"/>
      <w:kern w:val="2"/>
      <w:sz w:val="21"/>
    </w:rPr>
  </w:style>
  <w:style w:type="character" w:customStyle="1" w:styleId="88">
    <w:name w:val="标题 8 字符1"/>
    <w:link w:val="16"/>
    <w:qFormat/>
    <w:uiPriority w:val="9"/>
    <w:rPr>
      <w:rFonts w:ascii="Arial" w:hAnsi="Arial" w:eastAsia="黑体"/>
      <w:kern w:val="2"/>
      <w:sz w:val="24"/>
      <w:szCs w:val="24"/>
    </w:rPr>
  </w:style>
  <w:style w:type="character" w:customStyle="1" w:styleId="89">
    <w:name w:val="标题 9 字符1"/>
    <w:link w:val="17"/>
    <w:qFormat/>
    <w:uiPriority w:val="9"/>
    <w:rPr>
      <w:rFonts w:ascii="宋体"/>
      <w:kern w:val="21"/>
      <w:sz w:val="21"/>
    </w:rPr>
  </w:style>
  <w:style w:type="character" w:customStyle="1" w:styleId="90">
    <w:name w:val="注释标题 字符"/>
    <w:link w:val="19"/>
    <w:qFormat/>
    <w:uiPriority w:val="0"/>
    <w:rPr>
      <w:rFonts w:ascii="DFKai-SB" w:hAnsi="DFKai-SB" w:eastAsia="DFKai-SB" w:cs="等线"/>
      <w:kern w:val="2"/>
      <w:lang w:eastAsia="zh-TW"/>
    </w:rPr>
  </w:style>
  <w:style w:type="character" w:customStyle="1" w:styleId="91">
    <w:name w:val="正文缩进 字符1"/>
    <w:link w:val="21"/>
    <w:qFormat/>
    <w:uiPriority w:val="0"/>
    <w:rPr>
      <w:rFonts w:ascii="Times New Roman" w:hAnsi="Times New Roman" w:eastAsia="宋体" w:cs="Times New Roman"/>
      <w:sz w:val="21"/>
      <w:lang w:val="en-US" w:eastAsia="zh-CN" w:bidi="ar-SA"/>
    </w:rPr>
  </w:style>
  <w:style w:type="character" w:customStyle="1" w:styleId="92">
    <w:name w:val="文档结构图 字符"/>
    <w:link w:val="24"/>
    <w:qFormat/>
    <w:uiPriority w:val="0"/>
    <w:rPr>
      <w:kern w:val="2"/>
      <w:sz w:val="21"/>
      <w:szCs w:val="24"/>
      <w:shd w:val="clear" w:color="auto" w:fill="000080"/>
    </w:rPr>
  </w:style>
  <w:style w:type="character" w:customStyle="1" w:styleId="93">
    <w:name w:val="批注文字 字符1"/>
    <w:link w:val="26"/>
    <w:qFormat/>
    <w:uiPriority w:val="0"/>
    <w:rPr>
      <w:kern w:val="2"/>
      <w:sz w:val="21"/>
    </w:rPr>
  </w:style>
  <w:style w:type="character" w:customStyle="1" w:styleId="94">
    <w:name w:val="称呼 字符"/>
    <w:link w:val="27"/>
    <w:qFormat/>
    <w:uiPriority w:val="0"/>
    <w:rPr>
      <w:rFonts w:ascii="等线" w:hAnsi="等线" w:eastAsia="等线" w:cs="等线"/>
      <w:sz w:val="24"/>
    </w:rPr>
  </w:style>
  <w:style w:type="character" w:customStyle="1" w:styleId="95">
    <w:name w:val="正文文本 3 字符"/>
    <w:link w:val="28"/>
    <w:qFormat/>
    <w:uiPriority w:val="0"/>
    <w:rPr>
      <w:kern w:val="2"/>
      <w:sz w:val="16"/>
      <w:szCs w:val="16"/>
    </w:rPr>
  </w:style>
  <w:style w:type="character" w:customStyle="1" w:styleId="96">
    <w:name w:val="正文文本缩进 字符1"/>
    <w:link w:val="3"/>
    <w:qFormat/>
    <w:uiPriority w:val="0"/>
    <w:rPr>
      <w:rFonts w:ascii="Times New Roman" w:hAnsi="Times New Roman" w:eastAsia="宋体" w:cs="Times New Roman"/>
      <w:kern w:val="2"/>
      <w:sz w:val="24"/>
      <w:szCs w:val="24"/>
      <w:lang w:val="en-US" w:eastAsia="zh-CN" w:bidi="ar-SA"/>
    </w:rPr>
  </w:style>
  <w:style w:type="character" w:customStyle="1" w:styleId="97">
    <w:name w:val="纯文本 字符1"/>
    <w:link w:val="37"/>
    <w:qFormat/>
    <w:uiPriority w:val="0"/>
    <w:rPr>
      <w:rFonts w:ascii="宋体" w:hAnsi="Courier New" w:eastAsia="宋体" w:cs="Times New Roman"/>
      <w:sz w:val="21"/>
      <w:szCs w:val="21"/>
      <w:lang w:val="en-US" w:eastAsia="zh-CN" w:bidi="ar-SA"/>
    </w:rPr>
  </w:style>
  <w:style w:type="character" w:customStyle="1" w:styleId="98">
    <w:name w:val="日期 字符"/>
    <w:link w:val="41"/>
    <w:qFormat/>
    <w:uiPriority w:val="0"/>
    <w:rPr>
      <w:kern w:val="2"/>
      <w:sz w:val="21"/>
    </w:rPr>
  </w:style>
  <w:style w:type="character" w:customStyle="1" w:styleId="99">
    <w:name w:val="正文文本缩进 2 字符1"/>
    <w:link w:val="42"/>
    <w:qFormat/>
    <w:uiPriority w:val="0"/>
    <w:rPr>
      <w:kern w:val="2"/>
      <w:sz w:val="24"/>
      <w:szCs w:val="24"/>
    </w:rPr>
  </w:style>
  <w:style w:type="character" w:customStyle="1" w:styleId="100">
    <w:name w:val="尾注文本 字符"/>
    <w:link w:val="43"/>
    <w:qFormat/>
    <w:uiPriority w:val="1"/>
    <w:rPr>
      <w:rFonts w:ascii="宋体"/>
      <w:snapToGrid w:val="0"/>
      <w:sz w:val="21"/>
    </w:rPr>
  </w:style>
  <w:style w:type="character" w:customStyle="1" w:styleId="101">
    <w:name w:val="批注框文本 字符"/>
    <w:link w:val="44"/>
    <w:qFormat/>
    <w:uiPriority w:val="0"/>
    <w:rPr>
      <w:rFonts w:ascii="Arial" w:hAnsi="Arial" w:eastAsia="黑体" w:cs="Times New Roman"/>
      <w:b/>
      <w:bCs/>
      <w:kern w:val="2"/>
      <w:sz w:val="32"/>
      <w:szCs w:val="32"/>
      <w:lang w:val="en-US" w:eastAsia="zh-CN" w:bidi="ar-SA"/>
    </w:rPr>
  </w:style>
  <w:style w:type="character" w:customStyle="1" w:styleId="102">
    <w:name w:val="页脚 字符"/>
    <w:link w:val="45"/>
    <w:qFormat/>
    <w:uiPriority w:val="0"/>
    <w:rPr>
      <w:rFonts w:ascii="Times New Roman" w:hAnsi="Times New Roman" w:eastAsia="宋体" w:cs="Times New Roman"/>
      <w:kern w:val="2"/>
      <w:sz w:val="18"/>
      <w:szCs w:val="18"/>
      <w:lang w:val="en-US" w:eastAsia="zh-CN" w:bidi="ar-SA"/>
    </w:rPr>
  </w:style>
  <w:style w:type="character" w:customStyle="1" w:styleId="103">
    <w:name w:val="页眉 字符"/>
    <w:link w:val="46"/>
    <w:qFormat/>
    <w:uiPriority w:val="0"/>
    <w:rPr>
      <w:rFonts w:ascii="Times New Roman" w:hAnsi="Times New Roman" w:eastAsia="宋体" w:cs="Times New Roman"/>
      <w:kern w:val="2"/>
      <w:sz w:val="18"/>
      <w:szCs w:val="18"/>
      <w:lang w:val="en-US" w:eastAsia="zh-CN" w:bidi="ar-SA"/>
    </w:rPr>
  </w:style>
  <w:style w:type="character" w:customStyle="1" w:styleId="104">
    <w:name w:val="签名 字符"/>
    <w:link w:val="47"/>
    <w:qFormat/>
    <w:uiPriority w:val="0"/>
    <w:rPr>
      <w:rFonts w:ascii="等线" w:hAnsi="等线" w:eastAsia="黑体" w:cs="等线"/>
      <w:sz w:val="24"/>
    </w:rPr>
  </w:style>
  <w:style w:type="character" w:customStyle="1" w:styleId="105">
    <w:name w:val="副标题 字符"/>
    <w:link w:val="50"/>
    <w:qFormat/>
    <w:uiPriority w:val="0"/>
    <w:rPr>
      <w:rFonts w:ascii="宋体"/>
      <w:i/>
      <w:snapToGrid w:val="0"/>
      <w:sz w:val="36"/>
      <w:lang w:val="en-AU"/>
    </w:rPr>
  </w:style>
  <w:style w:type="character" w:customStyle="1" w:styleId="106">
    <w:name w:val="脚注文本 字符"/>
    <w:link w:val="53"/>
    <w:qFormat/>
    <w:uiPriority w:val="99"/>
    <w:rPr>
      <w:kern w:val="2"/>
      <w:sz w:val="18"/>
      <w:szCs w:val="18"/>
    </w:rPr>
  </w:style>
  <w:style w:type="character" w:customStyle="1" w:styleId="107">
    <w:name w:val="正文文本缩进 3 字符1"/>
    <w:link w:val="54"/>
    <w:qFormat/>
    <w:uiPriority w:val="0"/>
    <w:rPr>
      <w:kern w:val="2"/>
      <w:sz w:val="24"/>
      <w:szCs w:val="24"/>
    </w:rPr>
  </w:style>
  <w:style w:type="character" w:customStyle="1" w:styleId="108">
    <w:name w:val="正文文本 2 字符"/>
    <w:link w:val="57"/>
    <w:qFormat/>
    <w:uiPriority w:val="0"/>
    <w:rPr>
      <w:kern w:val="2"/>
      <w:sz w:val="21"/>
      <w:szCs w:val="24"/>
    </w:rPr>
  </w:style>
  <w:style w:type="character" w:customStyle="1" w:styleId="109">
    <w:name w:val="信息标题 字符"/>
    <w:link w:val="58"/>
    <w:qFormat/>
    <w:uiPriority w:val="0"/>
    <w:rPr>
      <w:rFonts w:ascii="Cambria" w:hAnsi="Cambria" w:eastAsia="宋体" w:cs="Times New Roman"/>
      <w:kern w:val="2"/>
      <w:sz w:val="24"/>
      <w:szCs w:val="24"/>
      <w:shd w:val="pct20" w:color="auto" w:fill="auto"/>
    </w:rPr>
  </w:style>
  <w:style w:type="character" w:customStyle="1" w:styleId="110">
    <w:name w:val="HTML 预设格式 字符"/>
    <w:link w:val="59"/>
    <w:qFormat/>
    <w:uiPriority w:val="0"/>
    <w:rPr>
      <w:rFonts w:ascii="Courier New" w:hAnsi="Courier New" w:cs="Courier New"/>
      <w:kern w:val="2"/>
    </w:rPr>
  </w:style>
  <w:style w:type="character" w:customStyle="1" w:styleId="111">
    <w:name w:val="标题 字符"/>
    <w:link w:val="63"/>
    <w:qFormat/>
    <w:uiPriority w:val="0"/>
    <w:rPr>
      <w:rFonts w:ascii="Times New Roman" w:hAnsi="Times New Roman" w:eastAsia="宋体" w:cs="Times New Roman"/>
      <w:b/>
      <w:sz w:val="24"/>
      <w:lang w:val="en-GB" w:eastAsia="zh-CN" w:bidi="ar-SA"/>
    </w:rPr>
  </w:style>
  <w:style w:type="character" w:customStyle="1" w:styleId="112">
    <w:name w:val="批注主题 字符"/>
    <w:link w:val="64"/>
    <w:qFormat/>
    <w:uiPriority w:val="1"/>
    <w:rPr>
      <w:b/>
      <w:bCs/>
      <w:kern w:val="2"/>
      <w:sz w:val="21"/>
      <w:szCs w:val="24"/>
    </w:rPr>
  </w:style>
  <w:style w:type="character" w:customStyle="1" w:styleId="113">
    <w:name w:val="正文首行缩进 2 字符"/>
    <w:link w:val="2"/>
    <w:qFormat/>
    <w:uiPriority w:val="0"/>
    <w:rPr>
      <w:rFonts w:ascii="Times New Roman" w:hAnsi="Times New Roman" w:eastAsia="宋体" w:cs="Times New Roman"/>
      <w:kern w:val="2"/>
      <w:sz w:val="21"/>
      <w:szCs w:val="24"/>
      <w:lang w:val="en-US" w:eastAsia="zh-CN" w:bidi="ar-SA"/>
    </w:rPr>
  </w:style>
  <w:style w:type="character" w:customStyle="1" w:styleId="114">
    <w:name w:val="宏文本 Char1"/>
    <w:link w:val="5"/>
    <w:qFormat/>
    <w:uiPriority w:val="0"/>
    <w:rPr>
      <w:rFonts w:ascii="Wingdings" w:hAnsi="Wingdings" w:eastAsia="Times New Roman"/>
      <w:kern w:val="2"/>
      <w:sz w:val="24"/>
      <w:szCs w:val="24"/>
      <w:lang w:val="en-US" w:eastAsia="zh-CN" w:bidi="ar-SA"/>
    </w:rPr>
  </w:style>
  <w:style w:type="character" w:customStyle="1" w:styleId="115">
    <w:name w:val="信息标题 Char1"/>
    <w:link w:val="58"/>
    <w:qFormat/>
    <w:uiPriority w:val="0"/>
    <w:rPr>
      <w:rFonts w:eastAsia="仿宋_GB2312"/>
      <w:kern w:val="2"/>
      <w:sz w:val="21"/>
      <w:szCs w:val="24"/>
      <w:shd w:val="pct20" w:color="auto" w:fill="auto"/>
    </w:rPr>
  </w:style>
  <w:style w:type="character" w:customStyle="1" w:styleId="116">
    <w:name w:val="title1"/>
    <w:qFormat/>
    <w:uiPriority w:val="0"/>
    <w:rPr>
      <w:rFonts w:hint="eastAsia" w:ascii="宋体" w:hAnsi="宋体" w:eastAsia="宋体" w:cs="Times New Roman"/>
      <w:b/>
      <w:bCs/>
      <w:sz w:val="22"/>
      <w:szCs w:val="22"/>
    </w:rPr>
  </w:style>
  <w:style w:type="character" w:customStyle="1" w:styleId="117">
    <w:name w:val="BZ_正文 Char"/>
    <w:link w:val="118"/>
    <w:qFormat/>
    <w:uiPriority w:val="0"/>
    <w:rPr>
      <w:rFonts w:ascii="Times New Roman" w:hAnsi="Times New Roman" w:eastAsia="宋体" w:cs="Times New Roman"/>
      <w:kern w:val="2"/>
      <w:sz w:val="24"/>
      <w:szCs w:val="24"/>
      <w:lang w:val="en-US" w:eastAsia="zh-CN" w:bidi="ar-SA"/>
    </w:rPr>
  </w:style>
  <w:style w:type="paragraph" w:customStyle="1" w:styleId="118">
    <w:name w:val="BZ_正文"/>
    <w:basedOn w:val="1"/>
    <w:link w:val="117"/>
    <w:qFormat/>
    <w:uiPriority w:val="0"/>
    <w:pPr>
      <w:widowControl/>
      <w:spacing w:line="360" w:lineRule="auto"/>
      <w:ind w:firstLine="200" w:firstLineChars="200"/>
    </w:pPr>
    <w:rPr>
      <w:sz w:val="24"/>
    </w:rPr>
  </w:style>
  <w:style w:type="character" w:customStyle="1" w:styleId="119">
    <w:name w:val="正文缩进 Char_0"/>
    <w:link w:val="120"/>
    <w:qFormat/>
    <w:locked/>
    <w:uiPriority w:val="0"/>
    <w:rPr>
      <w:rFonts w:eastAsia="宋体"/>
      <w:kern w:val="2"/>
      <w:sz w:val="21"/>
      <w:lang w:val="en-US" w:eastAsia="zh-CN" w:bidi="ar-SA"/>
    </w:rPr>
  </w:style>
  <w:style w:type="paragraph" w:customStyle="1" w:styleId="120">
    <w:name w:val="Normal Indent"/>
    <w:basedOn w:val="1"/>
    <w:link w:val="119"/>
    <w:qFormat/>
    <w:uiPriority w:val="0"/>
    <w:pPr>
      <w:ind w:firstLine="420"/>
    </w:pPr>
    <w:rPr>
      <w:szCs w:val="20"/>
    </w:rPr>
  </w:style>
  <w:style w:type="character" w:customStyle="1" w:styleId="121">
    <w:name w:val="正文（首行缩进两字） Char"/>
    <w:link w:val="122"/>
    <w:qFormat/>
    <w:uiPriority w:val="0"/>
    <w:rPr>
      <w:rFonts w:ascii="Times New Roman" w:hAnsi="Times New Roman" w:eastAsia="宋体" w:cs="Times New Roman"/>
      <w:sz w:val="21"/>
      <w:lang w:val="en-US" w:eastAsia="zh-CN" w:bidi="ar-SA"/>
    </w:rPr>
  </w:style>
  <w:style w:type="paragraph" w:customStyle="1" w:styleId="122">
    <w:name w:val="标题4"/>
    <w:basedOn w:val="7"/>
    <w:next w:val="34"/>
    <w:link w:val="121"/>
    <w:qFormat/>
    <w:uiPriority w:val="0"/>
    <w:rPr>
      <w:rFonts w:ascii="Times New Roman" w:hAnsi="Times New Roman" w:eastAsia="宋体"/>
      <w:b w:val="0"/>
      <w:bCs w:val="0"/>
      <w:kern w:val="0"/>
      <w:sz w:val="21"/>
      <w:szCs w:val="20"/>
      <w:lang w:val="en-US" w:eastAsia="zh-CN"/>
    </w:rPr>
  </w:style>
  <w:style w:type="character" w:customStyle="1" w:styleId="123">
    <w:name w:val="BZ_小标题2 Char"/>
    <w:link w:val="124"/>
    <w:qFormat/>
    <w:uiPriority w:val="0"/>
    <w:rPr>
      <w:rFonts w:ascii="Calibri" w:hAnsi="Calibri" w:eastAsia="宋体" w:cs="宋体"/>
      <w:kern w:val="2"/>
      <w:sz w:val="24"/>
      <w:szCs w:val="24"/>
      <w:lang w:val="en-US" w:eastAsia="zh-CN" w:bidi="ar-SA"/>
    </w:rPr>
  </w:style>
  <w:style w:type="paragraph" w:customStyle="1" w:styleId="124">
    <w:name w:val="BZ_小标题2"/>
    <w:basedOn w:val="1"/>
    <w:link w:val="123"/>
    <w:qFormat/>
    <w:uiPriority w:val="0"/>
    <w:pPr>
      <w:widowControl/>
      <w:spacing w:line="360" w:lineRule="auto"/>
    </w:pPr>
    <w:rPr>
      <w:rFonts w:ascii="Calibri" w:hAnsi="Calibri" w:cs="宋体"/>
      <w:sz w:val="24"/>
    </w:rPr>
  </w:style>
  <w:style w:type="character" w:customStyle="1" w:styleId="125">
    <w:name w:val="正文缩进2格 Char"/>
    <w:link w:val="126"/>
    <w:qFormat/>
    <w:uiPriority w:val="0"/>
    <w:rPr>
      <w:rFonts w:ascii="仿宋_GB2312" w:hAnsi="宋体" w:eastAsia="仿宋_GB2312" w:cs="Times New Roman"/>
      <w:sz w:val="31"/>
      <w:szCs w:val="28"/>
    </w:rPr>
  </w:style>
  <w:style w:type="paragraph" w:customStyle="1" w:styleId="126">
    <w:name w:val="正文缩进2格"/>
    <w:basedOn w:val="1"/>
    <w:link w:val="125"/>
    <w:qFormat/>
    <w:uiPriority w:val="0"/>
    <w:pPr>
      <w:spacing w:line="600" w:lineRule="exact"/>
      <w:ind w:firstLine="639" w:firstLineChars="206"/>
    </w:pPr>
    <w:rPr>
      <w:rFonts w:ascii="仿宋_GB2312" w:hAnsi="宋体" w:eastAsia="仿宋_GB2312"/>
      <w:kern w:val="0"/>
      <w:sz w:val="31"/>
      <w:szCs w:val="28"/>
    </w:rPr>
  </w:style>
  <w:style w:type="character" w:customStyle="1" w:styleId="127">
    <w:name w:val="font11"/>
    <w:qFormat/>
    <w:uiPriority w:val="0"/>
    <w:rPr>
      <w:rFonts w:hint="eastAsia" w:ascii="宋体" w:hAnsi="宋体" w:eastAsia="宋体" w:cs="宋体"/>
      <w:b/>
      <w:color w:val="000000"/>
      <w:sz w:val="22"/>
      <w:szCs w:val="22"/>
      <w:u w:val="none"/>
    </w:rPr>
  </w:style>
  <w:style w:type="character" w:customStyle="1" w:styleId="128">
    <w:name w:val="BZ_二级标题 Char"/>
    <w:link w:val="129"/>
    <w:qFormat/>
    <w:uiPriority w:val="0"/>
    <w:rPr>
      <w:rFonts w:ascii="Times New Roman" w:hAnsi="Times New Roman" w:eastAsia="楷体" w:cs="Times New Roman"/>
      <w:b/>
      <w:bCs/>
      <w:kern w:val="2"/>
      <w:sz w:val="21"/>
      <w:szCs w:val="22"/>
      <w:lang w:val="en-US" w:eastAsia="zh-CN" w:bidi="ar-SA"/>
    </w:rPr>
  </w:style>
  <w:style w:type="paragraph" w:customStyle="1" w:styleId="129">
    <w:name w:val="BZ_二级标题"/>
    <w:basedOn w:val="7"/>
    <w:next w:val="1"/>
    <w:link w:val="128"/>
    <w:qFormat/>
    <w:uiPriority w:val="0"/>
    <w:pPr>
      <w:widowControl/>
      <w:spacing w:beforeLines="50" w:afterLines="50" w:line="240" w:lineRule="auto"/>
      <w:ind w:left="576" w:hanging="576"/>
    </w:pPr>
    <w:rPr>
      <w:rFonts w:ascii="Times New Roman" w:hAnsi="Times New Roman" w:eastAsia="楷体"/>
      <w:sz w:val="21"/>
      <w:szCs w:val="22"/>
      <w:lang w:val="en-US" w:eastAsia="zh-CN"/>
    </w:rPr>
  </w:style>
  <w:style w:type="character" w:customStyle="1" w:styleId="130">
    <w:name w:val="companytext"/>
    <w:qFormat/>
    <w:uiPriority w:val="0"/>
    <w:rPr>
      <w:rFonts w:ascii="Times New Roman" w:hAnsi="Times New Roman" w:eastAsia="宋体" w:cs="Times New Roman"/>
    </w:rPr>
  </w:style>
  <w:style w:type="character" w:customStyle="1" w:styleId="131">
    <w:name w:val="纯文本 Char"/>
    <w:qFormat/>
    <w:uiPriority w:val="99"/>
    <w:rPr>
      <w:rFonts w:ascii="宋体" w:hAnsi="Courier New" w:eastAsia="仿宋_GB2312" w:cs="宋体"/>
      <w:b/>
      <w:bCs/>
      <w:color w:val="000000"/>
      <w:kern w:val="2"/>
      <w:sz w:val="21"/>
      <w:lang w:val="en-US" w:eastAsia="zh-CN" w:bidi="ar-SA"/>
    </w:rPr>
  </w:style>
  <w:style w:type="character" w:customStyle="1" w:styleId="132">
    <w:name w:val="标题 1 Char Char"/>
    <w:qFormat/>
    <w:uiPriority w:val="0"/>
    <w:rPr>
      <w:rFonts w:ascii="Times New Roman" w:hAnsi="Times New Roman" w:eastAsia="宋体" w:cs="Times New Roman"/>
      <w:b/>
      <w:spacing w:val="-2"/>
      <w:sz w:val="24"/>
      <w:lang w:val="en-US" w:eastAsia="zh-CN" w:bidi="ar-SA"/>
    </w:rPr>
  </w:style>
  <w:style w:type="character" w:customStyle="1" w:styleId="133">
    <w:name w:val="Texte Char Char"/>
    <w:qFormat/>
    <w:uiPriority w:val="0"/>
    <w:rPr>
      <w:rFonts w:ascii="宋体" w:hAnsi="Courier New" w:eastAsia="宋体" w:cs="Times New Roman"/>
      <w:sz w:val="21"/>
      <w:szCs w:val="21"/>
      <w:lang w:val="en-US" w:eastAsia="zh-CN" w:bidi="ar-SA"/>
    </w:rPr>
  </w:style>
  <w:style w:type="character" w:customStyle="1" w:styleId="134">
    <w:name w:val="标题 1 Char1"/>
    <w:qFormat/>
    <w:uiPriority w:val="0"/>
    <w:rPr>
      <w:rFonts w:ascii="Times New Roman" w:hAnsi="Times New Roman" w:eastAsia="宋体" w:cs="Times New Roman"/>
      <w:b/>
      <w:bCs/>
      <w:kern w:val="44"/>
      <w:sz w:val="32"/>
      <w:szCs w:val="44"/>
    </w:rPr>
  </w:style>
  <w:style w:type="character" w:customStyle="1" w:styleId="135">
    <w:name w:val="BZ_一级标题 Char"/>
    <w:link w:val="136"/>
    <w:qFormat/>
    <w:uiPriority w:val="0"/>
    <w:rPr>
      <w:rFonts w:ascii="Times New Roman" w:hAnsi="Times New Roman" w:eastAsia="华文中宋" w:cs="Times New Roman"/>
      <w:b/>
      <w:bCs/>
      <w:kern w:val="2"/>
      <w:sz w:val="36"/>
      <w:szCs w:val="36"/>
      <w:lang w:val="en-US" w:eastAsia="zh-CN" w:bidi="ar-SA"/>
    </w:rPr>
  </w:style>
  <w:style w:type="paragraph" w:customStyle="1" w:styleId="136">
    <w:name w:val="BZ_一级标题"/>
    <w:basedOn w:val="6"/>
    <w:next w:val="1"/>
    <w:link w:val="135"/>
    <w:qFormat/>
    <w:uiPriority w:val="0"/>
    <w:pPr>
      <w:widowControl/>
      <w:tabs>
        <w:tab w:val="clear" w:pos="840"/>
      </w:tabs>
      <w:adjustRightInd/>
      <w:snapToGrid/>
      <w:spacing w:before="340" w:beforeLines="50" w:after="330" w:afterLines="50" w:line="240" w:lineRule="auto"/>
      <w:ind w:left="432" w:hanging="432"/>
    </w:pPr>
    <w:rPr>
      <w:rFonts w:ascii="Times New Roman" w:eastAsia="华文中宋"/>
      <w:bCs/>
      <w:kern w:val="2"/>
      <w:sz w:val="36"/>
      <w:szCs w:val="36"/>
      <w:lang w:val="en-US" w:eastAsia="zh-CN"/>
    </w:rPr>
  </w:style>
  <w:style w:type="character" w:customStyle="1" w:styleId="137">
    <w:name w:val="列出段落 字符"/>
    <w:link w:val="138"/>
    <w:qFormat/>
    <w:uiPriority w:val="0"/>
    <w:rPr>
      <w:rFonts w:ascii="Calibri" w:hAnsi="Calibri"/>
      <w:kern w:val="2"/>
      <w:sz w:val="21"/>
      <w:szCs w:val="22"/>
    </w:rPr>
  </w:style>
  <w:style w:type="paragraph" w:styleId="138">
    <w:name w:val="List Paragraph"/>
    <w:basedOn w:val="1"/>
    <w:link w:val="137"/>
    <w:qFormat/>
    <w:uiPriority w:val="0"/>
    <w:pPr>
      <w:ind w:firstLine="420" w:firstLineChars="200"/>
    </w:pPr>
    <w:rPr>
      <w:rFonts w:ascii="Calibri" w:hAnsi="Calibri"/>
      <w:szCs w:val="22"/>
    </w:rPr>
  </w:style>
  <w:style w:type="character" w:customStyle="1" w:styleId="139">
    <w:name w:val="font41"/>
    <w:qFormat/>
    <w:uiPriority w:val="0"/>
    <w:rPr>
      <w:rFonts w:hint="eastAsia" w:ascii="宋体" w:hAnsi="宋体" w:eastAsia="宋体" w:cs="宋体"/>
      <w:b/>
      <w:color w:val="FF0000"/>
      <w:sz w:val="22"/>
      <w:szCs w:val="22"/>
      <w:u w:val="none"/>
    </w:rPr>
  </w:style>
  <w:style w:type="character" w:customStyle="1" w:styleId="140">
    <w:name w:val="标题 2 Char"/>
    <w:qFormat/>
    <w:uiPriority w:val="9"/>
    <w:rPr>
      <w:rFonts w:ascii="Arial" w:hAnsi="Arial" w:eastAsia="黑体" w:cs="Times New Roman"/>
      <w:b/>
      <w:bCs/>
      <w:kern w:val="2"/>
      <w:sz w:val="32"/>
      <w:szCs w:val="32"/>
      <w:lang w:val="en-US" w:eastAsia="zh-CN" w:bidi="ar-SA"/>
    </w:rPr>
  </w:style>
  <w:style w:type="character" w:customStyle="1" w:styleId="141">
    <w:name w:val="标题 2 Char_0"/>
    <w:link w:val="142"/>
    <w:qFormat/>
    <w:uiPriority w:val="0"/>
    <w:rPr>
      <w:rFonts w:ascii="宋体" w:hAnsi="宋体" w:eastAsia="宋体"/>
      <w:b/>
      <w:sz w:val="32"/>
      <w:szCs w:val="28"/>
      <w:lang w:bidi="ar-SA"/>
    </w:rPr>
  </w:style>
  <w:style w:type="paragraph" w:customStyle="1" w:styleId="142">
    <w:name w:val="Heading 2"/>
    <w:basedOn w:val="1"/>
    <w:next w:val="120"/>
    <w:link w:val="141"/>
    <w:qFormat/>
    <w:uiPriority w:val="0"/>
    <w:pPr>
      <w:keepNext/>
      <w:keepLines/>
      <w:spacing w:before="260" w:after="260" w:line="500" w:lineRule="exact"/>
      <w:ind w:firstLine="420" w:firstLineChars="200"/>
      <w:contextualSpacing/>
      <w:outlineLvl w:val="1"/>
    </w:pPr>
    <w:rPr>
      <w:rFonts w:ascii="宋体" w:hAnsi="宋体"/>
      <w:b/>
      <w:kern w:val="0"/>
      <w:sz w:val="32"/>
      <w:szCs w:val="28"/>
    </w:rPr>
  </w:style>
  <w:style w:type="character" w:customStyle="1" w:styleId="143">
    <w:name w:val="style13"/>
    <w:qFormat/>
    <w:uiPriority w:val="0"/>
    <w:rPr>
      <w:rFonts w:ascii="Verdana" w:hAnsi="Verdana" w:eastAsia="宋体" w:cs="Times New Roman"/>
      <w:kern w:val="0"/>
      <w:sz w:val="20"/>
      <w:lang w:eastAsia="en-US"/>
    </w:rPr>
  </w:style>
  <w:style w:type="character" w:customStyle="1" w:styleId="144">
    <w:name w:val="BZ_四级标题 Char"/>
    <w:link w:val="145"/>
    <w:qFormat/>
    <w:uiPriority w:val="0"/>
    <w:rPr>
      <w:rFonts w:ascii="Times New Roman" w:hAnsi="Times New Roman" w:eastAsia="黑体" w:cs="Times New Roman"/>
      <w:bCs/>
      <w:kern w:val="2"/>
      <w:sz w:val="24"/>
      <w:szCs w:val="22"/>
    </w:rPr>
  </w:style>
  <w:style w:type="paragraph" w:customStyle="1" w:styleId="145">
    <w:name w:val="BZ_四级标题"/>
    <w:basedOn w:val="9"/>
    <w:next w:val="1"/>
    <w:link w:val="144"/>
    <w:qFormat/>
    <w:uiPriority w:val="0"/>
    <w:pPr>
      <w:keepNext/>
      <w:keepLines/>
      <w:widowControl/>
      <w:tabs>
        <w:tab w:val="left" w:pos="360"/>
      </w:tabs>
      <w:adjustRightInd/>
      <w:spacing w:before="280" w:beforeLines="50" w:after="290" w:afterLines="50"/>
    </w:pPr>
    <w:rPr>
      <w:rFonts w:ascii="Times New Roman" w:eastAsia="黑体"/>
      <w:bCs/>
      <w:kern w:val="2"/>
      <w:sz w:val="24"/>
      <w:szCs w:val="22"/>
    </w:rPr>
  </w:style>
  <w:style w:type="character" w:customStyle="1" w:styleId="146">
    <w:name w:val="标题 3 Char"/>
    <w:qFormat/>
    <w:uiPriority w:val="9"/>
    <w:rPr>
      <w:rFonts w:ascii="Times New Roman" w:hAnsi="Times New Roman" w:eastAsia="宋体" w:cs="Times New Roman"/>
      <w:b/>
      <w:bCs/>
      <w:kern w:val="2"/>
      <w:sz w:val="32"/>
      <w:szCs w:val="32"/>
      <w:lang w:val="en-US" w:eastAsia="zh-CN" w:bidi="ar-SA"/>
    </w:rPr>
  </w:style>
  <w:style w:type="character" w:customStyle="1" w:styleId="147">
    <w:name w:val="chs1"/>
    <w:qFormat/>
    <w:uiPriority w:val="0"/>
    <w:rPr>
      <w:rFonts w:hint="default" w:ascii="_x000B__x000C_" w:hAnsi="_x000B__x000C_" w:eastAsia="宋体" w:cs="Times New Roman"/>
      <w:sz w:val="18"/>
      <w:szCs w:val="18"/>
    </w:rPr>
  </w:style>
  <w:style w:type="character" w:customStyle="1" w:styleId="148">
    <w:name w:val="标题 3 Char2"/>
    <w:qFormat/>
    <w:uiPriority w:val="0"/>
    <w:rPr>
      <w:rFonts w:ascii="Calibri" w:hAnsi="Calibri" w:eastAsia="宋体" w:cs="宋体"/>
      <w:b/>
      <w:bCs/>
      <w:kern w:val="2"/>
      <w:sz w:val="32"/>
      <w:szCs w:val="32"/>
      <w:lang w:val="en-US" w:eastAsia="zh-CN" w:bidi="ar-SA"/>
    </w:rPr>
  </w:style>
  <w:style w:type="character" w:customStyle="1" w:styleId="149">
    <w:name w:val="BZ_三级标题 Char"/>
    <w:link w:val="150"/>
    <w:qFormat/>
    <w:uiPriority w:val="0"/>
    <w:rPr>
      <w:rFonts w:ascii="Times New Roman" w:hAnsi="Times New Roman" w:eastAsia="黑体" w:cs="Times New Roman"/>
      <w:b/>
      <w:bCs/>
      <w:kern w:val="2"/>
      <w:sz w:val="28"/>
      <w:szCs w:val="28"/>
      <w:lang w:val="en-US" w:eastAsia="zh-CN" w:bidi="ar-SA"/>
    </w:rPr>
  </w:style>
  <w:style w:type="paragraph" w:customStyle="1" w:styleId="150">
    <w:name w:val="BZ_三级标题"/>
    <w:basedOn w:val="8"/>
    <w:next w:val="1"/>
    <w:link w:val="149"/>
    <w:qFormat/>
    <w:uiPriority w:val="0"/>
    <w:pPr>
      <w:widowControl/>
      <w:spacing w:beforeLines="50" w:afterLines="50" w:line="240" w:lineRule="auto"/>
      <w:ind w:left="720" w:hanging="720"/>
    </w:pPr>
    <w:rPr>
      <w:rFonts w:eastAsia="黑体"/>
      <w:sz w:val="28"/>
      <w:szCs w:val="28"/>
    </w:rPr>
  </w:style>
  <w:style w:type="character" w:customStyle="1" w:styleId="151">
    <w:name w:val="unnamed51"/>
    <w:qFormat/>
    <w:uiPriority w:val="0"/>
    <w:rPr>
      <w:rFonts w:ascii="Times New Roman" w:hAnsi="Times New Roman" w:eastAsia="宋体" w:cs="Times New Roman"/>
      <w:sz w:val="22"/>
      <w:szCs w:val="22"/>
    </w:rPr>
  </w:style>
  <w:style w:type="character" w:customStyle="1" w:styleId="152">
    <w:name w:val="普通文字 Char Char2"/>
    <w:qFormat/>
    <w:uiPriority w:val="0"/>
    <w:rPr>
      <w:rFonts w:ascii="宋体" w:hAnsi="Courier New" w:eastAsia="宋体" w:cs="Times New Roman"/>
      <w:sz w:val="21"/>
      <w:szCs w:val="21"/>
      <w:lang w:val="en-US" w:eastAsia="zh-CN" w:bidi="ar-SA"/>
    </w:rPr>
  </w:style>
  <w:style w:type="character" w:customStyle="1" w:styleId="153">
    <w:name w:val="正文文本 Char2"/>
    <w:qFormat/>
    <w:uiPriority w:val="0"/>
    <w:rPr>
      <w:rFonts w:ascii="Times New Roman" w:hAnsi="Times New Roman" w:eastAsia="宋体" w:cs="Times New Roman"/>
      <w:kern w:val="2"/>
      <w:sz w:val="21"/>
      <w:szCs w:val="24"/>
    </w:rPr>
  </w:style>
  <w:style w:type="character" w:customStyle="1" w:styleId="154">
    <w:name w:val="普通(网站) Char"/>
    <w:qFormat/>
    <w:uiPriority w:val="0"/>
    <w:rPr>
      <w:rFonts w:ascii="宋体" w:hAnsi="宋体" w:eastAsia="宋体" w:cs="宋体"/>
      <w:sz w:val="24"/>
      <w:szCs w:val="24"/>
      <w:lang w:val="en-US" w:eastAsia="zh-CN" w:bidi="ar-SA"/>
    </w:rPr>
  </w:style>
  <w:style w:type="paragraph" w:customStyle="1" w:styleId="155">
    <w:name w:val="列出段落2"/>
    <w:basedOn w:val="1"/>
    <w:qFormat/>
    <w:uiPriority w:val="0"/>
    <w:pPr>
      <w:ind w:firstLine="420" w:firstLineChars="200"/>
    </w:pPr>
    <w:rPr>
      <w:rFonts w:ascii="Calibri" w:hAnsi="Calibri" w:eastAsia="宋体" w:cs="Times New Roman"/>
      <w:szCs w:val="22"/>
    </w:rPr>
  </w:style>
  <w:style w:type="paragraph" w:customStyle="1" w:styleId="156">
    <w:name w:val="Char Char Char Char1 Char Char"/>
    <w:basedOn w:val="1"/>
    <w:qFormat/>
    <w:uiPriority w:val="0"/>
    <w:pPr>
      <w:widowControl/>
      <w:numPr>
        <w:ilvl w:val="0"/>
        <w:numId w:val="0"/>
      </w:numPr>
      <w:spacing w:after="160" w:afterLines="0" w:line="240" w:lineRule="exact"/>
      <w:jc w:val="left"/>
    </w:pPr>
    <w:rPr>
      <w:rFonts w:ascii="Verdana" w:hAnsi="Verdana" w:eastAsia="宋体" w:cs="Times New Roman"/>
      <w:kern w:val="0"/>
      <w:sz w:val="20"/>
      <w:szCs w:val="20"/>
      <w:lang w:eastAsia="en-US"/>
    </w:rPr>
  </w:style>
  <w:style w:type="paragraph" w:customStyle="1" w:styleId="157">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58">
    <w:name w:val="Figure Description"/>
    <w:next w:val="1"/>
    <w:qFormat/>
    <w:uiPriority w:val="0"/>
    <w:pPr>
      <w:tabs>
        <w:tab w:val="left" w:pos="1008"/>
      </w:tabs>
      <w:snapToGrid w:val="0"/>
      <w:spacing w:before="80" w:after="320"/>
      <w:ind w:left="1008" w:hanging="1008"/>
      <w:jc w:val="center"/>
    </w:pPr>
    <w:rPr>
      <w:rFonts w:ascii="Arial" w:hAnsi="Arial" w:eastAsia="黑体" w:cs="Times New Roman"/>
      <w:sz w:val="18"/>
      <w:lang w:val="en-US" w:eastAsia="en-US" w:bidi="ar-SA"/>
    </w:rPr>
  </w:style>
  <w:style w:type="paragraph" w:customStyle="1" w:styleId="159">
    <w:name w:val="paragraph1"/>
    <w:basedOn w:val="1"/>
    <w:qFormat/>
    <w:uiPriority w:val="0"/>
    <w:pPr>
      <w:spacing w:after="93" w:afterLines="30" w:line="360" w:lineRule="auto"/>
      <w:ind w:firstLine="420" w:firstLineChars="200"/>
    </w:pPr>
    <w:rPr>
      <w:rFonts w:ascii="Times New Roman" w:hAnsi="Times New Roman" w:eastAsia="楷体_GB2312" w:cs="Times New Roman"/>
      <w:sz w:val="24"/>
      <w:szCs w:val="20"/>
    </w:rPr>
  </w:style>
  <w:style w:type="paragraph" w:customStyle="1" w:styleId="160">
    <w:name w:val="Table - Col. Head"/>
    <w:basedOn w:val="1"/>
    <w:qFormat/>
    <w:uiPriority w:val="0"/>
    <w:pPr>
      <w:keepNext/>
      <w:widowControl/>
      <w:tabs>
        <w:tab w:val="left" w:pos="1140"/>
      </w:tabs>
      <w:spacing w:before="60" w:beforeLines="0" w:after="156" w:afterLines="50"/>
      <w:jc w:val="left"/>
    </w:pPr>
    <w:rPr>
      <w:rFonts w:ascii="Arial" w:hAnsi="Arial" w:eastAsia="宋体" w:cs="Times New Roman"/>
      <w:b/>
      <w:kern w:val="0"/>
      <w:sz w:val="18"/>
      <w:szCs w:val="20"/>
      <w:lang w:eastAsia="en-US"/>
    </w:rPr>
  </w:style>
  <w:style w:type="paragraph" w:customStyle="1" w:styleId="161">
    <w:name w:val="样式2"/>
    <w:basedOn w:val="62"/>
    <w:link w:val="162"/>
    <w:qFormat/>
    <w:uiPriority w:val="0"/>
    <w:rPr>
      <w:b/>
      <w:sz w:val="24"/>
    </w:rPr>
  </w:style>
  <w:style w:type="character" w:customStyle="1" w:styleId="162">
    <w:name w:val="样式2 Char"/>
    <w:link w:val="161"/>
    <w:qFormat/>
    <w:uiPriority w:val="0"/>
    <w:rPr>
      <w:b/>
      <w:kern w:val="2"/>
      <w:sz w:val="24"/>
      <w:szCs w:val="24"/>
    </w:rPr>
  </w:style>
  <w:style w:type="paragraph" w:customStyle="1" w:styleId="163">
    <w:name w:val="样式 标题 3Chapter X.X.X"/>
    <w:basedOn w:val="164"/>
    <w:qFormat/>
    <w:uiPriority w:val="0"/>
    <w:pPr>
      <w:spacing w:after="120" w:afterLines="0"/>
    </w:pPr>
    <w:rPr>
      <w:rFonts w:ascii="Times New Roman" w:hAnsi="Times New Roman" w:eastAsia="宋体" w:cs="Times New Roman"/>
    </w:rPr>
  </w:style>
  <w:style w:type="paragraph" w:customStyle="1" w:styleId="164">
    <w:name w:val="标题 3Chapter X.X.X. + 段后: 0.5 行 + 段后: 0.5 行 + 段后: 0.5 行1"/>
    <w:basedOn w:val="165"/>
    <w:qFormat/>
    <w:uiPriority w:val="0"/>
    <w:rPr>
      <w:rFonts w:ascii="Times New Roman" w:hAnsi="Times New Roman" w:eastAsia="宋体" w:cs="Times New Roman"/>
    </w:rPr>
  </w:style>
  <w:style w:type="paragraph" w:customStyle="1" w:styleId="165">
    <w:name w:val="样式 样式 标题 3Chapter X.X.X. + 段后: 0.5 行 + 段后: 0.5 行"/>
    <w:basedOn w:val="166"/>
    <w:qFormat/>
    <w:uiPriority w:val="0"/>
    <w:rPr>
      <w:rFonts w:ascii="Times New Roman" w:hAnsi="Times New Roman" w:eastAsia="宋体" w:cs="Times New Roman"/>
    </w:rPr>
  </w:style>
  <w:style w:type="paragraph" w:customStyle="1" w:styleId="166">
    <w:name w:val="样式 标题 3Chapter X.X.X. + 段后: 0.5 行"/>
    <w:basedOn w:val="8"/>
    <w:qFormat/>
    <w:uiPriority w:val="0"/>
    <w:pPr>
      <w:keepLines w:val="0"/>
      <w:spacing w:before="120" w:beforeLines="0" w:after="156" w:afterLines="50" w:line="240" w:lineRule="auto"/>
      <w:jc w:val="left"/>
    </w:pPr>
    <w:rPr>
      <w:rFonts w:ascii="宋体" w:hAnsi="Times New Roman" w:eastAsia="宋体" w:cs="宋体"/>
      <w:snapToGrid w:val="0"/>
      <w:kern w:val="0"/>
      <w:sz w:val="24"/>
      <w:szCs w:val="20"/>
    </w:rPr>
  </w:style>
  <w:style w:type="paragraph" w:customStyle="1" w:styleId="167">
    <w:name w:val="怡1"/>
    <w:basedOn w:val="6"/>
    <w:qFormat/>
    <w:uiPriority w:val="0"/>
    <w:pPr>
      <w:pageBreakBefore/>
      <w:tabs>
        <w:tab w:val="clear" w:pos="840"/>
      </w:tabs>
      <w:adjustRightInd/>
      <w:snapToGrid/>
      <w:spacing w:before="480" w:after="480" w:line="240" w:lineRule="auto"/>
      <w:ind w:left="2269" w:hanging="1702"/>
      <w:jc w:val="center"/>
    </w:pPr>
    <w:rPr>
      <w:rFonts w:ascii="Calibri" w:hAnsi="Calibri" w:eastAsia="宋体" w:cs="Times New Roman"/>
      <w:bCs/>
      <w:kern w:val="0"/>
      <w:sz w:val="21"/>
      <w:szCs w:val="22"/>
      <w:lang w:val="zh-CN"/>
    </w:rPr>
  </w:style>
  <w:style w:type="paragraph" w:customStyle="1" w:styleId="168">
    <w:name w:val="Main Title"/>
    <w:basedOn w:val="1"/>
    <w:qFormat/>
    <w:uiPriority w:val="0"/>
    <w:pPr>
      <w:spacing w:before="480" w:beforeLines="0" w:after="156" w:afterLines="50"/>
      <w:jc w:val="center"/>
    </w:pPr>
    <w:rPr>
      <w:rFonts w:ascii="宋体" w:hAnsi="Times New Roman" w:eastAsia="宋体" w:cs="Times New Roman"/>
      <w:b/>
      <w:snapToGrid w:val="0"/>
      <w:kern w:val="28"/>
      <w:sz w:val="32"/>
      <w:szCs w:val="20"/>
    </w:rPr>
  </w:style>
  <w:style w:type="paragraph" w:customStyle="1" w:styleId="169">
    <w:name w:val="Normal_0_0_0"/>
    <w:qFormat/>
    <w:uiPriority w:val="0"/>
    <w:pPr>
      <w:widowControl w:val="0"/>
      <w:ind w:firstLine="420" w:firstLineChars="200"/>
      <w:jc w:val="both"/>
    </w:pPr>
    <w:rPr>
      <w:rFonts w:ascii="Calibri" w:hAnsi="Calibri" w:eastAsia="Times New Roman" w:cs="Times New Roman"/>
      <w:lang w:val="en-US" w:eastAsia="zh-CN" w:bidi="ar-SA"/>
    </w:rPr>
  </w:style>
  <w:style w:type="paragraph" w:customStyle="1" w:styleId="170">
    <w:name w:val="样式3"/>
    <w:basedOn w:val="16"/>
    <w:next w:val="1"/>
    <w:qFormat/>
    <w:uiPriority w:val="0"/>
    <w:pPr>
      <w:tabs>
        <w:tab w:val="left" w:pos="1680"/>
      </w:tabs>
      <w:spacing w:line="317" w:lineRule="auto"/>
      <w:ind w:left="1680" w:hanging="420"/>
      <w:jc w:val="left"/>
    </w:pPr>
    <w:rPr>
      <w:rFonts w:ascii="Times New Roman" w:hAnsi="Times New Roman" w:eastAsia="宋体" w:cs="Times New Roman"/>
      <w:b/>
    </w:rPr>
  </w:style>
  <w:style w:type="paragraph" w:customStyle="1" w:styleId="171">
    <w:name w:val="Plain Text1"/>
    <w:basedOn w:val="1"/>
    <w:qFormat/>
    <w:uiPriority w:val="0"/>
    <w:pPr>
      <w:autoSpaceDE w:val="0"/>
      <w:autoSpaceDN w:val="0"/>
      <w:adjustRightInd w:val="0"/>
      <w:spacing w:line="360" w:lineRule="auto"/>
    </w:pPr>
    <w:rPr>
      <w:rFonts w:hint="eastAsia" w:ascii="宋体" w:hAnsi="宋体" w:eastAsia="宋体" w:cs="Times New Roman"/>
      <w:sz w:val="24"/>
      <w:szCs w:val="20"/>
    </w:rPr>
  </w:style>
  <w:style w:type="paragraph" w:customStyle="1" w:styleId="172">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173">
    <w:name w:val="样式 模板描述"/>
    <w:basedOn w:val="1"/>
    <w:next w:val="174"/>
    <w:qFormat/>
    <w:uiPriority w:val="0"/>
    <w:pPr>
      <w:tabs>
        <w:tab w:val="left" w:pos="600"/>
      </w:tabs>
      <w:spacing w:after="156" w:afterLines="50"/>
      <w:jc w:val="left"/>
    </w:pPr>
    <w:rPr>
      <w:rFonts w:ascii="宋体" w:hAnsi="Times New Roman" w:eastAsia="宋体" w:cs="宋体"/>
      <w:i/>
      <w:iCs/>
      <w:snapToGrid w:val="0"/>
      <w:color w:val="0000FF"/>
      <w:kern w:val="0"/>
      <w:szCs w:val="21"/>
    </w:rPr>
  </w:style>
  <w:style w:type="paragraph" w:customStyle="1" w:styleId="174">
    <w:name w:val="样式 正文"/>
    <w:basedOn w:val="1"/>
    <w:next w:val="1"/>
    <w:qFormat/>
    <w:uiPriority w:val="0"/>
    <w:pPr>
      <w:tabs>
        <w:tab w:val="left" w:pos="600"/>
      </w:tabs>
      <w:spacing w:after="156" w:afterLines="50"/>
      <w:ind w:left="600" w:hanging="600"/>
      <w:jc w:val="left"/>
    </w:pPr>
    <w:rPr>
      <w:rFonts w:ascii="宋体" w:hAnsi="Times New Roman" w:eastAsia="宋体" w:cs="宋体"/>
      <w:snapToGrid w:val="0"/>
      <w:kern w:val="0"/>
      <w:szCs w:val="20"/>
    </w:rPr>
  </w:style>
  <w:style w:type="paragraph" w:customStyle="1" w:styleId="175">
    <w:name w:val="怡5"/>
    <w:basedOn w:val="10"/>
    <w:qFormat/>
    <w:uiPriority w:val="0"/>
    <w:pPr>
      <w:keepNext/>
      <w:keepLines/>
      <w:adjustRightInd/>
      <w:spacing w:before="280" w:after="290" w:line="376" w:lineRule="auto"/>
      <w:ind w:left="3915" w:hanging="420"/>
    </w:pPr>
    <w:rPr>
      <w:rFonts w:ascii="Calibri" w:hAnsi="Calibri" w:eastAsia="宋体" w:cs="Times New Roman"/>
      <w:b/>
      <w:bCs/>
      <w:sz w:val="24"/>
      <w:szCs w:val="22"/>
    </w:rPr>
  </w:style>
  <w:style w:type="paragraph" w:customStyle="1" w:styleId="176">
    <w:name w:val="表格文字"/>
    <w:basedOn w:val="37"/>
    <w:next w:val="12"/>
    <w:link w:val="177"/>
    <w:qFormat/>
    <w:uiPriority w:val="0"/>
    <w:pPr>
      <w:spacing w:before="25" w:after="25"/>
      <w:jc w:val="left"/>
    </w:pPr>
    <w:rPr>
      <w:spacing w:val="10"/>
      <w:sz w:val="24"/>
    </w:rPr>
  </w:style>
  <w:style w:type="character" w:customStyle="1" w:styleId="177">
    <w:name w:val="表格文字 Char"/>
    <w:link w:val="176"/>
    <w:qFormat/>
    <w:uiPriority w:val="0"/>
    <w:rPr>
      <w:rFonts w:ascii="宋体" w:hAnsi="Courier New"/>
      <w:spacing w:val="10"/>
      <w:sz w:val="24"/>
      <w:szCs w:val="21"/>
    </w:rPr>
  </w:style>
  <w:style w:type="paragraph" w:customStyle="1" w:styleId="178">
    <w:name w:val="Char Char Char Char Char Char Char"/>
    <w:basedOn w:val="1"/>
    <w:qFormat/>
    <w:uiPriority w:val="0"/>
    <w:pPr>
      <w:tabs>
        <w:tab w:val="left" w:pos="432"/>
      </w:tabs>
      <w:ind w:left="432" w:hanging="432"/>
    </w:pPr>
    <w:rPr>
      <w:rFonts w:ascii="Tahoma" w:hAnsi="Tahoma" w:eastAsia="宋体" w:cs="Times New Roman"/>
      <w:sz w:val="24"/>
      <w:szCs w:val="20"/>
    </w:rPr>
  </w:style>
  <w:style w:type="paragraph" w:customStyle="1" w:styleId="179">
    <w:name w:val="Paragraph3"/>
    <w:basedOn w:val="1"/>
    <w:qFormat/>
    <w:uiPriority w:val="0"/>
    <w:pPr>
      <w:spacing w:before="80" w:beforeLines="0" w:after="156" w:afterLines="50"/>
      <w:ind w:left="1530"/>
    </w:pPr>
    <w:rPr>
      <w:rFonts w:ascii="宋体" w:hAnsi="Times New Roman" w:eastAsia="宋体" w:cs="Times New Roman"/>
      <w:snapToGrid w:val="0"/>
      <w:kern w:val="0"/>
      <w:szCs w:val="20"/>
    </w:rPr>
  </w:style>
  <w:style w:type="paragraph" w:customStyle="1" w:styleId="18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Char Char Char"/>
    <w:basedOn w:val="1"/>
    <w:qFormat/>
    <w:uiPriority w:val="0"/>
    <w:rPr>
      <w:rFonts w:ascii="宋体" w:hAnsi="宋体" w:eastAsia="宋体" w:cs="宋体"/>
      <w:b/>
      <w:bCs/>
      <w:color w:val="000000"/>
      <w:sz w:val="22"/>
      <w:szCs w:val="22"/>
    </w:rPr>
  </w:style>
  <w:style w:type="paragraph" w:customStyle="1" w:styleId="182">
    <w:name w:val="圆点"/>
    <w:basedOn w:val="1"/>
    <w:qFormat/>
    <w:uiPriority w:val="0"/>
    <w:pPr>
      <w:spacing w:before="156" w:beforeLines="50" w:after="156" w:afterLines="50" w:line="360" w:lineRule="auto"/>
      <w:ind w:firstLine="480" w:firstLineChars="200"/>
    </w:pPr>
    <w:rPr>
      <w:rFonts w:ascii="仿宋_GB2312" w:hAnsi="Times New Roman" w:eastAsia="仿宋_GB2312" w:cs="Times New Roman"/>
      <w:sz w:val="24"/>
    </w:rPr>
  </w:style>
  <w:style w:type="paragraph" w:customStyle="1" w:styleId="183">
    <w:name w:val="Paragraph2"/>
    <w:basedOn w:val="1"/>
    <w:qFormat/>
    <w:uiPriority w:val="0"/>
    <w:pPr>
      <w:spacing w:before="80" w:beforeLines="0" w:after="156" w:afterLines="50"/>
      <w:ind w:left="720"/>
    </w:pPr>
    <w:rPr>
      <w:rFonts w:ascii="宋体" w:hAnsi="Times New Roman" w:eastAsia="宋体" w:cs="Times New Roman"/>
      <w:snapToGrid w:val="0"/>
      <w:color w:val="000000"/>
      <w:kern w:val="0"/>
      <w:szCs w:val="20"/>
      <w:lang w:val="en-AU"/>
    </w:rPr>
  </w:style>
  <w:style w:type="paragraph" w:customStyle="1" w:styleId="184">
    <w:name w:val="S4-L15"/>
    <w:basedOn w:val="1"/>
    <w:qFormat/>
    <w:uiPriority w:val="0"/>
    <w:pPr>
      <w:numPr>
        <w:ilvl w:val="0"/>
        <w:numId w:val="0"/>
      </w:numPr>
      <w:spacing w:after="120" w:afterLines="0" w:line="360" w:lineRule="auto"/>
      <w:ind w:left="720" w:firstLine="392"/>
    </w:pPr>
    <w:rPr>
      <w:rFonts w:ascii="Times New Roman" w:hAnsi="Times New Roman" w:eastAsia="宋体" w:cs="Times New Roman"/>
      <w:szCs w:val="21"/>
      <w:lang w:val="fr-FR"/>
    </w:rPr>
  </w:style>
  <w:style w:type="paragraph" w:customStyle="1" w:styleId="185">
    <w:name w:val="文档正文"/>
    <w:basedOn w:val="1"/>
    <w:link w:val="186"/>
    <w:qFormat/>
    <w:uiPriority w:val="0"/>
    <w:pPr>
      <w:adjustRightInd w:val="0"/>
      <w:spacing w:line="440" w:lineRule="exact"/>
      <w:ind w:firstLine="567"/>
      <w:textAlignment w:val="baseline"/>
    </w:pPr>
    <w:rPr>
      <w:rFonts w:ascii="Arial Narrow" w:hAnsi="Arial Narrow"/>
      <w:kern w:val="0"/>
      <w:sz w:val="24"/>
    </w:rPr>
  </w:style>
  <w:style w:type="character" w:customStyle="1" w:styleId="186">
    <w:name w:val="文档正文 Char"/>
    <w:link w:val="185"/>
    <w:qFormat/>
    <w:uiPriority w:val="0"/>
    <w:rPr>
      <w:rFonts w:ascii="Arial Narrow" w:hAnsi="Arial Narrow"/>
      <w:sz w:val="24"/>
      <w:szCs w:val="24"/>
    </w:rPr>
  </w:style>
  <w:style w:type="paragraph" w:customStyle="1" w:styleId="18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88">
    <w:name w:val="正文1"/>
    <w:basedOn w:val="1"/>
    <w:next w:val="1"/>
    <w:link w:val="189"/>
    <w:qFormat/>
    <w:uiPriority w:val="0"/>
    <w:pPr>
      <w:numPr>
        <w:ilvl w:val="0"/>
        <w:numId w:val="2"/>
      </w:numPr>
      <w:tabs>
        <w:tab w:val="left" w:pos="1800"/>
        <w:tab w:val="clear" w:pos="3894"/>
      </w:tabs>
      <w:spacing w:before="100" w:beforeLines="0" w:after="100" w:afterLines="0" w:line="400" w:lineRule="exact"/>
      <w:ind w:firstLine="480"/>
      <w:jc w:val="left"/>
    </w:pPr>
    <w:rPr>
      <w:rFonts w:ascii="Arial" w:hAnsi="Arial"/>
      <w:sz w:val="24"/>
      <w:szCs w:val="20"/>
    </w:rPr>
  </w:style>
  <w:style w:type="character" w:customStyle="1" w:styleId="189">
    <w:name w:val="正文1 Char"/>
    <w:link w:val="188"/>
    <w:qFormat/>
    <w:uiPriority w:val="0"/>
    <w:rPr>
      <w:rFonts w:ascii="Arial" w:hAnsi="Arial"/>
      <w:kern w:val="2"/>
      <w:sz w:val="24"/>
    </w:rPr>
  </w:style>
  <w:style w:type="paragraph" w:customStyle="1" w:styleId="190">
    <w:name w:val="BZ_五级标题"/>
    <w:basedOn w:val="10"/>
    <w:next w:val="1"/>
    <w:qFormat/>
    <w:uiPriority w:val="0"/>
    <w:pPr>
      <w:keepNext/>
      <w:keepLines/>
      <w:widowControl/>
      <w:tabs>
        <w:tab w:val="left" w:pos="360"/>
      </w:tabs>
      <w:adjustRightInd/>
      <w:spacing w:before="280" w:beforeLines="50" w:after="290" w:afterLines="50"/>
    </w:pPr>
    <w:rPr>
      <w:rFonts w:ascii="Times New Roman" w:hAnsi="Times New Roman" w:eastAsia="黑体" w:cs="Times New Roman"/>
      <w:bCs/>
      <w:sz w:val="24"/>
      <w:szCs w:val="24"/>
    </w:rPr>
  </w:style>
  <w:style w:type="paragraph" w:customStyle="1" w:styleId="191">
    <w:name w:val="样式 样式 标题 4 + 段后: 0.5 行 + 段后: 0.5 行"/>
    <w:basedOn w:val="192"/>
    <w:qFormat/>
    <w:uiPriority w:val="0"/>
    <w:rPr>
      <w:rFonts w:ascii="Times New Roman" w:hAnsi="Times New Roman" w:eastAsia="宋体" w:cs="Times New Roman"/>
    </w:rPr>
  </w:style>
  <w:style w:type="paragraph" w:customStyle="1" w:styleId="192">
    <w:name w:val="样式 标题 4 + 段后: 0.5 行"/>
    <w:basedOn w:val="9"/>
    <w:qFormat/>
    <w:uiPriority w:val="0"/>
    <w:pPr>
      <w:keepNext/>
      <w:adjustRightInd/>
      <w:spacing w:before="120" w:beforeLines="0" w:after="156" w:afterLines="50"/>
      <w:jc w:val="left"/>
    </w:pPr>
    <w:rPr>
      <w:rFonts w:ascii="Times New Roman" w:hAnsi="Times New Roman" w:eastAsia="宋体" w:cs="宋体"/>
      <w:b/>
      <w:bCs/>
      <w:snapToGrid w:val="0"/>
      <w:kern w:val="0"/>
    </w:rPr>
  </w:style>
  <w:style w:type="paragraph" w:customStyle="1" w:styleId="193">
    <w:name w:val="BZ_六级标题"/>
    <w:basedOn w:val="14"/>
    <w:next w:val="1"/>
    <w:qFormat/>
    <w:uiPriority w:val="0"/>
    <w:pPr>
      <w:keepNext/>
      <w:keepLines/>
      <w:widowControl/>
      <w:tabs>
        <w:tab w:val="left" w:pos="360"/>
      </w:tabs>
      <w:adjustRightInd/>
      <w:spacing w:before="240" w:beforeLines="50" w:after="64" w:afterLines="50"/>
    </w:pPr>
    <w:rPr>
      <w:rFonts w:ascii="Times New Roman" w:hAnsi="Times New Roman" w:eastAsia="黑体" w:cs="Times New Roman"/>
      <w:bCs/>
      <w:szCs w:val="22"/>
    </w:rPr>
  </w:style>
  <w:style w:type="paragraph" w:customStyle="1" w:styleId="194">
    <w:name w:val="Table Description"/>
    <w:next w:val="1"/>
    <w:qFormat/>
    <w:uiPriority w:val="0"/>
    <w:pPr>
      <w:keepNext/>
      <w:tabs>
        <w:tab w:val="left" w:pos="1152"/>
      </w:tabs>
      <w:snapToGrid w:val="0"/>
      <w:spacing w:before="160" w:after="80"/>
      <w:ind w:left="1152" w:hanging="1152"/>
      <w:jc w:val="center"/>
    </w:pPr>
    <w:rPr>
      <w:rFonts w:ascii="Arial" w:hAnsi="Arial" w:eastAsia="黑体" w:cs="Times New Roman"/>
      <w:sz w:val="18"/>
      <w:lang w:val="en-US" w:eastAsia="en-US" w:bidi="ar-SA"/>
    </w:rPr>
  </w:style>
  <w:style w:type="paragraph" w:customStyle="1" w:styleId="195">
    <w:name w:val="S4-B-L15"/>
    <w:basedOn w:val="1"/>
    <w:qFormat/>
    <w:uiPriority w:val="0"/>
    <w:pPr>
      <w:numPr>
        <w:ilvl w:val="0"/>
        <w:numId w:val="0"/>
      </w:numPr>
      <w:spacing w:line="360" w:lineRule="auto"/>
    </w:pPr>
    <w:rPr>
      <w:rFonts w:ascii="Times New Roman" w:hAnsi="Times New Roman" w:eastAsia="宋体" w:cs="Times New Roman"/>
      <w:b/>
      <w:bCs/>
      <w:sz w:val="24"/>
    </w:rPr>
  </w:style>
  <w:style w:type="paragraph" w:customStyle="1" w:styleId="196">
    <w:name w:val="样式 样式 样式 标题 3Chapter X.X.X. + 段后: 0.5 行 + 段后: 0.5 行 + 段后: 0.5 行"/>
    <w:basedOn w:val="165"/>
    <w:qFormat/>
    <w:uiPriority w:val="0"/>
    <w:pPr>
      <w:spacing w:after="120" w:afterLines="0"/>
    </w:pPr>
    <w:rPr>
      <w:rFonts w:ascii="Times New Roman" w:hAnsi="Times New Roman" w:eastAsia="宋体" w:cs="Times New Roman"/>
    </w:rPr>
  </w:style>
  <w:style w:type="paragraph" w:customStyle="1" w:styleId="197">
    <w:name w:val="样式 标题 2 + 五号"/>
    <w:basedOn w:val="7"/>
    <w:qFormat/>
    <w:uiPriority w:val="0"/>
    <w:pPr>
      <w:spacing w:before="0" w:beforeLines="0" w:after="0" w:afterLines="0" w:line="240" w:lineRule="auto"/>
    </w:pPr>
    <w:rPr>
      <w:rFonts w:ascii="宋体" w:hAnsi="宋体" w:eastAsia="宋体" w:cs="Times New Roman"/>
      <w:sz w:val="21"/>
    </w:rPr>
  </w:style>
  <w:style w:type="paragraph" w:customStyle="1" w:styleId="198">
    <w:name w:val="Bullet"/>
    <w:basedOn w:val="1"/>
    <w:qFormat/>
    <w:uiPriority w:val="0"/>
    <w:pPr>
      <w:widowControl/>
      <w:numPr>
        <w:ilvl w:val="0"/>
        <w:numId w:val="3"/>
      </w:numPr>
      <w:tabs>
        <w:tab w:val="left" w:pos="720"/>
        <w:tab w:val="clear" w:pos="360"/>
      </w:tabs>
      <w:spacing w:before="120" w:beforeLines="0" w:after="156" w:afterLines="50"/>
      <w:ind w:left="720" w:right="360" w:firstLine="0"/>
    </w:pPr>
    <w:rPr>
      <w:rFonts w:ascii="宋体" w:hAnsi="Times New Roman" w:eastAsia="宋体" w:cs="Times New Roman"/>
      <w:snapToGrid w:val="0"/>
      <w:kern w:val="0"/>
      <w:szCs w:val="20"/>
    </w:rPr>
  </w:style>
  <w:style w:type="paragraph" w:customStyle="1" w:styleId="199">
    <w:name w:val="样式 样式 正文文本缩进 + 仿宋_GB2312 小四 首行缩进:  0 厘米 行距: 1.5 倍行距 + (中文) 仿宋_GB... Char Char"/>
    <w:basedOn w:val="200"/>
    <w:qFormat/>
    <w:uiPriority w:val="0"/>
    <w:pPr>
      <w:tabs>
        <w:tab w:val="left" w:pos="2100"/>
      </w:tabs>
      <w:ind w:firstLine="480" w:firstLineChars="200"/>
    </w:pPr>
    <w:rPr>
      <w:rFonts w:ascii="Times New Roman" w:hAnsi="Times New Roman" w:eastAsia="宋体" w:cs="Times New Roman"/>
    </w:rPr>
  </w:style>
  <w:style w:type="paragraph" w:customStyle="1" w:styleId="200">
    <w:name w:val="样式 正文文本缩进 + 仿宋_GB2312 小四 首行缩进:  0 厘米 行距: 1.5 倍行距"/>
    <w:basedOn w:val="3"/>
    <w:qFormat/>
    <w:uiPriority w:val="0"/>
    <w:pPr>
      <w:numPr>
        <w:ilvl w:val="4"/>
        <w:numId w:val="4"/>
      </w:numPr>
      <w:spacing w:line="360" w:lineRule="auto"/>
      <w:ind w:left="0" w:firstLine="0" w:firstLineChars="0"/>
    </w:pPr>
    <w:rPr>
      <w:rFonts w:ascii="仿宋_GB2312" w:hAnsi="Times New Roman" w:eastAsia="新宋体" w:cs="Times New Roman"/>
      <w:szCs w:val="20"/>
    </w:rPr>
  </w:style>
  <w:style w:type="paragraph" w:customStyle="1" w:styleId="201">
    <w:name w:val="Table - Text"/>
    <w:basedOn w:val="1"/>
    <w:qFormat/>
    <w:uiPriority w:val="0"/>
    <w:pPr>
      <w:widowControl/>
      <w:spacing w:before="60" w:beforeLines="0" w:after="156" w:afterLines="50"/>
      <w:jc w:val="left"/>
    </w:pPr>
    <w:rPr>
      <w:rFonts w:ascii="Times New Roman" w:hAnsi="Times New Roman" w:eastAsia="宋体" w:cs="Times New Roman"/>
      <w:kern w:val="0"/>
      <w:szCs w:val="20"/>
      <w:lang w:eastAsia="en-US"/>
    </w:rPr>
  </w:style>
  <w:style w:type="paragraph" w:customStyle="1" w:styleId="202">
    <w:name w:val="沈标题四"/>
    <w:basedOn w:val="9"/>
    <w:next w:val="1"/>
    <w:qFormat/>
    <w:uiPriority w:val="0"/>
    <w:pPr>
      <w:adjustRightInd/>
      <w:spacing w:before="280" w:beforeLines="0" w:after="290" w:afterLines="0" w:line="377" w:lineRule="auto"/>
    </w:pPr>
    <w:rPr>
      <w:rFonts w:ascii="Arial Narrow" w:hAnsi="Arial Narrow" w:eastAsia="方正姚体" w:cs="Times New Roman"/>
      <w:bCs/>
      <w:kern w:val="2"/>
      <w:sz w:val="24"/>
      <w:szCs w:val="24"/>
    </w:rPr>
  </w:style>
  <w:style w:type="paragraph" w:customStyle="1" w:styleId="203">
    <w:name w:val="Style-正文"/>
    <w:basedOn w:val="1"/>
    <w:qFormat/>
    <w:uiPriority w:val="0"/>
    <w:pPr>
      <w:numPr>
        <w:ilvl w:val="0"/>
        <w:numId w:val="0"/>
      </w:numPr>
      <w:spacing w:line="360" w:lineRule="auto"/>
      <w:ind w:firstLine="420"/>
    </w:pPr>
    <w:rPr>
      <w:rFonts w:ascii="宋体" w:hAnsi="宋体" w:eastAsia="宋体" w:cs="Times New Roman"/>
      <w:sz w:val="24"/>
    </w:rPr>
  </w:style>
  <w:style w:type="paragraph" w:customStyle="1" w:styleId="20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标准有序列表（L1）"/>
    <w:basedOn w:val="21"/>
    <w:qFormat/>
    <w:uiPriority w:val="0"/>
    <w:pPr>
      <w:tabs>
        <w:tab w:val="left" w:pos="0"/>
        <w:tab w:val="left" w:pos="1890"/>
      </w:tabs>
      <w:adjustRightInd/>
      <w:spacing w:line="360" w:lineRule="auto"/>
      <w:ind w:firstLine="0"/>
      <w:textAlignment w:val="auto"/>
    </w:pPr>
    <w:rPr>
      <w:rFonts w:ascii="黑体" w:hAnsi="Times New Roman" w:eastAsia="黑体" w:cs="Times New Roman"/>
      <w:color w:val="000000"/>
      <w:kern w:val="2"/>
      <w:sz w:val="24"/>
    </w:rPr>
  </w:style>
  <w:style w:type="paragraph" w:customStyle="1" w:styleId="206">
    <w:name w:val="最新标题3"/>
    <w:basedOn w:val="207"/>
    <w:next w:val="208"/>
    <w:qFormat/>
    <w:uiPriority w:val="0"/>
    <w:pPr>
      <w:tabs>
        <w:tab w:val="left" w:pos="600"/>
      </w:tabs>
      <w:spacing w:after="120" w:afterLines="0"/>
    </w:pPr>
    <w:rPr>
      <w:rFonts w:ascii="Times New Roman" w:hAnsi="Times New Roman" w:eastAsia="宋体" w:cs="Times New Roman"/>
    </w:rPr>
  </w:style>
  <w:style w:type="paragraph" w:customStyle="1" w:styleId="207">
    <w:name w:val="样式 标题 3"/>
    <w:basedOn w:val="8"/>
    <w:next w:val="208"/>
    <w:qFormat/>
    <w:uiPriority w:val="0"/>
    <w:pPr>
      <w:keepLines w:val="0"/>
      <w:tabs>
        <w:tab w:val="left" w:pos="600"/>
      </w:tabs>
      <w:spacing w:before="120" w:beforeLines="0" w:after="156" w:afterLines="50" w:line="240" w:lineRule="auto"/>
      <w:ind w:left="600" w:hanging="600"/>
      <w:jc w:val="left"/>
    </w:pPr>
    <w:rPr>
      <w:rFonts w:ascii="宋体" w:hAnsi="Times New Roman" w:eastAsia="宋体" w:cs="宋体"/>
      <w:snapToGrid w:val="0"/>
      <w:kern w:val="0"/>
      <w:sz w:val="24"/>
      <w:szCs w:val="20"/>
    </w:rPr>
  </w:style>
  <w:style w:type="paragraph" w:customStyle="1" w:styleId="208">
    <w:name w:val="最新标题4"/>
    <w:basedOn w:val="209"/>
    <w:next w:val="1"/>
    <w:qFormat/>
    <w:uiPriority w:val="0"/>
    <w:pPr>
      <w:tabs>
        <w:tab w:val="left" w:pos="420"/>
        <w:tab w:val="left" w:pos="600"/>
        <w:tab w:val="left" w:pos="2530"/>
      </w:tabs>
      <w:spacing w:after="120" w:afterLines="0"/>
      <w:ind w:left="0" w:firstLine="0"/>
    </w:pPr>
    <w:rPr>
      <w:rFonts w:ascii="Times New Roman" w:hAnsi="Times New Roman" w:eastAsia="宋体" w:cs="Times New Roman"/>
    </w:rPr>
  </w:style>
  <w:style w:type="paragraph" w:customStyle="1" w:styleId="209">
    <w:name w:val="样式 标题 4"/>
    <w:basedOn w:val="210"/>
    <w:next w:val="174"/>
    <w:qFormat/>
    <w:uiPriority w:val="0"/>
    <w:pPr>
      <w:tabs>
        <w:tab w:val="left" w:pos="420"/>
        <w:tab w:val="left" w:pos="2530"/>
      </w:tabs>
      <w:spacing w:after="50" w:afterLines="0"/>
      <w:ind w:left="2530" w:hanging="420"/>
    </w:pPr>
    <w:rPr>
      <w:rFonts w:ascii="Times New Roman" w:hAnsi="Times New Roman" w:eastAsia="宋体" w:cs="Times New Roman"/>
    </w:rPr>
  </w:style>
  <w:style w:type="paragraph" w:customStyle="1" w:styleId="210">
    <w:name w:val="样式 标题 4Chapter X.X.X.X. + 段后: 0.5 行1"/>
    <w:basedOn w:val="192"/>
    <w:qFormat/>
    <w:uiPriority w:val="0"/>
    <w:pPr>
      <w:numPr>
        <w:ilvl w:val="0"/>
        <w:numId w:val="5"/>
      </w:numPr>
      <w:spacing w:after="120" w:afterLines="0"/>
      <w:ind w:left="0" w:firstLine="0"/>
    </w:pPr>
    <w:rPr>
      <w:rFonts w:ascii="Times New Roman" w:hAnsi="Times New Roman" w:eastAsia="宋体" w:cs="Times New Roman"/>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样式 标题 3(A-3)sect1.2.3h3H3level_3PIM 3Level 3 HeadHeading..."/>
    <w:basedOn w:val="8"/>
    <w:qFormat/>
    <w:uiPriority w:val="0"/>
    <w:rPr>
      <w:rFonts w:ascii="Arial" w:hAnsi="Arial" w:eastAsia="宋体" w:cs="Times New Roman"/>
      <w:sz w:val="30"/>
    </w:rPr>
  </w:style>
  <w:style w:type="paragraph" w:customStyle="1" w:styleId="213">
    <w:name w:val="样式　标题4"/>
    <w:basedOn w:val="214"/>
    <w:next w:val="1"/>
    <w:qFormat/>
    <w:uiPriority w:val="0"/>
    <w:pPr>
      <w:numPr>
        <w:ilvl w:val="0"/>
        <w:numId w:val="0"/>
      </w:numPr>
      <w:tabs>
        <w:tab w:val="left" w:pos="420"/>
        <w:tab w:val="left" w:pos="600"/>
      </w:tabs>
      <w:ind w:left="425" w:hanging="425" w:hangingChars="200"/>
    </w:pPr>
    <w:rPr>
      <w:rFonts w:ascii="Times New Roman" w:hAnsi="Times New Roman" w:eastAsia="宋体" w:cs="Times New Roman"/>
    </w:rPr>
  </w:style>
  <w:style w:type="paragraph" w:customStyle="1" w:styleId="214">
    <w:name w:val="样式 标题 4Chapter X.X.X. + 段后: 0.5 行1"/>
    <w:basedOn w:val="9"/>
    <w:next w:val="9"/>
    <w:qFormat/>
    <w:uiPriority w:val="0"/>
    <w:pPr>
      <w:keepNext/>
      <w:numPr>
        <w:ilvl w:val="0"/>
        <w:numId w:val="5"/>
      </w:numPr>
      <w:adjustRightInd/>
      <w:spacing w:before="120" w:beforeLines="0" w:after="156" w:afterLines="50"/>
      <w:ind w:left="425" w:hanging="425"/>
      <w:jc w:val="left"/>
    </w:pPr>
    <w:rPr>
      <w:rFonts w:ascii="Times New Roman" w:hAnsi="Times New Roman" w:eastAsia="宋体" w:cs="宋体"/>
      <w:b/>
      <w:bCs/>
      <w:snapToGrid w:val="0"/>
      <w:kern w:val="0"/>
    </w:rPr>
  </w:style>
  <w:style w:type="paragraph" w:customStyle="1" w:styleId="215">
    <w:name w:val="sanxiang3"/>
    <w:basedOn w:val="1"/>
    <w:qFormat/>
    <w:uiPriority w:val="0"/>
    <w:pPr>
      <w:widowControl/>
      <w:tabs>
        <w:tab w:val="left" w:pos="686"/>
        <w:tab w:val="left" w:pos="728"/>
        <w:tab w:val="left" w:pos="966"/>
      </w:tabs>
      <w:spacing w:before="312" w:beforeLines="100" w:after="156" w:afterLines="0" w:line="240" w:lineRule="atLeast"/>
      <w:ind w:left="359" w:hanging="359" w:hangingChars="149"/>
      <w:jc w:val="left"/>
      <w:outlineLvl w:val="2"/>
    </w:pPr>
    <w:rPr>
      <w:rFonts w:ascii="宋体" w:hAnsi="宋体" w:eastAsia="黑体" w:cs="Times New Roman"/>
      <w:b/>
      <w:bCs/>
      <w:kern w:val="0"/>
      <w:sz w:val="24"/>
    </w:rPr>
  </w:style>
  <w:style w:type="paragraph" w:customStyle="1" w:styleId="216">
    <w:name w:val="表正文"/>
    <w:next w:val="12"/>
    <w:qFormat/>
    <w:uiPriority w:val="0"/>
    <w:pPr>
      <w:snapToGrid w:val="0"/>
      <w:spacing w:line="600" w:lineRule="atLeast"/>
      <w:ind w:firstLine="641"/>
      <w:jc w:val="both"/>
    </w:pPr>
    <w:rPr>
      <w:rFonts w:ascii="Times New Roman" w:hAnsi="Times New Roman" w:eastAsia="仿宋_GB2312" w:cs="Times New Roman"/>
      <w:sz w:val="32"/>
      <w:szCs w:val="22"/>
      <w:lang w:val="en-US" w:eastAsia="zh-CN" w:bidi="ar-SA"/>
    </w:rPr>
  </w:style>
  <w:style w:type="paragraph" w:customStyle="1" w:styleId="217">
    <w:name w:val="标题二级1"/>
    <w:basedOn w:val="7"/>
    <w:qFormat/>
    <w:uiPriority w:val="0"/>
    <w:pPr>
      <w:tabs>
        <w:tab w:val="left" w:pos="720"/>
      </w:tabs>
      <w:spacing w:before="0" w:beforeLines="0" w:after="0" w:afterLines="0" w:line="360" w:lineRule="auto"/>
      <w:ind w:left="576" w:hanging="576"/>
      <w:jc w:val="left"/>
    </w:pPr>
    <w:rPr>
      <w:rFonts w:ascii="Times New Roman" w:hAnsi="Times New Roman" w:eastAsia="宋体" w:cs="Times New Roman"/>
      <w:bCs w:val="0"/>
      <w:sz w:val="28"/>
      <w:szCs w:val="20"/>
    </w:rPr>
  </w:style>
  <w:style w:type="paragraph" w:customStyle="1" w:styleId="218">
    <w:name w:val="样式 标题 2Chapter X.X. Statementh22Header 2l2Level 2 Headhea..."/>
    <w:basedOn w:val="7"/>
    <w:qFormat/>
    <w:uiPriority w:val="0"/>
    <w:pPr>
      <w:keepLines w:val="0"/>
      <w:spacing w:before="120" w:beforeLines="0" w:after="156" w:afterLines="50" w:line="240" w:lineRule="auto"/>
      <w:jc w:val="left"/>
    </w:pPr>
    <w:rPr>
      <w:rFonts w:ascii="宋体" w:hAnsi="Times New Roman" w:eastAsia="宋体" w:cs="宋体"/>
      <w:snapToGrid w:val="0"/>
      <w:kern w:val="0"/>
      <w:sz w:val="24"/>
      <w:szCs w:val="24"/>
    </w:rPr>
  </w:style>
  <w:style w:type="paragraph" w:customStyle="1" w:styleId="219">
    <w:name w:val="列出段落1"/>
    <w:basedOn w:val="1"/>
    <w:qFormat/>
    <w:uiPriority w:val="0"/>
    <w:pPr>
      <w:ind w:firstLine="420" w:firstLineChars="200"/>
    </w:pPr>
    <w:rPr>
      <w:rFonts w:ascii="Calibri" w:hAnsi="Calibri" w:eastAsia="宋体" w:cs="Times New Roman"/>
      <w:szCs w:val="22"/>
    </w:rPr>
  </w:style>
  <w:style w:type="paragraph" w:customStyle="1" w:styleId="220">
    <w:name w:val="P2"/>
    <w:basedOn w:val="1"/>
    <w:qFormat/>
    <w:uiPriority w:val="0"/>
    <w:pPr>
      <w:widowControl/>
      <w:spacing w:before="240" w:beforeLines="0" w:line="240" w:lineRule="atLeast"/>
      <w:ind w:left="578"/>
      <w:jc w:val="left"/>
    </w:pPr>
    <w:rPr>
      <w:rFonts w:ascii="Times New Roman" w:hAnsi="Times New Roman" w:eastAsia="宋体" w:cs="Times New Roman"/>
      <w:b/>
      <w:kern w:val="0"/>
      <w:szCs w:val="21"/>
      <w:lang w:val="en-AU" w:eastAsia="en-US"/>
    </w:rPr>
  </w:style>
  <w:style w:type="paragraph" w:customStyle="1" w:styleId="221">
    <w:name w:val="font5"/>
    <w:basedOn w:val="1"/>
    <w:qFormat/>
    <w:uiPriority w:val="0"/>
    <w:pPr>
      <w:widowControl/>
      <w:spacing w:before="100" w:beforeLines="0" w:beforeAutospacing="1" w:after="100" w:afterLines="0" w:afterAutospacing="1"/>
      <w:jc w:val="left"/>
    </w:pPr>
    <w:rPr>
      <w:rFonts w:hint="eastAsia" w:ascii="宋体" w:hAnsi="宋体" w:eastAsia="宋体" w:cs="Times New Roman"/>
      <w:kern w:val="0"/>
      <w:sz w:val="18"/>
      <w:szCs w:val="18"/>
    </w:rPr>
  </w:style>
  <w:style w:type="paragraph" w:customStyle="1" w:styleId="222">
    <w:name w:val="保留正文"/>
    <w:basedOn w:val="12"/>
    <w:qFormat/>
    <w:uiPriority w:val="0"/>
    <w:pPr>
      <w:keepNext/>
      <w:spacing w:after="160" w:afterLines="0"/>
    </w:pPr>
    <w:rPr>
      <w:rFonts w:ascii="Times New Roman" w:hAnsi="Times New Roman" w:eastAsia="宋体" w:cs="Times New Roman"/>
      <w:szCs w:val="20"/>
    </w:rPr>
  </w:style>
  <w:style w:type="paragraph" w:customStyle="1" w:styleId="223">
    <w:name w:val="text4"/>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224">
    <w:name w:val="Tabletext"/>
    <w:basedOn w:val="1"/>
    <w:qFormat/>
    <w:uiPriority w:val="0"/>
    <w:pPr>
      <w:keepLines/>
      <w:spacing w:after="156" w:afterLines="50"/>
      <w:jc w:val="left"/>
    </w:pPr>
    <w:rPr>
      <w:rFonts w:ascii="宋体" w:hAnsi="Times New Roman" w:eastAsia="宋体" w:cs="Times New Roman"/>
      <w:snapToGrid w:val="0"/>
      <w:kern w:val="0"/>
      <w:szCs w:val="20"/>
    </w:rPr>
  </w:style>
  <w:style w:type="paragraph" w:customStyle="1" w:styleId="225">
    <w:name w:val="默认段落字体 Para Char Char Char Char Char Char Char"/>
    <w:basedOn w:val="1"/>
    <w:qFormat/>
    <w:uiPriority w:val="0"/>
    <w:rPr>
      <w:rFonts w:ascii="Times New Roman" w:hAnsi="Times New Roman" w:eastAsia="宋体" w:cs="Times New Roman"/>
      <w:szCs w:val="20"/>
    </w:rPr>
  </w:style>
  <w:style w:type="paragraph" w:customStyle="1" w:styleId="226">
    <w:name w:val="样式 样式 标题 4 + 段后: 0.5 行1"/>
    <w:basedOn w:val="192"/>
    <w:next w:val="43"/>
    <w:qFormat/>
    <w:uiPriority w:val="0"/>
    <w:pPr>
      <w:spacing w:after="120" w:afterLines="0"/>
    </w:pPr>
    <w:rPr>
      <w:rFonts w:ascii="Times New Roman" w:hAnsi="Times New Roman" w:eastAsia="宋体" w:cs="Times New Roman"/>
    </w:rPr>
  </w:style>
  <w:style w:type="paragraph" w:customStyle="1" w:styleId="227">
    <w:name w:val="Paragraph4"/>
    <w:basedOn w:val="1"/>
    <w:qFormat/>
    <w:uiPriority w:val="0"/>
    <w:pPr>
      <w:spacing w:before="80" w:beforeLines="0" w:after="156" w:afterLines="50"/>
      <w:ind w:left="2250"/>
    </w:pPr>
    <w:rPr>
      <w:rFonts w:ascii="宋体" w:hAnsi="Times New Roman" w:eastAsia="宋体" w:cs="Times New Roman"/>
      <w:snapToGrid w:val="0"/>
      <w:kern w:val="0"/>
      <w:szCs w:val="20"/>
    </w:rPr>
  </w:style>
  <w:style w:type="paragraph" w:customStyle="1" w:styleId="228">
    <w:name w:val="样式 标题 1 + 段后: 0.5 行"/>
    <w:basedOn w:val="6"/>
    <w:qFormat/>
    <w:uiPriority w:val="0"/>
    <w:pPr>
      <w:keepLines w:val="0"/>
      <w:tabs>
        <w:tab w:val="clear" w:pos="840"/>
      </w:tabs>
      <w:adjustRightInd/>
      <w:snapToGrid/>
      <w:spacing w:before="120" w:beforeLines="0" w:after="156" w:afterLines="50" w:line="240" w:lineRule="auto"/>
      <w:jc w:val="left"/>
    </w:pPr>
    <w:rPr>
      <w:rFonts w:ascii="Times New Roman" w:hAnsi="Times New Roman" w:eastAsia="宋体" w:cs="宋体"/>
      <w:bCs/>
      <w:snapToGrid w:val="0"/>
      <w:kern w:val="0"/>
      <w:sz w:val="28"/>
    </w:rPr>
  </w:style>
  <w:style w:type="paragraph" w:customStyle="1" w:styleId="229">
    <w:name w:val="S4-I-L15-U"/>
    <w:basedOn w:val="1"/>
    <w:qFormat/>
    <w:uiPriority w:val="0"/>
    <w:pPr>
      <w:spacing w:line="360" w:lineRule="auto"/>
    </w:pPr>
    <w:rPr>
      <w:rFonts w:ascii="Times New Roman" w:hAnsi="Times New Roman" w:eastAsia="宋体" w:cs="Times New Roman"/>
      <w:b/>
      <w:i/>
      <w:sz w:val="24"/>
      <w:u w:val="single"/>
    </w:rPr>
  </w:style>
  <w:style w:type="paragraph" w:customStyle="1" w:styleId="230">
    <w:name w:val="文本框内文字"/>
    <w:basedOn w:val="1"/>
    <w:qFormat/>
    <w:uiPriority w:val="0"/>
    <w:pPr>
      <w:spacing w:line="0" w:lineRule="atLeast"/>
    </w:pPr>
    <w:rPr>
      <w:rFonts w:ascii="Times New Roman" w:hAnsi="Times New Roman" w:eastAsia="仿宋_GB2312" w:cs="Times New Roman"/>
      <w:sz w:val="22"/>
    </w:rPr>
  </w:style>
  <w:style w:type="paragraph" w:customStyle="1" w:styleId="231">
    <w:name w:val="样式 样式3 + 宋体 五号 Char Char Char"/>
    <w:basedOn w:val="1"/>
    <w:qFormat/>
    <w:uiPriority w:val="0"/>
    <w:pPr>
      <w:keepNext/>
      <w:keepLines/>
      <w:tabs>
        <w:tab w:val="left" w:pos="1680"/>
      </w:tabs>
      <w:ind w:left="1680" w:hanging="420"/>
      <w:jc w:val="left"/>
      <w:outlineLvl w:val="7"/>
    </w:pPr>
    <w:rPr>
      <w:rFonts w:ascii="宋体" w:hAnsi="宋体" w:eastAsia="宋体" w:cs="Times New Roman"/>
      <w:b/>
      <w:bCs/>
    </w:rPr>
  </w:style>
  <w:style w:type="paragraph" w:customStyle="1" w:styleId="232">
    <w:name w:val="五号正文项目（标准）"/>
    <w:basedOn w:val="1"/>
    <w:qFormat/>
    <w:uiPriority w:val="0"/>
    <w:pPr>
      <w:tabs>
        <w:tab w:val="left" w:pos="360"/>
        <w:tab w:val="left" w:pos="900"/>
      </w:tabs>
      <w:spacing w:line="400" w:lineRule="exact"/>
      <w:ind w:left="900" w:hanging="540"/>
      <w:jc w:val="left"/>
    </w:pPr>
    <w:rPr>
      <w:rFonts w:ascii="宋体" w:hAnsi="宋体" w:eastAsia="宋体" w:cs="Times New Roman"/>
      <w:color w:val="000000"/>
      <w:szCs w:val="20"/>
    </w:rPr>
  </w:style>
  <w:style w:type="paragraph" w:customStyle="1" w:styleId="2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4">
    <w:name w:val="样式 标题1"/>
    <w:basedOn w:val="228"/>
    <w:next w:val="235"/>
    <w:qFormat/>
    <w:uiPriority w:val="0"/>
    <w:pPr>
      <w:tabs>
        <w:tab w:val="left" w:pos="1270"/>
      </w:tabs>
      <w:spacing w:after="50" w:afterLines="0"/>
      <w:ind w:left="1270" w:hanging="420"/>
    </w:pPr>
    <w:rPr>
      <w:rFonts w:ascii="Times New Roman" w:hAnsi="Times New Roman" w:eastAsia="宋体" w:cs="Times New Roman"/>
      <w:bCs w:val="0"/>
      <w:sz w:val="32"/>
    </w:rPr>
  </w:style>
  <w:style w:type="paragraph" w:customStyle="1" w:styleId="235">
    <w:name w:val="最新标题2"/>
    <w:basedOn w:val="236"/>
    <w:next w:val="206"/>
    <w:qFormat/>
    <w:uiPriority w:val="0"/>
    <w:pPr>
      <w:tabs>
        <w:tab w:val="left" w:pos="600"/>
      </w:tabs>
      <w:spacing w:after="120" w:afterLines="0"/>
    </w:pPr>
    <w:rPr>
      <w:rFonts w:ascii="Times New Roman" w:hAnsi="Times New Roman" w:eastAsia="宋体" w:cs="Times New Roman"/>
    </w:rPr>
  </w:style>
  <w:style w:type="paragraph" w:customStyle="1" w:styleId="236">
    <w:name w:val="样式 标题 2"/>
    <w:basedOn w:val="7"/>
    <w:next w:val="206"/>
    <w:qFormat/>
    <w:uiPriority w:val="0"/>
    <w:pPr>
      <w:keepLines w:val="0"/>
      <w:tabs>
        <w:tab w:val="left" w:pos="600"/>
      </w:tabs>
      <w:spacing w:before="120" w:beforeLines="0" w:after="156" w:afterLines="50" w:line="240" w:lineRule="auto"/>
      <w:ind w:left="380" w:hanging="380"/>
      <w:jc w:val="left"/>
    </w:pPr>
    <w:rPr>
      <w:rFonts w:ascii="宋体" w:hAnsi="Times New Roman" w:eastAsia="宋体" w:cs="宋体"/>
      <w:snapToGrid w:val="0"/>
      <w:kern w:val="0"/>
      <w:sz w:val="28"/>
      <w:szCs w:val="20"/>
    </w:rPr>
  </w:style>
  <w:style w:type="paragraph" w:customStyle="1" w:styleId="237">
    <w:name w:val="S4-I-U-L15-No-dot"/>
    <w:basedOn w:val="1"/>
    <w:qFormat/>
    <w:uiPriority w:val="0"/>
    <w:pPr>
      <w:tabs>
        <w:tab w:val="left" w:pos="1112"/>
        <w:tab w:val="left" w:pos="1275"/>
      </w:tabs>
      <w:spacing w:after="120" w:afterLines="0" w:line="360" w:lineRule="auto"/>
      <w:ind w:left="1112" w:hanging="420"/>
    </w:pPr>
    <w:rPr>
      <w:rFonts w:ascii="Times New Roman" w:hAnsi="Times New Roman" w:eastAsia="宋体" w:cs="Times New Roman"/>
      <w:i/>
      <w:sz w:val="24"/>
      <w:u w:val="single"/>
    </w:rPr>
  </w:style>
  <w:style w:type="paragraph" w:customStyle="1" w:styleId="238">
    <w:name w:val="页面边线"/>
    <w:basedOn w:val="1"/>
    <w:qFormat/>
    <w:uiPriority w:val="0"/>
    <w:pPr>
      <w:adjustRightInd w:val="0"/>
      <w:spacing w:line="360" w:lineRule="atLeast"/>
      <w:textAlignment w:val="baseline"/>
    </w:pPr>
    <w:rPr>
      <w:rFonts w:ascii="Century" w:hAnsi="Century" w:eastAsia="宋体" w:cs="Times New Roman"/>
      <w:kern w:val="0"/>
      <w:szCs w:val="20"/>
      <w:lang w:eastAsia="ja-JP"/>
    </w:rPr>
  </w:style>
  <w:style w:type="paragraph" w:customStyle="1" w:styleId="239">
    <w:name w:val="最新标题1"/>
    <w:basedOn w:val="234"/>
    <w:next w:val="235"/>
    <w:qFormat/>
    <w:uiPriority w:val="0"/>
    <w:pPr>
      <w:tabs>
        <w:tab w:val="left" w:pos="600"/>
        <w:tab w:val="left" w:pos="1140"/>
        <w:tab w:val="clear" w:pos="1270"/>
      </w:tabs>
      <w:spacing w:after="120" w:afterLines="0"/>
      <w:ind w:left="1140" w:hanging="720"/>
    </w:pPr>
    <w:rPr>
      <w:rFonts w:ascii="Times New Roman" w:hAnsi="Times New Roman" w:eastAsia="宋体" w:cs="Times New Roman"/>
      <w:bCs/>
    </w:rPr>
  </w:style>
  <w:style w:type="paragraph" w:customStyle="1" w:styleId="2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S4-L15-C"/>
    <w:basedOn w:val="1"/>
    <w:qFormat/>
    <w:uiPriority w:val="0"/>
    <w:pPr>
      <w:spacing w:after="120" w:afterLines="0" w:line="360" w:lineRule="auto"/>
      <w:jc w:val="center"/>
    </w:pPr>
    <w:rPr>
      <w:rFonts w:ascii="Times New Roman" w:hAnsi="Times New Roman" w:eastAsia="宋体" w:cs="Times New Roman"/>
      <w:szCs w:val="21"/>
    </w:rPr>
  </w:style>
  <w:style w:type="paragraph" w:customStyle="1" w:styleId="242">
    <w:name w:val="首行缩进"/>
    <w:basedOn w:val="1"/>
    <w:qFormat/>
    <w:uiPriority w:val="0"/>
    <w:pPr>
      <w:widowControl/>
      <w:tabs>
        <w:tab w:val="left" w:pos="822"/>
        <w:tab w:val="left" w:pos="1296"/>
      </w:tabs>
      <w:snapToGrid w:val="0"/>
      <w:spacing w:before="40" w:beforeLines="0" w:after="40" w:afterLines="0" w:line="300" w:lineRule="atLeast"/>
      <w:ind w:left="1296" w:hanging="1296"/>
    </w:pPr>
    <w:rPr>
      <w:rFonts w:ascii="Arial" w:hAnsi="Arial" w:eastAsia="宋体" w:cs="Times New Roman"/>
      <w:kern w:val="0"/>
      <w:szCs w:val="20"/>
    </w:rPr>
  </w:style>
  <w:style w:type="paragraph" w:customStyle="1" w:styleId="243">
    <w:name w:val="S4-L15-No"/>
    <w:basedOn w:val="184"/>
    <w:qFormat/>
    <w:uiPriority w:val="0"/>
    <w:pPr>
      <w:numPr>
        <w:ilvl w:val="0"/>
        <w:numId w:val="0"/>
      </w:numPr>
      <w:tabs>
        <w:tab w:val="left" w:pos="720"/>
      </w:tabs>
      <w:ind w:left="720" w:hanging="720"/>
    </w:pPr>
    <w:rPr>
      <w:rFonts w:ascii="Times New Roman" w:hAnsi="Times New Roman" w:eastAsia="宋体" w:cs="Times New Roman"/>
    </w:rPr>
  </w:style>
  <w:style w:type="paragraph" w:customStyle="1" w:styleId="244">
    <w:name w:val="Char Char3 Char Char Char Char"/>
    <w:basedOn w:val="1"/>
    <w:qFormat/>
    <w:uiPriority w:val="0"/>
    <w:pPr>
      <w:widowControl/>
      <w:spacing w:after="160" w:afterLines="0" w:line="360" w:lineRule="auto"/>
      <w:jc w:val="left"/>
    </w:pPr>
    <w:rPr>
      <w:rFonts w:ascii="Verdana" w:hAnsi="Verdana" w:eastAsia="宋体" w:cs="Times New Roman"/>
      <w:kern w:val="0"/>
      <w:sz w:val="24"/>
      <w:szCs w:val="20"/>
      <w:lang w:eastAsia="en-US"/>
    </w:rPr>
  </w:style>
  <w:style w:type="paragraph" w:customStyle="1" w:styleId="245">
    <w:name w:val="样式 标题 3Chapter X.X.X. + 段后: 0.5 行1"/>
    <w:basedOn w:val="8"/>
    <w:next w:val="1"/>
    <w:qFormat/>
    <w:uiPriority w:val="0"/>
    <w:pPr>
      <w:keepLines w:val="0"/>
      <w:spacing w:before="120" w:beforeLines="0" w:after="156" w:afterLines="50" w:line="240" w:lineRule="auto"/>
      <w:jc w:val="left"/>
    </w:pPr>
    <w:rPr>
      <w:rFonts w:ascii="宋体" w:hAnsi="Times New Roman" w:eastAsia="宋体" w:cs="宋体"/>
      <w:snapToGrid w:val="0"/>
      <w:kern w:val="0"/>
      <w:sz w:val="24"/>
      <w:szCs w:val="20"/>
    </w:rPr>
  </w:style>
  <w:style w:type="paragraph" w:customStyle="1" w:styleId="246">
    <w:name w:val="纯文本2"/>
    <w:basedOn w:val="1"/>
    <w:qFormat/>
    <w:uiPriority w:val="0"/>
    <w:pPr>
      <w:adjustRightInd w:val="0"/>
      <w:snapToGrid w:val="0"/>
      <w:spacing w:line="288" w:lineRule="auto"/>
      <w:ind w:firstLine="200" w:firstLineChars="200"/>
    </w:pPr>
    <w:rPr>
      <w:rFonts w:ascii="宋体" w:hAnsi="Courier New"/>
    </w:rPr>
  </w:style>
  <w:style w:type="paragraph" w:styleId="247">
    <w:name w:val="No Spacing"/>
    <w:link w:val="248"/>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8">
    <w:name w:val="无间隔 字符"/>
    <w:link w:val="247"/>
    <w:qFormat/>
    <w:uiPriority w:val="1"/>
    <w:rPr>
      <w:rFonts w:ascii="Calibri" w:hAnsi="Calibri"/>
      <w:kern w:val="2"/>
      <w:sz w:val="21"/>
      <w:szCs w:val="22"/>
      <w:lang w:bidi="ar-SA"/>
    </w:rPr>
  </w:style>
  <w:style w:type="paragraph" w:customStyle="1" w:styleId="249">
    <w:name w:val="P3"/>
    <w:basedOn w:val="1"/>
    <w:qFormat/>
    <w:uiPriority w:val="0"/>
    <w:pPr>
      <w:widowControl/>
      <w:spacing w:before="240" w:beforeLines="0" w:line="240" w:lineRule="atLeast"/>
      <w:ind w:left="1152"/>
      <w:jc w:val="left"/>
    </w:pPr>
    <w:rPr>
      <w:rFonts w:ascii="Times New Roman" w:hAnsi="Times New Roman" w:eastAsia="宋体" w:cs="Times New Roman"/>
      <w:b/>
      <w:kern w:val="0"/>
      <w:szCs w:val="21"/>
      <w:lang w:val="en-AU" w:eastAsia="en-US"/>
    </w:rPr>
  </w:style>
  <w:style w:type="paragraph" w:customStyle="1" w:styleId="250">
    <w:name w:val="样式 标题 2Chapter X.X. Statementh22Header 2l2Level 2 Headhea...1"/>
    <w:basedOn w:val="8"/>
    <w:qFormat/>
    <w:uiPriority w:val="0"/>
    <w:pPr>
      <w:keepLines w:val="0"/>
      <w:tabs>
        <w:tab w:val="left" w:pos="1140"/>
      </w:tabs>
      <w:spacing w:before="120" w:beforeLines="0" w:after="156" w:afterLines="50" w:line="240" w:lineRule="auto"/>
      <w:jc w:val="left"/>
    </w:pPr>
    <w:rPr>
      <w:rFonts w:ascii="宋体" w:hAnsi="Times New Roman" w:eastAsia="宋体" w:cs="宋体"/>
      <w:snapToGrid w:val="0"/>
      <w:kern w:val="0"/>
      <w:sz w:val="24"/>
      <w:szCs w:val="20"/>
    </w:rPr>
  </w:style>
  <w:style w:type="paragraph" w:customStyle="1" w:styleId="251">
    <w:name w:val="纯文本1"/>
    <w:basedOn w:val="188"/>
    <w:qFormat/>
    <w:uiPriority w:val="0"/>
    <w:pPr>
      <w:widowControl/>
      <w:numPr>
        <w:ilvl w:val="0"/>
        <w:numId w:val="0"/>
      </w:numPr>
      <w:tabs>
        <w:tab w:val="clear" w:pos="1800"/>
      </w:tabs>
      <w:spacing w:before="0" w:after="0" w:line="240" w:lineRule="auto"/>
    </w:pPr>
    <w:rPr>
      <w:rFonts w:hint="eastAsia" w:ascii="宋体" w:hAnsi="Courier New"/>
      <w:sz w:val="21"/>
    </w:rPr>
  </w:style>
  <w:style w:type="paragraph" w:customStyle="1" w:styleId="252">
    <w:name w:val="样式 样式 正文文本缩进 + 仿宋_GB2312 小四 首行缩进:  0 厘米 行距: 1.5 倍行距 + (中文) 仿宋_GB..."/>
    <w:basedOn w:val="200"/>
    <w:qFormat/>
    <w:uiPriority w:val="0"/>
    <w:pPr>
      <w:ind w:firstLine="480" w:firstLineChars="200"/>
    </w:pPr>
    <w:rPr>
      <w:rFonts w:ascii="Times New Roman" w:hAnsi="Times New Roman" w:eastAsia="宋体" w:cs="Times New Roman"/>
    </w:rPr>
  </w:style>
  <w:style w:type="paragraph" w:customStyle="1" w:styleId="253">
    <w:name w:val="样式7"/>
    <w:basedOn w:val="1"/>
    <w:qFormat/>
    <w:uiPriority w:val="0"/>
    <w:pPr>
      <w:adjustRightInd w:val="0"/>
      <w:spacing w:before="156" w:beforeLines="50" w:after="156" w:afterLines="50" w:line="360" w:lineRule="auto"/>
      <w:ind w:firstLine="669"/>
      <w:textAlignment w:val="baseline"/>
    </w:pPr>
    <w:rPr>
      <w:rFonts w:ascii="宋体" w:hAnsi="宋体" w:eastAsia="宋体" w:cs="Times New Roman"/>
      <w:kern w:val="0"/>
      <w:sz w:val="28"/>
      <w:szCs w:val="20"/>
    </w:rPr>
  </w:style>
  <w:style w:type="paragraph" w:customStyle="1" w:styleId="254">
    <w:name w:val="样式 左侧:  1 厘米 段后: 0.5 行"/>
    <w:basedOn w:val="1"/>
    <w:qFormat/>
    <w:uiPriority w:val="0"/>
    <w:pPr>
      <w:spacing w:after="156" w:afterLines="50"/>
      <w:ind w:firstLine="425"/>
      <w:jc w:val="left"/>
    </w:pPr>
    <w:rPr>
      <w:rFonts w:ascii="宋体" w:hAnsi="Times New Roman" w:eastAsia="宋体" w:cs="宋体"/>
      <w:snapToGrid w:val="0"/>
      <w:kern w:val="0"/>
      <w:szCs w:val="20"/>
    </w:rPr>
  </w:style>
  <w:style w:type="paragraph" w:customStyle="1" w:styleId="255">
    <w:name w:val="样式6"/>
    <w:basedOn w:val="1"/>
    <w:qFormat/>
    <w:uiPriority w:val="0"/>
    <w:pPr>
      <w:adjustRightInd w:val="0"/>
      <w:spacing w:before="156" w:beforeLines="50" w:after="156" w:afterLines="50"/>
      <w:ind w:firstLine="669"/>
      <w:textAlignment w:val="baseline"/>
    </w:pPr>
    <w:rPr>
      <w:rFonts w:ascii="宋体" w:hAnsi="宋体" w:eastAsia="宋体" w:cs="Times New Roman"/>
      <w:kern w:val="0"/>
      <w:sz w:val="28"/>
      <w:szCs w:val="20"/>
    </w:rPr>
  </w:style>
  <w:style w:type="paragraph" w:customStyle="1" w:styleId="256">
    <w:name w:val="IBM 正文"/>
    <w:basedOn w:val="1"/>
    <w:qFormat/>
    <w:uiPriority w:val="0"/>
    <w:pPr>
      <w:spacing w:line="360" w:lineRule="atLeast"/>
    </w:pPr>
    <w:rPr>
      <w:rFonts w:ascii="Times New Roman" w:hAnsi="Times New Roman" w:eastAsia="宋体" w:cs="Times New Roman"/>
      <w:sz w:val="24"/>
      <w:szCs w:val="20"/>
    </w:rPr>
  </w:style>
  <w:style w:type="paragraph" w:customStyle="1" w:styleId="257">
    <w:name w:val="标准标题1"/>
    <w:basedOn w:val="6"/>
    <w:qFormat/>
    <w:uiPriority w:val="0"/>
    <w:pPr>
      <w:pageBreakBefore/>
      <w:tabs>
        <w:tab w:val="left" w:pos="1080"/>
        <w:tab w:val="clear" w:pos="840"/>
      </w:tabs>
      <w:adjustRightInd/>
      <w:snapToGrid/>
      <w:spacing w:before="340" w:beforeLines="0" w:after="330" w:afterLines="0" w:line="576" w:lineRule="auto"/>
      <w:ind w:left="425" w:hanging="425"/>
    </w:pPr>
    <w:rPr>
      <w:rFonts w:ascii="Times New Roman" w:hAnsi="Times New Roman" w:eastAsia="仿宋_GB2312" w:cs="Times New Roman"/>
      <w:bCs/>
      <w:sz w:val="32"/>
      <w:szCs w:val="44"/>
    </w:rPr>
  </w:style>
  <w:style w:type="paragraph" w:customStyle="1" w:styleId="258">
    <w:name w:val="标题5"/>
    <w:basedOn w:val="1"/>
    <w:link w:val="259"/>
    <w:qFormat/>
    <w:uiPriority w:val="0"/>
    <w:pPr>
      <w:adjustRightInd w:val="0"/>
      <w:snapToGrid w:val="0"/>
      <w:spacing w:line="310" w:lineRule="atLeast"/>
      <w:ind w:firstLine="425"/>
    </w:pPr>
    <w:rPr>
      <w:rFonts w:ascii="Arial" w:hAnsi="Arial" w:eastAsia="黑体"/>
      <w:szCs w:val="20"/>
    </w:rPr>
  </w:style>
  <w:style w:type="character" w:customStyle="1" w:styleId="259">
    <w:name w:val="标题5 Char Char"/>
    <w:link w:val="258"/>
    <w:qFormat/>
    <w:uiPriority w:val="0"/>
    <w:rPr>
      <w:rFonts w:ascii="Arial" w:hAnsi="Arial" w:eastAsia="黑体"/>
      <w:kern w:val="2"/>
      <w:sz w:val="21"/>
    </w:rPr>
  </w:style>
  <w:style w:type="paragraph" w:customStyle="1" w:styleId="260">
    <w:name w:val="样式 标题 3Chapter X.X.X. + 五号 段后: 0.5 行"/>
    <w:basedOn w:val="8"/>
    <w:qFormat/>
    <w:uiPriority w:val="0"/>
    <w:pPr>
      <w:keepLines w:val="0"/>
      <w:spacing w:before="120" w:beforeLines="0" w:after="156" w:afterLines="50" w:line="240" w:lineRule="auto"/>
      <w:jc w:val="left"/>
    </w:pPr>
    <w:rPr>
      <w:rFonts w:ascii="宋体" w:hAnsi="Times New Roman" w:eastAsia="宋体" w:cs="宋体"/>
      <w:snapToGrid w:val="0"/>
      <w:kern w:val="0"/>
      <w:sz w:val="21"/>
      <w:szCs w:val="20"/>
    </w:rPr>
  </w:style>
  <w:style w:type="paragraph" w:customStyle="1" w:styleId="261">
    <w:name w:val="样式 标题 1 + 五号1 Char Char Char Char Char Char Char Char Char Char Char Char Char Char Char Char Char"/>
    <w:basedOn w:val="6"/>
    <w:qFormat/>
    <w:uiPriority w:val="0"/>
    <w:pPr>
      <w:tabs>
        <w:tab w:val="clear" w:pos="840"/>
      </w:tabs>
      <w:adjustRightInd/>
      <w:snapToGrid/>
      <w:spacing w:line="480" w:lineRule="auto"/>
    </w:pPr>
    <w:rPr>
      <w:rFonts w:ascii="Times New Roman" w:hAnsi="Times New Roman" w:eastAsia="宋体" w:cs="Times New Roman"/>
      <w:bCs/>
      <w:sz w:val="21"/>
      <w:szCs w:val="44"/>
    </w:rPr>
  </w:style>
  <w:style w:type="paragraph" w:customStyle="1" w:styleId="262">
    <w:name w:val="怡3"/>
    <w:basedOn w:val="8"/>
    <w:qFormat/>
    <w:uiPriority w:val="0"/>
    <w:pPr>
      <w:tabs>
        <w:tab w:val="left" w:pos="857"/>
      </w:tabs>
      <w:spacing w:before="240" w:after="240" w:line="480" w:lineRule="auto"/>
      <w:ind w:left="426"/>
      <w:jc w:val="left"/>
    </w:pPr>
    <w:rPr>
      <w:rFonts w:ascii="宋体" w:hAnsi="宋体" w:eastAsia="宋体" w:cs="Times New Roman"/>
      <w:sz w:val="21"/>
      <w:szCs w:val="22"/>
    </w:rPr>
  </w:style>
  <w:style w:type="paragraph" w:customStyle="1" w:styleId="263">
    <w:name w:val="P1"/>
    <w:basedOn w:val="1"/>
    <w:qFormat/>
    <w:uiPriority w:val="0"/>
    <w:pPr>
      <w:widowControl/>
      <w:spacing w:before="240" w:beforeLines="0" w:line="240" w:lineRule="atLeast"/>
      <w:jc w:val="left"/>
    </w:pPr>
    <w:rPr>
      <w:rFonts w:ascii="Times New Roman" w:hAnsi="Times New Roman" w:eastAsia="宋体" w:cs="Times New Roman"/>
      <w:b/>
      <w:kern w:val="0"/>
      <w:szCs w:val="21"/>
      <w:lang w:val="en-AU" w:eastAsia="en-US"/>
    </w:rPr>
  </w:style>
  <w:style w:type="paragraph" w:customStyle="1" w:styleId="264">
    <w:name w:val="表格标题"/>
    <w:basedOn w:val="265"/>
    <w:link w:val="266"/>
    <w:qFormat/>
    <w:uiPriority w:val="0"/>
    <w:pPr>
      <w:tabs>
        <w:tab w:val="left" w:pos="900"/>
      </w:tabs>
      <w:jc w:val="center"/>
    </w:pPr>
    <w:rPr>
      <w:b/>
      <w:bCs/>
      <w:i/>
      <w:iCs/>
    </w:rPr>
  </w:style>
  <w:style w:type="paragraph" w:customStyle="1" w:styleId="265">
    <w:name w:val="表格内容"/>
    <w:basedOn w:val="12"/>
    <w:qFormat/>
    <w:uiPriority w:val="0"/>
    <w:pPr>
      <w:suppressLineNumbers/>
      <w:suppressAutoHyphens/>
    </w:pPr>
    <w:rPr>
      <w:rFonts w:ascii="Times New Roman" w:hAnsi="Times New Roman" w:eastAsia="宋体" w:cs="Times New Roman"/>
      <w:kern w:val="1"/>
      <w:lang w:eastAsia="ar-SA"/>
    </w:rPr>
  </w:style>
  <w:style w:type="character" w:customStyle="1" w:styleId="266">
    <w:name w:val="表格标题 Char Char"/>
    <w:link w:val="264"/>
    <w:qFormat/>
    <w:uiPriority w:val="0"/>
    <w:rPr>
      <w:b/>
      <w:bCs/>
      <w:i/>
      <w:iCs/>
      <w:kern w:val="1"/>
      <w:sz w:val="21"/>
      <w:szCs w:val="24"/>
      <w:lang w:eastAsia="ar-SA"/>
    </w:rPr>
  </w:style>
  <w:style w:type="paragraph" w:customStyle="1" w:styleId="267">
    <w:name w:val="默认段落字体 Para Char"/>
    <w:basedOn w:val="1"/>
    <w:qFormat/>
    <w:uiPriority w:val="0"/>
    <w:rPr>
      <w:rFonts w:ascii="Times New Roman" w:hAnsi="Times New Roman" w:eastAsia="宋体" w:cs="Times New Roman"/>
      <w:szCs w:val="20"/>
    </w:rPr>
  </w:style>
  <w:style w:type="paragraph" w:customStyle="1" w:styleId="268">
    <w:name w:val="标题1"/>
    <w:basedOn w:val="37"/>
    <w:qFormat/>
    <w:uiPriority w:val="0"/>
    <w:pPr>
      <w:widowControl w:val="0"/>
      <w:overflowPunct/>
      <w:autoSpaceDE/>
      <w:autoSpaceDN/>
      <w:adjustRightInd/>
      <w:spacing w:line="360" w:lineRule="auto"/>
      <w:jc w:val="both"/>
      <w:textAlignment w:val="auto"/>
    </w:pPr>
    <w:rPr>
      <w:rFonts w:ascii="Times New Roman" w:hAnsi="Times New Roman" w:eastAsia="宋体" w:cs="Times New Roman"/>
      <w:b/>
      <w:kern w:val="2"/>
      <w:sz w:val="30"/>
      <w:szCs w:val="20"/>
    </w:rPr>
  </w:style>
  <w:style w:type="paragraph" w:customStyle="1" w:styleId="269">
    <w:name w:val="huide00"/>
    <w:basedOn w:val="1"/>
    <w:qFormat/>
    <w:uiPriority w:val="0"/>
    <w:pPr>
      <w:widowControl/>
      <w:spacing w:before="100" w:beforeLines="0" w:beforeAutospacing="1" w:after="100" w:afterLines="0" w:afterAutospacing="1"/>
      <w:jc w:val="left"/>
    </w:pPr>
    <w:rPr>
      <w:rFonts w:ascii="Arial" w:hAnsi="Arial" w:eastAsia="Arial Unicode MS" w:cs="Arial"/>
      <w:color w:val="666666"/>
      <w:kern w:val="0"/>
      <w:sz w:val="18"/>
      <w:szCs w:val="18"/>
    </w:rPr>
  </w:style>
  <w:style w:type="paragraph" w:customStyle="1" w:styleId="270">
    <w:name w:val="标准标题2"/>
    <w:basedOn w:val="7"/>
    <w:qFormat/>
    <w:uiPriority w:val="0"/>
    <w:pPr>
      <w:spacing w:line="360" w:lineRule="auto"/>
    </w:pPr>
    <w:rPr>
      <w:rFonts w:ascii="Times New Roman" w:hAnsi="Times New Roman" w:eastAsia="仿宋_GB2312" w:cs="Times New Roman"/>
      <w:bCs w:val="0"/>
      <w:sz w:val="28"/>
    </w:rPr>
  </w:style>
  <w:style w:type="paragraph" w:customStyle="1" w:styleId="271">
    <w:name w:val="c1"/>
    <w:basedOn w:val="1"/>
    <w:qFormat/>
    <w:uiPriority w:val="0"/>
    <w:pPr>
      <w:widowControl/>
      <w:spacing w:line="250" w:lineRule="atLeast"/>
      <w:jc w:val="left"/>
    </w:pPr>
    <w:rPr>
      <w:rFonts w:ascii="宋体" w:hAnsi="宋体" w:eastAsia="宋体" w:cs="宋体"/>
      <w:b/>
      <w:bCs/>
      <w:kern w:val="0"/>
      <w:sz w:val="24"/>
    </w:rPr>
  </w:style>
  <w:style w:type="paragraph" w:customStyle="1" w:styleId="272">
    <w:name w:val="Bullet2"/>
    <w:basedOn w:val="1"/>
    <w:qFormat/>
    <w:uiPriority w:val="0"/>
    <w:pPr>
      <w:numPr>
        <w:ilvl w:val="0"/>
        <w:numId w:val="6"/>
      </w:numPr>
      <w:spacing w:after="156" w:afterLines="50"/>
      <w:ind w:left="1440"/>
      <w:jc w:val="left"/>
    </w:pPr>
    <w:rPr>
      <w:rFonts w:ascii="宋体" w:hAnsi="Times New Roman" w:eastAsia="宋体" w:cs="Times New Roman"/>
      <w:snapToGrid w:val="0"/>
      <w:color w:val="000080"/>
      <w:kern w:val="0"/>
      <w:szCs w:val="20"/>
    </w:rPr>
  </w:style>
  <w:style w:type="paragraph" w:customStyle="1" w:styleId="273">
    <w:name w:val="怡4"/>
    <w:basedOn w:val="9"/>
    <w:qFormat/>
    <w:uiPriority w:val="0"/>
    <w:pPr>
      <w:keepNext/>
      <w:keepLines/>
      <w:tabs>
        <w:tab w:val="left" w:pos="431"/>
      </w:tabs>
      <w:adjustRightInd/>
      <w:spacing w:before="120" w:after="120" w:line="480" w:lineRule="auto"/>
      <w:jc w:val="left"/>
    </w:pPr>
    <w:rPr>
      <w:rFonts w:ascii="Cambria" w:hAnsi="Cambria" w:eastAsia="宋体" w:cs="Times New Roman"/>
      <w:b/>
      <w:bCs/>
      <w:kern w:val="2"/>
      <w:szCs w:val="22"/>
    </w:rPr>
  </w:style>
  <w:style w:type="paragraph" w:customStyle="1" w:styleId="274">
    <w:name w:val="二级项目符号"/>
    <w:basedOn w:val="1"/>
    <w:qFormat/>
    <w:uiPriority w:val="0"/>
    <w:pPr>
      <w:widowControl/>
      <w:numPr>
        <w:ilvl w:val="4"/>
        <w:numId w:val="7"/>
      </w:numPr>
      <w:tabs>
        <w:tab w:val="left" w:pos="360"/>
        <w:tab w:val="clear" w:pos="2040"/>
      </w:tabs>
      <w:spacing w:line="360" w:lineRule="auto"/>
      <w:ind w:left="0" w:firstLine="0"/>
    </w:pPr>
    <w:rPr>
      <w:rFonts w:ascii="Times New Roman" w:hAnsi="Times New Roman" w:eastAsia="宋体" w:cs="Times New Roman"/>
      <w:kern w:val="0"/>
      <w:sz w:val="24"/>
      <w:szCs w:val="20"/>
    </w:rPr>
  </w:style>
  <w:style w:type="paragraph" w:customStyle="1" w:styleId="275">
    <w:name w:val="Char Char Char Char Char Char"/>
    <w:basedOn w:val="1"/>
    <w:next w:val="6"/>
    <w:qFormat/>
    <w:uiPriority w:val="0"/>
    <w:pPr>
      <w:widowControl/>
      <w:spacing w:before="100" w:beforeLines="0" w:beforeAutospacing="1" w:after="100" w:afterLines="0" w:afterAutospacing="1" w:line="420" w:lineRule="auto"/>
      <w:jc w:val="left"/>
      <w:textAlignment w:val="top"/>
    </w:pPr>
    <w:rPr>
      <w:rFonts w:ascii="Times New Roman" w:hAnsi="Times New Roman" w:eastAsia="宋体" w:cs="Times New Roman"/>
      <w:szCs w:val="20"/>
    </w:rPr>
  </w:style>
  <w:style w:type="paragraph" w:customStyle="1" w:styleId="276">
    <w:name w:val="默认段落字体 Para Char Char Char Char Char Char Char Char Char1 Char Char Char Char Char Char Char"/>
    <w:basedOn w:val="24"/>
    <w:qFormat/>
    <w:uiPriority w:val="0"/>
    <w:rPr>
      <w:rFonts w:ascii="Tahoma" w:hAnsi="Tahoma" w:eastAsia="宋体" w:cs="Times New Roman"/>
      <w:sz w:val="24"/>
    </w:rPr>
  </w:style>
  <w:style w:type="paragraph" w:customStyle="1" w:styleId="277">
    <w:name w:val="Paragraph1"/>
    <w:basedOn w:val="1"/>
    <w:qFormat/>
    <w:uiPriority w:val="0"/>
    <w:pPr>
      <w:spacing w:before="80" w:beforeLines="0" w:after="156" w:afterLines="50"/>
    </w:pPr>
    <w:rPr>
      <w:rFonts w:ascii="宋体" w:hAnsi="Times New Roman" w:eastAsia="宋体" w:cs="Times New Roman"/>
      <w:snapToGrid w:val="0"/>
      <w:kern w:val="0"/>
      <w:szCs w:val="20"/>
    </w:rPr>
  </w:style>
  <w:style w:type="paragraph" w:customStyle="1" w:styleId="278">
    <w:name w:val="此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279">
    <w:name w:val="Char"/>
    <w:basedOn w:val="1"/>
    <w:qFormat/>
    <w:uiPriority w:val="0"/>
    <w:rPr>
      <w:rFonts w:ascii="Times New Roman" w:hAnsi="Times New Roman" w:eastAsia="宋体" w:cs="Times New Roman"/>
      <w:szCs w:val="20"/>
    </w:rPr>
  </w:style>
  <w:style w:type="paragraph" w:customStyle="1" w:styleId="280">
    <w:name w:val="InfoBlue"/>
    <w:basedOn w:val="1"/>
    <w:next w:val="12"/>
    <w:qFormat/>
    <w:uiPriority w:val="0"/>
    <w:pPr>
      <w:spacing w:after="156" w:afterLines="50"/>
      <w:ind w:left="720"/>
      <w:jc w:val="left"/>
    </w:pPr>
    <w:rPr>
      <w:rFonts w:ascii="宋体" w:hAnsi="Times New Roman" w:eastAsia="宋体" w:cs="Times New Roman"/>
      <w:i/>
      <w:snapToGrid w:val="0"/>
      <w:color w:val="0000FF"/>
      <w:kern w:val="0"/>
      <w:szCs w:val="20"/>
    </w:rPr>
  </w:style>
  <w:style w:type="paragraph" w:customStyle="1" w:styleId="281">
    <w:name w:val="默认段落字体 Para Char Char Char Char"/>
    <w:basedOn w:val="1"/>
    <w:qFormat/>
    <w:uiPriority w:val="0"/>
    <w:rPr>
      <w:rFonts w:ascii="Times New Roman" w:hAnsi="Times New Roman" w:eastAsia="宋体" w:cs="Times New Roman"/>
    </w:rPr>
  </w:style>
  <w:style w:type="paragraph" w:customStyle="1" w:styleId="282">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283">
    <w:name w:val="怡2"/>
    <w:basedOn w:val="7"/>
    <w:next w:val="8"/>
    <w:qFormat/>
    <w:uiPriority w:val="0"/>
    <w:pPr>
      <w:tabs>
        <w:tab w:val="left" w:pos="431"/>
      </w:tabs>
      <w:spacing w:before="360" w:after="360" w:line="480" w:lineRule="auto"/>
      <w:jc w:val="left"/>
    </w:pPr>
    <w:rPr>
      <w:rFonts w:ascii="Cambria" w:hAnsi="Cambria" w:eastAsia="宋体" w:cs="Times New Roman"/>
      <w:kern w:val="0"/>
      <w:sz w:val="36"/>
      <w:szCs w:val="22"/>
    </w:rPr>
  </w:style>
  <w:style w:type="paragraph" w:customStyle="1" w:styleId="284">
    <w:name w:val="章正文"/>
    <w:basedOn w:val="1"/>
    <w:qFormat/>
    <w:uiPriority w:val="0"/>
    <w:pPr>
      <w:spacing w:before="156" w:beforeLines="50" w:after="120" w:afterLines="0" w:line="300" w:lineRule="auto"/>
      <w:ind w:firstLine="480"/>
    </w:pPr>
    <w:rPr>
      <w:rFonts w:ascii="Helvetica" w:hAnsi="Helvetica" w:eastAsia="宋体" w:cs="Times New Roman"/>
      <w:kern w:val="0"/>
      <w:sz w:val="24"/>
    </w:rPr>
  </w:style>
  <w:style w:type="paragraph" w:customStyle="1" w:styleId="285">
    <w:name w:val="xl77"/>
    <w:basedOn w:val="1"/>
    <w:link w:val="286"/>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character" w:customStyle="1" w:styleId="286">
    <w:name w:val="xl77 Char"/>
    <w:link w:val="285"/>
    <w:qFormat/>
    <w:uiPriority w:val="0"/>
    <w:rPr>
      <w:rFonts w:ascii="Arial Unicode MS" w:hAnsi="Arial Unicode MS"/>
      <w:b/>
      <w:bCs/>
      <w:sz w:val="28"/>
      <w:szCs w:val="28"/>
    </w:rPr>
  </w:style>
  <w:style w:type="paragraph" w:customStyle="1" w:styleId="287">
    <w:name w:val="Char Char"/>
    <w:basedOn w:val="1"/>
    <w:qFormat/>
    <w:uiPriority w:val="0"/>
    <w:rPr>
      <w:rFonts w:ascii="仿宋_GB2312" w:hAnsi="Times New Roman" w:eastAsia="仿宋_GB2312" w:cs="Times New Roman"/>
      <w:b/>
      <w:sz w:val="32"/>
      <w:szCs w:val="32"/>
    </w:rPr>
  </w:style>
  <w:style w:type="paragraph" w:customStyle="1" w:styleId="288">
    <w:name w:val="正文_0_2"/>
    <w:qFormat/>
    <w:uiPriority w:val="0"/>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89">
    <w:name w:val="样式 标题 1 + 五号"/>
    <w:basedOn w:val="6"/>
    <w:qFormat/>
    <w:uiPriority w:val="0"/>
    <w:pPr>
      <w:tabs>
        <w:tab w:val="clear" w:pos="840"/>
      </w:tabs>
      <w:adjustRightInd/>
      <w:snapToGrid/>
      <w:spacing w:line="240" w:lineRule="auto"/>
      <w:jc w:val="center"/>
    </w:pPr>
    <w:rPr>
      <w:rFonts w:ascii="Times New Roman" w:hAnsi="Times New Roman" w:eastAsia="宋体" w:cs="Times New Roman"/>
      <w:bCs/>
      <w:sz w:val="32"/>
      <w:szCs w:val="32"/>
    </w:rPr>
  </w:style>
  <w:style w:type="paragraph" w:customStyle="1" w:styleId="290">
    <w:name w:val="样式 三号 加粗 段后: 0.5 行"/>
    <w:basedOn w:val="1"/>
    <w:qFormat/>
    <w:uiPriority w:val="0"/>
    <w:pPr>
      <w:spacing w:after="156" w:afterLines="50"/>
      <w:jc w:val="left"/>
    </w:pPr>
    <w:rPr>
      <w:rFonts w:ascii="宋体" w:hAnsi="Times New Roman" w:eastAsia="宋体" w:cs="宋体"/>
      <w:b/>
      <w:bCs/>
      <w:snapToGrid w:val="0"/>
      <w:kern w:val="0"/>
      <w:sz w:val="32"/>
      <w:szCs w:val="20"/>
    </w:rPr>
  </w:style>
  <w:style w:type="paragraph" w:customStyle="1" w:styleId="291">
    <w:name w:val="Bullet1"/>
    <w:basedOn w:val="1"/>
    <w:qFormat/>
    <w:uiPriority w:val="0"/>
    <w:pPr>
      <w:numPr>
        <w:ilvl w:val="0"/>
        <w:numId w:val="6"/>
      </w:numPr>
      <w:spacing w:after="156" w:afterLines="50"/>
      <w:ind w:left="720" w:hanging="432"/>
      <w:jc w:val="left"/>
    </w:pPr>
    <w:rPr>
      <w:rFonts w:ascii="宋体" w:hAnsi="Times New Roman" w:eastAsia="宋体" w:cs="Times New Roman"/>
      <w:snapToGrid w:val="0"/>
      <w:kern w:val="0"/>
      <w:szCs w:val="20"/>
    </w:rPr>
  </w:style>
  <w:style w:type="paragraph" w:customStyle="1" w:styleId="292">
    <w:name w:val="样式 标题 4Chapter X.X.X. + 段后: 0.5 行1 + 段后: 0.5 行"/>
    <w:basedOn w:val="214"/>
    <w:qFormat/>
    <w:uiPriority w:val="0"/>
    <w:rPr>
      <w:rFonts w:ascii="Times New Roman" w:hAnsi="Times New Roman" w:eastAsia="宋体" w:cs="Times New Roman"/>
      <w:szCs w:val="21"/>
    </w:rPr>
  </w:style>
  <w:style w:type="paragraph" w:customStyle="1" w:styleId="293">
    <w:name w:val="标准标题3"/>
    <w:basedOn w:val="8"/>
    <w:qFormat/>
    <w:uiPriority w:val="0"/>
    <w:pPr>
      <w:tabs>
        <w:tab w:val="left" w:pos="780"/>
      </w:tabs>
      <w:spacing w:line="240" w:lineRule="auto"/>
      <w:ind w:leftChars="-258"/>
    </w:pPr>
    <w:rPr>
      <w:rFonts w:ascii="Times New Roman" w:hAnsi="Times New Roman" w:eastAsia="仿宋_GB2312" w:cs="Times New Roman"/>
      <w:sz w:val="28"/>
    </w:rPr>
  </w:style>
  <w:style w:type="paragraph" w:customStyle="1" w:styleId="294">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5">
    <w:name w:val="纯文本 Char2"/>
    <w:qFormat/>
    <w:uiPriority w:val="0"/>
    <w:rPr>
      <w:rFonts w:ascii="宋体" w:hAnsi="Courier New" w:eastAsia="宋体"/>
      <w:kern w:val="2"/>
      <w:sz w:val="21"/>
      <w:lang w:val="en-US" w:eastAsia="zh-CN" w:bidi="ar-SA"/>
    </w:rPr>
  </w:style>
  <w:style w:type="character" w:customStyle="1" w:styleId="296">
    <w:name w:val="Sample"/>
    <w:qFormat/>
    <w:uiPriority w:val="0"/>
    <w:rPr>
      <w:rFonts w:ascii="Courier New" w:hAnsi="Courier New"/>
    </w:rPr>
  </w:style>
  <w:style w:type="character" w:customStyle="1" w:styleId="297">
    <w:name w:val="HTML Markup"/>
    <w:qFormat/>
    <w:uiPriority w:val="0"/>
    <w:rPr>
      <w:vanish/>
      <w:color w:val="FF0000"/>
    </w:rPr>
  </w:style>
  <w:style w:type="character" w:customStyle="1" w:styleId="298">
    <w:name w:val="标题 Char1"/>
    <w:qFormat/>
    <w:uiPriority w:val="10"/>
    <w:rPr>
      <w:rFonts w:ascii="Cambria" w:hAnsi="Cambria" w:eastAsia="宋体" w:cs="Times New Roman"/>
      <w:b/>
      <w:bCs/>
      <w:sz w:val="32"/>
      <w:szCs w:val="32"/>
    </w:rPr>
  </w:style>
  <w:style w:type="character" w:customStyle="1" w:styleId="299">
    <w:name w:val="明显引用 Char2"/>
    <w:qFormat/>
    <w:uiPriority w:val="30"/>
    <w:rPr>
      <w:b/>
      <w:bCs/>
      <w:i/>
      <w:iCs/>
      <w:color w:val="4F81BD"/>
      <w:kern w:val="2"/>
      <w:sz w:val="21"/>
      <w:szCs w:val="24"/>
    </w:rPr>
  </w:style>
  <w:style w:type="character" w:customStyle="1" w:styleId="300">
    <w:name w:val="批注文字 Char"/>
    <w:qFormat/>
    <w:uiPriority w:val="1"/>
    <w:rPr>
      <w:kern w:val="2"/>
      <w:sz w:val="21"/>
    </w:rPr>
  </w:style>
  <w:style w:type="character" w:customStyle="1" w:styleId="301">
    <w:name w:val="批注文字 字符"/>
    <w:qFormat/>
    <w:uiPriority w:val="0"/>
    <w:rPr>
      <w:kern w:val="2"/>
      <w:sz w:val="21"/>
      <w:szCs w:val="24"/>
    </w:rPr>
  </w:style>
  <w:style w:type="character" w:customStyle="1" w:styleId="302">
    <w:name w:val="日期 Char1"/>
    <w:qFormat/>
    <w:uiPriority w:val="0"/>
    <w:rPr>
      <w:kern w:val="2"/>
      <w:sz w:val="21"/>
      <w:szCs w:val="22"/>
    </w:rPr>
  </w:style>
  <w:style w:type="character" w:customStyle="1" w:styleId="303">
    <w:name w:val="引用 字符"/>
    <w:link w:val="304"/>
    <w:qFormat/>
    <w:uiPriority w:val="0"/>
    <w:rPr>
      <w:i/>
      <w:iCs/>
      <w:color w:val="000000"/>
      <w:kern w:val="2"/>
      <w:sz w:val="21"/>
      <w:szCs w:val="22"/>
    </w:rPr>
  </w:style>
  <w:style w:type="paragraph" w:styleId="304">
    <w:name w:val="Quote"/>
    <w:basedOn w:val="1"/>
    <w:next w:val="1"/>
    <w:link w:val="303"/>
    <w:qFormat/>
    <w:uiPriority w:val="0"/>
    <w:rPr>
      <w:i/>
      <w:iCs/>
      <w:color w:val="000000"/>
      <w:szCs w:val="22"/>
    </w:rPr>
  </w:style>
  <w:style w:type="character" w:customStyle="1" w:styleId="305">
    <w:name w:val="引用 Char1"/>
    <w:qFormat/>
    <w:uiPriority w:val="99"/>
    <w:rPr>
      <w:rFonts w:ascii="Times New Roman" w:hAnsi="Times New Roman" w:eastAsia="宋体" w:cs="Times New Roman"/>
      <w:i/>
      <w:iCs/>
      <w:color w:val="000000"/>
      <w:kern w:val="2"/>
      <w:sz w:val="21"/>
      <w:szCs w:val="24"/>
    </w:rPr>
  </w:style>
  <w:style w:type="character" w:customStyle="1" w:styleId="306">
    <w:name w:val="Typewriter"/>
    <w:qFormat/>
    <w:uiPriority w:val="0"/>
    <w:rPr>
      <w:rFonts w:ascii="Courier New" w:hAnsi="Courier New"/>
      <w:sz w:val="20"/>
    </w:rPr>
  </w:style>
  <w:style w:type="character" w:customStyle="1" w:styleId="307">
    <w:name w:val="font151"/>
    <w:qFormat/>
    <w:uiPriority w:val="0"/>
    <w:rPr>
      <w:rFonts w:ascii="Wingdings 2" w:hAnsi="Wingdings 2" w:eastAsia="Wingdings 2" w:cs="Wingdings 2"/>
      <w:color w:val="000000"/>
      <w:sz w:val="22"/>
      <w:szCs w:val="22"/>
      <w:u w:val="none"/>
    </w:rPr>
  </w:style>
  <w:style w:type="character" w:customStyle="1" w:styleId="308">
    <w:name w:val="纯文本 字符"/>
    <w:qFormat/>
    <w:uiPriority w:val="0"/>
    <w:rPr>
      <w:rFonts w:ascii="宋体" w:hAnsi="Courier New" w:eastAsia="宋体"/>
      <w:sz w:val="21"/>
      <w:szCs w:val="21"/>
      <w:lang w:val="en-US" w:eastAsia="zh-CN" w:bidi="ar-SA"/>
    </w:rPr>
  </w:style>
  <w:style w:type="character" w:customStyle="1" w:styleId="309">
    <w:name w:val="页脚 Char1"/>
    <w:semiHidden/>
    <w:qFormat/>
    <w:uiPriority w:val="0"/>
    <w:rPr>
      <w:sz w:val="18"/>
      <w:szCs w:val="18"/>
    </w:rPr>
  </w:style>
  <w:style w:type="character" w:customStyle="1" w:styleId="310">
    <w:name w:val="Comment Text Char"/>
    <w:qFormat/>
    <w:locked/>
    <w:uiPriority w:val="0"/>
    <w:rPr>
      <w:rFonts w:ascii="Calibri" w:hAnsi="Calibri" w:eastAsia="宋体" w:cs="Times New Roman"/>
      <w:kern w:val="2"/>
      <w:sz w:val="22"/>
      <w:szCs w:val="22"/>
    </w:rPr>
  </w:style>
  <w:style w:type="character" w:customStyle="1" w:styleId="311">
    <w:name w:val="CODE"/>
    <w:qFormat/>
    <w:uiPriority w:val="0"/>
    <w:rPr>
      <w:rFonts w:ascii="Courier New" w:hAnsi="Courier New"/>
      <w:sz w:val="20"/>
    </w:rPr>
  </w:style>
  <w:style w:type="character" w:customStyle="1" w:styleId="312">
    <w:name w:val="明显引用 Char1"/>
    <w:qFormat/>
    <w:uiPriority w:val="99"/>
    <w:rPr>
      <w:b/>
      <w:bCs/>
      <w:i/>
      <w:iCs/>
      <w:color w:val="4F81BD"/>
    </w:rPr>
  </w:style>
  <w:style w:type="character" w:customStyle="1" w:styleId="313">
    <w:name w:val="副标题 Char1"/>
    <w:qFormat/>
    <w:uiPriority w:val="11"/>
    <w:rPr>
      <w:rFonts w:ascii="Cambria" w:hAnsi="Cambria" w:eastAsia="宋体" w:cs="Times New Roman"/>
      <w:b/>
      <w:bCs/>
      <w:kern w:val="28"/>
      <w:sz w:val="32"/>
      <w:szCs w:val="32"/>
    </w:rPr>
  </w:style>
  <w:style w:type="character" w:customStyle="1" w:styleId="314">
    <w:name w:val="font01"/>
    <w:qFormat/>
    <w:uiPriority w:val="0"/>
    <w:rPr>
      <w:rFonts w:hint="eastAsia" w:ascii="宋体" w:hAnsi="宋体" w:eastAsia="宋体" w:cs="宋体"/>
      <w:color w:val="000000"/>
      <w:sz w:val="22"/>
      <w:szCs w:val="22"/>
      <w:u w:val="none"/>
    </w:rPr>
  </w:style>
  <w:style w:type="character" w:customStyle="1" w:styleId="315">
    <w:name w:val="脚注文本 Char1"/>
    <w:qFormat/>
    <w:uiPriority w:val="0"/>
    <w:rPr>
      <w:kern w:val="2"/>
      <w:sz w:val="18"/>
      <w:szCs w:val="18"/>
    </w:rPr>
  </w:style>
  <w:style w:type="character" w:customStyle="1" w:styleId="316">
    <w:name w:val="font161"/>
    <w:qFormat/>
    <w:uiPriority w:val="0"/>
    <w:rPr>
      <w:b/>
      <w:bCs/>
      <w:sz w:val="32"/>
      <w:szCs w:val="32"/>
    </w:rPr>
  </w:style>
  <w:style w:type="character" w:customStyle="1" w:styleId="317">
    <w:name w:val="明显引用 字符"/>
    <w:link w:val="318"/>
    <w:qFormat/>
    <w:uiPriority w:val="0"/>
    <w:rPr>
      <w:b/>
      <w:bCs/>
      <w:i/>
      <w:iCs/>
      <w:color w:val="4F81BD"/>
      <w:kern w:val="2"/>
      <w:sz w:val="21"/>
      <w:szCs w:val="22"/>
    </w:rPr>
  </w:style>
  <w:style w:type="paragraph" w:styleId="318">
    <w:name w:val="Intense Quote"/>
    <w:basedOn w:val="1"/>
    <w:next w:val="1"/>
    <w:link w:val="317"/>
    <w:qFormat/>
    <w:uiPriority w:val="0"/>
    <w:pPr>
      <w:pBdr>
        <w:bottom w:val="single" w:color="4F81BD" w:sz="4" w:space="4"/>
      </w:pBdr>
      <w:spacing w:before="200" w:after="280"/>
      <w:ind w:left="936" w:right="936"/>
    </w:pPr>
    <w:rPr>
      <w:b/>
      <w:bCs/>
      <w:i/>
      <w:iCs/>
      <w:color w:val="4F81BD"/>
      <w:szCs w:val="22"/>
    </w:rPr>
  </w:style>
  <w:style w:type="character" w:customStyle="1" w:styleId="319">
    <w:name w:val="明显引用 Char3"/>
    <w:qFormat/>
    <w:uiPriority w:val="99"/>
    <w:rPr>
      <w:rFonts w:ascii="Times New Roman" w:hAnsi="Times New Roman" w:eastAsia="宋体" w:cs="Times New Roman"/>
      <w:b/>
      <w:bCs/>
      <w:i/>
      <w:iCs/>
      <w:color w:val="4F81BD"/>
      <w:kern w:val="2"/>
      <w:sz w:val="21"/>
      <w:szCs w:val="24"/>
    </w:rPr>
  </w:style>
  <w:style w:type="character" w:customStyle="1" w:styleId="320">
    <w:name w:val="List Paragraph Char1"/>
    <w:qFormat/>
    <w:locked/>
    <w:uiPriority w:val="0"/>
    <w:rPr>
      <w:rFonts w:ascii="Times New Roman" w:hAnsi="Times New Roman" w:eastAsia="宋体"/>
      <w:kern w:val="2"/>
      <w:sz w:val="21"/>
    </w:rPr>
  </w:style>
  <w:style w:type="character" w:customStyle="1" w:styleId="321">
    <w:name w:val="textcontents"/>
    <w:qFormat/>
    <w:uiPriority w:val="0"/>
    <w:rPr>
      <w:rFonts w:cs="Times New Roman"/>
    </w:rPr>
  </w:style>
  <w:style w:type="character" w:customStyle="1" w:styleId="322">
    <w:name w:val="CITE"/>
    <w:qFormat/>
    <w:uiPriority w:val="0"/>
    <w:rPr>
      <w:i/>
    </w:rPr>
  </w:style>
  <w:style w:type="character" w:customStyle="1" w:styleId="323">
    <w:name w:val="批注主题 Char2"/>
    <w:semiHidden/>
    <w:qFormat/>
    <w:uiPriority w:val="0"/>
    <w:rPr>
      <w:b/>
      <w:bCs/>
    </w:rPr>
  </w:style>
  <w:style w:type="character" w:customStyle="1" w:styleId="324">
    <w:name w:val="Definition"/>
    <w:qFormat/>
    <w:uiPriority w:val="0"/>
    <w:rPr>
      <w:i/>
    </w:rPr>
  </w:style>
  <w:style w:type="character" w:customStyle="1" w:styleId="325">
    <w:name w:val="引用 Char2"/>
    <w:qFormat/>
    <w:uiPriority w:val="29"/>
    <w:rPr>
      <w:i/>
      <w:iCs/>
      <w:color w:val="000000"/>
      <w:kern w:val="2"/>
      <w:sz w:val="21"/>
      <w:szCs w:val="24"/>
    </w:rPr>
  </w:style>
  <w:style w:type="character" w:customStyle="1" w:styleId="326">
    <w:name w:val="正文文本 字符"/>
    <w:qFormat/>
    <w:uiPriority w:val="0"/>
    <w:rPr>
      <w:kern w:val="2"/>
      <w:sz w:val="21"/>
      <w:szCs w:val="24"/>
    </w:rPr>
  </w:style>
  <w:style w:type="character" w:customStyle="1" w:styleId="327">
    <w:name w:val="font131"/>
    <w:qFormat/>
    <w:uiPriority w:val="0"/>
    <w:rPr>
      <w:rFonts w:hint="eastAsia" w:ascii="微软雅黑" w:hAnsi="微软雅黑" w:eastAsia="微软雅黑" w:cs="微软雅黑"/>
      <w:color w:val="FF0000"/>
      <w:sz w:val="22"/>
      <w:szCs w:val="22"/>
      <w:u w:val="none"/>
    </w:rPr>
  </w:style>
  <w:style w:type="character" w:customStyle="1" w:styleId="328">
    <w:name w:val="标题 2 字符"/>
    <w:qFormat/>
    <w:uiPriority w:val="9"/>
    <w:rPr>
      <w:rFonts w:ascii="Arial" w:hAnsi="Arial" w:eastAsia="黑体"/>
      <w:b/>
      <w:bCs/>
      <w:kern w:val="2"/>
      <w:sz w:val="32"/>
      <w:szCs w:val="32"/>
    </w:rPr>
  </w:style>
  <w:style w:type="character" w:customStyle="1" w:styleId="329">
    <w:name w:val="List Paragraph Char"/>
    <w:link w:val="330"/>
    <w:qFormat/>
    <w:locked/>
    <w:uiPriority w:val="0"/>
    <w:rPr>
      <w:kern w:val="2"/>
      <w:sz w:val="21"/>
      <w:szCs w:val="24"/>
    </w:rPr>
  </w:style>
  <w:style w:type="paragraph" w:customStyle="1" w:styleId="330">
    <w:name w:val="List Paragraph111"/>
    <w:basedOn w:val="1"/>
    <w:link w:val="329"/>
    <w:qFormat/>
    <w:uiPriority w:val="0"/>
    <w:pPr>
      <w:ind w:firstLine="420" w:firstLineChars="200"/>
    </w:pPr>
  </w:style>
  <w:style w:type="character" w:customStyle="1" w:styleId="331">
    <w:name w:val="批注框文本 Char2"/>
    <w:semiHidden/>
    <w:qFormat/>
    <w:uiPriority w:val="0"/>
    <w:rPr>
      <w:sz w:val="18"/>
      <w:szCs w:val="18"/>
    </w:rPr>
  </w:style>
  <w:style w:type="character" w:customStyle="1" w:styleId="332">
    <w:name w:val="Keyboard"/>
    <w:qFormat/>
    <w:uiPriority w:val="0"/>
    <w:rPr>
      <w:rFonts w:ascii="Courier New" w:hAnsi="Courier New"/>
      <w:b/>
      <w:sz w:val="20"/>
    </w:rPr>
  </w:style>
  <w:style w:type="character" w:customStyle="1" w:styleId="333">
    <w:name w:val="Variable"/>
    <w:qFormat/>
    <w:uiPriority w:val="0"/>
    <w:rPr>
      <w:i/>
    </w:rPr>
  </w:style>
  <w:style w:type="character" w:customStyle="1" w:styleId="334">
    <w:name w:val="批注框文本 Char1"/>
    <w:qFormat/>
    <w:uiPriority w:val="0"/>
    <w:rPr>
      <w:kern w:val="2"/>
      <w:sz w:val="18"/>
      <w:szCs w:val="18"/>
    </w:rPr>
  </w:style>
  <w:style w:type="character" w:customStyle="1" w:styleId="335">
    <w:name w:val="正文文本 Char1"/>
    <w:qFormat/>
    <w:uiPriority w:val="0"/>
    <w:rPr>
      <w:kern w:val="2"/>
      <w:sz w:val="21"/>
      <w:szCs w:val="22"/>
    </w:rPr>
  </w:style>
  <w:style w:type="character" w:customStyle="1" w:styleId="336">
    <w:name w:val="文档结构图 Char2"/>
    <w:semiHidden/>
    <w:qFormat/>
    <w:uiPriority w:val="0"/>
    <w:rPr>
      <w:rFonts w:ascii="宋体" w:eastAsia="宋体"/>
      <w:sz w:val="18"/>
      <w:szCs w:val="18"/>
    </w:rPr>
  </w:style>
  <w:style w:type="character" w:customStyle="1" w:styleId="337">
    <w:name w:val="文档结构图 Char1"/>
    <w:qFormat/>
    <w:uiPriority w:val="0"/>
    <w:rPr>
      <w:rFonts w:ascii="宋体"/>
      <w:kern w:val="2"/>
      <w:sz w:val="18"/>
      <w:szCs w:val="18"/>
    </w:rPr>
  </w:style>
  <w:style w:type="character" w:customStyle="1" w:styleId="338">
    <w:name w:val="Comment Subject Char"/>
    <w:qFormat/>
    <w:locked/>
    <w:uiPriority w:val="0"/>
    <w:rPr>
      <w:rFonts w:ascii="Calibri" w:hAnsi="Calibri" w:eastAsia="宋体" w:cs="Times New Roman"/>
      <w:b/>
      <w:bCs/>
      <w:kern w:val="2"/>
      <w:sz w:val="22"/>
      <w:szCs w:val="22"/>
    </w:rPr>
  </w:style>
  <w:style w:type="character" w:customStyle="1" w:styleId="339">
    <w:name w:val="font101"/>
    <w:qFormat/>
    <w:uiPriority w:val="0"/>
    <w:rPr>
      <w:rFonts w:hint="eastAsia" w:ascii="宋体" w:hAnsi="宋体" w:eastAsia="宋体" w:cs="宋体"/>
      <w:color w:val="auto"/>
      <w:sz w:val="22"/>
      <w:szCs w:val="22"/>
      <w:u w:val="none"/>
    </w:rPr>
  </w:style>
  <w:style w:type="character" w:customStyle="1" w:styleId="340">
    <w:name w:val="font71"/>
    <w:qFormat/>
    <w:uiPriority w:val="0"/>
    <w:rPr>
      <w:rFonts w:hint="eastAsia" w:ascii="微软雅黑" w:hAnsi="微软雅黑" w:eastAsia="微软雅黑" w:cs="微软雅黑"/>
      <w:color w:val="FF0000"/>
      <w:sz w:val="22"/>
      <w:szCs w:val="22"/>
      <w:u w:val="none"/>
    </w:rPr>
  </w:style>
  <w:style w:type="character" w:customStyle="1" w:styleId="341">
    <w:name w:val="font61"/>
    <w:qFormat/>
    <w:uiPriority w:val="0"/>
    <w:rPr>
      <w:rFonts w:hint="eastAsia" w:ascii="微软雅黑" w:hAnsi="微软雅黑" w:eastAsia="微软雅黑" w:cs="微软雅黑"/>
      <w:color w:val="FF0000"/>
      <w:sz w:val="22"/>
      <w:szCs w:val="22"/>
      <w:u w:val="none"/>
    </w:rPr>
  </w:style>
  <w:style w:type="character" w:customStyle="1" w:styleId="342">
    <w:name w:val="font121"/>
    <w:qFormat/>
    <w:uiPriority w:val="0"/>
    <w:rPr>
      <w:rFonts w:hint="default" w:ascii="Wingdings 2" w:hAnsi="Wingdings 2" w:eastAsia="Wingdings 2" w:cs="Wingdings 2"/>
      <w:color w:val="000000"/>
      <w:sz w:val="22"/>
      <w:szCs w:val="22"/>
      <w:u w:val="none"/>
    </w:rPr>
  </w:style>
  <w:style w:type="character" w:customStyle="1" w:styleId="343">
    <w:name w:val="font91"/>
    <w:qFormat/>
    <w:uiPriority w:val="0"/>
    <w:rPr>
      <w:rFonts w:hint="eastAsia" w:ascii="宋体" w:hAnsi="宋体" w:eastAsia="宋体" w:cs="宋体"/>
      <w:color w:val="000000"/>
      <w:sz w:val="20"/>
      <w:szCs w:val="20"/>
      <w:u w:val="none"/>
    </w:rPr>
  </w:style>
  <w:style w:type="character" w:customStyle="1" w:styleId="344">
    <w:name w:val="标题 Char2"/>
    <w:qFormat/>
    <w:uiPriority w:val="0"/>
    <w:rPr>
      <w:rFonts w:ascii="Cambria" w:hAnsi="Cambria" w:cs="Times New Roman"/>
      <w:b/>
      <w:bCs/>
      <w:kern w:val="2"/>
      <w:sz w:val="32"/>
      <w:szCs w:val="32"/>
    </w:rPr>
  </w:style>
  <w:style w:type="character" w:customStyle="1" w:styleId="345">
    <w:name w:val="正文首行缩进 Char"/>
    <w:qFormat/>
    <w:uiPriority w:val="99"/>
    <w:rPr>
      <w:rFonts w:ascii="仿宋_GB2312"/>
      <w:b/>
      <w:sz w:val="32"/>
      <w:szCs w:val="32"/>
    </w:rPr>
  </w:style>
  <w:style w:type="character" w:customStyle="1" w:styleId="346">
    <w:name w:val="批注主题 Char1"/>
    <w:qFormat/>
    <w:uiPriority w:val="99"/>
    <w:rPr>
      <w:b/>
      <w:bCs/>
      <w:kern w:val="2"/>
      <w:sz w:val="21"/>
      <w:szCs w:val="22"/>
    </w:rPr>
  </w:style>
  <w:style w:type="character" w:customStyle="1" w:styleId="347">
    <w:name w:val="font81"/>
    <w:qFormat/>
    <w:uiPriority w:val="0"/>
    <w:rPr>
      <w:rFonts w:hint="eastAsia" w:ascii="微软雅黑" w:hAnsi="微软雅黑" w:eastAsia="微软雅黑" w:cs="微软雅黑"/>
      <w:color w:val="000000"/>
      <w:sz w:val="22"/>
      <w:szCs w:val="22"/>
      <w:u w:val="none"/>
    </w:rPr>
  </w:style>
  <w:style w:type="character" w:customStyle="1" w:styleId="348">
    <w:name w:val="font31"/>
    <w:qFormat/>
    <w:uiPriority w:val="0"/>
    <w:rPr>
      <w:rFonts w:hint="eastAsia" w:ascii="宋体" w:hAnsi="宋体" w:eastAsia="宋体" w:cs="宋体"/>
      <w:color w:val="000000"/>
      <w:sz w:val="20"/>
      <w:szCs w:val="20"/>
      <w:u w:val="none"/>
    </w:rPr>
  </w:style>
  <w:style w:type="character" w:customStyle="1" w:styleId="349">
    <w:name w:val="h Char"/>
    <w:qFormat/>
    <w:uiPriority w:val="0"/>
    <w:rPr>
      <w:sz w:val="18"/>
    </w:rPr>
  </w:style>
  <w:style w:type="character" w:customStyle="1" w:styleId="350">
    <w:name w:val="Comment"/>
    <w:qFormat/>
    <w:uiPriority w:val="0"/>
    <w:rPr>
      <w:vanish/>
    </w:rPr>
  </w:style>
  <w:style w:type="character" w:customStyle="1" w:styleId="351">
    <w:name w:val="手改 Char Char"/>
    <w:qFormat/>
    <w:uiPriority w:val="0"/>
    <w:rPr>
      <w:sz w:val="24"/>
    </w:rPr>
  </w:style>
  <w:style w:type="character" w:customStyle="1" w:styleId="352">
    <w:name w:val="font171"/>
    <w:qFormat/>
    <w:uiPriority w:val="0"/>
    <w:rPr>
      <w:rFonts w:hint="default" w:ascii="Wingdings 2" w:hAnsi="Wingdings 2" w:eastAsia="Wingdings 2" w:cs="Wingdings 2"/>
      <w:color w:val="000000"/>
      <w:sz w:val="22"/>
      <w:szCs w:val="22"/>
      <w:u w:val="none"/>
    </w:rPr>
  </w:style>
  <w:style w:type="character" w:customStyle="1" w:styleId="353">
    <w:name w:val="副标题 Char2"/>
    <w:qFormat/>
    <w:uiPriority w:val="0"/>
    <w:rPr>
      <w:rFonts w:ascii="Cambria" w:hAnsi="Cambria" w:cs="Times New Roman"/>
      <w:b/>
      <w:bCs/>
      <w:kern w:val="28"/>
      <w:sz w:val="32"/>
      <w:szCs w:val="32"/>
    </w:rPr>
  </w:style>
  <w:style w:type="character" w:customStyle="1" w:styleId="354">
    <w:name w:val="font112"/>
    <w:qFormat/>
    <w:uiPriority w:val="0"/>
    <w:rPr>
      <w:rFonts w:hint="default" w:ascii="Wingdings 2" w:hAnsi="Wingdings 2" w:eastAsia="Wingdings 2" w:cs="Wingdings 2"/>
      <w:color w:val="000000"/>
      <w:sz w:val="22"/>
      <w:szCs w:val="22"/>
      <w:u w:val="none"/>
    </w:rPr>
  </w:style>
  <w:style w:type="character" w:customStyle="1" w:styleId="355">
    <w:name w:val="页眉 Char1"/>
    <w:semiHidden/>
    <w:qFormat/>
    <w:uiPriority w:val="0"/>
    <w:rPr>
      <w:sz w:val="18"/>
      <w:szCs w:val="18"/>
    </w:rPr>
  </w:style>
  <w:style w:type="character" w:customStyle="1" w:styleId="356">
    <w:name w:val="font51"/>
    <w:qFormat/>
    <w:uiPriority w:val="0"/>
    <w:rPr>
      <w:rFonts w:hint="default" w:ascii="Arial" w:hAnsi="Arial" w:cs="Arial"/>
      <w:color w:val="auto"/>
      <w:sz w:val="22"/>
      <w:szCs w:val="22"/>
      <w:u w:val="none"/>
    </w:rPr>
  </w:style>
  <w:style w:type="character" w:customStyle="1" w:styleId="357">
    <w:name w:val="批注文字 Char Char"/>
    <w:qFormat/>
    <w:uiPriority w:val="0"/>
    <w:rPr>
      <w:rFonts w:ascii="宋体" w:hAnsi="Times New Roman" w:eastAsia="宋体" w:cs="Times New Roman"/>
      <w:sz w:val="28"/>
      <w:szCs w:val="20"/>
    </w:rPr>
  </w:style>
  <w:style w:type="paragraph" w:customStyle="1" w:styleId="358">
    <w:name w:val="样式 标题 1 + 黑体 三号 非加粗 居中 段前: 6 磅 段后: 6 磅 行距: 固定值 20 磅"/>
    <w:basedOn w:val="6"/>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359">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360">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6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62">
    <w:name w:val="正文 + 小三"/>
    <w:basedOn w:val="1"/>
    <w:qFormat/>
    <w:uiPriority w:val="0"/>
    <w:rPr>
      <w:rFonts w:ascii="宋体" w:hAnsi="宋体"/>
      <w:sz w:val="30"/>
      <w:szCs w:val="30"/>
    </w:rPr>
  </w:style>
  <w:style w:type="paragraph" w:customStyle="1" w:styleId="363">
    <w:name w:val="目录"/>
    <w:basedOn w:val="1"/>
    <w:qFormat/>
    <w:uiPriority w:val="0"/>
    <w:pPr>
      <w:widowControl/>
      <w:jc w:val="center"/>
    </w:pPr>
    <w:rPr>
      <w:rFonts w:ascii="宋体" w:cs="宋体"/>
      <w:b/>
      <w:bCs/>
      <w:kern w:val="0"/>
      <w:sz w:val="36"/>
      <w:szCs w:val="36"/>
    </w:rPr>
  </w:style>
  <w:style w:type="paragraph" w:customStyle="1" w:styleId="3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366">
    <w:name w:val="Table Paragraph"/>
    <w:qFormat/>
    <w:uiPriority w:val="0"/>
    <w:pPr>
      <w:widowControl w:val="0"/>
    </w:pPr>
    <w:rPr>
      <w:rFonts w:ascii="微软雅黑" w:hAnsi="微软雅黑" w:eastAsia="微软雅黑" w:cs="微软雅黑"/>
      <w:color w:val="000000"/>
      <w:sz w:val="22"/>
      <w:szCs w:val="22"/>
      <w:lang w:val="en-US" w:eastAsia="zh-CN" w:bidi="ar-SA"/>
    </w:rPr>
  </w:style>
  <w:style w:type="paragraph" w:customStyle="1" w:styleId="367">
    <w:name w:val="列表段落1"/>
    <w:basedOn w:val="1"/>
    <w:qFormat/>
    <w:uiPriority w:val="0"/>
    <w:pPr>
      <w:ind w:firstLine="420" w:firstLineChars="200"/>
    </w:pPr>
    <w:rPr>
      <w:rFonts w:ascii="Calibri" w:hAnsi="Calibri"/>
      <w:szCs w:val="22"/>
    </w:rPr>
  </w:style>
  <w:style w:type="paragraph" w:customStyle="1" w:styleId="368">
    <w:name w:val="样式 标题 3h33rd level3Heading 3 - old + 居中 左侧:  9.8 毫米 首行缩进: ...1"/>
    <w:basedOn w:val="8"/>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369">
    <w:name w:val="招标文件－标准正文"/>
    <w:basedOn w:val="37"/>
    <w:qFormat/>
    <w:uiPriority w:val="0"/>
    <w:pPr>
      <w:widowControl w:val="0"/>
      <w:overflowPunct/>
      <w:autoSpaceDE/>
      <w:autoSpaceDN/>
      <w:adjustRightInd/>
      <w:spacing w:line="360" w:lineRule="auto"/>
      <w:jc w:val="both"/>
      <w:textAlignment w:val="auto"/>
    </w:pPr>
    <w:rPr>
      <w:rFonts w:ascii="Times New Roman" w:hAnsi="Times New Roman" w:cs="宋体"/>
      <w:color w:val="000000"/>
      <w:kern w:val="2"/>
      <w:sz w:val="24"/>
      <w:szCs w:val="20"/>
    </w:rPr>
  </w:style>
  <w:style w:type="paragraph" w:customStyle="1" w:styleId="370">
    <w:name w:val="Char1"/>
    <w:basedOn w:val="1"/>
    <w:qFormat/>
    <w:uiPriority w:val="0"/>
    <w:rPr>
      <w:sz w:val="24"/>
    </w:rPr>
  </w:style>
  <w:style w:type="paragraph" w:customStyle="1" w:styleId="3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72">
    <w:name w:val="样式 四号 首行缩进:  1 厘米"/>
    <w:basedOn w:val="1"/>
    <w:qFormat/>
    <w:uiPriority w:val="0"/>
    <w:pPr>
      <w:spacing w:line="440" w:lineRule="exact"/>
      <w:ind w:firstLine="567"/>
    </w:pPr>
    <w:rPr>
      <w:rFonts w:cs="宋体"/>
      <w:sz w:val="28"/>
      <w:szCs w:val="20"/>
    </w:rPr>
  </w:style>
  <w:style w:type="paragraph" w:customStyle="1" w:styleId="373">
    <w:name w:val="样式1"/>
    <w:basedOn w:val="1"/>
    <w:next w:val="1"/>
    <w:link w:val="374"/>
    <w:qFormat/>
    <w:uiPriority w:val="0"/>
    <w:pPr>
      <w:spacing w:before="120" w:after="120" w:line="300" w:lineRule="auto"/>
    </w:pPr>
    <w:rPr>
      <w:rFonts w:ascii="宋体" w:hAnsi="宋体"/>
      <w:b/>
      <w:bCs/>
      <w:sz w:val="24"/>
    </w:rPr>
  </w:style>
  <w:style w:type="character" w:customStyle="1" w:styleId="374">
    <w:name w:val="样式1 Char"/>
    <w:link w:val="373"/>
    <w:qFormat/>
    <w:uiPriority w:val="0"/>
    <w:rPr>
      <w:rFonts w:ascii="宋体" w:hAnsi="宋体" w:cs="宋体"/>
      <w:b/>
      <w:bCs/>
      <w:kern w:val="2"/>
      <w:sz w:val="24"/>
      <w:szCs w:val="24"/>
    </w:rPr>
  </w:style>
  <w:style w:type="paragraph" w:customStyle="1" w:styleId="375">
    <w:name w:val="样式 样式 标题 4h4H4L1 Heading 4h41h42h411h43h412h421h4111h44... + 左侧:..."/>
    <w:basedOn w:val="1"/>
    <w:qFormat/>
    <w:uiPriority w:val="0"/>
    <w:pPr>
      <w:keepNext/>
      <w:keepLines/>
      <w:numPr>
        <w:ilvl w:val="0"/>
        <w:numId w:val="1"/>
      </w:numPr>
      <w:spacing w:before="120" w:after="120" w:line="360" w:lineRule="auto"/>
      <w:ind w:left="0" w:firstLine="0"/>
      <w:outlineLvl w:val="3"/>
    </w:pPr>
    <w:rPr>
      <w:rFonts w:ascii="楷体_GB2312" w:hAnsi="宋体" w:eastAsia="楷体_GB2312"/>
      <w:b/>
      <w:spacing w:val="20"/>
    </w:rPr>
  </w:style>
  <w:style w:type="paragraph" w:customStyle="1" w:styleId="376">
    <w:name w:val="内文正文"/>
    <w:basedOn w:val="37"/>
    <w:qFormat/>
    <w:uiPriority w:val="0"/>
    <w:pPr>
      <w:widowControl w:val="0"/>
      <w:overflowPunct/>
      <w:autoSpaceDE/>
      <w:autoSpaceDN/>
      <w:snapToGrid w:val="0"/>
      <w:spacing w:line="400" w:lineRule="exact"/>
      <w:ind w:firstLine="200" w:firstLineChars="200"/>
      <w:jc w:val="both"/>
      <w:textAlignment w:val="auto"/>
    </w:pPr>
    <w:rPr>
      <w:rFonts w:ascii="Arial" w:hAnsi="Arial"/>
      <w:color w:val="000000"/>
      <w:kern w:val="2"/>
    </w:rPr>
  </w:style>
  <w:style w:type="paragraph" w:customStyle="1" w:styleId="377">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378">
    <w:name w:val="文件名"/>
    <w:basedOn w:val="363"/>
    <w:next w:val="379"/>
    <w:qFormat/>
    <w:uiPriority w:val="0"/>
    <w:pPr>
      <w:widowControl w:val="0"/>
      <w:spacing w:beforeLines="100" w:afterLines="100" w:line="480" w:lineRule="auto"/>
      <w:ind w:firstLine="420" w:firstLineChars="200"/>
    </w:pPr>
    <w:rPr>
      <w:rFonts w:ascii="Times New Roman" w:eastAsia="楷体_GB2312" w:cs="Times New Roman"/>
      <w:b w:val="0"/>
      <w:bCs w:val="0"/>
      <w:kern w:val="2"/>
      <w:sz w:val="52"/>
      <w:szCs w:val="44"/>
    </w:rPr>
  </w:style>
  <w:style w:type="paragraph" w:customStyle="1" w:styleId="379">
    <w:name w:val="常规"/>
    <w:basedOn w:val="1"/>
    <w:qFormat/>
    <w:uiPriority w:val="0"/>
    <w:pPr>
      <w:spacing w:beforeLines="100" w:afterLines="100" w:line="300" w:lineRule="auto"/>
      <w:ind w:left="1134" w:firstLine="420" w:firstLineChars="200"/>
    </w:pPr>
    <w:rPr>
      <w:rFonts w:ascii="Calibri" w:hAnsi="Calibri"/>
      <w:szCs w:val="21"/>
    </w:rPr>
  </w:style>
  <w:style w:type="paragraph" w:customStyle="1" w:styleId="380">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381">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382">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383">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38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85">
    <w:name w:val="菲页(卷)"/>
    <w:basedOn w:val="6"/>
    <w:next w:val="1"/>
    <w:qFormat/>
    <w:uiPriority w:val="99"/>
    <w:pPr>
      <w:keepLines w:val="0"/>
      <w:widowControl/>
      <w:tabs>
        <w:tab w:val="left" w:pos="432"/>
        <w:tab w:val="clear" w:pos="840"/>
      </w:tabs>
      <w:adjustRightInd/>
      <w:snapToGrid/>
      <w:spacing w:line="240" w:lineRule="auto"/>
      <w:ind w:left="432" w:hanging="432"/>
      <w:jc w:val="center"/>
      <w:outlineLvl w:val="1"/>
    </w:pPr>
    <w:rPr>
      <w:rFonts w:ascii="黑体" w:eastAsia="黑体"/>
      <w:b w:val="0"/>
      <w:kern w:val="0"/>
      <w:sz w:val="52"/>
    </w:rPr>
  </w:style>
  <w:style w:type="paragraph" w:customStyle="1" w:styleId="38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87">
    <w:name w:val="TOP"/>
    <w:basedOn w:val="6"/>
    <w:qFormat/>
    <w:uiPriority w:val="0"/>
    <w:pPr>
      <w:widowControl/>
      <w:tabs>
        <w:tab w:val="clear" w:pos="840"/>
      </w:tabs>
      <w:adjustRightInd/>
      <w:snapToGrid/>
      <w:spacing w:before="340" w:after="330" w:line="578" w:lineRule="auto"/>
      <w:jc w:val="center"/>
    </w:pPr>
    <w:rPr>
      <w:rFonts w:ascii="隶书" w:eastAsia="隶书"/>
      <w:bCs/>
      <w:kern w:val="0"/>
      <w:sz w:val="52"/>
    </w:rPr>
  </w:style>
  <w:style w:type="paragraph" w:customStyle="1" w:styleId="388">
    <w:name w:val="Definition List"/>
    <w:basedOn w:val="1"/>
    <w:next w:val="389"/>
    <w:qFormat/>
    <w:uiPriority w:val="0"/>
    <w:pPr>
      <w:autoSpaceDE w:val="0"/>
      <w:autoSpaceDN w:val="0"/>
      <w:adjustRightInd w:val="0"/>
      <w:ind w:left="360"/>
      <w:jc w:val="left"/>
    </w:pPr>
    <w:rPr>
      <w:kern w:val="0"/>
      <w:sz w:val="24"/>
      <w:szCs w:val="20"/>
    </w:rPr>
  </w:style>
  <w:style w:type="paragraph" w:customStyle="1" w:styleId="389">
    <w:name w:val="Definition Term"/>
    <w:basedOn w:val="1"/>
    <w:next w:val="388"/>
    <w:qFormat/>
    <w:uiPriority w:val="0"/>
    <w:pPr>
      <w:autoSpaceDE w:val="0"/>
      <w:autoSpaceDN w:val="0"/>
      <w:adjustRightInd w:val="0"/>
      <w:jc w:val="left"/>
    </w:pPr>
    <w:rPr>
      <w:kern w:val="0"/>
      <w:sz w:val="24"/>
      <w:szCs w:val="20"/>
    </w:rPr>
  </w:style>
  <w:style w:type="paragraph" w:customStyle="1" w:styleId="390">
    <w:name w:val="Char Char Char2 Char"/>
    <w:basedOn w:val="1"/>
    <w:qFormat/>
    <w:uiPriority w:val="0"/>
    <w:pPr>
      <w:tabs>
        <w:tab w:val="left" w:pos="360"/>
      </w:tabs>
      <w:ind w:left="360" w:hanging="360"/>
    </w:pPr>
  </w:style>
  <w:style w:type="paragraph" w:customStyle="1" w:styleId="391">
    <w:name w:val="目次、标准名称标题"/>
    <w:basedOn w:val="1"/>
    <w:next w:val="240"/>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92">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393">
    <w:name w:val="目录文字"/>
    <w:basedOn w:val="1"/>
    <w:qFormat/>
    <w:uiPriority w:val="0"/>
    <w:pPr>
      <w:widowControl/>
      <w:spacing w:line="480" w:lineRule="auto"/>
      <w:jc w:val="left"/>
    </w:pPr>
    <w:rPr>
      <w:rFonts w:ascii="宋体" w:hAnsi="宋体" w:cs="宋体"/>
      <w:kern w:val="0"/>
      <w:sz w:val="24"/>
    </w:rPr>
  </w:style>
  <w:style w:type="paragraph" w:customStyle="1" w:styleId="394">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395">
    <w:name w:val="样式 标题 2 + 居中"/>
    <w:basedOn w:val="7"/>
    <w:qFormat/>
    <w:uiPriority w:val="0"/>
    <w:pPr>
      <w:spacing w:before="100" w:beforeLines="50" w:beforeAutospacing="1" w:after="100" w:afterLines="50" w:afterAutospacing="1" w:line="360" w:lineRule="auto"/>
      <w:jc w:val="center"/>
    </w:pPr>
    <w:rPr>
      <w:rFonts w:cs="宋体"/>
      <w:szCs w:val="20"/>
    </w:rPr>
  </w:style>
  <w:style w:type="paragraph" w:customStyle="1" w:styleId="39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97">
    <w:name w:val="Fließtext"/>
    <w:basedOn w:val="1"/>
    <w:qFormat/>
    <w:uiPriority w:val="0"/>
    <w:pPr>
      <w:overflowPunct w:val="0"/>
      <w:autoSpaceDE w:val="0"/>
      <w:autoSpaceDN w:val="0"/>
      <w:adjustRightInd w:val="0"/>
      <w:textAlignment w:val="baseline"/>
    </w:pPr>
    <w:rPr>
      <w:kern w:val="28"/>
      <w:szCs w:val="21"/>
    </w:rPr>
  </w:style>
  <w:style w:type="paragraph" w:customStyle="1" w:styleId="398">
    <w:name w:val="Char1 Char Char Char Char"/>
    <w:basedOn w:val="24"/>
    <w:qFormat/>
    <w:uiPriority w:val="0"/>
    <w:rPr>
      <w:rFonts w:ascii="Tahoma" w:hAnsi="Tahoma" w:cs="Tahoma"/>
      <w:kern w:val="0"/>
      <w:sz w:val="18"/>
    </w:rPr>
  </w:style>
  <w:style w:type="paragraph" w:customStyle="1" w:styleId="399">
    <w:name w:val="表格"/>
    <w:basedOn w:val="1"/>
    <w:link w:val="400"/>
    <w:qFormat/>
    <w:uiPriority w:val="99"/>
    <w:pPr>
      <w:jc w:val="center"/>
      <w:textAlignment w:val="center"/>
    </w:pPr>
    <w:rPr>
      <w:rFonts w:ascii="华文细黑" w:hAnsi="华文细黑"/>
      <w:kern w:val="0"/>
      <w:szCs w:val="20"/>
    </w:rPr>
  </w:style>
  <w:style w:type="character" w:customStyle="1" w:styleId="400">
    <w:name w:val="表格 Char Char"/>
    <w:link w:val="399"/>
    <w:qFormat/>
    <w:uiPriority w:val="99"/>
    <w:rPr>
      <w:rFonts w:ascii="华文细黑" w:hAnsi="华文细黑"/>
      <w:sz w:val="21"/>
    </w:rPr>
  </w:style>
  <w:style w:type="paragraph" w:customStyle="1" w:styleId="4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表内文字"/>
    <w:basedOn w:val="1"/>
    <w:qFormat/>
    <w:uiPriority w:val="0"/>
    <w:pPr>
      <w:spacing w:line="500" w:lineRule="atLeast"/>
      <w:jc w:val="center"/>
    </w:pPr>
    <w:rPr>
      <w:rFonts w:ascii="Arial" w:hAnsi="Arial" w:eastAsia="楷体_GB2312" w:cs="Arial"/>
      <w:sz w:val="28"/>
    </w:rPr>
  </w:style>
  <w:style w:type="paragraph" w:customStyle="1" w:styleId="40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04">
    <w:name w:val="List Paragraph1"/>
    <w:basedOn w:val="1"/>
    <w:qFormat/>
    <w:uiPriority w:val="0"/>
    <w:pPr>
      <w:ind w:firstLine="420" w:firstLineChars="200"/>
    </w:pPr>
    <w:rPr>
      <w:rFonts w:ascii="Calibri" w:hAnsi="Calibri"/>
      <w:szCs w:val="22"/>
    </w:rPr>
  </w:style>
  <w:style w:type="paragraph" w:customStyle="1" w:styleId="405">
    <w:name w:val="正文段"/>
    <w:basedOn w:val="1"/>
    <w:qFormat/>
    <w:uiPriority w:val="0"/>
    <w:pPr>
      <w:widowControl/>
      <w:snapToGrid w:val="0"/>
      <w:spacing w:after="156" w:afterLines="50"/>
      <w:ind w:firstLine="200" w:firstLineChars="200"/>
    </w:pPr>
    <w:rPr>
      <w:kern w:val="0"/>
      <w:sz w:val="24"/>
      <w:szCs w:val="20"/>
    </w:rPr>
  </w:style>
  <w:style w:type="paragraph" w:customStyle="1" w:styleId="406">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407">
    <w:name w:val="正文首行缩进2字"/>
    <w:basedOn w:val="1"/>
    <w:qFormat/>
    <w:uiPriority w:val="0"/>
    <w:pPr>
      <w:spacing w:before="100" w:beforeAutospacing="1" w:after="100" w:afterAutospacing="1"/>
      <w:ind w:firstLine="560" w:firstLineChars="200"/>
    </w:pPr>
    <w:rPr>
      <w:rFonts w:eastAsia="楷体_GB2312"/>
      <w:kern w:val="0"/>
      <w:sz w:val="28"/>
    </w:rPr>
  </w:style>
  <w:style w:type="paragraph" w:customStyle="1" w:styleId="408">
    <w:name w:val="简单回函地址"/>
    <w:basedOn w:val="1"/>
    <w:qFormat/>
    <w:uiPriority w:val="0"/>
    <w:rPr>
      <w:sz w:val="28"/>
      <w:szCs w:val="28"/>
    </w:rPr>
  </w:style>
  <w:style w:type="paragraph" w:customStyle="1" w:styleId="409">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410">
    <w:name w:val="标书_正文"/>
    <w:basedOn w:val="1"/>
    <w:qFormat/>
    <w:uiPriority w:val="0"/>
    <w:pPr>
      <w:spacing w:line="360" w:lineRule="auto"/>
      <w:ind w:firstLine="480" w:firstLineChars="200"/>
    </w:pPr>
    <w:rPr>
      <w:rFonts w:ascii="宋体" w:hAnsi="宋体"/>
      <w:sz w:val="24"/>
    </w:rPr>
  </w:style>
  <w:style w:type="paragraph" w:customStyle="1" w:styleId="411">
    <w:name w:val="TOC 标题1"/>
    <w:basedOn w:val="6"/>
    <w:next w:val="1"/>
    <w:qFormat/>
    <w:uiPriority w:val="39"/>
    <w:pPr>
      <w:widowControl/>
      <w:tabs>
        <w:tab w:val="clear" w:pos="840"/>
      </w:tabs>
      <w:adjustRightInd/>
      <w:snapToGrid/>
      <w:spacing w:before="240" w:line="259" w:lineRule="auto"/>
      <w:jc w:val="left"/>
      <w:outlineLvl w:val="9"/>
    </w:pPr>
    <w:rPr>
      <w:rFonts w:ascii="Calibri Light" w:hAnsi="Calibri Light"/>
      <w:b w:val="0"/>
      <w:color w:val="2E74B5"/>
      <w:kern w:val="0"/>
      <w:sz w:val="32"/>
      <w:szCs w:val="32"/>
      <w:lang w:val="en-US" w:eastAsia="zh-CN"/>
    </w:rPr>
  </w:style>
  <w:style w:type="paragraph" w:customStyle="1" w:styleId="412">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413">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table" w:customStyle="1" w:styleId="414">
    <w:name w:val="Table Normal"/>
    <w:qFormat/>
    <w:uiPriority w:val="0"/>
    <w:rPr>
      <w:lang w:val="en-US" w:eastAsia="zh-CN" w:bidi="ar-SA"/>
    </w:rPr>
    <w:tblPr>
      <w:tblCellMar>
        <w:top w:w="0" w:type="dxa"/>
        <w:left w:w="0" w:type="dxa"/>
        <w:bottom w:w="0" w:type="dxa"/>
        <w:right w:w="0" w:type="dxa"/>
      </w:tblCellMar>
    </w:tblPr>
  </w:style>
  <w:style w:type="paragraph" w:customStyle="1" w:styleId="415">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16">
    <w:name w:val="font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4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8">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9">
    <w:name w:val="font1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20">
    <w:name w:val="font12"/>
    <w:basedOn w:val="1"/>
    <w:qFormat/>
    <w:uiPriority w:val="0"/>
    <w:pPr>
      <w:widowControl/>
      <w:spacing w:before="100" w:beforeAutospacing="1" w:after="100" w:afterAutospacing="1"/>
      <w:jc w:val="left"/>
    </w:pPr>
    <w:rPr>
      <w:color w:val="FF00FF"/>
      <w:kern w:val="0"/>
      <w:sz w:val="52"/>
      <w:szCs w:val="52"/>
    </w:rPr>
  </w:style>
  <w:style w:type="paragraph" w:customStyle="1" w:styleId="421">
    <w:name w:val="xl7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2">
    <w:name w:val="xl7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3">
    <w:name w:val="xl7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4">
    <w:name w:val="xl7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5">
    <w:name w:val="xl7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6">
    <w:name w:val="xl7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27">
    <w:name w:val="xl7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28">
    <w:name w:val="xl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29">
    <w:name w:val="xl7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0">
    <w:name w:val="xl7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1">
    <w:name w:val="xl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18"/>
      <w:szCs w:val="18"/>
    </w:rPr>
  </w:style>
  <w:style w:type="paragraph" w:customStyle="1" w:styleId="432">
    <w:name w:val="xl7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3">
    <w:name w:val="xl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0000"/>
      <w:kern w:val="0"/>
      <w:sz w:val="18"/>
      <w:szCs w:val="18"/>
    </w:rPr>
  </w:style>
  <w:style w:type="paragraph" w:customStyle="1" w:styleId="434">
    <w:name w:val="xl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5">
    <w:name w:val="xl7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6">
    <w:name w:val="xl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437">
    <w:name w:val="xl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438">
    <w:name w:val="xl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9">
    <w:name w:val="xl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40">
    <w:name w:val="xl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41">
    <w:name w:val="xl7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42">
    <w:name w:val="xl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43">
    <w:name w:val="xl7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44">
    <w:name w:val="xl7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0000"/>
      <w:kern w:val="0"/>
      <w:sz w:val="18"/>
      <w:szCs w:val="18"/>
    </w:rPr>
  </w:style>
  <w:style w:type="paragraph" w:customStyle="1" w:styleId="445">
    <w:name w:val="xl7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46">
    <w:name w:val="xl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47">
    <w:name w:val="xl7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8"/>
      <w:szCs w:val="18"/>
    </w:rPr>
  </w:style>
  <w:style w:type="paragraph" w:customStyle="1" w:styleId="448">
    <w:name w:val="xl7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49">
    <w:name w:val="xl797"/>
    <w:basedOn w:val="1"/>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450">
    <w:name w:val="xl7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451">
    <w:name w:val="xl7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2">
    <w:name w:val="xl8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53">
    <w:name w:val="xl8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454">
    <w:name w:val="xl8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8"/>
      <w:szCs w:val="18"/>
    </w:rPr>
  </w:style>
  <w:style w:type="paragraph" w:customStyle="1" w:styleId="455">
    <w:name w:val="xl803"/>
    <w:basedOn w:val="1"/>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456">
    <w:name w:val="xl8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57">
    <w:name w:val="xl8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8">
    <w:name w:val="xl8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459">
    <w:name w:val="xl8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0">
    <w:name w:val="xl8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61">
    <w:name w:val="xl8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62">
    <w:name w:val="xl810"/>
    <w:basedOn w:val="1"/>
    <w:qFormat/>
    <w:uiPriority w:val="0"/>
    <w:pPr>
      <w:widowControl/>
      <w:shd w:val="clear" w:color="000000" w:fill="FFFFFF"/>
      <w:spacing w:before="100" w:beforeAutospacing="1" w:after="100" w:afterAutospacing="1"/>
      <w:jc w:val="center"/>
    </w:pPr>
    <w:rPr>
      <w:rFonts w:ascii="Arial" w:hAnsi="Arial" w:cs="Arial"/>
      <w:kern w:val="0"/>
      <w:sz w:val="18"/>
      <w:szCs w:val="18"/>
    </w:rPr>
  </w:style>
  <w:style w:type="paragraph" w:customStyle="1" w:styleId="463">
    <w:name w:val="xl811"/>
    <w:basedOn w:val="1"/>
    <w:qFormat/>
    <w:uiPriority w:val="0"/>
    <w:pPr>
      <w:widowControl/>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464">
    <w:name w:val="xl8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465">
    <w:name w:val="xl8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6">
    <w:name w:val="xl8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7">
    <w:name w:val="xl8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68">
    <w:name w:val="xl8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69">
    <w:name w:val="xl8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0">
    <w:name w:val="xl8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xl8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b/>
      <w:bCs/>
      <w:kern w:val="0"/>
      <w:sz w:val="18"/>
      <w:szCs w:val="18"/>
    </w:rPr>
  </w:style>
  <w:style w:type="paragraph" w:customStyle="1" w:styleId="472">
    <w:name w:val="xl8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73">
    <w:name w:val="xl821"/>
    <w:basedOn w:val="1"/>
    <w:qFormat/>
    <w:uiPriority w:val="0"/>
    <w:pPr>
      <w:widowControl/>
      <w:shd w:val="clear" w:color="000000" w:fill="FFFFFF"/>
      <w:spacing w:before="100" w:beforeAutospacing="1" w:after="100" w:afterAutospacing="1"/>
      <w:jc w:val="left"/>
    </w:pPr>
    <w:rPr>
      <w:rFonts w:ascii="Arial" w:hAnsi="Arial" w:cs="Arial"/>
      <w:kern w:val="0"/>
      <w:sz w:val="18"/>
      <w:szCs w:val="18"/>
    </w:rPr>
  </w:style>
  <w:style w:type="paragraph" w:customStyle="1" w:styleId="474">
    <w:name w:val="xl8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75">
    <w:name w:val="xl8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476">
    <w:name w:val="xl8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478">
    <w:name w:val="xl8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79">
    <w:name w:val="xl8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80">
    <w:name w:val="xl8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81">
    <w:name w:val="xl8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8"/>
      <w:szCs w:val="18"/>
    </w:rPr>
  </w:style>
  <w:style w:type="paragraph" w:customStyle="1" w:styleId="482">
    <w:name w:val="xl8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83">
    <w:name w:val="xl8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84">
    <w:name w:val="xl832"/>
    <w:basedOn w:val="1"/>
    <w:qFormat/>
    <w:uiPriority w:val="0"/>
    <w:pPr>
      <w:widowControl/>
      <w:pBdr>
        <w:top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5">
    <w:name w:val="xl833"/>
    <w:basedOn w:val="1"/>
    <w:qFormat/>
    <w:uiPriority w:val="0"/>
    <w:pPr>
      <w:widowControl/>
      <w:pBdr>
        <w:top w:val="single" w:color="auto" w:sz="4" w:space="0"/>
      </w:pBdr>
      <w:shd w:val="clear" w:color="000000" w:fill="FFFFFF"/>
      <w:spacing w:before="100" w:beforeAutospacing="1" w:after="100" w:afterAutospacing="1"/>
      <w:jc w:val="left"/>
    </w:pPr>
    <w:rPr>
      <w:rFonts w:ascii="Arial" w:hAnsi="Arial" w:cs="Arial"/>
      <w:kern w:val="0"/>
      <w:sz w:val="18"/>
      <w:szCs w:val="18"/>
    </w:rPr>
  </w:style>
  <w:style w:type="paragraph" w:customStyle="1" w:styleId="486">
    <w:name w:val="xl8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487">
    <w:name w:val="xl83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Arial" w:hAnsi="Arial" w:cs="Arial"/>
      <w:b/>
      <w:bCs/>
      <w:kern w:val="0"/>
      <w:sz w:val="18"/>
      <w:szCs w:val="18"/>
    </w:rPr>
  </w:style>
  <w:style w:type="paragraph" w:customStyle="1" w:styleId="488">
    <w:name w:val="xl83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b/>
      <w:bCs/>
      <w:kern w:val="0"/>
      <w:sz w:val="18"/>
      <w:szCs w:val="18"/>
    </w:rPr>
  </w:style>
  <w:style w:type="paragraph" w:customStyle="1" w:styleId="489">
    <w:name w:val="xl8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490">
    <w:name w:val="xl8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1">
    <w:name w:val="xl8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92">
    <w:name w:val="xl8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93">
    <w:name w:val="Table Text"/>
    <w:basedOn w:val="1"/>
    <w:link w:val="494"/>
    <w:qFormat/>
    <w:uiPriority w:val="0"/>
    <w:pPr>
      <w:widowControl/>
      <w:kinsoku w:val="0"/>
      <w:autoSpaceDE w:val="0"/>
      <w:autoSpaceDN w:val="0"/>
      <w:adjustRightInd w:val="0"/>
      <w:snapToGrid w:val="0"/>
      <w:jc w:val="left"/>
      <w:textAlignment w:val="baseline"/>
    </w:pPr>
    <w:rPr>
      <w:rFonts w:ascii="Arial" w:hAnsi="Arial" w:eastAsia="Arial"/>
      <w:snapToGrid w:val="0"/>
      <w:color w:val="000000"/>
      <w:kern w:val="0"/>
      <w:szCs w:val="21"/>
      <w:lang w:eastAsia="en-US"/>
    </w:rPr>
  </w:style>
  <w:style w:type="character" w:customStyle="1" w:styleId="494">
    <w:name w:val="Table Text Char"/>
    <w:link w:val="493"/>
    <w:qFormat/>
    <w:uiPriority w:val="0"/>
    <w:rPr>
      <w:rFonts w:ascii="Arial" w:hAnsi="Arial" w:eastAsia="Arial" w:cs="Arial"/>
      <w:snapToGrid w:val="0"/>
      <w:color w:val="000000"/>
      <w:sz w:val="21"/>
      <w:szCs w:val="21"/>
      <w:lang w:eastAsia="en-US"/>
    </w:rPr>
  </w:style>
  <w:style w:type="character" w:customStyle="1" w:styleId="495">
    <w:name w:val="样式6 列表并列 Char"/>
    <w:link w:val="496"/>
    <w:qFormat/>
    <w:locked/>
    <w:uiPriority w:val="0"/>
    <w:rPr>
      <w:rFonts w:ascii="Arial" w:hAnsi="Arial" w:cs="Arial"/>
      <w:kern w:val="21"/>
      <w:sz w:val="21"/>
      <w:szCs w:val="24"/>
      <w:lang w:val="en-US" w:eastAsia="zh-CN" w:bidi="ar-SA"/>
    </w:rPr>
  </w:style>
  <w:style w:type="paragraph" w:customStyle="1" w:styleId="496">
    <w:name w:val="样式6 列表并列"/>
    <w:link w:val="495"/>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497">
    <w:name w:val="style21"/>
    <w:qFormat/>
    <w:uiPriority w:val="0"/>
    <w:rPr>
      <w:sz w:val="15"/>
      <w:szCs w:val="15"/>
    </w:rPr>
  </w:style>
  <w:style w:type="character" w:customStyle="1" w:styleId="498">
    <w:name w:val="font21"/>
    <w:qFormat/>
    <w:uiPriority w:val="0"/>
    <w:rPr>
      <w:rFonts w:hint="eastAsia" w:ascii="宋体" w:hAnsi="宋体" w:eastAsia="宋体" w:cs="宋体"/>
      <w:b/>
      <w:color w:val="000000"/>
      <w:sz w:val="21"/>
      <w:szCs w:val="21"/>
      <w:u w:val="none"/>
    </w:rPr>
  </w:style>
  <w:style w:type="character" w:customStyle="1" w:styleId="499">
    <w:name w:val="BZ_题注_图 Char"/>
    <w:link w:val="500"/>
    <w:qFormat/>
    <w:uiPriority w:val="0"/>
    <w:rPr>
      <w:rFonts w:eastAsia="黑体"/>
      <w:kern w:val="2"/>
      <w:sz w:val="21"/>
      <w:szCs w:val="21"/>
    </w:rPr>
  </w:style>
  <w:style w:type="paragraph" w:customStyle="1" w:styleId="500">
    <w:name w:val="BZ_题注_图"/>
    <w:basedOn w:val="22"/>
    <w:next w:val="1"/>
    <w:link w:val="499"/>
    <w:qFormat/>
    <w:uiPriority w:val="0"/>
    <w:pPr>
      <w:widowControl/>
      <w:shd w:val="clear" w:color="auto" w:fill="auto"/>
      <w:tabs>
        <w:tab w:val="clear" w:pos="9000"/>
      </w:tabs>
      <w:spacing w:beforeLines="50" w:afterLines="50"/>
      <w:ind w:firstLine="0" w:firstLineChars="0"/>
      <w:jc w:val="center"/>
    </w:pPr>
    <w:rPr>
      <w:rFonts w:ascii="Times New Roman" w:hAnsi="Times New Roman" w:eastAsia="黑体"/>
      <w:b w:val="0"/>
      <w:color w:val="auto"/>
      <w:sz w:val="21"/>
      <w:szCs w:val="21"/>
    </w:rPr>
  </w:style>
  <w:style w:type="character" w:customStyle="1" w:styleId="501">
    <w:name w:val="Char Char2"/>
    <w:qFormat/>
    <w:uiPriority w:val="0"/>
    <w:rPr>
      <w:rFonts w:ascii="宋体" w:hAnsi="Courier New" w:eastAsia="宋体"/>
      <w:kern w:val="2"/>
      <w:sz w:val="21"/>
      <w:lang w:val="en-US" w:eastAsia="zh-CN"/>
    </w:rPr>
  </w:style>
  <w:style w:type="character" w:customStyle="1" w:styleId="502">
    <w:name w:val="哈哈正文 Char"/>
    <w:link w:val="503"/>
    <w:qFormat/>
    <w:uiPriority w:val="0"/>
    <w:rPr>
      <w:rFonts w:ascii="宋体" w:hAnsi="宋体" w:cs="宋体"/>
      <w:kern w:val="2"/>
      <w:sz w:val="24"/>
    </w:rPr>
  </w:style>
  <w:style w:type="paragraph" w:customStyle="1" w:styleId="503">
    <w:name w:val="哈哈正文"/>
    <w:basedOn w:val="1"/>
    <w:link w:val="502"/>
    <w:qFormat/>
    <w:uiPriority w:val="0"/>
    <w:pPr>
      <w:spacing w:line="360" w:lineRule="auto"/>
      <w:ind w:firstLine="200" w:firstLineChars="200"/>
    </w:pPr>
    <w:rPr>
      <w:rFonts w:ascii="宋体" w:hAnsi="宋体"/>
      <w:sz w:val="24"/>
      <w:szCs w:val="20"/>
    </w:rPr>
  </w:style>
  <w:style w:type="character" w:customStyle="1" w:styleId="504">
    <w:name w:val="fontstyle01"/>
    <w:qFormat/>
    <w:uiPriority w:val="0"/>
    <w:rPr>
      <w:rFonts w:hint="eastAsia" w:ascii="楷体" w:hAnsi="楷体" w:eastAsia="楷体"/>
      <w:color w:val="000000"/>
      <w:sz w:val="24"/>
      <w:szCs w:val="24"/>
    </w:rPr>
  </w:style>
  <w:style w:type="paragraph" w:customStyle="1" w:styleId="505">
    <w:name w:val="正文2"/>
    <w:basedOn w:val="1"/>
    <w:qFormat/>
    <w:uiPriority w:val="0"/>
    <w:pPr>
      <w:spacing w:before="156" w:line="360" w:lineRule="auto"/>
      <w:ind w:firstLine="510" w:firstLineChars="200"/>
    </w:pPr>
    <w:rPr>
      <w:sz w:val="24"/>
      <w:szCs w:val="20"/>
    </w:rPr>
  </w:style>
  <w:style w:type="paragraph" w:customStyle="1" w:styleId="506">
    <w:name w:val="Char Char Char Char"/>
    <w:basedOn w:val="24"/>
    <w:qFormat/>
    <w:uiPriority w:val="0"/>
    <w:rPr>
      <w:rFonts w:ascii="Tahoma" w:hAnsi="Tahoma"/>
      <w:sz w:val="24"/>
      <w:lang w:val="en-US" w:eastAsia="zh-CN"/>
    </w:rPr>
  </w:style>
  <w:style w:type="paragraph" w:customStyle="1" w:styleId="507">
    <w:name w:val="Char1 Char Char Char"/>
    <w:basedOn w:val="1"/>
    <w:qFormat/>
    <w:uiPriority w:val="0"/>
    <w:rPr>
      <w:rFonts w:ascii="Tahoma" w:hAnsi="Tahoma"/>
      <w:sz w:val="24"/>
      <w:szCs w:val="20"/>
    </w:rPr>
  </w:style>
  <w:style w:type="paragraph" w:customStyle="1" w:styleId="508">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9">
    <w:name w:val="Char Char Char Char Char Char Char Char Char Char Char Char Char1"/>
    <w:basedOn w:val="1"/>
    <w:qFormat/>
    <w:uiPriority w:val="0"/>
    <w:rPr>
      <w:rFonts w:ascii="Tahoma" w:hAnsi="Tahoma"/>
      <w:sz w:val="24"/>
      <w:szCs w:val="20"/>
    </w:rPr>
  </w:style>
  <w:style w:type="paragraph" w:customStyle="1" w:styleId="510">
    <w:name w:val="正文－恩普"/>
    <w:basedOn w:val="21"/>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511">
    <w:name w:val="Char Char Char Char2"/>
    <w:basedOn w:val="24"/>
    <w:qFormat/>
    <w:uiPriority w:val="0"/>
    <w:rPr>
      <w:lang w:val="en-US" w:eastAsia="zh-CN"/>
    </w:rPr>
  </w:style>
  <w:style w:type="paragraph" w:customStyle="1" w:styleId="512">
    <w:name w:val="Char Char Char Char Char Char Char1"/>
    <w:basedOn w:val="1"/>
    <w:qFormat/>
    <w:uiPriority w:val="0"/>
    <w:rPr>
      <w:rFonts w:ascii="仿宋_GB2312" w:eastAsia="仿宋_GB2312"/>
      <w:b/>
      <w:sz w:val="32"/>
      <w:szCs w:val="32"/>
    </w:rPr>
  </w:style>
  <w:style w:type="paragraph" w:customStyle="1" w:styleId="513">
    <w:name w:val="Char Char7 Char"/>
    <w:basedOn w:val="1"/>
    <w:qFormat/>
    <w:uiPriority w:val="0"/>
    <w:pPr>
      <w:tabs>
        <w:tab w:val="left" w:pos="425"/>
      </w:tabs>
      <w:ind w:left="420" w:leftChars="200" w:firstLine="270" w:firstLineChars="150"/>
    </w:pPr>
  </w:style>
  <w:style w:type="paragraph" w:customStyle="1" w:styleId="514">
    <w:name w:val="CM106"/>
    <w:basedOn w:val="364"/>
    <w:next w:val="364"/>
    <w:qFormat/>
    <w:uiPriority w:val="0"/>
    <w:rPr>
      <w:rFonts w:hAnsi="Times New Roman" w:cs="Times New Roman"/>
      <w:color w:val="auto"/>
    </w:rPr>
  </w:style>
  <w:style w:type="paragraph" w:customStyle="1" w:styleId="515">
    <w:name w:val="Char Char Char Char1"/>
    <w:basedOn w:val="1"/>
    <w:qFormat/>
    <w:uiPriority w:val="0"/>
    <w:rPr>
      <w:rFonts w:ascii="Tahoma" w:hAnsi="Tahoma"/>
      <w:sz w:val="24"/>
      <w:szCs w:val="20"/>
    </w:rPr>
  </w:style>
  <w:style w:type="paragraph" w:customStyle="1" w:styleId="516">
    <w:name w:val="Char Char Char Char Char Char Char Char Char Char Char Char Char"/>
    <w:basedOn w:val="1"/>
    <w:qFormat/>
    <w:uiPriority w:val="0"/>
    <w:rPr>
      <w:rFonts w:ascii="Tahoma" w:hAnsi="Tahoma"/>
      <w:sz w:val="24"/>
      <w:szCs w:val="20"/>
    </w:rPr>
  </w:style>
  <w:style w:type="paragraph" w:customStyle="1" w:styleId="517">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518">
    <w:name w:val="Char Char Char Char Char Char Char Char Char Char Char Char Char2"/>
    <w:basedOn w:val="1"/>
    <w:qFormat/>
    <w:uiPriority w:val="0"/>
    <w:rPr>
      <w:rFonts w:ascii="Tahoma" w:hAnsi="Tahoma"/>
      <w:sz w:val="24"/>
      <w:szCs w:val="20"/>
    </w:rPr>
  </w:style>
  <w:style w:type="paragraph" w:customStyle="1" w:styleId="519">
    <w:name w:val="Char Char Char Char Char Char Char2"/>
    <w:basedOn w:val="1"/>
    <w:qFormat/>
    <w:uiPriority w:val="0"/>
    <w:rPr>
      <w:rFonts w:ascii="仿宋_GB2312" w:eastAsia="仿宋_GB2312"/>
      <w:b/>
      <w:sz w:val="32"/>
      <w:szCs w:val="32"/>
    </w:rPr>
  </w:style>
  <w:style w:type="paragraph" w:customStyle="1" w:styleId="520">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521">
    <w:name w:val="修订1"/>
    <w:qFormat/>
    <w:uiPriority w:val="99"/>
    <w:rPr>
      <w:rFonts w:ascii="Times New Roman" w:hAnsi="Times New Roman" w:eastAsia="宋体" w:cs="Times New Roman"/>
      <w:kern w:val="2"/>
      <w:sz w:val="21"/>
      <w:szCs w:val="24"/>
      <w:lang w:val="en-US" w:eastAsia="zh-CN" w:bidi="ar-SA"/>
    </w:rPr>
  </w:style>
  <w:style w:type="paragraph" w:customStyle="1" w:styleId="522">
    <w:name w:val="Char1 Char Char Char1"/>
    <w:basedOn w:val="1"/>
    <w:qFormat/>
    <w:uiPriority w:val="0"/>
    <w:rPr>
      <w:rFonts w:ascii="仿宋_GB2312" w:eastAsia="仿宋_GB2312"/>
      <w:b/>
      <w:sz w:val="32"/>
      <w:szCs w:val="32"/>
    </w:rPr>
  </w:style>
  <w:style w:type="paragraph" w:customStyle="1" w:styleId="523">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524">
    <w:name w:val="正文首行缩进2字符 Char"/>
    <w:link w:val="525"/>
    <w:qFormat/>
    <w:uiPriority w:val="0"/>
    <w:rPr>
      <w:rFonts w:eastAsia="仿宋"/>
      <w:sz w:val="28"/>
    </w:rPr>
  </w:style>
  <w:style w:type="paragraph" w:customStyle="1" w:styleId="525">
    <w:name w:val="正文首行缩进2字符"/>
    <w:basedOn w:val="1"/>
    <w:link w:val="524"/>
    <w:qFormat/>
    <w:locked/>
    <w:uiPriority w:val="0"/>
    <w:pPr>
      <w:spacing w:line="360" w:lineRule="auto"/>
      <w:ind w:firstLine="200" w:firstLineChars="200"/>
    </w:pPr>
    <w:rPr>
      <w:rFonts w:eastAsia="仿宋"/>
      <w:kern w:val="0"/>
      <w:sz w:val="28"/>
      <w:szCs w:val="20"/>
    </w:rPr>
  </w:style>
  <w:style w:type="character" w:customStyle="1" w:styleId="526">
    <w:name w:val="generalinfo-address-text"/>
    <w:qFormat/>
    <w:uiPriority w:val="0"/>
  </w:style>
  <w:style w:type="paragraph" w:customStyle="1" w:styleId="527">
    <w:name w:val="方案正文"/>
    <w:basedOn w:val="1"/>
    <w:link w:val="528"/>
    <w:qFormat/>
    <w:uiPriority w:val="0"/>
    <w:pPr>
      <w:spacing w:line="360" w:lineRule="auto"/>
      <w:ind w:firstLine="200" w:firstLineChars="200"/>
    </w:pPr>
    <w:rPr>
      <w:rFonts w:ascii="Century Gothic" w:hAnsi="Century Gothic"/>
      <w:szCs w:val="28"/>
    </w:rPr>
  </w:style>
  <w:style w:type="character" w:customStyle="1" w:styleId="528">
    <w:name w:val="方案正文 字符"/>
    <w:link w:val="527"/>
    <w:qFormat/>
    <w:uiPriority w:val="0"/>
    <w:rPr>
      <w:rFonts w:ascii="Century Gothic" w:hAnsi="Century Gothic"/>
      <w:kern w:val="2"/>
      <w:sz w:val="21"/>
      <w:szCs w:val="28"/>
    </w:rPr>
  </w:style>
  <w:style w:type="paragraph" w:customStyle="1" w:styleId="529">
    <w:name w:val="正文缩进1"/>
    <w:basedOn w:val="1"/>
    <w:qFormat/>
    <w:uiPriority w:val="0"/>
    <w:pPr>
      <w:spacing w:line="360" w:lineRule="auto"/>
      <w:ind w:firstLine="454"/>
      <w:jc w:val="left"/>
    </w:pPr>
    <w:rPr>
      <w:sz w:val="24"/>
    </w:rPr>
  </w:style>
  <w:style w:type="paragraph" w:customStyle="1" w:styleId="53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531">
    <w:name w:val="Char Char112"/>
    <w:qFormat/>
    <w:uiPriority w:val="0"/>
    <w:rPr>
      <w:rFonts w:eastAsia="仿宋_GB2312"/>
      <w:kern w:val="2"/>
      <w:sz w:val="21"/>
      <w:szCs w:val="24"/>
      <w:lang w:val="en-US" w:eastAsia="zh-CN" w:bidi="ar-SA"/>
    </w:rPr>
  </w:style>
  <w:style w:type="character" w:customStyle="1" w:styleId="532">
    <w:name w:val="No Spacing Char"/>
    <w:link w:val="533"/>
    <w:qFormat/>
    <w:locked/>
    <w:uiPriority w:val="0"/>
    <w:rPr>
      <w:rFonts w:ascii="Calibri" w:hAnsi="Calibri" w:eastAsia="仿宋_GB2312"/>
      <w:sz w:val="28"/>
      <w:szCs w:val="22"/>
      <w:lang w:val="en-US" w:eastAsia="zh-CN" w:bidi="ar-SA"/>
    </w:rPr>
  </w:style>
  <w:style w:type="paragraph" w:customStyle="1" w:styleId="533">
    <w:name w:val="无间隔1"/>
    <w:link w:val="532"/>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534">
    <w:name w:val="Char Char14"/>
    <w:qFormat/>
    <w:uiPriority w:val="0"/>
    <w:rPr>
      <w:rFonts w:eastAsia="仿宋_GB2312"/>
      <w:kern w:val="2"/>
      <w:sz w:val="21"/>
      <w:szCs w:val="24"/>
      <w:lang w:val="en-US" w:eastAsia="zh-CN" w:bidi="ar-SA"/>
    </w:rPr>
  </w:style>
  <w:style w:type="character" w:customStyle="1" w:styleId="535">
    <w:name w:val="明显强调1"/>
    <w:qFormat/>
    <w:uiPriority w:val="0"/>
    <w:rPr>
      <w:rFonts w:eastAsia="宋体"/>
      <w:b/>
      <w:bCs/>
      <w:iCs/>
      <w:color w:val="auto"/>
      <w:sz w:val="24"/>
    </w:rPr>
  </w:style>
  <w:style w:type="character" w:customStyle="1" w:styleId="536">
    <w:name w:val="样式 宋体 小四 行距: 1.5 倍行距 Char"/>
    <w:link w:val="537"/>
    <w:qFormat/>
    <w:uiPriority w:val="0"/>
    <w:rPr>
      <w:rFonts w:ascii="宋体" w:hAnsi="宋体" w:cs="宋体"/>
      <w:kern w:val="2"/>
      <w:sz w:val="24"/>
    </w:rPr>
  </w:style>
  <w:style w:type="paragraph" w:customStyle="1" w:styleId="537">
    <w:name w:val="样式 宋体 小四 行距: 1.5 倍行距"/>
    <w:basedOn w:val="1"/>
    <w:link w:val="536"/>
    <w:qFormat/>
    <w:uiPriority w:val="0"/>
    <w:pPr>
      <w:spacing w:line="360" w:lineRule="auto"/>
      <w:ind w:firstLine="540" w:firstLineChars="225"/>
    </w:pPr>
    <w:rPr>
      <w:rFonts w:ascii="宋体" w:hAnsi="宋体"/>
      <w:sz w:val="24"/>
      <w:szCs w:val="20"/>
    </w:rPr>
  </w:style>
  <w:style w:type="character" w:customStyle="1" w:styleId="538">
    <w:name w:val="正文1 Char Char"/>
    <w:qFormat/>
    <w:uiPriority w:val="0"/>
    <w:rPr>
      <w:rFonts w:ascii="仿宋_GB2312" w:hAnsi="仿宋_GB2312" w:eastAsia="仿宋_GB2312" w:cs="仿宋_GB2312"/>
      <w:sz w:val="21"/>
      <w:lang w:val="en-US" w:eastAsia="zh-CN" w:bidi="ar-SA"/>
    </w:rPr>
  </w:style>
  <w:style w:type="character" w:customStyle="1" w:styleId="539">
    <w:name w:val="编号正文缩进 Char Char"/>
    <w:link w:val="540"/>
    <w:qFormat/>
    <w:uiPriority w:val="0"/>
    <w:rPr>
      <w:kern w:val="2"/>
      <w:sz w:val="24"/>
      <w:szCs w:val="24"/>
    </w:rPr>
  </w:style>
  <w:style w:type="paragraph" w:customStyle="1" w:styleId="540">
    <w:name w:val="编号正文缩进"/>
    <w:basedOn w:val="21"/>
    <w:link w:val="539"/>
    <w:qFormat/>
    <w:uiPriority w:val="0"/>
    <w:pPr>
      <w:tabs>
        <w:tab w:val="left" w:pos="1497"/>
      </w:tabs>
      <w:spacing w:line="400" w:lineRule="atLeast"/>
      <w:ind w:left="567" w:firstLine="510"/>
    </w:pPr>
    <w:rPr>
      <w:kern w:val="2"/>
      <w:sz w:val="24"/>
      <w:szCs w:val="24"/>
    </w:rPr>
  </w:style>
  <w:style w:type="character" w:customStyle="1" w:styleId="541">
    <w:name w:val="Char Char18"/>
    <w:qFormat/>
    <w:uiPriority w:val="0"/>
    <w:rPr>
      <w:b/>
      <w:bCs/>
      <w:kern w:val="2"/>
      <w:sz w:val="32"/>
      <w:szCs w:val="32"/>
    </w:rPr>
  </w:style>
  <w:style w:type="paragraph" w:customStyle="1" w:styleId="542">
    <w:name w:val="列出段落11"/>
    <w:basedOn w:val="1"/>
    <w:qFormat/>
    <w:uiPriority w:val="34"/>
    <w:pPr>
      <w:ind w:firstLine="420" w:firstLineChars="200"/>
    </w:pPr>
    <w:rPr>
      <w:rFonts w:ascii="Calibri" w:hAnsi="Calibri" w:eastAsia="等线" w:cs="黑体"/>
      <w:szCs w:val="22"/>
    </w:rPr>
  </w:style>
  <w:style w:type="character" w:customStyle="1" w:styleId="543">
    <w:name w:val="Style3"/>
    <w:qFormat/>
    <w:uiPriority w:val="0"/>
    <w:rPr>
      <w:rFonts w:ascii="Century Gothic" w:hAnsi="仿宋_GB2312" w:eastAsia="仿宋_GB2312" w:cs="新宋体"/>
      <w:szCs w:val="22"/>
      <w:lang w:eastAsia="zh-CN"/>
    </w:rPr>
  </w:style>
  <w:style w:type="character" w:customStyle="1" w:styleId="544">
    <w:name w:val="Style4"/>
    <w:qFormat/>
    <w:uiPriority w:val="0"/>
    <w:rPr>
      <w:rFonts w:ascii="Century Gothic" w:hAnsi="仿宋_GB2312" w:eastAsia="仿宋_GB2312" w:cs="新宋体"/>
      <w:szCs w:val="22"/>
      <w:lang w:eastAsia="zh-CN"/>
    </w:rPr>
  </w:style>
  <w:style w:type="character" w:customStyle="1" w:styleId="545">
    <w:name w:val="页眉注释 Char Char"/>
    <w:link w:val="546"/>
    <w:qFormat/>
    <w:uiPriority w:val="0"/>
    <w:rPr>
      <w:rFonts w:ascii="华文细黑" w:hAnsi="华文细黑" w:eastAsia="华文细黑"/>
      <w:b/>
      <w:color w:val="FFFFFF"/>
      <w:kern w:val="2"/>
      <w:sz w:val="18"/>
      <w:szCs w:val="18"/>
    </w:rPr>
  </w:style>
  <w:style w:type="paragraph" w:customStyle="1" w:styleId="546">
    <w:name w:val="页眉注释"/>
    <w:basedOn w:val="1"/>
    <w:link w:val="545"/>
    <w:qFormat/>
    <w:uiPriority w:val="0"/>
    <w:pPr>
      <w:spacing w:line="0" w:lineRule="atLeast"/>
      <w:jc w:val="center"/>
    </w:pPr>
    <w:rPr>
      <w:rFonts w:ascii="华文细黑" w:hAnsi="华文细黑" w:eastAsia="华文细黑"/>
      <w:b/>
      <w:color w:val="FFFFFF"/>
      <w:sz w:val="18"/>
      <w:szCs w:val="18"/>
    </w:rPr>
  </w:style>
  <w:style w:type="character" w:customStyle="1" w:styleId="547">
    <w:name w:val="heading 2 Char1"/>
    <w:qFormat/>
    <w:uiPriority w:val="0"/>
    <w:rPr>
      <w:rFonts w:ascii="Verdana" w:hAnsi="Verdana" w:eastAsia="仿宋_GB2312"/>
      <w:b/>
      <w:bCs/>
      <w:kern w:val="2"/>
      <w:sz w:val="32"/>
      <w:szCs w:val="32"/>
      <w:lang w:val="en-US" w:eastAsia="zh-CN" w:bidi="ar-SA"/>
    </w:rPr>
  </w:style>
  <w:style w:type="character" w:customStyle="1" w:styleId="548">
    <w:name w:val="heading 4 Char"/>
    <w:qFormat/>
    <w:uiPriority w:val="0"/>
    <w:rPr>
      <w:rFonts w:ascii="Tahoma" w:hAnsi="Tahoma" w:eastAsia="Helvetica" w:cs="新宋体"/>
      <w:sz w:val="21"/>
      <w:szCs w:val="21"/>
    </w:rPr>
  </w:style>
  <w:style w:type="character" w:customStyle="1" w:styleId="549">
    <w:name w:val="Char Char16"/>
    <w:qFormat/>
    <w:uiPriority w:val="0"/>
    <w:rPr>
      <w:b/>
      <w:bCs/>
      <w:kern w:val="2"/>
      <w:sz w:val="28"/>
      <w:szCs w:val="28"/>
    </w:rPr>
  </w:style>
  <w:style w:type="character" w:customStyle="1" w:styleId="550">
    <w:name w:val="Char Char23"/>
    <w:qFormat/>
    <w:uiPriority w:val="0"/>
    <w:rPr>
      <w:rFonts w:eastAsia="仿宋_GB2312"/>
      <w:b/>
      <w:bCs/>
      <w:kern w:val="2"/>
      <w:sz w:val="32"/>
      <w:szCs w:val="32"/>
      <w:lang w:val="en-US" w:eastAsia="zh-CN" w:bidi="ar-SA"/>
    </w:rPr>
  </w:style>
  <w:style w:type="character" w:customStyle="1" w:styleId="551">
    <w:name w:val="Char Char25"/>
    <w:qFormat/>
    <w:uiPriority w:val="0"/>
    <w:rPr>
      <w:rFonts w:ascii="Arial Unicode MS" w:eastAsia="Arial Unicode MS"/>
      <w:b/>
      <w:bCs/>
      <w:kern w:val="2"/>
      <w:sz w:val="21"/>
      <w:szCs w:val="24"/>
      <w:lang w:val="en-US" w:eastAsia="zh-CN" w:bidi="ar-SA"/>
    </w:rPr>
  </w:style>
  <w:style w:type="character" w:customStyle="1" w:styleId="552">
    <w:name w:val="heading 3 Char1"/>
    <w:qFormat/>
    <w:uiPriority w:val="0"/>
    <w:rPr>
      <w:rFonts w:eastAsia="仿宋_GB2312"/>
      <w:b/>
      <w:bCs/>
      <w:kern w:val="2"/>
      <w:sz w:val="32"/>
      <w:szCs w:val="32"/>
      <w:lang w:val="en-US" w:eastAsia="zh-CN" w:bidi="ar-SA"/>
    </w:rPr>
  </w:style>
  <w:style w:type="character" w:customStyle="1" w:styleId="553">
    <w:name w:val="不明显强调1"/>
    <w:qFormat/>
    <w:uiPriority w:val="0"/>
    <w:rPr>
      <w:i/>
      <w:iCs/>
      <w:color w:val="808080"/>
    </w:rPr>
  </w:style>
  <w:style w:type="character" w:customStyle="1" w:styleId="554">
    <w:name w:val="pt141"/>
    <w:qFormat/>
    <w:uiPriority w:val="0"/>
    <w:rPr>
      <w:color w:val="330066"/>
      <w:spacing w:val="450"/>
      <w:sz w:val="22"/>
      <w:szCs w:val="22"/>
    </w:rPr>
  </w:style>
  <w:style w:type="character" w:customStyle="1" w:styleId="555">
    <w:name w:val="明显参考1"/>
    <w:qFormat/>
    <w:uiPriority w:val="0"/>
    <w:rPr>
      <w:b/>
      <w:bCs/>
      <w:smallCaps/>
      <w:color w:val="C0504D"/>
      <w:spacing w:val="5"/>
      <w:u w:val="single"/>
    </w:rPr>
  </w:style>
  <w:style w:type="character" w:customStyle="1" w:styleId="556">
    <w:name w:val="heading 2 Char"/>
    <w:qFormat/>
    <w:uiPriority w:val="0"/>
    <w:rPr>
      <w:rFonts w:ascii="Tahoma" w:hAnsi="Tahoma" w:eastAsia="Helvetica" w:cs="新宋体"/>
      <w:sz w:val="30"/>
      <w:szCs w:val="24"/>
    </w:rPr>
  </w:style>
  <w:style w:type="character" w:customStyle="1" w:styleId="557">
    <w:name w:val="Intense Emphasis1"/>
    <w:qFormat/>
    <w:uiPriority w:val="0"/>
    <w:rPr>
      <w:b/>
      <w:bCs/>
      <w:i/>
      <w:iCs/>
      <w:color w:val="4F81BD"/>
    </w:rPr>
  </w:style>
  <w:style w:type="character" w:customStyle="1" w:styleId="558">
    <w:name w:val="emailstyle16"/>
    <w:qFormat/>
    <w:uiPriority w:val="0"/>
    <w:rPr>
      <w:rFonts w:ascii="Arial" w:hAnsi="Arial" w:eastAsia="宋体" w:cs="Arial"/>
      <w:color w:val="auto"/>
      <w:kern w:val="2"/>
      <w:sz w:val="20"/>
      <w:szCs w:val="24"/>
      <w:lang w:val="en-US" w:eastAsia="zh-CN" w:bidi="ar-SA"/>
    </w:rPr>
  </w:style>
  <w:style w:type="character" w:customStyle="1" w:styleId="559">
    <w:name w:val="正文靠右 Char Char"/>
    <w:link w:val="560"/>
    <w:qFormat/>
    <w:uiPriority w:val="0"/>
    <w:rPr>
      <w:kern w:val="2"/>
      <w:sz w:val="21"/>
      <w:szCs w:val="24"/>
    </w:rPr>
  </w:style>
  <w:style w:type="paragraph" w:customStyle="1" w:styleId="560">
    <w:name w:val="正文靠右"/>
    <w:basedOn w:val="1"/>
    <w:link w:val="559"/>
    <w:qFormat/>
    <w:uiPriority w:val="0"/>
    <w:pPr>
      <w:jc w:val="right"/>
    </w:pPr>
  </w:style>
  <w:style w:type="character" w:customStyle="1" w:styleId="561">
    <w:name w:val="Char Char111"/>
    <w:qFormat/>
    <w:uiPriority w:val="0"/>
    <w:rPr>
      <w:rFonts w:ascii="新宋体" w:hAnsi="新宋体" w:eastAsia="仿宋_GB2312" w:cs="新宋体"/>
      <w:sz w:val="18"/>
      <w:szCs w:val="18"/>
    </w:rPr>
  </w:style>
  <w:style w:type="character" w:customStyle="1" w:styleId="562">
    <w:name w:val="HTML 预设格式 Char1"/>
    <w:qFormat/>
    <w:uiPriority w:val="0"/>
    <w:rPr>
      <w:rFonts w:ascii="宋体" w:hAnsi="宋体" w:cs="宋体"/>
      <w:sz w:val="24"/>
      <w:szCs w:val="24"/>
    </w:rPr>
  </w:style>
  <w:style w:type="character" w:customStyle="1" w:styleId="563">
    <w:name w:val="正文缩进 字符"/>
    <w:qFormat/>
    <w:uiPriority w:val="0"/>
    <w:rPr>
      <w:sz w:val="28"/>
    </w:rPr>
  </w:style>
  <w:style w:type="character" w:customStyle="1" w:styleId="564">
    <w:name w:val="Style1"/>
    <w:qFormat/>
    <w:uiPriority w:val="0"/>
    <w:rPr>
      <w:rFonts w:ascii="Century Gothic" w:hAnsi="仿宋_GB2312" w:eastAsia="仿宋_GB2312" w:cs="新宋体"/>
      <w:sz w:val="22"/>
      <w:szCs w:val="22"/>
      <w:lang w:eastAsia="zh-CN"/>
    </w:rPr>
  </w:style>
  <w:style w:type="character" w:customStyle="1" w:styleId="565">
    <w:name w:val="BZ_封面_名称 Char"/>
    <w:link w:val="566"/>
    <w:qFormat/>
    <w:uiPriority w:val="0"/>
    <w:rPr>
      <w:rFonts w:eastAsia="黑体"/>
      <w:kern w:val="2"/>
      <w:sz w:val="44"/>
      <w:szCs w:val="44"/>
    </w:rPr>
  </w:style>
  <w:style w:type="paragraph" w:customStyle="1" w:styleId="566">
    <w:name w:val="BZ_封面_名称"/>
    <w:basedOn w:val="1"/>
    <w:link w:val="565"/>
    <w:qFormat/>
    <w:uiPriority w:val="0"/>
    <w:pPr>
      <w:widowControl/>
      <w:jc w:val="center"/>
    </w:pPr>
    <w:rPr>
      <w:rFonts w:eastAsia="黑体"/>
      <w:sz w:val="44"/>
      <w:szCs w:val="44"/>
    </w:rPr>
  </w:style>
  <w:style w:type="character" w:customStyle="1" w:styleId="567">
    <w:name w:val="个人答复风格"/>
    <w:qFormat/>
    <w:uiPriority w:val="0"/>
    <w:rPr>
      <w:rFonts w:ascii="Arial" w:hAnsi="Arial" w:eastAsia="宋体" w:cs="Arial"/>
      <w:color w:val="auto"/>
      <w:kern w:val="2"/>
      <w:sz w:val="20"/>
      <w:szCs w:val="24"/>
      <w:lang w:val="en-US" w:eastAsia="zh-CN" w:bidi="ar-SA"/>
    </w:rPr>
  </w:style>
  <w:style w:type="character" w:customStyle="1" w:styleId="568">
    <w:name w:val="kpk:3级 Char"/>
    <w:link w:val="569"/>
    <w:qFormat/>
    <w:uiPriority w:val="0"/>
    <w:rPr>
      <w:rFonts w:ascii="黑体" w:eastAsia="黑体"/>
      <w:b/>
      <w:bCs/>
      <w:kern w:val="2"/>
      <w:sz w:val="24"/>
      <w:szCs w:val="24"/>
    </w:rPr>
  </w:style>
  <w:style w:type="paragraph" w:customStyle="1" w:styleId="569">
    <w:name w:val="kpk:3级"/>
    <w:basedOn w:val="8"/>
    <w:link w:val="568"/>
    <w:qFormat/>
    <w:uiPriority w:val="0"/>
    <w:pPr>
      <w:tabs>
        <w:tab w:val="left" w:pos="420"/>
      </w:tabs>
      <w:spacing w:before="0" w:after="0" w:line="360" w:lineRule="auto"/>
      <w:ind w:left="420" w:hanging="420"/>
    </w:pPr>
    <w:rPr>
      <w:rFonts w:ascii="黑体" w:eastAsia="黑体"/>
      <w:sz w:val="24"/>
      <w:szCs w:val="24"/>
    </w:rPr>
  </w:style>
  <w:style w:type="character" w:customStyle="1" w:styleId="570">
    <w:name w:val="Char Char19"/>
    <w:qFormat/>
    <w:uiPriority w:val="0"/>
    <w:rPr>
      <w:rFonts w:ascii="Tahoma" w:hAnsi="Tahoma" w:eastAsia="Helvetica"/>
      <w:sz w:val="21"/>
      <w:szCs w:val="21"/>
      <w:lang w:val="en-US" w:eastAsia="zh-CN" w:bidi="ar-SA"/>
    </w:rPr>
  </w:style>
  <w:style w:type="character" w:customStyle="1" w:styleId="571">
    <w:name w:val="Table Text Char Char"/>
    <w:qFormat/>
    <w:uiPriority w:val="0"/>
    <w:rPr>
      <w:rFonts w:eastAsia="仿宋_GB2312"/>
      <w:sz w:val="24"/>
      <w:lang w:bidi="ar-SA"/>
    </w:rPr>
  </w:style>
  <w:style w:type="character" w:customStyle="1" w:styleId="572">
    <w:name w:val="heading 4 Char1"/>
    <w:qFormat/>
    <w:uiPriority w:val="0"/>
    <w:rPr>
      <w:rFonts w:ascii="Verdana" w:hAnsi="Verdana" w:eastAsia="仿宋_GB2312"/>
      <w:b/>
      <w:bCs/>
      <w:kern w:val="2"/>
      <w:sz w:val="28"/>
      <w:szCs w:val="28"/>
      <w:lang w:val="en-US" w:eastAsia="zh-CN" w:bidi="ar-SA"/>
    </w:rPr>
  </w:style>
  <w:style w:type="character" w:customStyle="1" w:styleId="573">
    <w:name w:val="kpk:4级 Char1"/>
    <w:link w:val="574"/>
    <w:qFormat/>
    <w:locked/>
    <w:uiPriority w:val="0"/>
    <w:rPr>
      <w:rFonts w:ascii="Arial" w:hAnsi="Arial" w:eastAsia="黑体"/>
      <w:bCs/>
      <w:sz w:val="24"/>
      <w:szCs w:val="28"/>
    </w:rPr>
  </w:style>
  <w:style w:type="paragraph" w:customStyle="1" w:styleId="574">
    <w:name w:val="kpk:4级"/>
    <w:basedOn w:val="9"/>
    <w:link w:val="573"/>
    <w:qFormat/>
    <w:uiPriority w:val="0"/>
    <w:pPr>
      <w:keepNext/>
      <w:keepLines/>
      <w:tabs>
        <w:tab w:val="left" w:pos="-142"/>
        <w:tab w:val="left" w:pos="0"/>
        <w:tab w:val="left" w:pos="284"/>
        <w:tab w:val="left" w:pos="780"/>
      </w:tabs>
      <w:adjustRightInd/>
      <w:spacing w:line="360" w:lineRule="auto"/>
      <w:ind w:left="780" w:leftChars="200" w:hanging="360"/>
    </w:pPr>
    <w:rPr>
      <w:rFonts w:ascii="Arial" w:hAnsi="Arial" w:eastAsia="黑体"/>
      <w:bCs/>
      <w:kern w:val="0"/>
      <w:sz w:val="24"/>
      <w:szCs w:val="28"/>
    </w:rPr>
  </w:style>
  <w:style w:type="character" w:customStyle="1" w:styleId="575">
    <w:name w:val="heading 3 Char"/>
    <w:qFormat/>
    <w:uiPriority w:val="0"/>
    <w:rPr>
      <w:rFonts w:ascii="Tahoma" w:hAnsi="Tahoma" w:eastAsia="Helvetica"/>
      <w:sz w:val="28"/>
      <w:szCs w:val="24"/>
    </w:rPr>
  </w:style>
  <w:style w:type="character" w:customStyle="1" w:styleId="576">
    <w:name w:val="heading 4 Char2"/>
    <w:qFormat/>
    <w:uiPriority w:val="0"/>
    <w:rPr>
      <w:rFonts w:ascii="Verdana" w:hAnsi="Verdana"/>
      <w:b/>
      <w:bCs/>
      <w:kern w:val="2"/>
      <w:sz w:val="28"/>
      <w:szCs w:val="28"/>
    </w:rPr>
  </w:style>
  <w:style w:type="character" w:customStyle="1" w:styleId="577">
    <w:name w:val="样式 标题 3 + 黑体 小四 Char Char"/>
    <w:qFormat/>
    <w:uiPriority w:val="0"/>
    <w:rPr>
      <w:rFonts w:ascii="Helvetica" w:hAnsi="Tahoma" w:eastAsia="Helvetica"/>
      <w:bCs/>
      <w:sz w:val="24"/>
      <w:szCs w:val="24"/>
      <w:lang w:bidi="ar-SA"/>
    </w:rPr>
  </w:style>
  <w:style w:type="character" w:customStyle="1" w:styleId="578">
    <w:name w:val="四级标题 Char"/>
    <w:link w:val="579"/>
    <w:qFormat/>
    <w:uiPriority w:val="0"/>
    <w:rPr>
      <w:rFonts w:eastAsia="黑体"/>
      <w:b/>
      <w:kern w:val="2"/>
      <w:sz w:val="28"/>
      <w:szCs w:val="22"/>
    </w:rPr>
  </w:style>
  <w:style w:type="paragraph" w:customStyle="1" w:styleId="579">
    <w:name w:val="四级标题"/>
    <w:basedOn w:val="1"/>
    <w:link w:val="578"/>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580">
    <w:name w:val="标题 4 字符"/>
    <w:qFormat/>
    <w:uiPriority w:val="0"/>
    <w:rPr>
      <w:rFonts w:eastAsia="楷体_GB2312"/>
      <w:b/>
      <w:snapToGrid/>
      <w:sz w:val="28"/>
    </w:rPr>
  </w:style>
  <w:style w:type="character" w:customStyle="1" w:styleId="581">
    <w:name w:val="heading 5 Char2"/>
    <w:qFormat/>
    <w:uiPriority w:val="0"/>
    <w:rPr>
      <w:b/>
      <w:bCs/>
      <w:kern w:val="2"/>
      <w:sz w:val="28"/>
      <w:szCs w:val="28"/>
    </w:rPr>
  </w:style>
  <w:style w:type="character" w:customStyle="1" w:styleId="582">
    <w:name w:val="书籍标题1"/>
    <w:qFormat/>
    <w:uiPriority w:val="0"/>
    <w:rPr>
      <w:b/>
      <w:bCs/>
      <w:smallCaps/>
      <w:spacing w:val="5"/>
    </w:rPr>
  </w:style>
  <w:style w:type="character" w:customStyle="1" w:styleId="583">
    <w:name w:val="Ò³Ã¼ Char Char2"/>
    <w:qFormat/>
    <w:uiPriority w:val="0"/>
    <w:rPr>
      <w:kern w:val="2"/>
      <w:sz w:val="18"/>
      <w:szCs w:val="18"/>
    </w:rPr>
  </w:style>
  <w:style w:type="character" w:customStyle="1" w:styleId="584">
    <w:name w:val="不明显参考1"/>
    <w:qFormat/>
    <w:uiPriority w:val="0"/>
    <w:rPr>
      <w:smallCaps/>
      <w:color w:val="C0504D"/>
      <w:u w:val="single"/>
    </w:rPr>
  </w:style>
  <w:style w:type="character" w:customStyle="1" w:styleId="585">
    <w:name w:val="标题 6 字符"/>
    <w:qFormat/>
    <w:uiPriority w:val="0"/>
    <w:rPr>
      <w:rFonts w:ascii="Arial" w:hAnsi="Arial" w:eastAsia="黑体"/>
      <w:spacing w:val="20"/>
      <w:kern w:val="2"/>
      <w:sz w:val="28"/>
    </w:rPr>
  </w:style>
  <w:style w:type="character" w:customStyle="1" w:styleId="586">
    <w:name w:val="Footer-Even Char"/>
    <w:qFormat/>
    <w:uiPriority w:val="0"/>
    <w:rPr>
      <w:sz w:val="18"/>
      <w:szCs w:val="18"/>
    </w:rPr>
  </w:style>
  <w:style w:type="character" w:customStyle="1" w:styleId="587">
    <w:name w:val="标题 8 字符"/>
    <w:qFormat/>
    <w:uiPriority w:val="0"/>
    <w:rPr>
      <w:rFonts w:ascii="Arial" w:hAnsi="Arial" w:eastAsia="黑体"/>
      <w:kern w:val="2"/>
      <w:sz w:val="24"/>
      <w:vertAlign w:val="superscript"/>
    </w:rPr>
  </w:style>
  <w:style w:type="character" w:customStyle="1" w:styleId="588">
    <w:name w:val="标题 1 字符"/>
    <w:qFormat/>
    <w:uiPriority w:val="0"/>
    <w:rPr>
      <w:rFonts w:eastAsia="黑体"/>
      <w:snapToGrid/>
      <w:sz w:val="44"/>
    </w:rPr>
  </w:style>
  <w:style w:type="character" w:customStyle="1" w:styleId="589">
    <w:name w:val="content_title1"/>
    <w:qFormat/>
    <w:uiPriority w:val="0"/>
    <w:rPr>
      <w:rFonts w:eastAsia="宋体"/>
      <w:color w:val="9A1601"/>
      <w:kern w:val="2"/>
      <w:sz w:val="21"/>
      <w:szCs w:val="21"/>
      <w:lang w:val="en-US" w:eastAsia="zh-CN" w:bidi="ar-SA"/>
    </w:rPr>
  </w:style>
  <w:style w:type="character" w:customStyle="1" w:styleId="590">
    <w:name w:val="标题 7 字符"/>
    <w:qFormat/>
    <w:uiPriority w:val="0"/>
    <w:rPr>
      <w:b/>
      <w:kern w:val="2"/>
      <w:sz w:val="24"/>
      <w:vertAlign w:val="superscript"/>
    </w:rPr>
  </w:style>
  <w:style w:type="character" w:customStyle="1" w:styleId="591">
    <w:name w:val="Char Char6"/>
    <w:qFormat/>
    <w:uiPriority w:val="0"/>
    <w:rPr>
      <w:rFonts w:ascii="新宋体" w:hAnsi="新宋体" w:eastAsia="仿宋_GB2312" w:cs="新宋体"/>
      <w:szCs w:val="24"/>
    </w:rPr>
  </w:style>
  <w:style w:type="character" w:customStyle="1" w:styleId="592">
    <w:name w:val="标题 5 字符"/>
    <w:qFormat/>
    <w:uiPriority w:val="0"/>
    <w:rPr>
      <w:kern w:val="2"/>
      <w:sz w:val="28"/>
    </w:rPr>
  </w:style>
  <w:style w:type="character" w:customStyle="1" w:styleId="593">
    <w:name w:val="smalltxt1"/>
    <w:qFormat/>
    <w:uiPriority w:val="0"/>
    <w:rPr>
      <w:rFonts w:hint="default" w:ascii="宋体,Verdana,Arial" w:hAnsi="宋体,Verdana,Arial"/>
      <w:sz w:val="24"/>
      <w:szCs w:val="24"/>
    </w:rPr>
  </w:style>
  <w:style w:type="character" w:customStyle="1" w:styleId="594">
    <w:name w:val="正文居中 Char Char"/>
    <w:link w:val="595"/>
    <w:qFormat/>
    <w:uiPriority w:val="0"/>
    <w:rPr>
      <w:kern w:val="2"/>
      <w:sz w:val="21"/>
      <w:szCs w:val="24"/>
    </w:rPr>
  </w:style>
  <w:style w:type="paragraph" w:customStyle="1" w:styleId="595">
    <w:name w:val="正文居中"/>
    <w:basedOn w:val="1"/>
    <w:link w:val="594"/>
    <w:qFormat/>
    <w:uiPriority w:val="0"/>
    <w:pPr>
      <w:jc w:val="center"/>
    </w:pPr>
  </w:style>
  <w:style w:type="character" w:customStyle="1" w:styleId="596">
    <w:name w:val="样式2 Char Char"/>
    <w:qFormat/>
    <w:uiPriority w:val="0"/>
    <w:rPr>
      <w:rFonts w:ascii="仿宋_GB2312" w:hAnsi="仿宋_GB2312" w:eastAsia="仿宋_GB2312"/>
      <w:bCs/>
      <w:kern w:val="2"/>
      <w:sz w:val="28"/>
      <w:szCs w:val="28"/>
      <w:lang w:val="en-US" w:eastAsia="zh-CN" w:bidi="ar-SA"/>
    </w:rPr>
  </w:style>
  <w:style w:type="character" w:customStyle="1" w:styleId="597">
    <w:name w:val="heading 6 Char1"/>
    <w:qFormat/>
    <w:uiPriority w:val="0"/>
    <w:rPr>
      <w:rFonts w:ascii="Tahoma" w:hAnsi="Tahoma" w:eastAsia="Helvetica"/>
      <w:kern w:val="2"/>
      <w:sz w:val="24"/>
      <w:szCs w:val="24"/>
      <w:lang w:val="en-US" w:eastAsia="zh-CN" w:bidi="ar-SA"/>
    </w:rPr>
  </w:style>
  <w:style w:type="character" w:customStyle="1" w:styleId="598">
    <w:name w:val="正文文本缩进 2 字符"/>
    <w:qFormat/>
    <w:uiPriority w:val="0"/>
    <w:rPr>
      <w:sz w:val="28"/>
    </w:rPr>
  </w:style>
  <w:style w:type="character" w:customStyle="1" w:styleId="599">
    <w:name w:val="正文文本缩进 字符"/>
    <w:qFormat/>
    <w:uiPriority w:val="0"/>
    <w:rPr>
      <w:sz w:val="28"/>
    </w:rPr>
  </w:style>
  <w:style w:type="character" w:customStyle="1" w:styleId="600">
    <w:name w:val="t11"/>
    <w:qFormat/>
    <w:uiPriority w:val="0"/>
    <w:rPr>
      <w:rFonts w:eastAsia="宋体"/>
      <w:color w:val="333333"/>
      <w:kern w:val="2"/>
      <w:sz w:val="18"/>
      <w:szCs w:val="18"/>
      <w:lang w:val="en-US" w:eastAsia="zh-CN" w:bidi="ar-SA"/>
    </w:rPr>
  </w:style>
  <w:style w:type="character" w:customStyle="1" w:styleId="601">
    <w:name w:val="正文文本 Char Char"/>
    <w:qFormat/>
    <w:uiPriority w:val="0"/>
    <w:rPr>
      <w:rFonts w:ascii="Times New Roman" w:hAnsi="Times New Roman"/>
      <w:kern w:val="2"/>
      <w:sz w:val="21"/>
      <w:szCs w:val="24"/>
    </w:rPr>
  </w:style>
  <w:style w:type="character" w:customStyle="1" w:styleId="602">
    <w:name w:val="Plain Text Char"/>
    <w:qFormat/>
    <w:uiPriority w:val="0"/>
    <w:rPr>
      <w:rFonts w:ascii="仿宋_GB2312" w:hAnsi="Wingdings" w:eastAsia="仿宋_GB2312" w:cs="新宋体"/>
      <w:sz w:val="21"/>
      <w:szCs w:val="21"/>
    </w:rPr>
  </w:style>
  <w:style w:type="character" w:customStyle="1" w:styleId="603">
    <w:name w:val="正文4 Char"/>
    <w:qFormat/>
    <w:uiPriority w:val="0"/>
    <w:rPr>
      <w:rFonts w:ascii="新宋体" w:hAnsi="新宋体" w:eastAsia="宋体" w:cs="新宋体"/>
      <w:kern w:val="2"/>
      <w:sz w:val="24"/>
      <w:szCs w:val="24"/>
      <w:lang w:val="en-US" w:eastAsia="zh-CN" w:bidi="ar-SA"/>
    </w:rPr>
  </w:style>
  <w:style w:type="character" w:customStyle="1" w:styleId="604">
    <w:name w:val="heading 5 Char1"/>
    <w:qFormat/>
    <w:uiPriority w:val="0"/>
    <w:rPr>
      <w:rFonts w:eastAsia="仿宋_GB2312"/>
      <w:b/>
      <w:bCs/>
      <w:kern w:val="2"/>
      <w:sz w:val="28"/>
      <w:szCs w:val="28"/>
      <w:lang w:val="en-US" w:eastAsia="zh-CN" w:bidi="ar-SA"/>
    </w:rPr>
  </w:style>
  <w:style w:type="character" w:customStyle="1" w:styleId="605">
    <w:name w:val="Char Char22"/>
    <w:qFormat/>
    <w:uiPriority w:val="0"/>
    <w:rPr>
      <w:rFonts w:ascii="Tahoma" w:hAnsi="Tahoma" w:eastAsia="Helvetica"/>
      <w:b/>
      <w:bCs/>
      <w:kern w:val="44"/>
      <w:sz w:val="30"/>
      <w:szCs w:val="44"/>
      <w:lang w:val="en-US" w:eastAsia="zh-CN" w:bidi="ar-SA"/>
    </w:rPr>
  </w:style>
  <w:style w:type="character" w:customStyle="1" w:styleId="606">
    <w:name w:val="一级标题 Char"/>
    <w:link w:val="607"/>
    <w:qFormat/>
    <w:uiPriority w:val="0"/>
    <w:rPr>
      <w:rFonts w:ascii="黑体" w:eastAsia="华文中宋"/>
      <w:b/>
      <w:kern w:val="44"/>
      <w:sz w:val="36"/>
      <w:szCs w:val="44"/>
    </w:rPr>
  </w:style>
  <w:style w:type="paragraph" w:customStyle="1" w:styleId="607">
    <w:name w:val="一级标题"/>
    <w:basedOn w:val="6"/>
    <w:link w:val="606"/>
    <w:qFormat/>
    <w:uiPriority w:val="0"/>
    <w:pPr>
      <w:pageBreakBefore/>
      <w:tabs>
        <w:tab w:val="clear" w:pos="840"/>
      </w:tabs>
      <w:adjustRightInd/>
      <w:snapToGrid/>
      <w:spacing w:line="578" w:lineRule="auto"/>
      <w:ind w:left="432" w:hanging="432"/>
      <w:jc w:val="center"/>
    </w:pPr>
    <w:rPr>
      <w:rFonts w:ascii="黑体" w:eastAsia="华文中宋"/>
      <w:sz w:val="36"/>
      <w:szCs w:val="44"/>
    </w:rPr>
  </w:style>
  <w:style w:type="character" w:customStyle="1" w:styleId="608">
    <w:name w:val="正文（小四+1.25倍行距） Char"/>
    <w:link w:val="609"/>
    <w:qFormat/>
    <w:uiPriority w:val="0"/>
    <w:rPr>
      <w:sz w:val="24"/>
      <w:szCs w:val="24"/>
    </w:rPr>
  </w:style>
  <w:style w:type="paragraph" w:customStyle="1" w:styleId="609">
    <w:name w:val="正文（小四+1.25倍行距）"/>
    <w:basedOn w:val="1"/>
    <w:link w:val="608"/>
    <w:qFormat/>
    <w:uiPriority w:val="0"/>
    <w:pPr>
      <w:spacing w:afterLines="50" w:line="300" w:lineRule="auto"/>
      <w:ind w:firstLine="420"/>
    </w:pPr>
    <w:rPr>
      <w:kern w:val="0"/>
      <w:sz w:val="24"/>
    </w:rPr>
  </w:style>
  <w:style w:type="character" w:customStyle="1" w:styleId="610">
    <w:name w:val="Ò³Ã¼ Char Char1"/>
    <w:qFormat/>
    <w:uiPriority w:val="0"/>
    <w:rPr>
      <w:rFonts w:eastAsia="仿宋_GB2312"/>
      <w:kern w:val="2"/>
      <w:sz w:val="18"/>
      <w:szCs w:val="18"/>
      <w:lang w:val="en-US" w:eastAsia="zh-CN" w:bidi="ar-SA"/>
    </w:rPr>
  </w:style>
  <w:style w:type="character" w:customStyle="1" w:styleId="611">
    <w:name w:val="正文首行缩进 字符"/>
    <w:qFormat/>
    <w:uiPriority w:val="0"/>
    <w:rPr>
      <w:rFonts w:ascii="宋体"/>
    </w:rPr>
  </w:style>
  <w:style w:type="character" w:customStyle="1" w:styleId="612">
    <w:name w:val="Char Char61"/>
    <w:qFormat/>
    <w:uiPriority w:val="0"/>
    <w:rPr>
      <w:rFonts w:ascii="新宋体" w:hAnsi="新宋体" w:eastAsia="仿宋_GB2312" w:cs="新宋体"/>
      <w:szCs w:val="24"/>
    </w:rPr>
  </w:style>
  <w:style w:type="character" w:customStyle="1" w:styleId="613">
    <w:name w:val="符号正文缩进 Char Char"/>
    <w:link w:val="614"/>
    <w:qFormat/>
    <w:uiPriority w:val="0"/>
    <w:rPr>
      <w:kern w:val="2"/>
      <w:sz w:val="24"/>
      <w:szCs w:val="24"/>
    </w:rPr>
  </w:style>
  <w:style w:type="paragraph" w:customStyle="1" w:styleId="614">
    <w:name w:val="符号正文缩进"/>
    <w:basedOn w:val="21"/>
    <w:link w:val="613"/>
    <w:qFormat/>
    <w:uiPriority w:val="0"/>
    <w:pPr>
      <w:tabs>
        <w:tab w:val="left" w:pos="1497"/>
      </w:tabs>
      <w:spacing w:line="400" w:lineRule="atLeast"/>
      <w:ind w:left="567" w:firstLine="510"/>
    </w:pPr>
    <w:rPr>
      <w:kern w:val="2"/>
      <w:sz w:val="24"/>
      <w:szCs w:val="24"/>
    </w:rPr>
  </w:style>
  <w:style w:type="character" w:customStyle="1" w:styleId="615">
    <w:name w:val="Char Char11"/>
    <w:qFormat/>
    <w:uiPriority w:val="0"/>
    <w:rPr>
      <w:rFonts w:ascii="新宋体" w:hAnsi="新宋体" w:eastAsia="仿宋_GB2312" w:cs="新宋体"/>
      <w:sz w:val="18"/>
      <w:szCs w:val="18"/>
    </w:rPr>
  </w:style>
  <w:style w:type="character" w:customStyle="1" w:styleId="616">
    <w:name w:val="heading 1 Char2"/>
    <w:qFormat/>
    <w:uiPriority w:val="0"/>
    <w:rPr>
      <w:b/>
      <w:bCs/>
      <w:kern w:val="44"/>
      <w:sz w:val="44"/>
      <w:szCs w:val="44"/>
    </w:rPr>
  </w:style>
  <w:style w:type="character" w:customStyle="1" w:styleId="617">
    <w:name w:val="Char Char13"/>
    <w:qFormat/>
    <w:uiPriority w:val="0"/>
    <w:rPr>
      <w:b/>
      <w:bCs/>
      <w:color w:val="auto"/>
      <w:kern w:val="2"/>
      <w:szCs w:val="20"/>
    </w:rPr>
  </w:style>
  <w:style w:type="character" w:customStyle="1" w:styleId="618">
    <w:name w:val="heading 7 Char1"/>
    <w:qFormat/>
    <w:uiPriority w:val="0"/>
    <w:rPr>
      <w:rFonts w:ascii="Tahoma" w:hAnsi="Tahoma" w:eastAsia="Helvetica"/>
      <w:sz w:val="21"/>
      <w:szCs w:val="21"/>
      <w:lang w:val="en-US" w:eastAsia="zh-CN" w:bidi="ar-SA"/>
    </w:rPr>
  </w:style>
  <w:style w:type="character" w:customStyle="1" w:styleId="619">
    <w:name w:val="Style2"/>
    <w:qFormat/>
    <w:uiPriority w:val="0"/>
    <w:rPr>
      <w:rFonts w:ascii="Century Gothic" w:hAnsi="仿宋_GB2312" w:eastAsia="仿宋_GB2312" w:cs="新宋体"/>
      <w:sz w:val="22"/>
      <w:szCs w:val="22"/>
      <w:lang w:eastAsia="zh-CN"/>
    </w:rPr>
  </w:style>
  <w:style w:type="character" w:customStyle="1" w:styleId="620">
    <w:name w:val="style111"/>
    <w:qFormat/>
    <w:uiPriority w:val="0"/>
    <w:rPr>
      <w:sz w:val="27"/>
      <w:szCs w:val="27"/>
    </w:rPr>
  </w:style>
  <w:style w:type="character" w:customStyle="1" w:styleId="621">
    <w:name w:val="emailstyle15"/>
    <w:qFormat/>
    <w:uiPriority w:val="0"/>
    <w:rPr>
      <w:rFonts w:ascii="Arial" w:hAnsi="Arial" w:eastAsia="宋体" w:cs="Arial"/>
      <w:color w:val="auto"/>
      <w:kern w:val="2"/>
      <w:sz w:val="20"/>
      <w:szCs w:val="24"/>
      <w:lang w:val="en-US" w:eastAsia="zh-CN" w:bidi="ar-SA"/>
    </w:rPr>
  </w:style>
  <w:style w:type="character" w:customStyle="1" w:styleId="622">
    <w:name w:val="个人撰写风格"/>
    <w:qFormat/>
    <w:uiPriority w:val="0"/>
    <w:rPr>
      <w:rFonts w:ascii="Arial" w:hAnsi="Arial" w:eastAsia="宋体" w:cs="Arial"/>
      <w:color w:val="auto"/>
      <w:kern w:val="2"/>
      <w:sz w:val="20"/>
      <w:szCs w:val="24"/>
      <w:lang w:val="en-US" w:eastAsia="zh-CN" w:bidi="ar-SA"/>
    </w:rPr>
  </w:style>
  <w:style w:type="character" w:customStyle="1" w:styleId="623">
    <w:name w:val="Char Char21"/>
    <w:qFormat/>
    <w:uiPriority w:val="0"/>
    <w:rPr>
      <w:rFonts w:ascii="新宋体" w:hAnsi="新宋体" w:eastAsia="仿宋_GB2312" w:cs="新宋体"/>
      <w:b/>
      <w:bCs/>
      <w:kern w:val="44"/>
      <w:sz w:val="44"/>
      <w:szCs w:val="44"/>
    </w:rPr>
  </w:style>
  <w:style w:type="character" w:customStyle="1" w:styleId="624">
    <w:name w:val="Char Char24"/>
    <w:qFormat/>
    <w:uiPriority w:val="0"/>
    <w:rPr>
      <w:rFonts w:ascii="Verdana" w:hAnsi="Verdana" w:eastAsia="仿宋_GB2312"/>
      <w:b/>
      <w:bCs/>
      <w:kern w:val="2"/>
      <w:sz w:val="32"/>
      <w:szCs w:val="32"/>
      <w:lang w:val="en-US" w:eastAsia="zh-CN" w:bidi="ar-SA"/>
    </w:rPr>
  </w:style>
  <w:style w:type="character" w:customStyle="1" w:styleId="625">
    <w:name w:val="Char Char181"/>
    <w:qFormat/>
    <w:uiPriority w:val="0"/>
    <w:rPr>
      <w:rFonts w:ascii="Tahoma" w:hAnsi="Tahoma" w:eastAsia="Helvetica"/>
      <w:sz w:val="24"/>
      <w:lang w:val="en-US" w:eastAsia="zh-CN" w:bidi="ar-SA"/>
    </w:rPr>
  </w:style>
  <w:style w:type="character" w:customStyle="1" w:styleId="626">
    <w:name w:val="heading 5 Char"/>
    <w:qFormat/>
    <w:uiPriority w:val="0"/>
    <w:rPr>
      <w:rFonts w:ascii="Tahoma" w:hAnsi="Tahoma" w:eastAsia="Helvetica"/>
      <w:sz w:val="21"/>
      <w:szCs w:val="21"/>
    </w:rPr>
  </w:style>
  <w:style w:type="character" w:customStyle="1" w:styleId="627">
    <w:name w:val="heading 3 Char2"/>
    <w:qFormat/>
    <w:uiPriority w:val="0"/>
    <w:rPr>
      <w:b/>
      <w:bCs/>
      <w:kern w:val="2"/>
      <w:sz w:val="32"/>
      <w:szCs w:val="32"/>
    </w:rPr>
  </w:style>
  <w:style w:type="character" w:customStyle="1" w:styleId="628">
    <w:name w:val="列出段落 Char1"/>
    <w:qFormat/>
    <w:uiPriority w:val="0"/>
    <w:rPr>
      <w:kern w:val="2"/>
      <w:sz w:val="21"/>
      <w:szCs w:val="24"/>
    </w:rPr>
  </w:style>
  <w:style w:type="character" w:customStyle="1" w:styleId="629">
    <w:name w:val="Footer-Even Char2"/>
    <w:qFormat/>
    <w:uiPriority w:val="0"/>
    <w:rPr>
      <w:kern w:val="2"/>
      <w:sz w:val="18"/>
      <w:szCs w:val="18"/>
    </w:rPr>
  </w:style>
  <w:style w:type="character" w:customStyle="1" w:styleId="630">
    <w:name w:val="heading 1 Char1"/>
    <w:qFormat/>
    <w:uiPriority w:val="0"/>
    <w:rPr>
      <w:rFonts w:eastAsia="仿宋_GB2312"/>
      <w:b/>
      <w:bCs/>
      <w:kern w:val="44"/>
      <w:sz w:val="44"/>
      <w:szCs w:val="44"/>
      <w:lang w:val="en-US" w:eastAsia="zh-CN" w:bidi="ar-SA"/>
    </w:rPr>
  </w:style>
  <w:style w:type="character" w:customStyle="1" w:styleId="631">
    <w:name w:val="kpk:正文 Char"/>
    <w:link w:val="632"/>
    <w:qFormat/>
    <w:uiPriority w:val="0"/>
    <w:rPr>
      <w:rFonts w:ascii="宋体" w:hAnsi="宋体"/>
      <w:kern w:val="2"/>
      <w:sz w:val="24"/>
      <w:szCs w:val="24"/>
      <w:lang w:val="en-GB"/>
    </w:rPr>
  </w:style>
  <w:style w:type="paragraph" w:customStyle="1" w:styleId="632">
    <w:name w:val="kpk:正文"/>
    <w:basedOn w:val="1"/>
    <w:link w:val="631"/>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633">
    <w:name w:val="彩色列表 - 强调文字颜色 1 Char"/>
    <w:link w:val="634"/>
    <w:qFormat/>
    <w:uiPriority w:val="0"/>
    <w:rPr>
      <w:kern w:val="2"/>
      <w:sz w:val="21"/>
      <w:szCs w:val="22"/>
    </w:rPr>
  </w:style>
  <w:style w:type="paragraph" w:customStyle="1" w:styleId="634">
    <w:name w:val="彩色列表 - 强调文字颜色 11"/>
    <w:basedOn w:val="1"/>
    <w:link w:val="633"/>
    <w:qFormat/>
    <w:uiPriority w:val="0"/>
    <w:pPr>
      <w:ind w:firstLine="420" w:firstLineChars="200"/>
    </w:pPr>
    <w:rPr>
      <w:szCs w:val="22"/>
    </w:rPr>
  </w:style>
  <w:style w:type="character" w:customStyle="1" w:styleId="635">
    <w:name w:val="Char Char17"/>
    <w:qFormat/>
    <w:uiPriority w:val="0"/>
    <w:rPr>
      <w:rFonts w:ascii="Tahoma" w:hAnsi="Tahoma" w:eastAsia="Helvetica"/>
      <w:sz w:val="21"/>
      <w:lang w:val="en-US" w:eastAsia="zh-CN" w:bidi="ar-SA"/>
    </w:rPr>
  </w:style>
  <w:style w:type="character" w:customStyle="1" w:styleId="636">
    <w:name w:val="heading 2 Char2"/>
    <w:qFormat/>
    <w:uiPriority w:val="0"/>
    <w:rPr>
      <w:rFonts w:ascii="Verdana" w:hAnsi="Verdana"/>
      <w:b/>
      <w:bCs/>
      <w:kern w:val="2"/>
      <w:sz w:val="32"/>
      <w:szCs w:val="32"/>
    </w:rPr>
  </w:style>
  <w:style w:type="character" w:customStyle="1" w:styleId="637">
    <w:name w:val="正文缩进字符"/>
    <w:link w:val="638"/>
    <w:qFormat/>
    <w:uiPriority w:val="0"/>
    <w:rPr>
      <w:rFonts w:ascii="宋体"/>
      <w:sz w:val="24"/>
    </w:rPr>
  </w:style>
  <w:style w:type="paragraph" w:customStyle="1" w:styleId="638">
    <w:name w:val="正文缩进2"/>
    <w:basedOn w:val="1"/>
    <w:link w:val="637"/>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639">
    <w:name w:val="heading 8 Char1"/>
    <w:qFormat/>
    <w:uiPriority w:val="0"/>
    <w:rPr>
      <w:rFonts w:ascii="Tahoma" w:hAnsi="Tahoma" w:eastAsia="Helvetica"/>
      <w:sz w:val="24"/>
      <w:lang w:val="en-US" w:eastAsia="zh-CN" w:bidi="ar-SA"/>
    </w:rPr>
  </w:style>
  <w:style w:type="character" w:customStyle="1" w:styleId="640">
    <w:name w:val="Char Char171"/>
    <w:qFormat/>
    <w:uiPriority w:val="0"/>
    <w:rPr>
      <w:rFonts w:ascii="Verdana" w:hAnsi="Verdana"/>
      <w:b/>
      <w:bCs/>
      <w:kern w:val="2"/>
      <w:sz w:val="28"/>
      <w:szCs w:val="28"/>
    </w:rPr>
  </w:style>
  <w:style w:type="character" w:customStyle="1" w:styleId="641">
    <w:name w:val="内容文本 Char"/>
    <w:link w:val="642"/>
    <w:qFormat/>
    <w:uiPriority w:val="0"/>
    <w:rPr>
      <w:rFonts w:ascii="宋体" w:hAnsi="宋体"/>
      <w:sz w:val="24"/>
      <w:szCs w:val="24"/>
      <w:lang w:eastAsia="en-US" w:bidi="en-US"/>
    </w:rPr>
  </w:style>
  <w:style w:type="paragraph" w:customStyle="1" w:styleId="642">
    <w:name w:val="内容文本"/>
    <w:basedOn w:val="634"/>
    <w:link w:val="641"/>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643">
    <w:name w:val="Style5"/>
    <w:qFormat/>
    <w:uiPriority w:val="0"/>
    <w:rPr>
      <w:rFonts w:ascii="Century Gothic" w:hAnsi="仿宋_GB2312" w:eastAsia="仿宋_GB2312" w:cs="新宋体"/>
      <w:sz w:val="22"/>
      <w:szCs w:val="22"/>
      <w:lang w:eastAsia="zh-CN"/>
    </w:rPr>
  </w:style>
  <w:style w:type="character" w:customStyle="1" w:styleId="644">
    <w:name w:val="BZ_图 Char"/>
    <w:link w:val="645"/>
    <w:qFormat/>
    <w:uiPriority w:val="0"/>
    <w:rPr>
      <w:kern w:val="2"/>
      <w:sz w:val="21"/>
      <w:szCs w:val="24"/>
    </w:rPr>
  </w:style>
  <w:style w:type="paragraph" w:customStyle="1" w:styleId="645">
    <w:name w:val="BZ_图"/>
    <w:basedOn w:val="1"/>
    <w:next w:val="1"/>
    <w:link w:val="644"/>
    <w:qFormat/>
    <w:uiPriority w:val="0"/>
    <w:pPr>
      <w:keepNext/>
      <w:widowControl/>
      <w:spacing w:beforeLines="50" w:afterLines="50"/>
      <w:jc w:val="center"/>
    </w:pPr>
  </w:style>
  <w:style w:type="character" w:customStyle="1" w:styleId="646">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647">
    <w:name w:val="标题 3 字符"/>
    <w:qFormat/>
    <w:uiPriority w:val="0"/>
    <w:rPr>
      <w:rFonts w:eastAsia="黑体"/>
      <w:b/>
      <w:sz w:val="28"/>
    </w:rPr>
  </w:style>
  <w:style w:type="character" w:customStyle="1" w:styleId="648">
    <w:name w:val="dandyren_title1"/>
    <w:qFormat/>
    <w:uiPriority w:val="0"/>
    <w:rPr>
      <w:b/>
      <w:bCs/>
      <w:color w:val="FF6633"/>
      <w:sz w:val="18"/>
      <w:szCs w:val="18"/>
    </w:rPr>
  </w:style>
  <w:style w:type="character" w:customStyle="1" w:styleId="649">
    <w:name w:val="样式 正文缩进首行缩进两字正文（首行缩进两字） Char正文（首行缩进两字） Char Char Char正文（首行缩进... Char"/>
    <w:link w:val="650"/>
    <w:qFormat/>
    <w:uiPriority w:val="0"/>
    <w:rPr>
      <w:rFonts w:cs="宋体"/>
      <w:szCs w:val="28"/>
    </w:rPr>
  </w:style>
  <w:style w:type="paragraph" w:customStyle="1" w:styleId="650">
    <w:name w:val="样式 正文缩进首行缩进两字正文（首行缩进两字） Char正文（首行缩进两字） Char Char Char正文（首行缩进..."/>
    <w:basedOn w:val="21"/>
    <w:link w:val="649"/>
    <w:qFormat/>
    <w:uiPriority w:val="0"/>
    <w:pPr>
      <w:autoSpaceDE w:val="0"/>
      <w:autoSpaceDN w:val="0"/>
      <w:spacing w:line="240" w:lineRule="auto"/>
      <w:ind w:firstLine="567"/>
    </w:pPr>
    <w:rPr>
      <w:sz w:val="20"/>
      <w:szCs w:val="28"/>
    </w:rPr>
  </w:style>
  <w:style w:type="character" w:customStyle="1" w:styleId="651">
    <w:name w:val="Char Char211"/>
    <w:qFormat/>
    <w:uiPriority w:val="0"/>
    <w:rPr>
      <w:rFonts w:ascii="新宋体" w:hAnsi="新宋体" w:eastAsia="仿宋_GB2312" w:cs="新宋体"/>
      <w:b/>
      <w:bCs/>
      <w:kern w:val="44"/>
      <w:sz w:val="44"/>
      <w:szCs w:val="44"/>
    </w:rPr>
  </w:style>
  <w:style w:type="character" w:customStyle="1" w:styleId="652">
    <w:name w:val="强调划线"/>
    <w:qFormat/>
    <w:uiPriority w:val="0"/>
    <w:rPr>
      <w:u w:val="single"/>
    </w:rPr>
  </w:style>
  <w:style w:type="character" w:customStyle="1" w:styleId="653">
    <w:name w:val="哈哈正文 Char Char"/>
    <w:qFormat/>
    <w:uiPriority w:val="0"/>
    <w:rPr>
      <w:rFonts w:ascii="宋体" w:hAnsi="宋体"/>
      <w:kern w:val="2"/>
      <w:sz w:val="24"/>
      <w:lang w:bidi="ar-SA"/>
    </w:rPr>
  </w:style>
  <w:style w:type="character" w:customStyle="1" w:styleId="654">
    <w:name w:val="注释题目"/>
    <w:qFormat/>
    <w:uiPriority w:val="0"/>
    <w:rPr>
      <w:rFonts w:eastAsia="黑体"/>
      <w:sz w:val="28"/>
      <w:u w:val="none"/>
    </w:rPr>
  </w:style>
  <w:style w:type="character" w:customStyle="1" w:styleId="655">
    <w:name w:val="三级标题 Char"/>
    <w:link w:val="656"/>
    <w:qFormat/>
    <w:uiPriority w:val="0"/>
    <w:rPr>
      <w:rFonts w:eastAsia="黑体"/>
      <w:b/>
      <w:kern w:val="2"/>
      <w:sz w:val="28"/>
      <w:szCs w:val="22"/>
    </w:rPr>
  </w:style>
  <w:style w:type="paragraph" w:customStyle="1" w:styleId="656">
    <w:name w:val="三级标题"/>
    <w:basedOn w:val="1"/>
    <w:link w:val="655"/>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657">
    <w:name w:val="样式 宋体"/>
    <w:qFormat/>
    <w:uiPriority w:val="0"/>
    <w:rPr>
      <w:rFonts w:ascii="仿宋_GB2312" w:hAnsi="仿宋_GB2312" w:eastAsia="仿宋_GB2312"/>
      <w:sz w:val="24"/>
      <w:szCs w:val="24"/>
    </w:rPr>
  </w:style>
  <w:style w:type="character" w:customStyle="1" w:styleId="658">
    <w:name w:val="heading 1 Char"/>
    <w:qFormat/>
    <w:uiPriority w:val="0"/>
    <w:rPr>
      <w:rFonts w:ascii="Tahoma" w:hAnsi="Tahoma" w:eastAsia="Helvetica"/>
      <w:b/>
      <w:sz w:val="36"/>
      <w:szCs w:val="36"/>
    </w:rPr>
  </w:style>
  <w:style w:type="character" w:customStyle="1" w:styleId="659">
    <w:name w:val="栏目标题 Char Char"/>
    <w:link w:val="660"/>
    <w:qFormat/>
    <w:uiPriority w:val="0"/>
    <w:rPr>
      <w:rFonts w:ascii="黑体" w:hAnsi="黑体" w:eastAsia="黑体"/>
      <w:b/>
      <w:kern w:val="2"/>
      <w:sz w:val="21"/>
      <w:szCs w:val="24"/>
    </w:rPr>
  </w:style>
  <w:style w:type="paragraph" w:customStyle="1" w:styleId="660">
    <w:name w:val="栏目标题"/>
    <w:basedOn w:val="1"/>
    <w:link w:val="659"/>
    <w:qFormat/>
    <w:uiPriority w:val="0"/>
    <w:pPr>
      <w:jc w:val="center"/>
    </w:pPr>
    <w:rPr>
      <w:rFonts w:ascii="黑体" w:hAnsi="黑体" w:eastAsia="黑体"/>
      <w:b/>
    </w:rPr>
  </w:style>
  <w:style w:type="character" w:customStyle="1" w:styleId="661">
    <w:name w:val="标题 9 字符"/>
    <w:qFormat/>
    <w:uiPriority w:val="0"/>
    <w:rPr>
      <w:rFonts w:ascii="Arial" w:hAnsi="Arial" w:eastAsia="黑体"/>
      <w:kern w:val="2"/>
      <w:sz w:val="21"/>
      <w:vertAlign w:val="superscript"/>
    </w:rPr>
  </w:style>
  <w:style w:type="character" w:customStyle="1" w:styleId="662">
    <w:name w:val="Char Char12"/>
    <w:qFormat/>
    <w:uiPriority w:val="0"/>
    <w:rPr>
      <w:rFonts w:ascii="仿宋_GB2312" w:hAnsi="Wingdings" w:eastAsia="仿宋_GB2312"/>
      <w:sz w:val="21"/>
      <w:szCs w:val="21"/>
      <w:lang w:val="en-US" w:eastAsia="zh-CN" w:bidi="ar-SA"/>
    </w:rPr>
  </w:style>
  <w:style w:type="character" w:customStyle="1" w:styleId="663">
    <w:name w:val="Char Char221"/>
    <w:qFormat/>
    <w:uiPriority w:val="0"/>
    <w:rPr>
      <w:rFonts w:ascii="Verdana" w:hAnsi="Verdana" w:eastAsia="仿宋_GB2312"/>
      <w:b/>
      <w:bCs/>
      <w:kern w:val="2"/>
      <w:sz w:val="28"/>
      <w:szCs w:val="28"/>
      <w:lang w:val="en-US" w:eastAsia="zh-CN" w:bidi="ar-SA"/>
    </w:rPr>
  </w:style>
  <w:style w:type="character" w:customStyle="1" w:styleId="664">
    <w:name w:val="Footer-Even Char1"/>
    <w:qFormat/>
    <w:uiPriority w:val="0"/>
    <w:rPr>
      <w:rFonts w:eastAsia="仿宋_GB2312"/>
      <w:kern w:val="2"/>
      <w:sz w:val="18"/>
      <w:szCs w:val="18"/>
      <w:lang w:val="en-US" w:eastAsia="zh-CN" w:bidi="ar-SA"/>
    </w:rPr>
  </w:style>
  <w:style w:type="character" w:customStyle="1" w:styleId="665">
    <w:name w:val="正文文本缩进 3 字符"/>
    <w:qFormat/>
    <w:uiPriority w:val="0"/>
    <w:rPr>
      <w:kern w:val="2"/>
      <w:sz w:val="16"/>
      <w:szCs w:val="16"/>
    </w:rPr>
  </w:style>
  <w:style w:type="character" w:customStyle="1" w:styleId="666">
    <w:name w:val="Subtle Emphasis1"/>
    <w:qFormat/>
    <w:uiPriority w:val="0"/>
    <w:rPr>
      <w:i/>
      <w:iCs/>
      <w:color w:val="808080"/>
    </w:rPr>
  </w:style>
  <w:style w:type="character" w:customStyle="1" w:styleId="667">
    <w:name w:val="目录标题 Char Char"/>
    <w:link w:val="668"/>
    <w:qFormat/>
    <w:uiPriority w:val="0"/>
    <w:rPr>
      <w:rFonts w:eastAsia="黑体"/>
      <w:b/>
      <w:bCs/>
      <w:kern w:val="2"/>
      <w:sz w:val="44"/>
      <w:szCs w:val="44"/>
    </w:rPr>
  </w:style>
  <w:style w:type="paragraph" w:customStyle="1" w:styleId="668">
    <w:name w:val="目录标题"/>
    <w:basedOn w:val="1"/>
    <w:link w:val="667"/>
    <w:qFormat/>
    <w:uiPriority w:val="0"/>
    <w:pPr>
      <w:jc w:val="center"/>
    </w:pPr>
    <w:rPr>
      <w:rFonts w:eastAsia="黑体"/>
      <w:b/>
      <w:bCs/>
      <w:sz w:val="44"/>
      <w:szCs w:val="44"/>
    </w:rPr>
  </w:style>
  <w:style w:type="character" w:customStyle="1" w:styleId="669">
    <w:name w:val="文本正文 Char"/>
    <w:link w:val="670"/>
    <w:qFormat/>
    <w:uiPriority w:val="0"/>
    <w:rPr>
      <w:rFonts w:ascii="Calibri" w:hAnsi="Calibri" w:eastAsia="仿宋"/>
      <w:kern w:val="2"/>
      <w:sz w:val="24"/>
      <w:szCs w:val="22"/>
    </w:rPr>
  </w:style>
  <w:style w:type="paragraph" w:customStyle="1" w:styleId="670">
    <w:name w:val="文本正文"/>
    <w:basedOn w:val="1"/>
    <w:link w:val="669"/>
    <w:qFormat/>
    <w:uiPriority w:val="0"/>
    <w:pPr>
      <w:spacing w:beforeLines="50" w:afterLines="50" w:line="360" w:lineRule="auto"/>
      <w:ind w:firstLine="200" w:firstLineChars="200"/>
    </w:pPr>
    <w:rPr>
      <w:rFonts w:ascii="Calibri" w:hAnsi="Calibri" w:eastAsia="仿宋"/>
      <w:sz w:val="24"/>
      <w:szCs w:val="22"/>
    </w:rPr>
  </w:style>
  <w:style w:type="character" w:customStyle="1" w:styleId="671">
    <w:name w:val="ll"/>
    <w:qFormat/>
    <w:uiPriority w:val="0"/>
    <w:rPr>
      <w:rFonts w:eastAsia="宋体"/>
      <w:kern w:val="2"/>
      <w:sz w:val="21"/>
      <w:szCs w:val="24"/>
      <w:lang w:val="en-US" w:eastAsia="zh-CN" w:bidi="ar-SA"/>
    </w:rPr>
  </w:style>
  <w:style w:type="character" w:customStyle="1" w:styleId="672">
    <w:name w:val="五级标题 Char"/>
    <w:link w:val="673"/>
    <w:qFormat/>
    <w:uiPriority w:val="0"/>
    <w:rPr>
      <w:rFonts w:eastAsia="黑体"/>
      <w:b/>
      <w:kern w:val="2"/>
      <w:sz w:val="28"/>
      <w:szCs w:val="22"/>
    </w:rPr>
  </w:style>
  <w:style w:type="paragraph" w:customStyle="1" w:styleId="673">
    <w:name w:val="五级标题"/>
    <w:basedOn w:val="1"/>
    <w:link w:val="672"/>
    <w:qFormat/>
    <w:uiPriority w:val="0"/>
    <w:pPr>
      <w:spacing w:line="360" w:lineRule="auto"/>
      <w:ind w:left="420" w:firstLine="200" w:firstLineChars="200"/>
      <w:outlineLvl w:val="4"/>
    </w:pPr>
    <w:rPr>
      <w:rFonts w:eastAsia="黑体"/>
      <w:b/>
      <w:sz w:val="28"/>
      <w:szCs w:val="22"/>
    </w:rPr>
  </w:style>
  <w:style w:type="character" w:customStyle="1" w:styleId="674">
    <w:name w:val="Char Char212"/>
    <w:qFormat/>
    <w:uiPriority w:val="0"/>
    <w:rPr>
      <w:rFonts w:eastAsia="仿宋_GB2312"/>
      <w:b/>
      <w:bCs/>
      <w:kern w:val="2"/>
      <w:sz w:val="28"/>
      <w:szCs w:val="28"/>
      <w:lang w:val="en-US" w:eastAsia="zh-CN" w:bidi="ar-SA"/>
    </w:rPr>
  </w:style>
  <w:style w:type="character" w:customStyle="1" w:styleId="675">
    <w:name w:val="PI Char"/>
    <w:qFormat/>
    <w:uiPriority w:val="0"/>
    <w:rPr>
      <w:rFonts w:ascii="仿宋_GB2312" w:hAnsi="仿宋_GB2312"/>
      <w:sz w:val="24"/>
    </w:rPr>
  </w:style>
  <w:style w:type="character" w:customStyle="1" w:styleId="676">
    <w:name w:val="表正文 Char2"/>
    <w:qFormat/>
    <w:uiPriority w:val="0"/>
    <w:rPr>
      <w:rFonts w:ascii="新宋体" w:hAnsi="新宋体" w:eastAsia="仿宋_GB2312" w:cs="新宋体"/>
      <w:szCs w:val="24"/>
    </w:rPr>
  </w:style>
  <w:style w:type="character" w:customStyle="1" w:styleId="677">
    <w:name w:val="大标题 Char"/>
    <w:qFormat/>
    <w:uiPriority w:val="0"/>
    <w:rPr>
      <w:rFonts w:ascii="黑体" w:hAnsi="黑体" w:eastAsia="黑体"/>
      <w:b/>
      <w:bCs/>
      <w:kern w:val="2"/>
      <w:sz w:val="72"/>
      <w:szCs w:val="72"/>
    </w:rPr>
  </w:style>
  <w:style w:type="character" w:customStyle="1" w:styleId="678">
    <w:name w:val="Char Char Char1"/>
    <w:qFormat/>
    <w:uiPriority w:val="0"/>
    <w:rPr>
      <w:rFonts w:ascii="仿宋_GB2312" w:hAnsi="Wingdings"/>
      <w:sz w:val="21"/>
      <w:szCs w:val="21"/>
    </w:rPr>
  </w:style>
  <w:style w:type="character" w:customStyle="1" w:styleId="679">
    <w:name w:val="Char Char15"/>
    <w:qFormat/>
    <w:uiPriority w:val="0"/>
    <w:rPr>
      <w:rFonts w:ascii="Tahoma" w:hAnsi="Tahoma" w:eastAsia="Helvetica"/>
      <w:sz w:val="24"/>
      <w:szCs w:val="24"/>
    </w:rPr>
  </w:style>
  <w:style w:type="character" w:customStyle="1" w:styleId="680">
    <w:name w:val="Intense Reference1"/>
    <w:qFormat/>
    <w:uiPriority w:val="32"/>
    <w:rPr>
      <w:b/>
      <w:bCs/>
      <w:smallCaps/>
      <w:color w:val="C0504D"/>
      <w:spacing w:val="5"/>
      <w:u w:val="single"/>
    </w:rPr>
  </w:style>
  <w:style w:type="character" w:customStyle="1" w:styleId="681">
    <w:name w:val="gray6"/>
    <w:qFormat/>
    <w:uiPriority w:val="0"/>
  </w:style>
  <w:style w:type="character" w:customStyle="1" w:styleId="682">
    <w:name w:val="Char Char202"/>
    <w:qFormat/>
    <w:uiPriority w:val="0"/>
    <w:rPr>
      <w:b/>
      <w:bCs/>
      <w:kern w:val="44"/>
      <w:sz w:val="44"/>
      <w:szCs w:val="44"/>
    </w:rPr>
  </w:style>
  <w:style w:type="character" w:customStyle="1" w:styleId="683">
    <w:name w:val="大标题 Char Char"/>
    <w:link w:val="684"/>
    <w:qFormat/>
    <w:uiPriority w:val="0"/>
    <w:rPr>
      <w:rFonts w:ascii="黑体" w:hAnsi="黑体" w:eastAsia="黑体"/>
      <w:b/>
      <w:bCs/>
      <w:kern w:val="2"/>
      <w:sz w:val="72"/>
      <w:szCs w:val="72"/>
    </w:rPr>
  </w:style>
  <w:style w:type="paragraph" w:customStyle="1" w:styleId="684">
    <w:name w:val="大标题"/>
    <w:basedOn w:val="1"/>
    <w:link w:val="683"/>
    <w:qFormat/>
    <w:uiPriority w:val="0"/>
    <w:pPr>
      <w:spacing w:line="40" w:lineRule="atLeast"/>
    </w:pPr>
    <w:rPr>
      <w:rFonts w:ascii="黑体" w:hAnsi="黑体" w:eastAsia="黑体"/>
      <w:b/>
      <w:bCs/>
      <w:sz w:val="72"/>
      <w:szCs w:val="72"/>
    </w:rPr>
  </w:style>
  <w:style w:type="character" w:customStyle="1" w:styleId="685">
    <w:name w:val="Ò³Ã¼ Char Char"/>
    <w:qFormat/>
    <w:uiPriority w:val="0"/>
    <w:rPr>
      <w:sz w:val="18"/>
      <w:szCs w:val="18"/>
    </w:rPr>
  </w:style>
  <w:style w:type="character" w:customStyle="1" w:styleId="686">
    <w:name w:val="Char Char161"/>
    <w:qFormat/>
    <w:uiPriority w:val="0"/>
    <w:rPr>
      <w:rFonts w:eastAsia="仿宋_GB2312"/>
      <w:sz w:val="21"/>
      <w:lang w:val="en-US" w:eastAsia="zh-CN" w:bidi="ar-SA"/>
    </w:rPr>
  </w:style>
  <w:style w:type="character" w:customStyle="1" w:styleId="687">
    <w:name w:val="style41"/>
    <w:qFormat/>
    <w:uiPriority w:val="0"/>
    <w:rPr>
      <w:color w:val="auto"/>
    </w:rPr>
  </w:style>
  <w:style w:type="character" w:customStyle="1" w:styleId="688">
    <w:name w:val="正文4 Char Char"/>
    <w:link w:val="689"/>
    <w:qFormat/>
    <w:uiPriority w:val="0"/>
    <w:rPr>
      <w:kern w:val="2"/>
      <w:sz w:val="24"/>
      <w:szCs w:val="24"/>
    </w:rPr>
  </w:style>
  <w:style w:type="paragraph" w:customStyle="1" w:styleId="689">
    <w:name w:val="正文4"/>
    <w:basedOn w:val="1"/>
    <w:link w:val="688"/>
    <w:qFormat/>
    <w:uiPriority w:val="0"/>
    <w:pPr>
      <w:tabs>
        <w:tab w:val="left" w:pos="520"/>
      </w:tabs>
      <w:spacing w:before="60" w:after="60" w:line="360" w:lineRule="auto"/>
    </w:pPr>
    <w:rPr>
      <w:sz w:val="24"/>
    </w:rPr>
  </w:style>
  <w:style w:type="character" w:customStyle="1" w:styleId="690">
    <w:name w:val="Char Char201"/>
    <w:qFormat/>
    <w:uiPriority w:val="0"/>
    <w:rPr>
      <w:rFonts w:ascii="Verdana" w:hAnsi="Verdana" w:eastAsia="仿宋_GB2312" w:cs="新宋体"/>
      <w:b/>
      <w:bCs/>
      <w:sz w:val="32"/>
      <w:szCs w:val="32"/>
    </w:rPr>
  </w:style>
  <w:style w:type="character" w:customStyle="1" w:styleId="691">
    <w:name w:val="Char Char20"/>
    <w:qFormat/>
    <w:uiPriority w:val="0"/>
    <w:rPr>
      <w:rFonts w:ascii="Tahoma" w:hAnsi="Tahoma" w:eastAsia="Helvetica"/>
      <w:sz w:val="21"/>
      <w:szCs w:val="21"/>
      <w:lang w:val="en-US" w:eastAsia="zh-CN" w:bidi="ar-SA"/>
    </w:rPr>
  </w:style>
  <w:style w:type="character" w:customStyle="1" w:styleId="692">
    <w:name w:val="Char Char10"/>
    <w:qFormat/>
    <w:uiPriority w:val="0"/>
    <w:rPr>
      <w:rFonts w:eastAsia="仿宋_GB2312"/>
      <w:b/>
      <w:bCs/>
      <w:kern w:val="2"/>
      <w:sz w:val="21"/>
      <w:szCs w:val="24"/>
      <w:lang w:val="en-US" w:eastAsia="zh-CN" w:bidi="ar-SA"/>
    </w:rPr>
  </w:style>
  <w:style w:type="character" w:customStyle="1" w:styleId="693">
    <w:name w:val="heading 9 Char1"/>
    <w:qFormat/>
    <w:uiPriority w:val="0"/>
    <w:rPr>
      <w:rFonts w:ascii="Tahoma" w:hAnsi="Tahoma" w:eastAsia="Helvetica"/>
      <w:sz w:val="21"/>
      <w:lang w:val="en-US" w:eastAsia="zh-CN" w:bidi="ar-SA"/>
    </w:rPr>
  </w:style>
  <w:style w:type="character" w:customStyle="1" w:styleId="694">
    <w:name w:val="PI Char1"/>
    <w:qFormat/>
    <w:uiPriority w:val="0"/>
    <w:rPr>
      <w:rFonts w:eastAsia="仿宋_GB2312"/>
      <w:kern w:val="2"/>
      <w:sz w:val="24"/>
      <w:szCs w:val="24"/>
      <w:lang w:val="en-US" w:eastAsia="zh-CN" w:bidi="ar-SA"/>
    </w:rPr>
  </w:style>
  <w:style w:type="character" w:customStyle="1" w:styleId="695">
    <w:name w:val="注释正文"/>
    <w:qFormat/>
    <w:uiPriority w:val="0"/>
    <w:rPr>
      <w:rFonts w:eastAsia="宋体"/>
      <w:sz w:val="28"/>
      <w:u w:val="single"/>
    </w:rPr>
  </w:style>
  <w:style w:type="character" w:customStyle="1" w:styleId="696">
    <w:name w:val="金保标题2 Char"/>
    <w:link w:val="697"/>
    <w:qFormat/>
    <w:locked/>
    <w:uiPriority w:val="0"/>
    <w:rPr>
      <w:rFonts w:ascii="新宋体" w:hAnsi="新宋体" w:eastAsia="新宋体"/>
      <w:b/>
      <w:bCs/>
      <w:color w:val="000000"/>
      <w:kern w:val="2"/>
      <w:sz w:val="22"/>
      <w:szCs w:val="22"/>
      <w:lang w:val="zh-CN"/>
    </w:rPr>
  </w:style>
  <w:style w:type="paragraph" w:customStyle="1" w:styleId="697">
    <w:name w:val="金保标题2"/>
    <w:basedOn w:val="7"/>
    <w:next w:val="1"/>
    <w:link w:val="696"/>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698">
    <w:name w:val="样式 标题 3 + 黑体 小四 Char"/>
    <w:link w:val="699"/>
    <w:qFormat/>
    <w:uiPriority w:val="0"/>
    <w:rPr>
      <w:rFonts w:ascii="Helvetica" w:hAnsi="Tahoma" w:eastAsia="Helvetica"/>
      <w:bCs/>
      <w:sz w:val="24"/>
      <w:szCs w:val="24"/>
    </w:rPr>
  </w:style>
  <w:style w:type="paragraph" w:customStyle="1" w:styleId="699">
    <w:name w:val="样式 标题 3 + 黑体 小四"/>
    <w:basedOn w:val="8"/>
    <w:link w:val="698"/>
    <w:qFormat/>
    <w:uiPriority w:val="0"/>
    <w:pPr>
      <w:spacing w:before="0" w:after="0" w:line="415" w:lineRule="auto"/>
    </w:pPr>
    <w:rPr>
      <w:rFonts w:ascii="Helvetica" w:hAnsi="Tahoma" w:eastAsia="Helvetica"/>
      <w:b w:val="0"/>
      <w:kern w:val="0"/>
      <w:sz w:val="24"/>
      <w:szCs w:val="24"/>
    </w:rPr>
  </w:style>
  <w:style w:type="character" w:customStyle="1" w:styleId="700">
    <w:name w:val="Subtle Reference1"/>
    <w:qFormat/>
    <w:uiPriority w:val="0"/>
    <w:rPr>
      <w:smallCaps/>
      <w:color w:val="C0504D"/>
      <w:u w:val="single"/>
    </w:rPr>
  </w:style>
  <w:style w:type="character" w:customStyle="1" w:styleId="701">
    <w:name w:val="Char Char191"/>
    <w:qFormat/>
    <w:uiPriority w:val="0"/>
    <w:rPr>
      <w:rFonts w:ascii="Verdana" w:hAnsi="Verdana"/>
      <w:b/>
      <w:bCs/>
      <w:kern w:val="2"/>
      <w:sz w:val="32"/>
      <w:szCs w:val="32"/>
    </w:rPr>
  </w:style>
  <w:style w:type="character" w:customStyle="1" w:styleId="702">
    <w:name w:val="Char Char Char2"/>
    <w:qFormat/>
    <w:uiPriority w:val="0"/>
    <w:rPr>
      <w:rFonts w:ascii="仿宋_GB2312" w:hAnsi="Wingdings" w:eastAsia="仿宋_GB2312"/>
      <w:sz w:val="21"/>
      <w:szCs w:val="21"/>
      <w:lang w:val="en-US" w:eastAsia="zh-CN" w:bidi="ar-SA"/>
    </w:rPr>
  </w:style>
  <w:style w:type="character" w:customStyle="1" w:styleId="703">
    <w:name w:val="PI Char2"/>
    <w:qFormat/>
    <w:uiPriority w:val="0"/>
    <w:rPr>
      <w:kern w:val="2"/>
      <w:sz w:val="24"/>
      <w:szCs w:val="24"/>
    </w:rPr>
  </w:style>
  <w:style w:type="character" w:customStyle="1" w:styleId="704">
    <w:name w:val="小标题 Char Char"/>
    <w:link w:val="705"/>
    <w:qFormat/>
    <w:uiPriority w:val="0"/>
    <w:rPr>
      <w:rFonts w:ascii="黑体" w:hAnsi="黑体" w:eastAsia="黑体"/>
      <w:b/>
      <w:bCs/>
      <w:kern w:val="2"/>
      <w:sz w:val="48"/>
      <w:szCs w:val="48"/>
    </w:rPr>
  </w:style>
  <w:style w:type="paragraph" w:customStyle="1" w:styleId="705">
    <w:name w:val="小标题"/>
    <w:basedOn w:val="1"/>
    <w:link w:val="704"/>
    <w:qFormat/>
    <w:uiPriority w:val="0"/>
    <w:pPr>
      <w:spacing w:line="40" w:lineRule="atLeast"/>
    </w:pPr>
    <w:rPr>
      <w:rFonts w:ascii="黑体" w:hAnsi="黑体" w:eastAsia="黑体"/>
      <w:b/>
      <w:bCs/>
      <w:sz w:val="48"/>
      <w:szCs w:val="48"/>
    </w:rPr>
  </w:style>
  <w:style w:type="paragraph" w:customStyle="1" w:styleId="706">
    <w:name w:val="標題10.3-1"/>
    <w:basedOn w:val="707"/>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707">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708">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paragraph" w:customStyle="1" w:styleId="709">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0">
    <w:name w:val="kpk:1级"/>
    <w:basedOn w:val="6"/>
    <w:qFormat/>
    <w:uiPriority w:val="0"/>
    <w:pPr>
      <w:tabs>
        <w:tab w:val="left" w:pos="420"/>
        <w:tab w:val="left" w:pos="643"/>
        <w:tab w:val="clear" w:pos="840"/>
      </w:tabs>
      <w:adjustRightInd/>
      <w:snapToGrid/>
      <w:spacing w:beforeLines="120" w:afterLines="100" w:line="240" w:lineRule="auto"/>
      <w:ind w:firstLine="200" w:firstLineChars="200"/>
    </w:pPr>
    <w:rPr>
      <w:rFonts w:ascii="黑体" w:hAnsi="等线" w:eastAsia="等线"/>
      <w:bCs/>
      <w:sz w:val="30"/>
      <w:szCs w:val="32"/>
      <w:lang w:val="en-US" w:eastAsia="zh-CN"/>
    </w:rPr>
  </w:style>
  <w:style w:type="paragraph" w:customStyle="1" w:styleId="711">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712">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71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714">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715">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716">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71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1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71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0">
    <w:name w:val="二级标题"/>
    <w:basedOn w:val="7"/>
    <w:qFormat/>
    <w:uiPriority w:val="0"/>
    <w:pPr>
      <w:spacing w:line="416" w:lineRule="auto"/>
      <w:ind w:left="576" w:hanging="576"/>
    </w:pPr>
    <w:rPr>
      <w:rFonts w:ascii="华文中宋" w:hAnsi="Cambria" w:eastAsia="华文中宋"/>
      <w:kern w:val="0"/>
      <w:lang w:val="en-US" w:eastAsia="zh-CN"/>
    </w:rPr>
  </w:style>
  <w:style w:type="paragraph" w:customStyle="1" w:styleId="721">
    <w:name w:val="数字级连标题2"/>
    <w:basedOn w:val="7"/>
    <w:next w:val="1"/>
    <w:qFormat/>
    <w:uiPriority w:val="0"/>
    <w:pPr>
      <w:tabs>
        <w:tab w:val="left" w:pos="0"/>
      </w:tabs>
      <w:spacing w:before="0" w:after="0" w:line="360" w:lineRule="auto"/>
      <w:ind w:left="567" w:hanging="567"/>
    </w:pPr>
    <w:rPr>
      <w:rFonts w:ascii="Times New Roman" w:hAnsi="Times New Roman" w:eastAsia="等线"/>
      <w:bCs w:val="0"/>
      <w:sz w:val="28"/>
      <w:szCs w:val="20"/>
      <w:lang w:val="en-US" w:eastAsia="ar-SA"/>
    </w:rPr>
  </w:style>
  <w:style w:type="paragraph" w:customStyle="1" w:styleId="722">
    <w:name w:val="四级条标题"/>
    <w:basedOn w:val="723"/>
    <w:next w:val="1"/>
    <w:qFormat/>
    <w:uiPriority w:val="0"/>
    <w:pPr>
      <w:outlineLvl w:val="5"/>
    </w:pPr>
  </w:style>
  <w:style w:type="paragraph" w:customStyle="1" w:styleId="723">
    <w:name w:val="三级条标题"/>
    <w:basedOn w:val="724"/>
    <w:next w:val="1"/>
    <w:qFormat/>
    <w:uiPriority w:val="0"/>
    <w:pPr>
      <w:outlineLvl w:val="4"/>
    </w:pPr>
  </w:style>
  <w:style w:type="paragraph" w:customStyle="1" w:styleId="724">
    <w:name w:val="二级条标题"/>
    <w:basedOn w:val="725"/>
    <w:next w:val="1"/>
    <w:qFormat/>
    <w:uiPriority w:val="0"/>
    <w:pPr>
      <w:outlineLvl w:val="3"/>
    </w:pPr>
  </w:style>
  <w:style w:type="paragraph" w:customStyle="1" w:styleId="725">
    <w:name w:val="一级条标题"/>
    <w:next w:val="1"/>
    <w:qFormat/>
    <w:uiPriority w:val="0"/>
    <w:pPr>
      <w:outlineLvl w:val="2"/>
    </w:pPr>
    <w:rPr>
      <w:rFonts w:ascii="等线" w:hAnsi="等线" w:eastAsia="Helvetica" w:cs="等线"/>
      <w:sz w:val="21"/>
      <w:lang w:val="en-US" w:eastAsia="zh-CN" w:bidi="ar-SA"/>
    </w:rPr>
  </w:style>
  <w:style w:type="paragraph" w:customStyle="1" w:styleId="726">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727">
    <w:name w:val="正文首行缩进1"/>
    <w:basedOn w:val="12"/>
    <w:qFormat/>
    <w:uiPriority w:val="0"/>
    <w:pPr>
      <w:suppressAutoHyphens/>
      <w:ind w:firstLine="420"/>
      <w:jc w:val="left"/>
    </w:pPr>
    <w:rPr>
      <w:rFonts w:ascii="等线" w:hAnsi="等线" w:cs="等线"/>
      <w:kern w:val="1"/>
      <w:sz w:val="28"/>
      <w:lang w:eastAsia="ar-SA"/>
    </w:rPr>
  </w:style>
  <w:style w:type="paragraph" w:customStyle="1" w:styleId="728">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729">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730">
    <w:name w:val="正文文本 2 Char1"/>
    <w:qFormat/>
    <w:uiPriority w:val="0"/>
    <w:rPr>
      <w:kern w:val="2"/>
      <w:sz w:val="21"/>
      <w:szCs w:val="24"/>
    </w:rPr>
  </w:style>
  <w:style w:type="character" w:customStyle="1" w:styleId="731">
    <w:name w:val="正文首行缩进 2 Char1"/>
    <w:qFormat/>
    <w:uiPriority w:val="0"/>
    <w:rPr>
      <w:sz w:val="21"/>
      <w:lang w:val="en-US" w:eastAsia="zh-CN" w:bidi="ar-SA"/>
    </w:rPr>
  </w:style>
  <w:style w:type="character" w:customStyle="1" w:styleId="732">
    <w:name w:val="HTML 预设格式 Char2"/>
    <w:qFormat/>
    <w:uiPriority w:val="0"/>
    <w:rPr>
      <w:rFonts w:ascii="Courier New" w:hAnsi="Courier New" w:cs="Courier New"/>
      <w:kern w:val="2"/>
    </w:rPr>
  </w:style>
  <w:style w:type="paragraph" w:customStyle="1" w:styleId="733">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734">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7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736">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737">
    <w:name w:val="样式 正文缩进正文（首行缩进两字）表正文正文非缩进特点段1正文不缩进标题4水上软件ALT+Z四号正文文字3..."/>
    <w:basedOn w:val="21"/>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738">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739">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740">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741">
    <w:name w:val="注："/>
    <w:next w:val="240"/>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742">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743">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744">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745">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746">
    <w:name w:val="Para"/>
    <w:qFormat/>
    <w:uiPriority w:val="0"/>
    <w:pPr>
      <w:spacing w:before="120"/>
    </w:pPr>
    <w:rPr>
      <w:rFonts w:ascii="等线" w:hAnsi="等线" w:eastAsia="等线" w:cs="等线"/>
      <w:sz w:val="18"/>
      <w:lang w:val="en-US" w:eastAsia="zh-CN" w:bidi="ar-SA"/>
    </w:rPr>
  </w:style>
  <w:style w:type="paragraph" w:customStyle="1" w:styleId="747">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748">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749">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750">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751">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53">
    <w:name w:val="NICMAN Body Text"/>
    <w:basedOn w:val="1"/>
    <w:next w:val="12"/>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754">
    <w:name w:val="第一個訊息標題"/>
    <w:basedOn w:val="58"/>
    <w:next w:val="58"/>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755">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756">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757">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758">
    <w:name w:val="正文3"/>
    <w:qFormat/>
    <w:uiPriority w:val="0"/>
    <w:pPr>
      <w:jc w:val="both"/>
    </w:pPr>
    <w:rPr>
      <w:rFonts w:ascii="等线" w:hAnsi="等线" w:eastAsia="等线" w:cs="等线"/>
      <w:kern w:val="2"/>
      <w:sz w:val="21"/>
      <w:szCs w:val="21"/>
      <w:lang w:val="en-US" w:eastAsia="zh-CN" w:bidi="ar-SA"/>
    </w:rPr>
  </w:style>
  <w:style w:type="paragraph" w:customStyle="1" w:styleId="759">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761">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762">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763">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7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65">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766">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767">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76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6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70">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771">
    <w:name w:val="样式 标题 3 + 黑体 小四 非加粗"/>
    <w:basedOn w:val="8"/>
    <w:qFormat/>
    <w:uiPriority w:val="0"/>
    <w:pPr>
      <w:spacing w:before="0" w:after="0" w:line="415" w:lineRule="auto"/>
    </w:pPr>
    <w:rPr>
      <w:rFonts w:ascii="Helvetica" w:hAnsi="Helvetica" w:eastAsia="Helvetica"/>
      <w:b w:val="0"/>
      <w:bCs w:val="0"/>
      <w:kern w:val="0"/>
      <w:sz w:val="24"/>
    </w:rPr>
  </w:style>
  <w:style w:type="paragraph" w:customStyle="1" w:styleId="772">
    <w:name w:val="工可正文"/>
    <w:basedOn w:val="37"/>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773">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74">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775">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76">
    <w:name w:val="信息标题2"/>
    <w:basedOn w:val="22"/>
    <w:next w:val="22"/>
    <w:qFormat/>
    <w:uiPriority w:val="0"/>
    <w:pPr>
      <w:shd w:val="clear" w:color="auto" w:fill="auto"/>
      <w:tabs>
        <w:tab w:val="clear" w:pos="9000"/>
      </w:tabs>
      <w:spacing w:beforeLines="50" w:afterLines="50" w:line="360" w:lineRule="auto"/>
      <w:ind w:left="422" w:hanging="422" w:hangingChars="200"/>
      <w:jc w:val="left"/>
    </w:pPr>
    <w:rPr>
      <w:rFonts w:ascii="Arial Black" w:hAnsi="Arial Black" w:eastAsia="宋体"/>
      <w:bCs/>
      <w:color w:val="auto"/>
      <w:sz w:val="30"/>
      <w:szCs w:val="20"/>
    </w:rPr>
  </w:style>
  <w:style w:type="paragraph" w:customStyle="1" w:styleId="777">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77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779">
    <w:name w:val="样式 标题 1"/>
    <w:basedOn w:val="6"/>
    <w:next w:val="1"/>
    <w:qFormat/>
    <w:uiPriority w:val="0"/>
    <w:pPr>
      <w:keepNext w:val="0"/>
      <w:keepLines w:val="0"/>
      <w:pageBreakBefore/>
      <w:tabs>
        <w:tab w:val="left" w:pos="584"/>
        <w:tab w:val="clear" w:pos="840"/>
      </w:tabs>
      <w:spacing w:beforeLines="100" w:line="480" w:lineRule="exact"/>
      <w:ind w:left="360"/>
      <w:jc w:val="center"/>
    </w:pPr>
    <w:rPr>
      <w:rFonts w:ascii="黑体" w:hAnsi="宋体" w:eastAsia="黑体" w:cs="宋体"/>
      <w:bCs/>
      <w:color w:val="000000"/>
      <w:kern w:val="2"/>
      <w:sz w:val="36"/>
      <w:szCs w:val="36"/>
      <w:lang w:val="en-US" w:eastAsia="zh-CN"/>
    </w:rPr>
  </w:style>
  <w:style w:type="paragraph" w:customStyle="1" w:styleId="780">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81">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78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8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78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85">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786">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787">
    <w:name w:val="五级条标题"/>
    <w:basedOn w:val="722"/>
    <w:next w:val="1"/>
    <w:qFormat/>
    <w:uiPriority w:val="0"/>
    <w:pPr>
      <w:outlineLvl w:val="6"/>
    </w:pPr>
  </w:style>
  <w:style w:type="paragraph" w:customStyle="1" w:styleId="788">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789">
    <w:name w:val="数字级连标题1"/>
    <w:basedOn w:val="6"/>
    <w:next w:val="1"/>
    <w:qFormat/>
    <w:uiPriority w:val="0"/>
    <w:pPr>
      <w:tabs>
        <w:tab w:val="left" w:pos="390"/>
        <w:tab w:val="clear" w:pos="840"/>
      </w:tabs>
      <w:adjustRightInd/>
      <w:snapToGrid/>
      <w:ind w:left="390" w:hanging="390"/>
    </w:pPr>
    <w:rPr>
      <w:rFonts w:ascii="等线" w:hAnsi="等线" w:eastAsia="等线"/>
      <w:kern w:val="2"/>
      <w:sz w:val="28"/>
      <w:lang w:val="en-US" w:eastAsia="ar-SA"/>
    </w:rPr>
  </w:style>
  <w:style w:type="paragraph" w:customStyle="1" w:styleId="790">
    <w:name w:val="款1"/>
    <w:basedOn w:val="788"/>
    <w:qFormat/>
    <w:uiPriority w:val="0"/>
    <w:pPr>
      <w:ind w:left="1146"/>
    </w:pPr>
  </w:style>
  <w:style w:type="paragraph" w:customStyle="1" w:styleId="791">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92">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793">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7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796">
    <w:name w:val="標題 (一)"/>
    <w:basedOn w:val="7"/>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val="en-US" w:eastAsia="zh-TW"/>
    </w:rPr>
  </w:style>
  <w:style w:type="paragraph" w:customStyle="1" w:styleId="797">
    <w:name w:val="List Paragraph11"/>
    <w:basedOn w:val="1"/>
    <w:qFormat/>
    <w:uiPriority w:val="0"/>
    <w:pPr>
      <w:ind w:firstLine="420" w:firstLineChars="200"/>
    </w:pPr>
    <w:rPr>
      <w:rFonts w:ascii="Century Gothic" w:hAnsi="Century Gothic" w:eastAsia="仿宋_GB2312" w:cs="新宋体"/>
      <w:szCs w:val="22"/>
    </w:rPr>
  </w:style>
  <w:style w:type="paragraph" w:customStyle="1" w:styleId="798">
    <w:name w:val="正文文字 5"/>
    <w:basedOn w:val="3"/>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79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0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801">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802">
    <w:name w:val="七级标题"/>
    <w:basedOn w:val="15"/>
    <w:qFormat/>
    <w:uiPriority w:val="0"/>
    <w:pPr>
      <w:keepNext/>
      <w:keepLines/>
      <w:adjustRightInd/>
      <w:spacing w:before="240" w:after="64" w:line="320" w:lineRule="auto"/>
      <w:ind w:left="1276" w:hanging="1276"/>
    </w:pPr>
    <w:rPr>
      <w:rFonts w:ascii="黑体" w:hAnsi="黑体" w:eastAsia="黑体"/>
      <w:b/>
      <w:bCs/>
      <w:kern w:val="0"/>
      <w:sz w:val="24"/>
      <w:szCs w:val="24"/>
      <w:lang w:val="en-US" w:eastAsia="zh-CN"/>
    </w:rPr>
  </w:style>
  <w:style w:type="paragraph" w:customStyle="1" w:styleId="803">
    <w:name w:val="样式 标题 1Level 1Level 11h1II+IHeading1H1-Heading 1Header 1..."/>
    <w:basedOn w:val="6"/>
    <w:qFormat/>
    <w:uiPriority w:val="0"/>
    <w:pPr>
      <w:pageBreakBefore/>
      <w:tabs>
        <w:tab w:val="clear" w:pos="840"/>
      </w:tabs>
      <w:adjustRightInd/>
      <w:snapToGrid/>
      <w:ind w:left="1680" w:hanging="420"/>
      <w:jc w:val="left"/>
    </w:pPr>
    <w:rPr>
      <w:rFonts w:ascii="Tahoma" w:hAnsi="Tahoma" w:eastAsia="Helvetica" w:cs="仿宋_GB2312"/>
      <w:bCs/>
      <w:sz w:val="44"/>
      <w:lang w:val="en-US" w:eastAsia="zh-CN"/>
    </w:rPr>
  </w:style>
  <w:style w:type="paragraph" w:customStyle="1" w:styleId="804">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80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06">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807">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808">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80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1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11">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812">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13">
    <w:name w:val="表格栏头"/>
    <w:basedOn w:val="814"/>
    <w:next w:val="814"/>
    <w:qFormat/>
    <w:uiPriority w:val="0"/>
    <w:rPr>
      <w:b/>
    </w:rPr>
  </w:style>
  <w:style w:type="paragraph" w:customStyle="1" w:styleId="814">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815">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816">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1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18">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19">
    <w:name w:val="修订2"/>
    <w:qFormat/>
    <w:uiPriority w:val="99"/>
    <w:rPr>
      <w:rFonts w:ascii="等线" w:hAnsi="等线" w:eastAsia="等线" w:cs="等线"/>
      <w:kern w:val="2"/>
      <w:sz w:val="21"/>
      <w:szCs w:val="24"/>
      <w:lang w:val="en-US" w:eastAsia="zh-CN" w:bidi="ar-SA"/>
    </w:rPr>
  </w:style>
  <w:style w:type="paragraph" w:customStyle="1" w:styleId="820">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821">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822">
    <w:name w:val="Copyright"/>
    <w:basedOn w:val="12"/>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8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824">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825">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82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27">
    <w:name w:val="kpk:2级"/>
    <w:basedOn w:val="7"/>
    <w:qFormat/>
    <w:uiPriority w:val="0"/>
    <w:pPr>
      <w:keepLines w:val="0"/>
      <w:widowControl/>
      <w:tabs>
        <w:tab w:val="left" w:pos="643"/>
        <w:tab w:val="left" w:pos="1440"/>
      </w:tabs>
      <w:spacing w:before="0" w:after="0" w:line="360" w:lineRule="auto"/>
      <w:ind w:left="357" w:hanging="357" w:firstLineChars="200"/>
    </w:pPr>
    <w:rPr>
      <w:rFonts w:eastAsia="等线"/>
      <w:sz w:val="28"/>
      <w:szCs w:val="30"/>
      <w:lang w:val="en-US" w:eastAsia="zh-CN"/>
    </w:rPr>
  </w:style>
  <w:style w:type="paragraph" w:customStyle="1" w:styleId="82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29">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30">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831">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832">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8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834">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35">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836">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837">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38">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839">
    <w:name w:val="六级标题"/>
    <w:basedOn w:val="14"/>
    <w:qFormat/>
    <w:uiPriority w:val="0"/>
    <w:pPr>
      <w:keepNext/>
      <w:keepLines/>
      <w:adjustRightInd/>
      <w:spacing w:before="240" w:after="64" w:line="320" w:lineRule="auto"/>
      <w:ind w:left="1134" w:hanging="1134"/>
    </w:pPr>
    <w:rPr>
      <w:rFonts w:ascii="黑体" w:hAnsi="黑体" w:eastAsia="黑体"/>
      <w:b/>
      <w:bCs/>
      <w:kern w:val="0"/>
      <w:sz w:val="24"/>
      <w:szCs w:val="24"/>
      <w:lang w:val="en-US" w:eastAsia="zh-CN"/>
    </w:rPr>
  </w:style>
  <w:style w:type="paragraph" w:customStyle="1" w:styleId="840">
    <w:name w:val="Normal0"/>
    <w:qFormat/>
    <w:uiPriority w:val="0"/>
    <w:rPr>
      <w:rFonts w:ascii="等线" w:hAnsi="等线" w:eastAsia="等线" w:cs="等线"/>
      <w:lang w:val="en-US" w:eastAsia="en-US" w:bidi="ar-SA"/>
    </w:rPr>
  </w:style>
  <w:style w:type="paragraph" w:customStyle="1" w:styleId="841">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842">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843">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84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45">
    <w:name w:val="标-1"/>
    <w:basedOn w:val="6"/>
    <w:qFormat/>
    <w:uiPriority w:val="0"/>
    <w:pPr>
      <w:tabs>
        <w:tab w:val="left" w:pos="360"/>
        <w:tab w:val="clear" w:pos="840"/>
      </w:tabs>
      <w:adjustRightInd/>
      <w:snapToGrid/>
      <w:spacing w:line="300" w:lineRule="auto"/>
      <w:ind w:firstLine="200" w:firstLineChars="200"/>
    </w:pPr>
    <w:rPr>
      <w:rFonts w:ascii="Arial" w:hAnsi="Arial" w:eastAsia="黑体" w:cs="Arial"/>
      <w:color w:val="336699"/>
      <w:sz w:val="32"/>
      <w:szCs w:val="28"/>
      <w:lang w:val="en-US" w:eastAsia="zh-CN"/>
    </w:rPr>
  </w:style>
  <w:style w:type="paragraph" w:customStyle="1" w:styleId="846">
    <w:name w:val="標題 1."/>
    <w:basedOn w:val="8"/>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847">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848">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849">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850">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85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852">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853">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854">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5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56">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8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58">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85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60">
    <w:name w:val="网格表 31"/>
    <w:basedOn w:val="6"/>
    <w:next w:val="1"/>
    <w:unhideWhenUsed/>
    <w:qFormat/>
    <w:uiPriority w:val="0"/>
    <w:pPr>
      <w:widowControl/>
      <w:tabs>
        <w:tab w:val="clear" w:pos="840"/>
      </w:tabs>
      <w:adjustRightInd/>
      <w:snapToGrid/>
      <w:spacing w:line="259" w:lineRule="auto"/>
      <w:jc w:val="left"/>
      <w:outlineLvl w:val="9"/>
    </w:pPr>
    <w:rPr>
      <w:rFonts w:ascii="Calibri Light" w:hAnsi="Calibri Light" w:eastAsia="等线"/>
      <w:b w:val="0"/>
      <w:color w:val="2E74B5"/>
      <w:kern w:val="0"/>
      <w:sz w:val="32"/>
      <w:szCs w:val="32"/>
      <w:lang w:val="en-US" w:eastAsia="zh-CN"/>
    </w:rPr>
  </w:style>
  <w:style w:type="paragraph" w:customStyle="1" w:styleId="861">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paragraph" w:customStyle="1" w:styleId="862">
    <w:name w:val="Char Char Char Char Char Char1 Char Char Char Char"/>
    <w:basedOn w:val="24"/>
    <w:qFormat/>
    <w:uiPriority w:val="0"/>
    <w:pPr>
      <w:spacing w:line="360" w:lineRule="auto"/>
      <w:ind w:firstLine="200" w:firstLineChars="200"/>
    </w:pPr>
    <w:rPr>
      <w:rFonts w:ascii="Tahoma" w:hAnsi="Tahoma" w:eastAsia="等线"/>
      <w:sz w:val="24"/>
      <w:szCs w:val="20"/>
      <w:lang w:val="en-US" w:eastAsia="zh-CN"/>
    </w:rPr>
  </w:style>
  <w:style w:type="paragraph" w:customStyle="1" w:styleId="86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64">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65">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866">
    <w:name w:val="正文Y"/>
    <w:basedOn w:val="1"/>
    <w:qFormat/>
    <w:uiPriority w:val="0"/>
    <w:pPr>
      <w:spacing w:line="360" w:lineRule="auto"/>
      <w:ind w:firstLine="420" w:firstLineChars="200"/>
    </w:pPr>
    <w:rPr>
      <w:rFonts w:ascii="等线" w:hAnsi="等线" w:eastAsia="等线" w:cs="等线"/>
      <w:sz w:val="24"/>
    </w:rPr>
  </w:style>
  <w:style w:type="paragraph" w:customStyle="1" w:styleId="867">
    <w:name w:val="标3"/>
    <w:basedOn w:val="8"/>
    <w:next w:val="9"/>
    <w:qFormat/>
    <w:uiPriority w:val="0"/>
    <w:pPr>
      <w:spacing w:before="240" w:after="180" w:line="360" w:lineRule="auto"/>
      <w:ind w:firstLine="576" w:firstLineChars="205"/>
    </w:pPr>
    <w:rPr>
      <w:rFonts w:ascii="等线" w:hAnsi="等线" w:eastAsia="等线"/>
      <w:bCs w:val="0"/>
      <w:sz w:val="28"/>
    </w:rPr>
  </w:style>
  <w:style w:type="paragraph" w:customStyle="1" w:styleId="868">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8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870">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71">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872">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873">
    <w:name w:val="中等深浅底纹 1 - 着色 11"/>
    <w:qFormat/>
    <w:uiPriority w:val="0"/>
    <w:rPr>
      <w:rFonts w:ascii="等线" w:hAnsi="等线" w:eastAsia="等线" w:cs="等线"/>
      <w:sz w:val="22"/>
      <w:szCs w:val="22"/>
      <w:lang w:val="en-US" w:eastAsia="zh-CN" w:bidi="ar-SA"/>
    </w:rPr>
  </w:style>
  <w:style w:type="paragraph" w:customStyle="1" w:styleId="874">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87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876">
    <w:name w:val="样式5"/>
    <w:basedOn w:val="21"/>
    <w:qFormat/>
    <w:uiPriority w:val="0"/>
    <w:pPr>
      <w:adjustRightInd/>
      <w:spacing w:line="360" w:lineRule="auto"/>
      <w:ind w:firstLine="200" w:firstLineChars="200"/>
      <w:textAlignment w:val="auto"/>
    </w:pPr>
    <w:rPr>
      <w:rFonts w:eastAsia="仿宋_GB2312"/>
      <w:kern w:val="2"/>
      <w:sz w:val="28"/>
      <w:szCs w:val="21"/>
    </w:rPr>
  </w:style>
  <w:style w:type="paragraph" w:customStyle="1" w:styleId="877">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878">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879">
    <w:name w:val="正文（首行缩进）"/>
    <w:basedOn w:val="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880">
    <w:name w:val="Char Char Char Char Char Char Char Char Char1 Char"/>
    <w:basedOn w:val="1"/>
    <w:qFormat/>
    <w:uiPriority w:val="0"/>
    <w:rPr>
      <w:rFonts w:ascii="等线" w:hAnsi="等线" w:eastAsia="等线" w:cs="等线"/>
    </w:rPr>
  </w:style>
  <w:style w:type="paragraph" w:customStyle="1" w:styleId="881">
    <w:name w:val="其他标准标志"/>
    <w:basedOn w:val="778"/>
    <w:qFormat/>
    <w:uiPriority w:val="0"/>
    <w:pPr>
      <w:framePr w:w="6101" w:vAnchor="page" w:hAnchor="page" w:x="4673" w:y="942"/>
    </w:pPr>
    <w:rPr>
      <w:w w:val="130"/>
    </w:rPr>
  </w:style>
  <w:style w:type="paragraph" w:customStyle="1" w:styleId="8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883">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884">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8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88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887">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888">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889">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890">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891">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892">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893">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894">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895">
    <w:name w:val="数字级连标题3"/>
    <w:basedOn w:val="8"/>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8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897">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898">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899">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900">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901">
    <w:name w:val="标题小四"/>
    <w:basedOn w:val="7"/>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lang w:val="en-US" w:eastAsia="zh-CN"/>
    </w:rPr>
  </w:style>
  <w:style w:type="paragraph" w:customStyle="1" w:styleId="902">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903">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04">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9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9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07">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90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09">
    <w:name w:val="样式 标题 5 + 段前: 5 磅 段后: 5 磅 行距: 单倍行距"/>
    <w:basedOn w:val="10"/>
    <w:qFormat/>
    <w:uiPriority w:val="0"/>
    <w:pPr>
      <w:keepNext/>
      <w:keepLines/>
      <w:tabs>
        <w:tab w:val="left" w:pos="2100"/>
      </w:tabs>
      <w:spacing w:before="100" w:after="100"/>
      <w:ind w:left="2100" w:hanging="420" w:firstLineChars="200"/>
      <w:jc w:val="left"/>
      <w:textAlignment w:val="baseline"/>
    </w:pPr>
    <w:rPr>
      <w:rFonts w:ascii="Times New Roman"/>
      <w:b/>
      <w:kern w:val="0"/>
      <w:sz w:val="28"/>
      <w:lang w:val="en-US" w:eastAsia="zh-CN"/>
    </w:rPr>
  </w:style>
  <w:style w:type="paragraph" w:customStyle="1" w:styleId="910">
    <w:name w:val="列出段落3"/>
    <w:basedOn w:val="1"/>
    <w:qFormat/>
    <w:uiPriority w:val="0"/>
    <w:pPr>
      <w:ind w:firstLine="420" w:firstLineChars="200"/>
    </w:pPr>
    <w:rPr>
      <w:rFonts w:ascii="Calibri" w:hAnsi="Calibri" w:eastAsia="等线" w:cs="等线"/>
      <w:szCs w:val="22"/>
    </w:rPr>
  </w:style>
  <w:style w:type="paragraph" w:customStyle="1" w:styleId="911">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912">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9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914">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915">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916">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917">
    <w:name w:val="附录表标题"/>
    <w:basedOn w:val="1"/>
    <w:next w:val="240"/>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9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19">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92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921">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922">
    <w:name w:val="PP Line"/>
    <w:basedOn w:val="47"/>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923">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924">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925">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926">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927">
    <w:name w:val="my正文"/>
    <w:basedOn w:val="1"/>
    <w:qFormat/>
    <w:uiPriority w:val="0"/>
    <w:pPr>
      <w:spacing w:line="360" w:lineRule="auto"/>
      <w:ind w:firstLine="480" w:firstLineChars="200"/>
    </w:pPr>
    <w:rPr>
      <w:rFonts w:ascii="Tahoma" w:hAnsi="Tahoma" w:eastAsia="等线" w:cs="等线"/>
      <w:sz w:val="24"/>
    </w:rPr>
  </w:style>
  <w:style w:type="paragraph" w:customStyle="1" w:styleId="928">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929">
    <w:name w:val="context-item"/>
    <w:basedOn w:val="930"/>
    <w:qFormat/>
    <w:uiPriority w:val="0"/>
    <w:pPr>
      <w:ind w:left="1418" w:hanging="284"/>
    </w:pPr>
  </w:style>
  <w:style w:type="paragraph" w:customStyle="1" w:styleId="930">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931">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932">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933">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934">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lang w:val="en-US" w:eastAsia="zh-CN"/>
    </w:rPr>
  </w:style>
  <w:style w:type="paragraph" w:customStyle="1" w:styleId="935">
    <w:name w:val="No Spacing1"/>
    <w:qFormat/>
    <w:uiPriority w:val="0"/>
    <w:rPr>
      <w:rFonts w:ascii="Century Gothic" w:hAnsi="Century Gothic" w:eastAsia="仿宋_GB2312" w:cs="新宋体"/>
      <w:sz w:val="22"/>
      <w:szCs w:val="22"/>
      <w:lang w:val="en-US" w:eastAsia="zh-CN" w:bidi="ar-SA"/>
    </w:rPr>
  </w:style>
  <w:style w:type="paragraph" w:customStyle="1" w:styleId="936">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93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38">
    <w:name w:val="题目副题"/>
    <w:basedOn w:val="50"/>
    <w:qFormat/>
    <w:uiPriority w:val="0"/>
    <w:pPr>
      <w:spacing w:after="312" w:afterLines="0" w:line="312" w:lineRule="auto"/>
      <w:ind w:left="240" w:firstLine="600" w:firstLineChars="200"/>
      <w:jc w:val="left"/>
    </w:pPr>
    <w:rPr>
      <w:rFonts w:hAnsi="宋体"/>
      <w:b/>
      <w:i w:val="0"/>
      <w:snapToGrid/>
      <w:kern w:val="28"/>
      <w:sz w:val="30"/>
      <w:lang w:val="en-US" w:eastAsia="zh-CN"/>
    </w:rPr>
  </w:style>
  <w:style w:type="paragraph" w:customStyle="1" w:styleId="939">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94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9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942">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94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4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945">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946">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4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94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949">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95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951">
    <w:name w:val="TOC Heading1"/>
    <w:basedOn w:val="6"/>
    <w:next w:val="1"/>
    <w:qFormat/>
    <w:uiPriority w:val="0"/>
    <w:pPr>
      <w:widowControl/>
      <w:tabs>
        <w:tab w:val="clear" w:pos="840"/>
      </w:tabs>
      <w:adjustRightInd/>
      <w:snapToGrid/>
      <w:spacing w:before="480" w:line="276" w:lineRule="auto"/>
      <w:jc w:val="left"/>
      <w:outlineLvl w:val="9"/>
    </w:pPr>
    <w:rPr>
      <w:rFonts w:ascii="Verdana" w:hAnsi="Verdana" w:eastAsia="仿宋_GB2312" w:cs="新宋体"/>
      <w:bCs/>
      <w:color w:val="365F91"/>
      <w:kern w:val="0"/>
      <w:sz w:val="28"/>
      <w:szCs w:val="28"/>
      <w:lang w:val="en-US" w:eastAsia="zh-CN"/>
    </w:rPr>
  </w:style>
  <w:style w:type="paragraph" w:customStyle="1" w:styleId="952">
    <w:name w:val="正文文字表格居中"/>
    <w:basedOn w:val="1"/>
    <w:next w:val="57"/>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953">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9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955">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956">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957">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9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960">
    <w:name w:val="正文缩进HS-正文1"/>
    <w:basedOn w:val="1"/>
    <w:qFormat/>
    <w:uiPriority w:val="0"/>
    <w:pPr>
      <w:jc w:val="center"/>
    </w:pPr>
    <w:rPr>
      <w:rFonts w:ascii="宋体" w:hAnsi="宋体" w:eastAsia="等线" w:cs="等线"/>
      <w:color w:val="000000"/>
      <w:szCs w:val="21"/>
    </w:rPr>
  </w:style>
  <w:style w:type="paragraph" w:customStyle="1" w:styleId="961">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962">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96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964">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965">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966">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9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96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969">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970">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971">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972">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973">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974">
    <w:name w:val="text1"/>
    <w:qFormat/>
    <w:uiPriority w:val="0"/>
    <w:rPr>
      <w:rFonts w:ascii="等线" w:hAnsi="等线" w:eastAsia="DFKai-SB" w:cs="等线"/>
      <w:sz w:val="28"/>
      <w:lang w:val="en-US" w:eastAsia="zh-TW" w:bidi="ar-SA"/>
    </w:rPr>
  </w:style>
  <w:style w:type="character" w:customStyle="1" w:styleId="975">
    <w:name w:val="表格 Char"/>
    <w:qFormat/>
    <w:uiPriority w:val="99"/>
    <w:rPr>
      <w:kern w:val="2"/>
      <w:sz w:val="24"/>
    </w:rPr>
  </w:style>
  <w:style w:type="character" w:customStyle="1" w:styleId="976">
    <w:name w:val="fontstyle31"/>
    <w:qFormat/>
    <w:uiPriority w:val="0"/>
    <w:rPr>
      <w:rFonts w:ascii="TimesNewRomanPSMT" w:hAnsi="TimesNewRomanPSMT" w:eastAsia="TimesNewRomanPSMT" w:cs="TimesNewRomanPSMT"/>
      <w:color w:val="000000"/>
      <w:sz w:val="22"/>
      <w:szCs w:val="22"/>
    </w:rPr>
  </w:style>
  <w:style w:type="character" w:customStyle="1" w:styleId="977">
    <w:name w:val="表头编号 Char"/>
    <w:link w:val="978"/>
    <w:qFormat/>
    <w:uiPriority w:val="0"/>
    <w:rPr>
      <w:rFonts w:eastAsia="黑体"/>
      <w:sz w:val="24"/>
      <w:szCs w:val="24"/>
    </w:rPr>
  </w:style>
  <w:style w:type="paragraph" w:customStyle="1" w:styleId="978">
    <w:name w:val="表头编号"/>
    <w:basedOn w:val="1"/>
    <w:next w:val="979"/>
    <w:link w:val="977"/>
    <w:qFormat/>
    <w:uiPriority w:val="0"/>
    <w:pPr>
      <w:adjustRightInd w:val="0"/>
      <w:snapToGrid w:val="0"/>
      <w:spacing w:line="360" w:lineRule="auto"/>
      <w:jc w:val="left"/>
    </w:pPr>
    <w:rPr>
      <w:rFonts w:eastAsia="黑体"/>
      <w:kern w:val="0"/>
      <w:sz w:val="24"/>
    </w:rPr>
  </w:style>
  <w:style w:type="paragraph" w:customStyle="1" w:styleId="979">
    <w:name w:val="表格文本"/>
    <w:basedOn w:val="1"/>
    <w:next w:val="1"/>
    <w:link w:val="980"/>
    <w:qFormat/>
    <w:uiPriority w:val="0"/>
    <w:pPr>
      <w:adjustRightInd w:val="0"/>
      <w:snapToGrid w:val="0"/>
      <w:jc w:val="center"/>
    </w:pPr>
    <w:rPr>
      <w:color w:val="000000"/>
      <w:kern w:val="0"/>
      <w:sz w:val="24"/>
      <w:szCs w:val="21"/>
    </w:rPr>
  </w:style>
  <w:style w:type="character" w:customStyle="1" w:styleId="980">
    <w:name w:val="表格文本 Char"/>
    <w:link w:val="979"/>
    <w:qFormat/>
    <w:uiPriority w:val="0"/>
    <w:rPr>
      <w:color w:val="000000"/>
      <w:sz w:val="24"/>
      <w:szCs w:val="21"/>
    </w:rPr>
  </w:style>
  <w:style w:type="character" w:customStyle="1" w:styleId="981">
    <w:name w:val="表格标题/图片标题/日期格式/图片居中 Char"/>
    <w:link w:val="982"/>
    <w:qFormat/>
    <w:uiPriority w:val="0"/>
    <w:rPr>
      <w:b/>
      <w:kern w:val="2"/>
      <w:sz w:val="28"/>
      <w:szCs w:val="24"/>
      <w:lang w:val="en-US" w:eastAsia="zh-CN" w:bidi="ar-SA"/>
    </w:rPr>
  </w:style>
  <w:style w:type="paragraph" w:customStyle="1" w:styleId="982">
    <w:name w:val="表格标题/图片标题/日期格式/图片居中"/>
    <w:link w:val="981"/>
    <w:qFormat/>
    <w:uiPriority w:val="0"/>
    <w:pPr>
      <w:jc w:val="center"/>
    </w:pPr>
    <w:rPr>
      <w:rFonts w:ascii="Times New Roman" w:hAnsi="Times New Roman" w:eastAsia="宋体" w:cs="Times New Roman"/>
      <w:b/>
      <w:kern w:val="2"/>
      <w:sz w:val="28"/>
      <w:szCs w:val="24"/>
      <w:lang w:val="en-US" w:eastAsia="zh-CN" w:bidi="ar-SA"/>
    </w:rPr>
  </w:style>
  <w:style w:type="character" w:customStyle="1" w:styleId="983">
    <w:name w:val="fontstyle21"/>
    <w:qFormat/>
    <w:uiPriority w:val="0"/>
    <w:rPr>
      <w:rFonts w:ascii="宋体" w:hAnsi="宋体" w:eastAsia="宋体" w:cs="宋体"/>
      <w:color w:val="000000"/>
      <w:sz w:val="22"/>
      <w:szCs w:val="22"/>
    </w:rPr>
  </w:style>
  <w:style w:type="character" w:customStyle="1" w:styleId="984">
    <w:name w:val="font201"/>
    <w:qFormat/>
    <w:uiPriority w:val="0"/>
    <w:rPr>
      <w:rFonts w:hint="eastAsia" w:ascii="宋体" w:hAnsi="宋体" w:eastAsia="宋体" w:cs="宋体"/>
      <w:b/>
      <w:color w:val="000000"/>
      <w:sz w:val="24"/>
      <w:szCs w:val="24"/>
      <w:u w:val="none"/>
    </w:rPr>
  </w:style>
  <w:style w:type="character" w:customStyle="1" w:styleId="985">
    <w:name w:val="font221"/>
    <w:qFormat/>
    <w:uiPriority w:val="0"/>
    <w:rPr>
      <w:rFonts w:hint="eastAsia" w:ascii="宋体" w:hAnsi="宋体" w:eastAsia="宋体" w:cs="宋体"/>
      <w:color w:val="000000"/>
      <w:sz w:val="24"/>
      <w:szCs w:val="24"/>
      <w:u w:val="none"/>
    </w:rPr>
  </w:style>
  <w:style w:type="character" w:customStyle="1" w:styleId="986">
    <w:name w:val="尾注文本 Char1"/>
    <w:qFormat/>
    <w:uiPriority w:val="99"/>
    <w:rPr>
      <w:kern w:val="2"/>
      <w:sz w:val="21"/>
      <w:szCs w:val="24"/>
    </w:rPr>
  </w:style>
  <w:style w:type="paragraph" w:customStyle="1" w:styleId="987">
    <w:name w:val="表格文字（居中）"/>
    <w:basedOn w:val="1"/>
    <w:qFormat/>
    <w:uiPriority w:val="0"/>
    <w:pPr>
      <w:spacing w:line="360" w:lineRule="auto"/>
      <w:ind w:firstLine="200" w:firstLineChars="200"/>
      <w:jc w:val="center"/>
    </w:pPr>
    <w:rPr>
      <w:sz w:val="28"/>
    </w:rPr>
  </w:style>
  <w:style w:type="paragraph" w:customStyle="1" w:styleId="988">
    <w:name w:val="文章正文"/>
    <w:basedOn w:val="1"/>
    <w:qFormat/>
    <w:uiPriority w:val="0"/>
    <w:pPr>
      <w:spacing w:line="360" w:lineRule="auto"/>
      <w:ind w:firstLine="200" w:firstLineChars="200"/>
    </w:pPr>
    <w:rPr>
      <w:kern w:val="0"/>
      <w:sz w:val="28"/>
      <w:szCs w:val="22"/>
    </w:rPr>
  </w:style>
  <w:style w:type="paragraph" w:customStyle="1" w:styleId="989">
    <w:name w:val="图名"/>
    <w:basedOn w:val="1"/>
    <w:next w:val="1"/>
    <w:qFormat/>
    <w:uiPriority w:val="1"/>
    <w:pPr>
      <w:spacing w:line="360" w:lineRule="auto"/>
      <w:jc w:val="center"/>
    </w:pPr>
    <w:rPr>
      <w:rFonts w:eastAsia="Times New Roman"/>
      <w:b/>
      <w:color w:val="000000"/>
      <w:sz w:val="28"/>
    </w:rPr>
  </w:style>
  <w:style w:type="paragraph" w:customStyle="1" w:styleId="990">
    <w:name w:val="封面文字"/>
    <w:basedOn w:val="1"/>
    <w:qFormat/>
    <w:uiPriority w:val="0"/>
    <w:pPr>
      <w:spacing w:line="360" w:lineRule="auto"/>
      <w:jc w:val="center"/>
    </w:pPr>
    <w:rPr>
      <w:rFonts w:hAnsi="宋体" w:eastAsia="黑体"/>
      <w:sz w:val="48"/>
    </w:rPr>
  </w:style>
  <w:style w:type="paragraph" w:customStyle="1" w:styleId="991">
    <w:name w:val="表头、图名"/>
    <w:basedOn w:val="1"/>
    <w:link w:val="992"/>
    <w:qFormat/>
    <w:uiPriority w:val="0"/>
    <w:pPr>
      <w:spacing w:line="360" w:lineRule="auto"/>
      <w:ind w:firstLine="200" w:firstLineChars="200"/>
      <w:jc w:val="center"/>
    </w:pPr>
    <w:rPr>
      <w:b/>
      <w:sz w:val="28"/>
      <w:szCs w:val="20"/>
    </w:rPr>
  </w:style>
  <w:style w:type="character" w:customStyle="1" w:styleId="992">
    <w:name w:val="表头 Char"/>
    <w:link w:val="991"/>
    <w:qFormat/>
    <w:uiPriority w:val="0"/>
    <w:rPr>
      <w:b/>
      <w:kern w:val="2"/>
      <w:sz w:val="28"/>
    </w:rPr>
  </w:style>
  <w:style w:type="paragraph" w:customStyle="1" w:styleId="993">
    <w:name w:val="表头2"/>
    <w:basedOn w:val="264"/>
    <w:qFormat/>
    <w:uiPriority w:val="0"/>
    <w:pPr>
      <w:suppressLineNumbers w:val="0"/>
      <w:tabs>
        <w:tab w:val="clear" w:pos="900"/>
      </w:tabs>
      <w:suppressAutoHyphens w:val="0"/>
      <w:spacing w:after="0" w:line="520" w:lineRule="exact"/>
      <w:jc w:val="left"/>
    </w:pPr>
    <w:rPr>
      <w:rFonts w:ascii="Calibri" w:hAnsi="Calibri"/>
      <w:bCs w:val="0"/>
      <w:i w:val="0"/>
      <w:iCs w:val="0"/>
      <w:kern w:val="2"/>
      <w:szCs w:val="28"/>
      <w:lang w:eastAsia="zh-CN"/>
    </w:rPr>
  </w:style>
  <w:style w:type="paragraph" w:customStyle="1" w:styleId="994">
    <w:name w:val="WPSOffice手动目录 1"/>
    <w:qFormat/>
    <w:uiPriority w:val="0"/>
    <w:rPr>
      <w:rFonts w:ascii="Times New Roman" w:hAnsi="Times New Roman" w:eastAsia="宋体" w:cs="Times New Roman"/>
      <w:lang w:val="en-US" w:eastAsia="zh-CN" w:bidi="ar-SA"/>
    </w:rPr>
  </w:style>
  <w:style w:type="paragraph" w:customStyle="1" w:styleId="995">
    <w:name w:val="表格备注"/>
    <w:basedOn w:val="1"/>
    <w:next w:val="1"/>
    <w:qFormat/>
    <w:uiPriority w:val="2"/>
    <w:pPr>
      <w:spacing w:afterLines="50"/>
    </w:pPr>
  </w:style>
  <w:style w:type="paragraph" w:customStyle="1" w:styleId="996">
    <w:name w:val="目  录"/>
    <w:basedOn w:val="1"/>
    <w:qFormat/>
    <w:uiPriority w:val="0"/>
    <w:pPr>
      <w:spacing w:line="360" w:lineRule="auto"/>
      <w:jc w:val="center"/>
    </w:pPr>
    <w:rPr>
      <w:rFonts w:hAnsi="宋体" w:eastAsia="黑体"/>
      <w:sz w:val="44"/>
    </w:rPr>
  </w:style>
  <w:style w:type="paragraph" w:customStyle="1" w:styleId="997">
    <w:name w:val="表格样式"/>
    <w:basedOn w:val="1"/>
    <w:qFormat/>
    <w:uiPriority w:val="0"/>
    <w:pPr>
      <w:widowControl/>
      <w:jc w:val="center"/>
    </w:pPr>
    <w:rPr>
      <w:bCs/>
      <w:kern w:val="0"/>
      <w:sz w:val="24"/>
    </w:rPr>
  </w:style>
  <w:style w:type="paragraph" w:customStyle="1" w:styleId="998">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999">
    <w:name w:val="表图内容"/>
    <w:basedOn w:val="1"/>
    <w:qFormat/>
    <w:uiPriority w:val="0"/>
    <w:pPr>
      <w:spacing w:line="360" w:lineRule="auto"/>
      <w:ind w:firstLine="200" w:firstLineChars="200"/>
      <w:jc w:val="center"/>
    </w:pPr>
    <w:rPr>
      <w:sz w:val="24"/>
      <w:szCs w:val="21"/>
    </w:rPr>
  </w:style>
  <w:style w:type="paragraph" w:customStyle="1" w:styleId="100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0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02">
    <w:name w:val="图片"/>
    <w:basedOn w:val="1"/>
    <w:qFormat/>
    <w:uiPriority w:val="0"/>
    <w:pPr>
      <w:jc w:val="center"/>
    </w:pPr>
    <w:rPr>
      <w:sz w:val="28"/>
    </w:rPr>
  </w:style>
  <w:style w:type="character" w:customStyle="1" w:styleId="1003">
    <w:name w:val="招标正文 字符"/>
    <w:link w:val="1004"/>
    <w:qFormat/>
    <w:uiPriority w:val="0"/>
    <w:rPr>
      <w:rFonts w:ascii="宋体" w:hAnsi="宋体"/>
      <w:color w:val="000000"/>
      <w:sz w:val="24"/>
      <w:szCs w:val="21"/>
    </w:rPr>
  </w:style>
  <w:style w:type="paragraph" w:customStyle="1" w:styleId="1004">
    <w:name w:val="招标正文"/>
    <w:basedOn w:val="1"/>
    <w:link w:val="1003"/>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1005">
    <w:name w:val="招标-标题1 字符"/>
    <w:link w:val="1006"/>
    <w:qFormat/>
    <w:uiPriority w:val="0"/>
    <w:rPr>
      <w:rFonts w:ascii="宋体" w:hAnsi="宋体"/>
      <w:b/>
      <w:bCs/>
      <w:sz w:val="28"/>
      <w:szCs w:val="21"/>
    </w:rPr>
  </w:style>
  <w:style w:type="paragraph" w:customStyle="1" w:styleId="1006">
    <w:name w:val="招标-标题1"/>
    <w:basedOn w:val="1"/>
    <w:link w:val="1005"/>
    <w:qFormat/>
    <w:uiPriority w:val="0"/>
    <w:pPr>
      <w:spacing w:line="300" w:lineRule="auto"/>
      <w:ind w:left="560" w:firstLine="200" w:firstLineChars="200"/>
    </w:pPr>
    <w:rPr>
      <w:rFonts w:ascii="宋体" w:hAnsi="宋体"/>
      <w:b/>
      <w:bCs/>
      <w:kern w:val="0"/>
      <w:sz w:val="28"/>
      <w:szCs w:val="21"/>
    </w:rPr>
  </w:style>
  <w:style w:type="character" w:customStyle="1" w:styleId="1007">
    <w:name w:val="招标-主标题 字符"/>
    <w:link w:val="1008"/>
    <w:qFormat/>
    <w:uiPriority w:val="0"/>
    <w:rPr>
      <w:rFonts w:ascii="宋体" w:hAnsi="宋体"/>
      <w:b/>
      <w:sz w:val="32"/>
    </w:rPr>
  </w:style>
  <w:style w:type="paragraph" w:customStyle="1" w:styleId="1008">
    <w:name w:val="招标-主标题"/>
    <w:basedOn w:val="1"/>
    <w:link w:val="1007"/>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paragraph" w:customStyle="1" w:styleId="1009">
    <w:name w:val="表名"/>
    <w:basedOn w:val="1"/>
    <w:qFormat/>
    <w:uiPriority w:val="0"/>
    <w:pPr>
      <w:spacing w:after="60" w:line="560" w:lineRule="exact"/>
      <w:ind w:firstLine="100" w:firstLineChars="100"/>
    </w:pPr>
    <w:rPr>
      <w:rFonts w:ascii="黑体" w:eastAsia="黑体"/>
      <w:sz w:val="24"/>
    </w:rPr>
  </w:style>
  <w:style w:type="paragraph" w:customStyle="1" w:styleId="1010">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1011">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1012">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1013">
    <w:name w:val="样式 仿宋_GB2312 小三 Char"/>
    <w:qFormat/>
    <w:uiPriority w:val="0"/>
    <w:rPr>
      <w:rFonts w:ascii="仿宋_GB2312" w:eastAsia="仿宋_GB2312" w:cs="仿宋_GB2312"/>
      <w:kern w:val="2"/>
      <w:sz w:val="30"/>
      <w:szCs w:val="30"/>
      <w:lang w:val="zh-CN" w:eastAsia="zh-CN" w:bidi="ar-SA"/>
    </w:rPr>
  </w:style>
  <w:style w:type="paragraph" w:customStyle="1" w:styleId="1014">
    <w:name w:val="样式4"/>
    <w:basedOn w:val="1"/>
    <w:qFormat/>
    <w:uiPriority w:val="0"/>
    <w:pPr>
      <w:spacing w:line="360" w:lineRule="auto"/>
      <w:ind w:firstLine="200" w:firstLineChars="200"/>
    </w:pPr>
    <w:rPr>
      <w:sz w:val="28"/>
      <w:szCs w:val="21"/>
    </w:rPr>
  </w:style>
  <w:style w:type="paragraph" w:customStyle="1" w:styleId="1015">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1016">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1017">
    <w:name w:val="瑞安正文"/>
    <w:basedOn w:val="1"/>
    <w:qFormat/>
    <w:uiPriority w:val="0"/>
    <w:pPr>
      <w:adjustRightInd w:val="0"/>
      <w:snapToGrid w:val="0"/>
      <w:spacing w:afterLines="50" w:line="300" w:lineRule="auto"/>
      <w:ind w:firstLine="200" w:firstLineChars="200"/>
    </w:pPr>
    <w:rPr>
      <w:sz w:val="24"/>
    </w:rPr>
  </w:style>
  <w:style w:type="paragraph" w:customStyle="1" w:styleId="1018">
    <w:name w:val="样式 图文仿宋四号 + (西文) 宋体 (中文) 宋体"/>
    <w:basedOn w:val="1"/>
    <w:link w:val="1019"/>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1019">
    <w:name w:val="样式 图文仿宋四号 + (西文) 宋体 (中文) 宋体 Char"/>
    <w:link w:val="1018"/>
    <w:qFormat/>
    <w:uiPriority w:val="0"/>
    <w:rPr>
      <w:rFonts w:ascii="仿宋_GB2312" w:eastAsia="仿宋_GB2312"/>
      <w:kern w:val="2"/>
      <w:sz w:val="32"/>
      <w:szCs w:val="32"/>
      <w:lang w:val="zh-CN"/>
    </w:rPr>
  </w:style>
  <w:style w:type="paragraph" w:customStyle="1" w:styleId="1020">
    <w:name w:val="temp标题1"/>
    <w:basedOn w:val="6"/>
    <w:next w:val="6"/>
    <w:qFormat/>
    <w:uiPriority w:val="0"/>
    <w:pPr>
      <w:tabs>
        <w:tab w:val="clear" w:pos="840"/>
      </w:tabs>
      <w:adjustRightInd/>
      <w:snapToGrid/>
      <w:spacing w:beforeLines="150" w:afterLines="50"/>
      <w:ind w:firstLine="200" w:firstLineChars="200"/>
      <w:jc w:val="center"/>
    </w:pPr>
    <w:rPr>
      <w:rFonts w:ascii="Times New Roman" w:eastAsia="黑体"/>
      <w:bCs/>
      <w:kern w:val="0"/>
      <w:sz w:val="32"/>
      <w:szCs w:val="32"/>
      <w:lang w:val="zh-CN" w:eastAsia="zh-CN"/>
    </w:rPr>
  </w:style>
  <w:style w:type="paragraph" w:customStyle="1" w:styleId="1021">
    <w:name w:val="temp标题2"/>
    <w:basedOn w:val="7"/>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eastAsia="zh-CN"/>
    </w:rPr>
  </w:style>
  <w:style w:type="paragraph" w:customStyle="1" w:styleId="1022">
    <w:name w:val="temp标题3"/>
    <w:basedOn w:val="8"/>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1023">
    <w:name w:val="样式 temp标题1 + 段前: 0.5 行"/>
    <w:basedOn w:val="1020"/>
    <w:qFormat/>
    <w:uiPriority w:val="0"/>
    <w:pPr>
      <w:spacing w:beforeLines="100"/>
    </w:pPr>
    <w:rPr>
      <w:rFonts w:cs="宋体"/>
      <w:bCs w:val="0"/>
      <w:szCs w:val="20"/>
    </w:rPr>
  </w:style>
  <w:style w:type="paragraph" w:customStyle="1" w:styleId="1024">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1025">
    <w:name w:val="页码1"/>
    <w:basedOn w:val="1"/>
    <w:next w:val="1"/>
    <w:qFormat/>
    <w:uiPriority w:val="0"/>
    <w:pPr>
      <w:widowControl/>
      <w:spacing w:line="360" w:lineRule="auto"/>
      <w:ind w:firstLine="200" w:firstLineChars="200"/>
    </w:pPr>
    <w:rPr>
      <w:color w:val="000000"/>
      <w:sz w:val="28"/>
      <w:szCs w:val="28"/>
    </w:rPr>
  </w:style>
  <w:style w:type="paragraph" w:customStyle="1" w:styleId="1026">
    <w:name w:val="附图表"/>
    <w:basedOn w:val="1"/>
    <w:link w:val="1027"/>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1027">
    <w:name w:val="附图表 Char"/>
    <w:link w:val="1026"/>
    <w:qFormat/>
    <w:uiPriority w:val="0"/>
    <w:rPr>
      <w:rFonts w:ascii="黑体" w:hAnsi="黑体" w:eastAsia="黑体"/>
      <w:color w:val="000000"/>
      <w:sz w:val="28"/>
      <w:szCs w:val="30"/>
      <w:lang w:val="zh-CN"/>
    </w:rPr>
  </w:style>
  <w:style w:type="character" w:customStyle="1" w:styleId="1028">
    <w:name w:val="Char Char7"/>
    <w:qFormat/>
    <w:uiPriority w:val="0"/>
    <w:rPr>
      <w:rFonts w:hAnsi="宋体" w:eastAsia="宋体"/>
      <w:kern w:val="2"/>
      <w:sz w:val="18"/>
      <w:szCs w:val="18"/>
      <w:lang w:val="zh-CN" w:eastAsia="zh-CN" w:bidi="ar-SA"/>
    </w:rPr>
  </w:style>
  <w:style w:type="character" w:customStyle="1" w:styleId="1029">
    <w:name w:val="content1"/>
    <w:qFormat/>
    <w:uiPriority w:val="0"/>
    <w:rPr>
      <w:sz w:val="22"/>
      <w:szCs w:val="22"/>
    </w:rPr>
  </w:style>
  <w:style w:type="paragraph" w:customStyle="1" w:styleId="103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1">
    <w:name w:val="二级无"/>
    <w:basedOn w:val="724"/>
    <w:qFormat/>
    <w:uiPriority w:val="0"/>
    <w:pPr>
      <w:ind w:left="735"/>
    </w:pPr>
    <w:rPr>
      <w:rFonts w:ascii="宋体" w:hAnsi="Calibri" w:eastAsia="宋体" w:cs="Times New Roman"/>
      <w:szCs w:val="21"/>
    </w:rPr>
  </w:style>
  <w:style w:type="paragraph" w:customStyle="1" w:styleId="1032">
    <w:name w:val="正文文本缩进 22"/>
    <w:basedOn w:val="1"/>
    <w:qFormat/>
    <w:uiPriority w:val="0"/>
    <w:pPr>
      <w:snapToGrid w:val="0"/>
      <w:spacing w:line="400" w:lineRule="exact"/>
      <w:ind w:firstLine="562" w:firstLineChars="200"/>
    </w:pPr>
    <w:rPr>
      <w:rFonts w:ascii="仿宋_GB2312" w:eastAsia="仿宋_GB2312"/>
      <w:b/>
      <w:bCs/>
      <w:kern w:val="0"/>
      <w:sz w:val="28"/>
    </w:rPr>
  </w:style>
  <w:style w:type="character" w:customStyle="1" w:styleId="1033">
    <w:name w:val="bookmark-item"/>
    <w:qFormat/>
    <w:uiPriority w:val="0"/>
  </w:style>
  <w:style w:type="paragraph" w:customStyle="1" w:styleId="1034">
    <w:name w:val="普通(网站)_0"/>
    <w:basedOn w:val="294"/>
    <w:qFormat/>
    <w:uiPriority w:val="99"/>
    <w:pPr>
      <w:widowControl/>
      <w:spacing w:before="100" w:beforeAutospacing="1" w:after="100" w:afterAutospacing="1"/>
      <w:jc w:val="left"/>
    </w:pPr>
    <w:rPr>
      <w:rFonts w:ascii="宋体" w:hAnsi="宋体"/>
      <w:kern w:val="0"/>
      <w:sz w:val="24"/>
    </w:rPr>
  </w:style>
  <w:style w:type="paragraph" w:customStyle="1" w:styleId="1035">
    <w:name w:val="菲页2"/>
    <w:basedOn w:val="8"/>
    <w:qFormat/>
    <w:uiPriority w:val="99"/>
    <w:pPr>
      <w:widowControl/>
      <w:tabs>
        <w:tab w:val="left" w:pos="2040"/>
      </w:tabs>
      <w:spacing w:before="120" w:after="120" w:line="360" w:lineRule="auto"/>
      <w:ind w:left="1260" w:hanging="420"/>
      <w:jc w:val="center"/>
    </w:pPr>
    <w:rPr>
      <w:rFonts w:ascii="黑体" w:hAnsi="宋体" w:eastAsia="黑体"/>
      <w:b w:val="0"/>
      <w:bCs w:val="0"/>
      <w:kern w:val="0"/>
      <w:sz w:val="44"/>
      <w:szCs w:val="20"/>
    </w:rPr>
  </w:style>
  <w:style w:type="paragraph" w:customStyle="1" w:styleId="1036">
    <w:name w:val="正文（深信服）"/>
    <w:basedOn w:val="1"/>
    <w:qFormat/>
    <w:uiPriority w:val="0"/>
    <w:pPr>
      <w:widowControl/>
      <w:spacing w:line="300" w:lineRule="auto"/>
      <w:jc w:val="left"/>
    </w:pPr>
    <w:rPr>
      <w:rFonts w:ascii="Arial" w:hAnsi="Arial"/>
      <w:kern w:val="0"/>
      <w:sz w:val="24"/>
    </w:rPr>
  </w:style>
  <w:style w:type="paragraph" w:customStyle="1" w:styleId="1037">
    <w:name w:val="舟式样--正文"/>
    <w:basedOn w:val="1"/>
    <w:uiPriority w:val="0"/>
    <w:pPr>
      <w:autoSpaceDE w:val="0"/>
      <w:ind w:firstLine="200" w:firstLineChars="200"/>
    </w:pPr>
    <w:rPr>
      <w:rFonts w:ascii="仿宋_GB2312" w:hAnsi="Calibri"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97</Pages>
  <Words>68710</Words>
  <Characters>75571</Characters>
  <Lines>638</Lines>
  <Paragraphs>179</Paragraphs>
  <TotalTime>6</TotalTime>
  <ScaleCrop>false</ScaleCrop>
  <LinksUpToDate>false</LinksUpToDate>
  <CharactersWithSpaces>78056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2023-10-16T07:37:00Z</dcterms:created>
  <dc:creator>LCMZX</dc:creator>
  <cp:lastModifiedBy>叶</cp:lastModifiedBy>
  <cp:lastPrinted>2023-11-19T15:37:00Z</cp:lastPrinted>
  <dcterms:modified xsi:type="dcterms:W3CDTF">2024-08-17T10:43:25Z</dcterms:modified>
  <dc:title>温州市政府采购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1F3E5DB0866F44BB96D724D5EFCF8974_13</vt:lpwstr>
  </property>
  <property fmtid="{D5CDD505-2E9C-101B-9397-08002B2CF9AE}" pid="4" name="woTemplateTypoMode">
    <vt:lpwstr>web</vt:lpwstr>
  </property>
  <property fmtid="{D5CDD505-2E9C-101B-9397-08002B2CF9AE}" pid="5" name="woTemplate">
    <vt:r8>1</vt:r8>
  </property>
</Properties>
</file>