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671D04">
      <w:pPr>
        <w:autoSpaceDE w:val="0"/>
        <w:autoSpaceDN w:val="0"/>
        <w:spacing w:line="500" w:lineRule="atLeast"/>
        <w:jc w:val="center"/>
        <w:textAlignment w:val="bottom"/>
        <w:rPr>
          <w:rFonts w:ascii="宋体" w:hAnsi="宋体" w:cs="宋体"/>
          <w:b/>
          <w:bCs/>
          <w:color w:val="auto"/>
          <w:spacing w:val="120"/>
          <w:sz w:val="72"/>
          <w:szCs w:val="72"/>
          <w:highlight w:val="none"/>
        </w:rPr>
      </w:pPr>
    </w:p>
    <w:p w14:paraId="2D255B5F">
      <w:pPr>
        <w:autoSpaceDE w:val="0"/>
        <w:autoSpaceDN w:val="0"/>
        <w:spacing w:line="500" w:lineRule="atLeast"/>
        <w:jc w:val="distribute"/>
        <w:textAlignment w:val="bottom"/>
        <w:rPr>
          <w:rFonts w:ascii="宋体" w:hAnsi="宋体" w:cs="宋体"/>
          <w:b/>
          <w:bCs/>
          <w:color w:val="auto"/>
          <w:sz w:val="72"/>
          <w:szCs w:val="72"/>
          <w:highlight w:val="none"/>
        </w:rPr>
      </w:pPr>
      <w:r>
        <w:rPr>
          <w:rFonts w:hint="eastAsia" w:ascii="宋体" w:hAnsi="宋体" w:cs="宋体"/>
          <w:b/>
          <w:bCs/>
          <w:color w:val="auto"/>
          <w:sz w:val="72"/>
          <w:szCs w:val="72"/>
          <w:highlight w:val="none"/>
        </w:rPr>
        <w:t>温州市</w:t>
      </w:r>
      <w:r>
        <w:rPr>
          <w:rFonts w:hint="eastAsia" w:ascii="宋体" w:hAnsi="宋体" w:cs="宋体"/>
          <w:b/>
          <w:bCs/>
          <w:color w:val="auto"/>
          <w:sz w:val="72"/>
          <w:szCs w:val="72"/>
          <w:highlight w:val="none"/>
          <w:lang w:val="en-US" w:eastAsia="zh-CN"/>
        </w:rPr>
        <w:t>瓯海区</w:t>
      </w:r>
      <w:r>
        <w:rPr>
          <w:rFonts w:hint="eastAsia" w:ascii="宋体" w:hAnsi="宋体" w:cs="宋体"/>
          <w:b/>
          <w:bCs/>
          <w:color w:val="auto"/>
          <w:sz w:val="72"/>
          <w:szCs w:val="72"/>
          <w:highlight w:val="none"/>
        </w:rPr>
        <w:t>政府采购</w:t>
      </w:r>
    </w:p>
    <w:p w14:paraId="291AD07B">
      <w:pPr>
        <w:spacing w:line="400" w:lineRule="atLeast"/>
        <w:rPr>
          <w:rFonts w:ascii="宋体" w:hAnsi="宋体" w:cs="宋体"/>
          <w:b/>
          <w:color w:val="auto"/>
          <w:sz w:val="52"/>
          <w:highlight w:val="none"/>
        </w:rPr>
      </w:pPr>
    </w:p>
    <w:p w14:paraId="15F4A81E">
      <w:pPr>
        <w:spacing w:line="400" w:lineRule="atLeast"/>
        <w:jc w:val="center"/>
        <w:rPr>
          <w:rFonts w:ascii="宋体" w:hAnsi="宋体" w:cs="宋体"/>
          <w:b/>
          <w:color w:val="auto"/>
          <w:sz w:val="52"/>
          <w:highlight w:val="none"/>
        </w:rPr>
      </w:pPr>
    </w:p>
    <w:p w14:paraId="1045E033">
      <w:pPr>
        <w:spacing w:line="400" w:lineRule="atLeast"/>
        <w:jc w:val="center"/>
        <w:rPr>
          <w:rFonts w:ascii="宋体" w:hAnsi="宋体" w:cs="宋体"/>
          <w:b/>
          <w:color w:val="auto"/>
          <w:sz w:val="52"/>
          <w:highlight w:val="none"/>
        </w:rPr>
      </w:pPr>
    </w:p>
    <w:p w14:paraId="36F7CF6D">
      <w:pPr>
        <w:spacing w:line="400" w:lineRule="atLeast"/>
        <w:jc w:val="center"/>
        <w:rPr>
          <w:rFonts w:ascii="宋体" w:hAnsi="宋体" w:cs="宋体"/>
          <w:b/>
          <w:bCs/>
          <w:color w:val="auto"/>
          <w:sz w:val="72"/>
          <w:szCs w:val="72"/>
          <w:highlight w:val="none"/>
        </w:rPr>
      </w:pPr>
      <w:r>
        <w:rPr>
          <w:rFonts w:hint="eastAsia" w:ascii="宋体" w:hAnsi="宋体" w:cs="宋体"/>
          <w:b/>
          <w:bCs/>
          <w:color w:val="auto"/>
          <w:sz w:val="72"/>
          <w:szCs w:val="72"/>
          <w:highlight w:val="none"/>
        </w:rPr>
        <w:t>竞争性磋商文件</w:t>
      </w:r>
    </w:p>
    <w:p w14:paraId="141AFFB7">
      <w:pPr>
        <w:spacing w:line="400" w:lineRule="atLeast"/>
        <w:jc w:val="center"/>
        <w:rPr>
          <w:rFonts w:ascii="宋体" w:hAnsi="宋体" w:cs="宋体"/>
          <w:b/>
          <w:color w:val="auto"/>
          <w:sz w:val="32"/>
          <w:highlight w:val="none"/>
        </w:rPr>
      </w:pPr>
    </w:p>
    <w:p w14:paraId="3541CDE5">
      <w:pPr>
        <w:spacing w:line="400" w:lineRule="exact"/>
        <w:jc w:val="center"/>
        <w:rPr>
          <w:rFonts w:ascii="宋体" w:hAnsi="宋体" w:cs="宋体"/>
          <w:b/>
          <w:bCs/>
          <w:color w:val="auto"/>
          <w:sz w:val="32"/>
          <w:szCs w:val="32"/>
          <w:highlight w:val="none"/>
        </w:rPr>
      </w:pPr>
    </w:p>
    <w:p w14:paraId="40D5FCC7">
      <w:pPr>
        <w:tabs>
          <w:tab w:val="left" w:pos="2850"/>
        </w:tabs>
        <w:rPr>
          <w:rFonts w:ascii="宋体" w:hAnsi="宋体" w:cs="宋体"/>
          <w:b/>
          <w:bCs/>
          <w:color w:val="auto"/>
          <w:sz w:val="24"/>
          <w:highlight w:val="none"/>
        </w:rPr>
      </w:pPr>
      <w:r>
        <w:rPr>
          <w:rFonts w:hint="eastAsia" w:ascii="宋体" w:hAnsi="宋体" w:cs="宋体"/>
          <w:b/>
          <w:bCs/>
          <w:color w:val="auto"/>
          <w:sz w:val="24"/>
          <w:highlight w:val="none"/>
        </w:rPr>
        <w:tab/>
      </w:r>
    </w:p>
    <w:p w14:paraId="4A19AC0C">
      <w:pPr>
        <w:jc w:val="center"/>
        <w:rPr>
          <w:rFonts w:ascii="宋体" w:hAnsi="宋体" w:cs="宋体"/>
          <w:b/>
          <w:bCs/>
          <w:color w:val="auto"/>
          <w:sz w:val="24"/>
          <w:highlight w:val="none"/>
        </w:rPr>
      </w:pPr>
    </w:p>
    <w:p w14:paraId="7D05E711">
      <w:pPr>
        <w:jc w:val="center"/>
        <w:rPr>
          <w:rFonts w:ascii="宋体" w:hAnsi="宋体" w:cs="宋体"/>
          <w:b/>
          <w:bCs/>
          <w:color w:val="auto"/>
          <w:sz w:val="24"/>
          <w:highlight w:val="none"/>
        </w:rPr>
      </w:pPr>
    </w:p>
    <w:p w14:paraId="2F32887E">
      <w:pPr>
        <w:jc w:val="center"/>
        <w:rPr>
          <w:rFonts w:ascii="宋体" w:hAnsi="宋体" w:cs="宋体"/>
          <w:b/>
          <w:bCs/>
          <w:color w:val="auto"/>
          <w:sz w:val="24"/>
          <w:highlight w:val="none"/>
        </w:rPr>
      </w:pPr>
    </w:p>
    <w:p w14:paraId="686DD4EE">
      <w:pPr>
        <w:tabs>
          <w:tab w:val="left" w:pos="4860"/>
        </w:tabs>
        <w:spacing w:line="600" w:lineRule="exact"/>
        <w:ind w:left="0" w:leftChars="0" w:right="1143" w:firstLine="1483" w:firstLineChars="389"/>
        <w:jc w:val="left"/>
        <w:rPr>
          <w:rFonts w:hint="eastAsia" w:ascii="宋体" w:hAnsi="宋体" w:eastAsia="宋体" w:cs="宋体"/>
          <w:b/>
          <w:color w:val="auto"/>
          <w:sz w:val="30"/>
          <w:szCs w:val="30"/>
          <w:highlight w:val="none"/>
          <w:lang w:eastAsia="zh-CN"/>
        </w:rPr>
      </w:pPr>
      <w:r>
        <w:rPr>
          <w:rFonts w:hint="eastAsia" w:ascii="宋体" w:hAnsi="宋体" w:cs="宋体"/>
          <w:b/>
          <w:color w:val="auto"/>
          <w:spacing w:val="40"/>
          <w:sz w:val="30"/>
          <w:szCs w:val="30"/>
          <w:highlight w:val="none"/>
        </w:rPr>
        <w:t>采购编号</w:t>
      </w:r>
      <w:r>
        <w:rPr>
          <w:rFonts w:hint="eastAsia" w:ascii="宋体" w:hAnsi="宋体" w:cs="宋体"/>
          <w:b/>
          <w:color w:val="auto"/>
          <w:sz w:val="30"/>
          <w:szCs w:val="30"/>
          <w:highlight w:val="none"/>
        </w:rPr>
        <w:t>：</w:t>
      </w:r>
      <w:r>
        <w:rPr>
          <w:rFonts w:hint="eastAsia" w:ascii="宋体" w:hAnsi="宋体" w:cs="宋体"/>
          <w:b/>
          <w:color w:val="auto"/>
          <w:sz w:val="30"/>
          <w:szCs w:val="30"/>
          <w:highlight w:val="none"/>
          <w:lang w:eastAsia="zh-CN"/>
        </w:rPr>
        <w:t>WZYX-W2025022602</w:t>
      </w:r>
    </w:p>
    <w:p w14:paraId="16E0DF63">
      <w:pPr>
        <w:tabs>
          <w:tab w:val="left" w:pos="4253"/>
        </w:tabs>
        <w:spacing w:line="600" w:lineRule="exact"/>
        <w:ind w:left="3164" w:leftChars="706" w:right="-1" w:hanging="1681" w:hangingChars="441"/>
        <w:jc w:val="left"/>
        <w:rPr>
          <w:rFonts w:hint="eastAsia" w:ascii="宋体" w:hAnsi="宋体" w:eastAsia="宋体" w:cs="宋体"/>
          <w:b/>
          <w:color w:val="auto"/>
          <w:sz w:val="30"/>
          <w:szCs w:val="30"/>
          <w:highlight w:val="none"/>
          <w:lang w:eastAsia="zh-CN"/>
        </w:rPr>
      </w:pPr>
      <w:r>
        <w:rPr>
          <w:rFonts w:hint="eastAsia" w:ascii="宋体" w:hAnsi="宋体" w:cs="宋体"/>
          <w:b/>
          <w:color w:val="auto"/>
          <w:spacing w:val="40"/>
          <w:sz w:val="30"/>
          <w:szCs w:val="30"/>
          <w:highlight w:val="none"/>
        </w:rPr>
        <w:t>项目名称</w:t>
      </w:r>
      <w:r>
        <w:rPr>
          <w:rFonts w:hint="eastAsia" w:ascii="宋体" w:hAnsi="宋体" w:cs="宋体"/>
          <w:b/>
          <w:color w:val="auto"/>
          <w:sz w:val="30"/>
          <w:szCs w:val="30"/>
          <w:highlight w:val="none"/>
        </w:rPr>
        <w:t>：</w:t>
      </w:r>
      <w:r>
        <w:rPr>
          <w:rFonts w:hint="eastAsia" w:ascii="宋体" w:hAnsi="宋体" w:cs="宋体"/>
          <w:b/>
          <w:color w:val="auto"/>
          <w:sz w:val="30"/>
          <w:szCs w:val="30"/>
          <w:highlight w:val="none"/>
          <w:lang w:eastAsia="zh-CN"/>
        </w:rPr>
        <w:t>温州市瓯海区2025年中小学生(幼儿)体育节组织实施服务</w:t>
      </w:r>
    </w:p>
    <w:p w14:paraId="794AC679">
      <w:pPr>
        <w:tabs>
          <w:tab w:val="left" w:pos="4253"/>
        </w:tabs>
        <w:spacing w:line="600" w:lineRule="exact"/>
        <w:ind w:left="0" w:leftChars="0" w:right="1143" w:firstLine="1483" w:firstLineChars="389"/>
        <w:jc w:val="left"/>
        <w:rPr>
          <w:rFonts w:ascii="宋体" w:hAnsi="宋体" w:cs="宋体"/>
          <w:b/>
          <w:color w:val="auto"/>
          <w:spacing w:val="40"/>
          <w:sz w:val="30"/>
          <w:szCs w:val="30"/>
          <w:highlight w:val="none"/>
        </w:rPr>
      </w:pPr>
      <w:r>
        <w:rPr>
          <w:rFonts w:hint="eastAsia" w:ascii="宋体" w:hAnsi="宋体" w:cs="宋体"/>
          <w:b/>
          <w:color w:val="auto"/>
          <w:spacing w:val="40"/>
          <w:sz w:val="30"/>
          <w:szCs w:val="30"/>
          <w:highlight w:val="none"/>
        </w:rPr>
        <w:t>采购方式</w:t>
      </w:r>
      <w:r>
        <w:rPr>
          <w:rFonts w:hint="eastAsia" w:ascii="宋体" w:hAnsi="宋体" w:cs="宋体"/>
          <w:b/>
          <w:color w:val="auto"/>
          <w:sz w:val="30"/>
          <w:szCs w:val="30"/>
          <w:highlight w:val="none"/>
        </w:rPr>
        <w:t>：竞 争 性 磋 商</w:t>
      </w:r>
    </w:p>
    <w:p w14:paraId="55C6EFF6">
      <w:pPr>
        <w:jc w:val="center"/>
        <w:rPr>
          <w:rFonts w:ascii="宋体" w:hAnsi="宋体" w:cs="宋体"/>
          <w:b/>
          <w:bCs/>
          <w:color w:val="auto"/>
          <w:sz w:val="24"/>
          <w:highlight w:val="none"/>
        </w:rPr>
      </w:pPr>
    </w:p>
    <w:p w14:paraId="5676C6D6">
      <w:pPr>
        <w:jc w:val="center"/>
        <w:rPr>
          <w:rFonts w:ascii="宋体" w:hAnsi="宋体" w:cs="宋体"/>
          <w:b/>
          <w:bCs/>
          <w:color w:val="auto"/>
          <w:sz w:val="24"/>
          <w:highlight w:val="none"/>
        </w:rPr>
      </w:pPr>
    </w:p>
    <w:p w14:paraId="69B06665">
      <w:pPr>
        <w:widowControl/>
        <w:spacing w:before="60" w:after="60" w:line="360" w:lineRule="exact"/>
        <w:ind w:right="60"/>
        <w:jc w:val="left"/>
        <w:rPr>
          <w:rFonts w:ascii="宋体" w:hAnsi="宋体" w:cs="宋体"/>
          <w:b/>
          <w:bCs/>
          <w:color w:val="auto"/>
          <w:sz w:val="24"/>
          <w:highlight w:val="none"/>
        </w:rPr>
      </w:pPr>
    </w:p>
    <w:p w14:paraId="05D9F76B">
      <w:pPr>
        <w:tabs>
          <w:tab w:val="left" w:pos="5640"/>
        </w:tabs>
        <w:jc w:val="center"/>
        <w:rPr>
          <w:rFonts w:ascii="宋体" w:hAnsi="宋体" w:cs="宋体"/>
          <w:b/>
          <w:bCs/>
          <w:color w:val="auto"/>
          <w:sz w:val="24"/>
          <w:highlight w:val="none"/>
        </w:rPr>
      </w:pPr>
    </w:p>
    <w:p w14:paraId="0110265C">
      <w:pPr>
        <w:tabs>
          <w:tab w:val="left" w:pos="5640"/>
        </w:tabs>
        <w:jc w:val="center"/>
        <w:rPr>
          <w:rFonts w:ascii="宋体" w:hAnsi="宋体" w:cs="宋体"/>
          <w:b/>
          <w:bCs/>
          <w:color w:val="auto"/>
          <w:sz w:val="24"/>
          <w:highlight w:val="none"/>
        </w:rPr>
      </w:pPr>
    </w:p>
    <w:p w14:paraId="6234D96F">
      <w:pPr>
        <w:spacing w:line="600" w:lineRule="exact"/>
        <w:ind w:firstLine="1440" w:firstLineChars="478"/>
        <w:rPr>
          <w:rFonts w:hint="eastAsia" w:ascii="宋体" w:hAnsi="宋体" w:cs="宋体"/>
          <w:b/>
          <w:color w:val="auto"/>
          <w:spacing w:val="12"/>
          <w:sz w:val="30"/>
          <w:szCs w:val="30"/>
          <w:highlight w:val="none"/>
          <w:lang w:eastAsia="zh-CN"/>
        </w:rPr>
      </w:pPr>
      <w:r>
        <w:rPr>
          <w:rFonts w:hint="eastAsia" w:ascii="宋体" w:hAnsi="宋体" w:cs="宋体"/>
          <w:b/>
          <w:color w:val="auto"/>
          <w:sz w:val="30"/>
          <w:szCs w:val="30"/>
          <w:highlight w:val="none"/>
        </w:rPr>
        <w:t>采  购  人：</w:t>
      </w:r>
      <w:r>
        <w:rPr>
          <w:rFonts w:hint="eastAsia" w:ascii="宋体" w:hAnsi="宋体" w:cs="宋体"/>
          <w:b/>
          <w:color w:val="auto"/>
          <w:spacing w:val="12"/>
          <w:sz w:val="30"/>
          <w:szCs w:val="30"/>
          <w:highlight w:val="none"/>
          <w:lang w:eastAsia="zh-CN"/>
        </w:rPr>
        <w:t>温州市瓯海区教育局</w:t>
      </w:r>
    </w:p>
    <w:p w14:paraId="0C593C16">
      <w:pPr>
        <w:spacing w:line="600" w:lineRule="exact"/>
        <w:ind w:firstLine="3177" w:firstLineChars="977"/>
        <w:rPr>
          <w:rFonts w:hint="eastAsia" w:ascii="宋体" w:hAnsi="宋体" w:eastAsia="宋体" w:cs="宋体"/>
          <w:b/>
          <w:color w:val="auto"/>
          <w:spacing w:val="40"/>
          <w:sz w:val="30"/>
          <w:szCs w:val="30"/>
          <w:highlight w:val="none"/>
          <w:lang w:eastAsia="zh-CN"/>
        </w:rPr>
      </w:pPr>
      <w:r>
        <w:rPr>
          <w:rFonts w:hint="eastAsia" w:ascii="宋体" w:hAnsi="宋体" w:cs="宋体"/>
          <w:b/>
          <w:color w:val="auto"/>
          <w:spacing w:val="12"/>
          <w:sz w:val="30"/>
          <w:szCs w:val="30"/>
          <w:highlight w:val="none"/>
          <w:lang w:eastAsia="zh-CN"/>
        </w:rPr>
        <w:t>温州市瓯海区体育事业发展中心</w:t>
      </w:r>
    </w:p>
    <w:p w14:paraId="44713A44">
      <w:pPr>
        <w:spacing w:line="600" w:lineRule="exact"/>
        <w:ind w:firstLine="1437" w:firstLineChars="377"/>
        <w:rPr>
          <w:rFonts w:ascii="宋体" w:hAnsi="宋体" w:cs="宋体"/>
          <w:b/>
          <w:color w:val="auto"/>
          <w:spacing w:val="12"/>
          <w:sz w:val="30"/>
          <w:szCs w:val="30"/>
          <w:highlight w:val="none"/>
        </w:rPr>
      </w:pPr>
      <w:r>
        <w:rPr>
          <w:rFonts w:hint="eastAsia" w:ascii="宋体" w:hAnsi="宋体" w:cs="宋体"/>
          <w:b/>
          <w:color w:val="auto"/>
          <w:spacing w:val="40"/>
          <w:sz w:val="30"/>
          <w:szCs w:val="30"/>
          <w:highlight w:val="none"/>
        </w:rPr>
        <w:t>采购代理</w:t>
      </w:r>
      <w:r>
        <w:rPr>
          <w:rFonts w:hint="eastAsia" w:ascii="宋体" w:hAnsi="宋体" w:cs="宋体"/>
          <w:b/>
          <w:color w:val="auto"/>
          <w:sz w:val="30"/>
          <w:szCs w:val="30"/>
          <w:highlight w:val="none"/>
        </w:rPr>
        <w:t>：</w:t>
      </w:r>
      <w:r>
        <w:rPr>
          <w:rFonts w:hint="eastAsia" w:ascii="宋体" w:hAnsi="宋体" w:cs="宋体"/>
          <w:b/>
          <w:color w:val="auto"/>
          <w:spacing w:val="12"/>
          <w:sz w:val="30"/>
          <w:szCs w:val="30"/>
          <w:highlight w:val="none"/>
        </w:rPr>
        <w:t>温州元信工程项目管理有限公司</w:t>
      </w:r>
    </w:p>
    <w:p w14:paraId="22D3B194">
      <w:pPr>
        <w:spacing w:line="600" w:lineRule="exact"/>
        <w:jc w:val="center"/>
        <w:rPr>
          <w:rFonts w:ascii="宋体" w:hAnsi="宋体" w:cs="宋体"/>
          <w:b/>
          <w:color w:val="auto"/>
          <w:spacing w:val="40"/>
          <w:sz w:val="30"/>
          <w:szCs w:val="30"/>
          <w:highlight w:val="none"/>
        </w:rPr>
      </w:pPr>
    </w:p>
    <w:p w14:paraId="344401CB">
      <w:pPr>
        <w:spacing w:line="600" w:lineRule="exact"/>
        <w:jc w:val="center"/>
        <w:rPr>
          <w:rFonts w:ascii="宋体" w:hAnsi="宋体" w:cs="宋体"/>
          <w:b/>
          <w:color w:val="auto"/>
          <w:spacing w:val="40"/>
          <w:sz w:val="30"/>
          <w:szCs w:val="30"/>
          <w:highlight w:val="none"/>
        </w:rPr>
      </w:pPr>
      <w:r>
        <w:rPr>
          <w:rFonts w:hint="eastAsia" w:ascii="宋体" w:hAnsi="宋体" w:cs="宋体"/>
          <w:b/>
          <w:color w:val="auto"/>
          <w:spacing w:val="40"/>
          <w:sz w:val="30"/>
          <w:szCs w:val="30"/>
          <w:highlight w:val="none"/>
        </w:rPr>
        <w:t>二〇二</w:t>
      </w:r>
      <w:r>
        <w:rPr>
          <w:rFonts w:hint="eastAsia" w:ascii="宋体" w:hAnsi="宋体" w:cs="宋体"/>
          <w:b/>
          <w:color w:val="auto"/>
          <w:spacing w:val="40"/>
          <w:sz w:val="30"/>
          <w:szCs w:val="30"/>
          <w:highlight w:val="none"/>
          <w:lang w:val="en-US" w:eastAsia="zh-CN"/>
        </w:rPr>
        <w:t>五</w:t>
      </w:r>
      <w:r>
        <w:rPr>
          <w:rFonts w:hint="eastAsia" w:ascii="宋体" w:hAnsi="宋体" w:cs="宋体"/>
          <w:b/>
          <w:color w:val="auto"/>
          <w:spacing w:val="40"/>
          <w:sz w:val="30"/>
          <w:szCs w:val="30"/>
          <w:highlight w:val="none"/>
        </w:rPr>
        <w:t>年</w:t>
      </w:r>
      <w:r>
        <w:rPr>
          <w:rFonts w:hint="eastAsia" w:ascii="宋体" w:hAnsi="宋体" w:cs="宋体"/>
          <w:b/>
          <w:color w:val="auto"/>
          <w:spacing w:val="40"/>
          <w:sz w:val="30"/>
          <w:szCs w:val="30"/>
          <w:highlight w:val="none"/>
          <w:lang w:val="en-US" w:eastAsia="zh-CN"/>
        </w:rPr>
        <w:t>三</w:t>
      </w:r>
      <w:r>
        <w:rPr>
          <w:rFonts w:hint="eastAsia" w:ascii="宋体" w:hAnsi="宋体" w:cs="宋体"/>
          <w:b/>
          <w:color w:val="auto"/>
          <w:spacing w:val="40"/>
          <w:sz w:val="30"/>
          <w:szCs w:val="30"/>
          <w:highlight w:val="none"/>
        </w:rPr>
        <w:t>月</w:t>
      </w:r>
    </w:p>
    <w:p w14:paraId="79862F31">
      <w:pPr>
        <w:spacing w:line="600" w:lineRule="exact"/>
        <w:jc w:val="center"/>
        <w:rPr>
          <w:rFonts w:ascii="宋体" w:hAnsi="宋体" w:cs="宋体"/>
          <w:b/>
          <w:bCs/>
          <w:color w:val="auto"/>
          <w:sz w:val="36"/>
          <w:szCs w:val="36"/>
          <w:highlight w:val="none"/>
        </w:rPr>
        <w:sectPr>
          <w:footerReference r:id="rId7" w:type="first"/>
          <w:headerReference r:id="rId3" w:type="default"/>
          <w:footerReference r:id="rId5" w:type="default"/>
          <w:headerReference r:id="rId4" w:type="even"/>
          <w:footerReference r:id="rId6" w:type="even"/>
          <w:pgSz w:w="11906" w:h="16838"/>
          <w:pgMar w:top="1134" w:right="1134" w:bottom="1134" w:left="1134" w:header="851" w:footer="992" w:gutter="0"/>
          <w:pgBorders>
            <w:top w:val="none" w:sz="0" w:space="0"/>
            <w:left w:val="none" w:sz="0" w:space="0"/>
            <w:bottom w:val="none" w:sz="0" w:space="0"/>
            <w:right w:val="none" w:sz="0" w:space="0"/>
          </w:pgBorders>
          <w:cols w:space="720" w:num="1"/>
          <w:titlePg/>
          <w:docGrid w:linePitch="312" w:charSpace="0"/>
        </w:sectPr>
      </w:pPr>
    </w:p>
    <w:p w14:paraId="6974ACF3">
      <w:pPr>
        <w:spacing w:line="600" w:lineRule="exact"/>
        <w:jc w:val="center"/>
        <w:rPr>
          <w:rFonts w:ascii="宋体" w:hAnsi="宋体" w:cs="宋体"/>
          <w:b/>
          <w:bCs/>
          <w:color w:val="auto"/>
          <w:sz w:val="36"/>
          <w:szCs w:val="36"/>
          <w:highlight w:val="none"/>
        </w:rPr>
      </w:pPr>
      <w:r>
        <w:rPr>
          <w:rFonts w:hint="eastAsia" w:ascii="宋体" w:hAnsi="宋体" w:cs="宋体"/>
          <w:b/>
          <w:bCs/>
          <w:color w:val="auto"/>
          <w:sz w:val="36"/>
          <w:szCs w:val="36"/>
          <w:highlight w:val="none"/>
        </w:rPr>
        <w:t>目    录</w:t>
      </w:r>
    </w:p>
    <w:p w14:paraId="3922129A">
      <w:pPr>
        <w:spacing w:line="600" w:lineRule="exact"/>
        <w:jc w:val="center"/>
        <w:rPr>
          <w:rFonts w:ascii="宋体" w:hAnsi="宋体" w:cs="宋体"/>
          <w:b/>
          <w:bCs/>
          <w:color w:val="auto"/>
          <w:sz w:val="32"/>
          <w:szCs w:val="32"/>
          <w:highlight w:val="none"/>
        </w:rPr>
      </w:pPr>
    </w:p>
    <w:p w14:paraId="04C83EB1">
      <w:pPr>
        <w:pStyle w:val="29"/>
        <w:tabs>
          <w:tab w:val="right" w:leader="dot" w:pos="9638"/>
          <w:tab w:val="clear" w:pos="9628"/>
        </w:tabs>
        <w:rPr>
          <w:color w:val="auto"/>
          <w:highlight w:val="none"/>
        </w:rPr>
      </w:pPr>
      <w:r>
        <w:rPr>
          <w:rFonts w:hint="eastAsia" w:ascii="宋体" w:hAnsi="宋体" w:eastAsia="宋体" w:cs="宋体"/>
          <w:b/>
          <w:bCs w:val="0"/>
          <w:color w:val="auto"/>
          <w:sz w:val="22"/>
          <w:szCs w:val="22"/>
          <w:highlight w:val="none"/>
        </w:rPr>
        <w:fldChar w:fldCharType="begin"/>
      </w:r>
      <w:r>
        <w:rPr>
          <w:rFonts w:hint="eastAsia" w:ascii="宋体" w:hAnsi="宋体" w:eastAsia="宋体" w:cs="宋体"/>
          <w:b/>
          <w:bCs w:val="0"/>
          <w:color w:val="auto"/>
          <w:sz w:val="22"/>
          <w:szCs w:val="22"/>
          <w:highlight w:val="none"/>
        </w:rPr>
        <w:instrText xml:space="preserve"> TOC \o "1-3" \h \z \u </w:instrText>
      </w:r>
      <w:r>
        <w:rPr>
          <w:rFonts w:hint="eastAsia" w:ascii="宋体" w:hAnsi="宋体" w:eastAsia="宋体" w:cs="宋体"/>
          <w:b/>
          <w:bCs w:val="0"/>
          <w:color w:val="auto"/>
          <w:sz w:val="22"/>
          <w:szCs w:val="22"/>
          <w:highlight w:val="none"/>
        </w:rPr>
        <w:fldChar w:fldCharType="separate"/>
      </w:r>
      <w:r>
        <w:rPr>
          <w:rFonts w:hint="eastAsia" w:ascii="宋体" w:hAnsi="宋体" w:eastAsia="宋体" w:cs="宋体"/>
          <w:bCs w:val="0"/>
          <w:color w:val="auto"/>
          <w:szCs w:val="22"/>
          <w:highlight w:val="none"/>
        </w:rPr>
        <w:fldChar w:fldCharType="begin"/>
      </w:r>
      <w:r>
        <w:rPr>
          <w:rFonts w:hint="eastAsia" w:ascii="宋体" w:hAnsi="宋体" w:eastAsia="宋体" w:cs="宋体"/>
          <w:bCs w:val="0"/>
          <w:color w:val="auto"/>
          <w:szCs w:val="22"/>
          <w:highlight w:val="none"/>
        </w:rPr>
        <w:instrText xml:space="preserve"> HYPERLINK \l _Toc14222 </w:instrText>
      </w:r>
      <w:r>
        <w:rPr>
          <w:rFonts w:hint="eastAsia" w:ascii="宋体" w:hAnsi="宋体" w:eastAsia="宋体" w:cs="宋体"/>
          <w:bCs w:val="0"/>
          <w:color w:val="auto"/>
          <w:szCs w:val="22"/>
          <w:highlight w:val="none"/>
        </w:rPr>
        <w:fldChar w:fldCharType="separate"/>
      </w:r>
      <w:r>
        <w:rPr>
          <w:rFonts w:hint="eastAsia" w:ascii="宋体" w:hAnsi="宋体" w:eastAsia="宋体" w:cs="宋体"/>
          <w:color w:val="auto"/>
          <w:szCs w:val="36"/>
          <w:highlight w:val="none"/>
        </w:rPr>
        <w:t>温州元信工程项目管理有限公司关于</w:t>
      </w:r>
      <w:r>
        <w:rPr>
          <w:rFonts w:hint="eastAsia" w:ascii="宋体" w:hAnsi="宋体" w:eastAsia="宋体" w:cs="宋体"/>
          <w:color w:val="auto"/>
          <w:szCs w:val="36"/>
          <w:highlight w:val="none"/>
          <w:lang w:eastAsia="zh-CN"/>
        </w:rPr>
        <w:t>温州市瓯海区2025年中小学生(幼儿)体育节组织实施服务</w:t>
      </w:r>
      <w:r>
        <w:rPr>
          <w:rFonts w:hint="eastAsia" w:ascii="宋体" w:hAnsi="宋体" w:eastAsia="宋体" w:cs="宋体"/>
          <w:color w:val="auto"/>
          <w:szCs w:val="36"/>
          <w:highlight w:val="none"/>
        </w:rPr>
        <w:t>的竞争性磋商公告</w:t>
      </w:r>
      <w:r>
        <w:rPr>
          <w:color w:val="auto"/>
          <w:highlight w:val="none"/>
        </w:rPr>
        <w:tab/>
      </w:r>
      <w:r>
        <w:rPr>
          <w:color w:val="auto"/>
          <w:highlight w:val="none"/>
        </w:rPr>
        <w:fldChar w:fldCharType="begin"/>
      </w:r>
      <w:r>
        <w:rPr>
          <w:color w:val="auto"/>
          <w:highlight w:val="none"/>
        </w:rPr>
        <w:instrText xml:space="preserve"> PAGEREF _Toc14222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bCs w:val="0"/>
          <w:color w:val="auto"/>
          <w:szCs w:val="22"/>
          <w:highlight w:val="none"/>
        </w:rPr>
        <w:fldChar w:fldCharType="end"/>
      </w:r>
    </w:p>
    <w:p w14:paraId="003E2A8F">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_Toc17522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36"/>
          <w:highlight w:val="none"/>
        </w:rPr>
        <w:t>第一部分    供应商须知</w:t>
      </w:r>
      <w:r>
        <w:rPr>
          <w:color w:val="auto"/>
          <w:highlight w:val="none"/>
        </w:rPr>
        <w:tab/>
      </w:r>
      <w:r>
        <w:rPr>
          <w:color w:val="auto"/>
          <w:highlight w:val="none"/>
        </w:rPr>
        <w:fldChar w:fldCharType="begin"/>
      </w:r>
      <w:r>
        <w:rPr>
          <w:color w:val="auto"/>
          <w:highlight w:val="none"/>
        </w:rPr>
        <w:instrText xml:space="preserve"> PAGEREF _Toc17522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cs="宋体"/>
          <w:bCs/>
          <w:color w:val="auto"/>
          <w:szCs w:val="22"/>
          <w:highlight w:val="none"/>
        </w:rPr>
        <w:fldChar w:fldCharType="end"/>
      </w:r>
    </w:p>
    <w:p w14:paraId="7282A68A">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_Toc6014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26"/>
          <w:highlight w:val="none"/>
        </w:rPr>
        <w:t>一、  供应商须知前附表</w:t>
      </w:r>
      <w:r>
        <w:rPr>
          <w:color w:val="auto"/>
          <w:highlight w:val="none"/>
        </w:rPr>
        <w:tab/>
      </w:r>
      <w:r>
        <w:rPr>
          <w:color w:val="auto"/>
          <w:highlight w:val="none"/>
        </w:rPr>
        <w:fldChar w:fldCharType="begin"/>
      </w:r>
      <w:r>
        <w:rPr>
          <w:color w:val="auto"/>
          <w:highlight w:val="none"/>
        </w:rPr>
        <w:instrText xml:space="preserve"> PAGEREF _Toc6014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cs="宋体"/>
          <w:bCs/>
          <w:color w:val="auto"/>
          <w:szCs w:val="22"/>
          <w:highlight w:val="none"/>
        </w:rPr>
        <w:fldChar w:fldCharType="end"/>
      </w:r>
    </w:p>
    <w:p w14:paraId="11459EC7">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_Toc32482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二、说明</w:t>
      </w:r>
      <w:r>
        <w:rPr>
          <w:color w:val="auto"/>
          <w:highlight w:val="none"/>
        </w:rPr>
        <w:tab/>
      </w:r>
      <w:r>
        <w:rPr>
          <w:color w:val="auto"/>
          <w:highlight w:val="none"/>
        </w:rPr>
        <w:fldChar w:fldCharType="begin"/>
      </w:r>
      <w:r>
        <w:rPr>
          <w:color w:val="auto"/>
          <w:highlight w:val="none"/>
        </w:rPr>
        <w:instrText xml:space="preserve"> PAGEREF _Toc32482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cs="宋体"/>
          <w:bCs/>
          <w:color w:val="auto"/>
          <w:szCs w:val="22"/>
          <w:highlight w:val="none"/>
        </w:rPr>
        <w:fldChar w:fldCharType="end"/>
      </w:r>
    </w:p>
    <w:p w14:paraId="64459AB8">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_Toc32266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三、 磋商文件</w:t>
      </w:r>
      <w:r>
        <w:rPr>
          <w:color w:val="auto"/>
          <w:highlight w:val="none"/>
        </w:rPr>
        <w:tab/>
      </w:r>
      <w:r>
        <w:rPr>
          <w:color w:val="auto"/>
          <w:highlight w:val="none"/>
        </w:rPr>
        <w:fldChar w:fldCharType="begin"/>
      </w:r>
      <w:r>
        <w:rPr>
          <w:color w:val="auto"/>
          <w:highlight w:val="none"/>
        </w:rPr>
        <w:instrText xml:space="preserve"> PAGEREF _Toc32266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cs="宋体"/>
          <w:bCs/>
          <w:color w:val="auto"/>
          <w:szCs w:val="22"/>
          <w:highlight w:val="none"/>
        </w:rPr>
        <w:fldChar w:fldCharType="end"/>
      </w:r>
    </w:p>
    <w:p w14:paraId="1F124182">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_Toc7107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四、 磋商响应文件的编制</w:t>
      </w:r>
      <w:r>
        <w:rPr>
          <w:color w:val="auto"/>
          <w:highlight w:val="none"/>
        </w:rPr>
        <w:tab/>
      </w:r>
      <w:r>
        <w:rPr>
          <w:color w:val="auto"/>
          <w:highlight w:val="none"/>
        </w:rPr>
        <w:fldChar w:fldCharType="begin"/>
      </w:r>
      <w:r>
        <w:rPr>
          <w:color w:val="auto"/>
          <w:highlight w:val="none"/>
        </w:rPr>
        <w:instrText xml:space="preserve"> PAGEREF _Toc7107 \h </w:instrText>
      </w:r>
      <w:r>
        <w:rPr>
          <w:color w:val="auto"/>
          <w:highlight w:val="none"/>
        </w:rPr>
        <w:fldChar w:fldCharType="separate"/>
      </w:r>
      <w:r>
        <w:rPr>
          <w:color w:val="auto"/>
          <w:highlight w:val="none"/>
        </w:rPr>
        <w:t>12</w:t>
      </w:r>
      <w:r>
        <w:rPr>
          <w:color w:val="auto"/>
          <w:highlight w:val="none"/>
        </w:rPr>
        <w:fldChar w:fldCharType="end"/>
      </w:r>
      <w:r>
        <w:rPr>
          <w:rFonts w:hint="eastAsia" w:ascii="宋体" w:hAnsi="宋体" w:cs="宋体"/>
          <w:bCs/>
          <w:color w:val="auto"/>
          <w:szCs w:val="22"/>
          <w:highlight w:val="none"/>
        </w:rPr>
        <w:fldChar w:fldCharType="end"/>
      </w:r>
    </w:p>
    <w:p w14:paraId="47173E10">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_Toc32630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五、 磋商响应文件的递交</w:t>
      </w:r>
      <w:r>
        <w:rPr>
          <w:color w:val="auto"/>
          <w:highlight w:val="none"/>
        </w:rPr>
        <w:tab/>
      </w:r>
      <w:r>
        <w:rPr>
          <w:color w:val="auto"/>
          <w:highlight w:val="none"/>
        </w:rPr>
        <w:fldChar w:fldCharType="begin"/>
      </w:r>
      <w:r>
        <w:rPr>
          <w:color w:val="auto"/>
          <w:highlight w:val="none"/>
        </w:rPr>
        <w:instrText xml:space="preserve"> PAGEREF _Toc32630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cs="宋体"/>
          <w:bCs/>
          <w:color w:val="auto"/>
          <w:szCs w:val="22"/>
          <w:highlight w:val="none"/>
        </w:rPr>
        <w:fldChar w:fldCharType="end"/>
      </w:r>
    </w:p>
    <w:p w14:paraId="35BFE16A">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_Toc12917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六、 磋商和评审</w:t>
      </w:r>
      <w:r>
        <w:rPr>
          <w:color w:val="auto"/>
          <w:highlight w:val="none"/>
        </w:rPr>
        <w:tab/>
      </w:r>
      <w:r>
        <w:rPr>
          <w:color w:val="auto"/>
          <w:highlight w:val="none"/>
        </w:rPr>
        <w:fldChar w:fldCharType="begin"/>
      </w:r>
      <w:r>
        <w:rPr>
          <w:color w:val="auto"/>
          <w:highlight w:val="none"/>
        </w:rPr>
        <w:instrText xml:space="preserve"> PAGEREF _Toc12917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cs="宋体"/>
          <w:bCs/>
          <w:color w:val="auto"/>
          <w:szCs w:val="22"/>
          <w:highlight w:val="none"/>
        </w:rPr>
        <w:fldChar w:fldCharType="end"/>
      </w:r>
    </w:p>
    <w:p w14:paraId="384E5272">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_Toc288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七、定标及授予合同</w:t>
      </w:r>
      <w:r>
        <w:rPr>
          <w:color w:val="auto"/>
          <w:highlight w:val="none"/>
        </w:rPr>
        <w:tab/>
      </w:r>
      <w:r>
        <w:rPr>
          <w:color w:val="auto"/>
          <w:highlight w:val="none"/>
        </w:rPr>
        <w:fldChar w:fldCharType="begin"/>
      </w:r>
      <w:r>
        <w:rPr>
          <w:color w:val="auto"/>
          <w:highlight w:val="none"/>
        </w:rPr>
        <w:instrText xml:space="preserve"> PAGEREF _Toc288 \h </w:instrText>
      </w:r>
      <w:r>
        <w:rPr>
          <w:color w:val="auto"/>
          <w:highlight w:val="none"/>
        </w:rPr>
        <w:fldChar w:fldCharType="separate"/>
      </w:r>
      <w:r>
        <w:rPr>
          <w:color w:val="auto"/>
          <w:highlight w:val="none"/>
        </w:rPr>
        <w:t>19</w:t>
      </w:r>
      <w:r>
        <w:rPr>
          <w:color w:val="auto"/>
          <w:highlight w:val="none"/>
        </w:rPr>
        <w:fldChar w:fldCharType="end"/>
      </w:r>
      <w:r>
        <w:rPr>
          <w:rFonts w:hint="eastAsia" w:ascii="宋体" w:hAnsi="宋体" w:cs="宋体"/>
          <w:bCs/>
          <w:color w:val="auto"/>
          <w:szCs w:val="22"/>
          <w:highlight w:val="none"/>
        </w:rPr>
        <w:fldChar w:fldCharType="end"/>
      </w:r>
    </w:p>
    <w:p w14:paraId="222E813C">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_Toc6230 </w:instrText>
      </w:r>
      <w:r>
        <w:rPr>
          <w:rFonts w:hint="eastAsia" w:ascii="宋体" w:hAnsi="宋体" w:cs="宋体"/>
          <w:bCs/>
          <w:color w:val="auto"/>
          <w:szCs w:val="22"/>
          <w:highlight w:val="none"/>
        </w:rPr>
        <w:fldChar w:fldCharType="separate"/>
      </w:r>
      <w:r>
        <w:rPr>
          <w:rFonts w:hint="eastAsia" w:ascii="宋体" w:hAnsi="宋体" w:eastAsia="宋体" w:cs="宋体"/>
          <w:bCs/>
          <w:color w:val="auto"/>
          <w:szCs w:val="26"/>
          <w:highlight w:val="none"/>
          <w:lang w:val="en-US" w:eastAsia="zh-CN"/>
        </w:rPr>
        <w:t>八、验收</w:t>
      </w:r>
      <w:r>
        <w:rPr>
          <w:color w:val="auto"/>
          <w:highlight w:val="none"/>
        </w:rPr>
        <w:tab/>
      </w:r>
      <w:r>
        <w:rPr>
          <w:color w:val="auto"/>
          <w:highlight w:val="none"/>
        </w:rPr>
        <w:fldChar w:fldCharType="begin"/>
      </w:r>
      <w:r>
        <w:rPr>
          <w:color w:val="auto"/>
          <w:highlight w:val="none"/>
        </w:rPr>
        <w:instrText xml:space="preserve"> PAGEREF _Toc6230 \h </w:instrText>
      </w:r>
      <w:r>
        <w:rPr>
          <w:color w:val="auto"/>
          <w:highlight w:val="none"/>
        </w:rPr>
        <w:fldChar w:fldCharType="separate"/>
      </w:r>
      <w:r>
        <w:rPr>
          <w:color w:val="auto"/>
          <w:highlight w:val="none"/>
        </w:rPr>
        <w:t>20</w:t>
      </w:r>
      <w:r>
        <w:rPr>
          <w:color w:val="auto"/>
          <w:highlight w:val="none"/>
        </w:rPr>
        <w:fldChar w:fldCharType="end"/>
      </w:r>
      <w:r>
        <w:rPr>
          <w:rFonts w:hint="eastAsia" w:ascii="宋体" w:hAnsi="宋体" w:cs="宋体"/>
          <w:bCs/>
          <w:color w:val="auto"/>
          <w:szCs w:val="22"/>
          <w:highlight w:val="none"/>
        </w:rPr>
        <w:fldChar w:fldCharType="end"/>
      </w:r>
    </w:p>
    <w:p w14:paraId="5EC877BB">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_Toc23172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36"/>
          <w:highlight w:val="none"/>
        </w:rPr>
        <w:t>第二部分   采购内容及要求</w:t>
      </w:r>
      <w:r>
        <w:rPr>
          <w:color w:val="auto"/>
          <w:highlight w:val="none"/>
        </w:rPr>
        <w:tab/>
      </w:r>
      <w:r>
        <w:rPr>
          <w:color w:val="auto"/>
          <w:highlight w:val="none"/>
        </w:rPr>
        <w:fldChar w:fldCharType="begin"/>
      </w:r>
      <w:r>
        <w:rPr>
          <w:color w:val="auto"/>
          <w:highlight w:val="none"/>
        </w:rPr>
        <w:instrText xml:space="preserve"> PAGEREF _Toc23172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cs="宋体"/>
          <w:bCs/>
          <w:color w:val="auto"/>
          <w:szCs w:val="22"/>
          <w:highlight w:val="none"/>
        </w:rPr>
        <w:fldChar w:fldCharType="end"/>
      </w:r>
    </w:p>
    <w:p w14:paraId="0027A317">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_Toc2106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36"/>
          <w:highlight w:val="none"/>
        </w:rPr>
        <w:t>第三部分   磋商原则及方法</w:t>
      </w:r>
      <w:r>
        <w:rPr>
          <w:color w:val="auto"/>
          <w:highlight w:val="none"/>
        </w:rPr>
        <w:tab/>
      </w:r>
      <w:r>
        <w:rPr>
          <w:color w:val="auto"/>
          <w:highlight w:val="none"/>
        </w:rPr>
        <w:fldChar w:fldCharType="begin"/>
      </w:r>
      <w:r>
        <w:rPr>
          <w:color w:val="auto"/>
          <w:highlight w:val="none"/>
        </w:rPr>
        <w:instrText xml:space="preserve"> PAGEREF _Toc2106 \h </w:instrText>
      </w:r>
      <w:r>
        <w:rPr>
          <w:color w:val="auto"/>
          <w:highlight w:val="none"/>
        </w:rPr>
        <w:fldChar w:fldCharType="separate"/>
      </w:r>
      <w:r>
        <w:rPr>
          <w:color w:val="auto"/>
          <w:highlight w:val="none"/>
        </w:rPr>
        <w:t>23</w:t>
      </w:r>
      <w:r>
        <w:rPr>
          <w:color w:val="auto"/>
          <w:highlight w:val="none"/>
        </w:rPr>
        <w:fldChar w:fldCharType="end"/>
      </w:r>
      <w:r>
        <w:rPr>
          <w:rFonts w:hint="eastAsia" w:ascii="宋体" w:hAnsi="宋体" w:cs="宋体"/>
          <w:bCs/>
          <w:color w:val="auto"/>
          <w:szCs w:val="22"/>
          <w:highlight w:val="none"/>
        </w:rPr>
        <w:fldChar w:fldCharType="end"/>
      </w:r>
    </w:p>
    <w:p w14:paraId="1B16C3CC">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_Toc17123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36"/>
          <w:highlight w:val="none"/>
        </w:rPr>
        <w:t>第四部分   合同格式</w:t>
      </w:r>
      <w:r>
        <w:rPr>
          <w:color w:val="auto"/>
          <w:highlight w:val="none"/>
        </w:rPr>
        <w:tab/>
      </w:r>
      <w:r>
        <w:rPr>
          <w:color w:val="auto"/>
          <w:highlight w:val="none"/>
        </w:rPr>
        <w:fldChar w:fldCharType="begin"/>
      </w:r>
      <w:r>
        <w:rPr>
          <w:color w:val="auto"/>
          <w:highlight w:val="none"/>
        </w:rPr>
        <w:instrText xml:space="preserve"> PAGEREF _Toc17123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cs="宋体"/>
          <w:bCs/>
          <w:color w:val="auto"/>
          <w:szCs w:val="22"/>
          <w:highlight w:val="none"/>
        </w:rPr>
        <w:fldChar w:fldCharType="end"/>
      </w:r>
    </w:p>
    <w:p w14:paraId="07FFD1E4">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_Toc9846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36"/>
          <w:highlight w:val="none"/>
        </w:rPr>
        <w:t>第五部分   附件</w:t>
      </w:r>
      <w:r>
        <w:rPr>
          <w:color w:val="auto"/>
          <w:highlight w:val="none"/>
        </w:rPr>
        <w:tab/>
      </w:r>
      <w:r>
        <w:rPr>
          <w:color w:val="auto"/>
          <w:highlight w:val="none"/>
        </w:rPr>
        <w:fldChar w:fldCharType="begin"/>
      </w:r>
      <w:r>
        <w:rPr>
          <w:color w:val="auto"/>
          <w:highlight w:val="none"/>
        </w:rPr>
        <w:instrText xml:space="preserve"> PAGEREF _Toc9846 \h </w:instrText>
      </w:r>
      <w:r>
        <w:rPr>
          <w:color w:val="auto"/>
          <w:highlight w:val="none"/>
        </w:rPr>
        <w:fldChar w:fldCharType="separate"/>
      </w:r>
      <w:r>
        <w:rPr>
          <w:color w:val="auto"/>
          <w:highlight w:val="none"/>
        </w:rPr>
        <w:t>29</w:t>
      </w:r>
      <w:r>
        <w:rPr>
          <w:color w:val="auto"/>
          <w:highlight w:val="none"/>
        </w:rPr>
        <w:fldChar w:fldCharType="end"/>
      </w:r>
      <w:r>
        <w:rPr>
          <w:rFonts w:hint="eastAsia" w:ascii="宋体" w:hAnsi="宋体" w:cs="宋体"/>
          <w:bCs/>
          <w:color w:val="auto"/>
          <w:szCs w:val="22"/>
          <w:highlight w:val="none"/>
        </w:rPr>
        <w:fldChar w:fldCharType="end"/>
      </w:r>
    </w:p>
    <w:p w14:paraId="2FDBAA92">
      <w:pPr>
        <w:tabs>
          <w:tab w:val="left" w:pos="7110"/>
        </w:tabs>
        <w:spacing w:line="480" w:lineRule="auto"/>
        <w:rPr>
          <w:rFonts w:ascii="宋体" w:hAnsi="宋体" w:cs="宋体"/>
          <w:b/>
          <w:bCs/>
          <w:color w:val="auto"/>
          <w:sz w:val="13"/>
          <w:szCs w:val="13"/>
          <w:highlight w:val="none"/>
        </w:rPr>
      </w:pPr>
      <w:r>
        <w:rPr>
          <w:rFonts w:hint="eastAsia" w:ascii="宋体" w:hAnsi="宋体" w:cs="宋体"/>
          <w:bCs/>
          <w:color w:val="auto"/>
          <w:szCs w:val="22"/>
          <w:highlight w:val="none"/>
        </w:rPr>
        <w:fldChar w:fldCharType="end"/>
      </w:r>
      <w:r>
        <w:rPr>
          <w:rFonts w:hint="eastAsia" w:ascii="宋体" w:hAnsi="宋体" w:cs="宋体"/>
          <w:b/>
          <w:bCs/>
          <w:color w:val="auto"/>
          <w:sz w:val="13"/>
          <w:szCs w:val="13"/>
          <w:highlight w:val="none"/>
        </w:rPr>
        <w:tab/>
      </w:r>
    </w:p>
    <w:p w14:paraId="15EAA6DE">
      <w:pPr>
        <w:tabs>
          <w:tab w:val="left" w:pos="7110"/>
        </w:tabs>
        <w:spacing w:line="480" w:lineRule="auto"/>
        <w:rPr>
          <w:rFonts w:ascii="宋体" w:hAnsi="宋体" w:cs="宋体"/>
          <w:b/>
          <w:bCs/>
          <w:color w:val="auto"/>
          <w:sz w:val="22"/>
          <w:szCs w:val="22"/>
          <w:highlight w:val="none"/>
        </w:rPr>
      </w:pPr>
      <w:r>
        <w:rPr>
          <w:rFonts w:hint="eastAsia" w:ascii="宋体" w:hAnsi="宋体" w:cs="宋体"/>
          <w:b/>
          <w:bCs/>
          <w:color w:val="auto"/>
          <w:sz w:val="22"/>
          <w:szCs w:val="22"/>
          <w:highlight w:val="none"/>
        </w:rPr>
        <w:t>注：磋商文件中部分</w:t>
      </w:r>
      <w:r>
        <w:rPr>
          <w:rFonts w:hint="eastAsia" w:ascii="宋体" w:hAnsi="宋体" w:cs="宋体"/>
          <w:b/>
          <w:bCs/>
          <w:color w:val="auto"/>
          <w:szCs w:val="21"/>
          <w:highlight w:val="none"/>
        </w:rPr>
        <w:t>加“▲”且</w:t>
      </w:r>
      <w:r>
        <w:rPr>
          <w:rFonts w:hint="eastAsia" w:ascii="宋体" w:hAnsi="宋体" w:cs="宋体"/>
          <w:b/>
          <w:bCs/>
          <w:color w:val="auto"/>
          <w:sz w:val="22"/>
          <w:szCs w:val="22"/>
          <w:highlight w:val="none"/>
        </w:rPr>
        <w:t>加下划线的条款，为本次采购的实质性要求和条件，着重提醒各磋商供应商注意，并认真查看磋商文件中的每一个条款及要求，因误读磋商文件而造成的后果，采购人概不负责。</w:t>
      </w:r>
    </w:p>
    <w:p w14:paraId="0F067587">
      <w:pPr>
        <w:jc w:val="center"/>
        <w:rPr>
          <w:rFonts w:ascii="宋体" w:hAnsi="宋体" w:cs="宋体"/>
          <w:color w:val="auto"/>
          <w:sz w:val="18"/>
          <w:szCs w:val="18"/>
          <w:highlight w:val="none"/>
        </w:rPr>
      </w:pPr>
    </w:p>
    <w:p w14:paraId="2E921B14">
      <w:pPr>
        <w:pStyle w:val="2"/>
        <w:spacing w:before="120" w:after="120"/>
        <w:rPr>
          <w:rFonts w:ascii="宋体" w:hAnsi="宋体" w:eastAsia="宋体" w:cs="宋体"/>
          <w:b w:val="0"/>
          <w:bCs w:val="0"/>
          <w:color w:val="auto"/>
          <w:kern w:val="0"/>
          <w:sz w:val="30"/>
          <w:szCs w:val="30"/>
          <w:highlight w:val="none"/>
        </w:rPr>
      </w:pPr>
      <w:r>
        <w:rPr>
          <w:rFonts w:hint="eastAsia" w:ascii="宋体" w:hAnsi="宋体" w:eastAsia="宋体" w:cs="宋体"/>
          <w:color w:val="auto"/>
          <w:highlight w:val="none"/>
        </w:rPr>
        <w:br w:type="page"/>
      </w:r>
      <w:bookmarkStart w:id="0" w:name="_Toc477287569"/>
      <w:bookmarkStart w:id="1" w:name="_Toc14222"/>
      <w:bookmarkStart w:id="2" w:name="_Toc434310670"/>
      <w:bookmarkStart w:id="3" w:name="_Toc15028"/>
      <w:r>
        <w:rPr>
          <w:rFonts w:hint="eastAsia" w:ascii="宋体" w:hAnsi="宋体" w:eastAsia="宋体" w:cs="宋体"/>
          <w:color w:val="auto"/>
          <w:sz w:val="36"/>
          <w:szCs w:val="36"/>
          <w:highlight w:val="none"/>
        </w:rPr>
        <w:t>温州元信工程项目管理有限公司关于</w:t>
      </w:r>
      <w:r>
        <w:rPr>
          <w:rFonts w:hint="eastAsia" w:ascii="宋体" w:hAnsi="宋体" w:eastAsia="宋体" w:cs="宋体"/>
          <w:color w:val="auto"/>
          <w:sz w:val="36"/>
          <w:szCs w:val="36"/>
          <w:highlight w:val="none"/>
          <w:lang w:eastAsia="zh-CN"/>
        </w:rPr>
        <w:t>温州市瓯海区2025年中小学生(幼儿)体育节组织实施服务</w:t>
      </w:r>
      <w:r>
        <w:rPr>
          <w:rFonts w:hint="eastAsia" w:ascii="宋体" w:hAnsi="宋体" w:eastAsia="宋体" w:cs="宋体"/>
          <w:color w:val="auto"/>
          <w:sz w:val="36"/>
          <w:szCs w:val="36"/>
          <w:highlight w:val="none"/>
        </w:rPr>
        <w:t>的竞争性磋商公告</w:t>
      </w:r>
      <w:bookmarkEnd w:id="0"/>
      <w:bookmarkEnd w:id="1"/>
      <w:bookmarkEnd w:id="2"/>
      <w:bookmarkEnd w:id="3"/>
    </w:p>
    <w:p w14:paraId="796A0567">
      <w:pPr>
        <w:pBdr>
          <w:top w:val="single" w:color="auto" w:sz="4" w:space="1"/>
          <w:left w:val="single" w:color="auto" w:sz="4" w:space="4"/>
          <w:bottom w:val="single" w:color="auto" w:sz="4" w:space="1"/>
          <w:right w:val="single" w:color="auto" w:sz="4" w:space="4"/>
        </w:pBdr>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项目概况</w:t>
      </w:r>
    </w:p>
    <w:p w14:paraId="6789A8C1">
      <w:pPr>
        <w:pBdr>
          <w:top w:val="single" w:color="auto" w:sz="4" w:space="1"/>
          <w:left w:val="single" w:color="auto" w:sz="4" w:space="4"/>
          <w:bottom w:val="single" w:color="auto" w:sz="4" w:space="1"/>
          <w:right w:val="single" w:color="auto" w:sz="4" w:space="4"/>
        </w:pBdr>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u w:val="single"/>
          <w:lang w:eastAsia="zh-CN"/>
        </w:rPr>
        <w:t>温州市瓯海区2025年中小学生(幼儿)体育节组织实施服务</w:t>
      </w:r>
      <w:r>
        <w:rPr>
          <w:rFonts w:hint="eastAsia" w:ascii="宋体" w:hAnsi="宋体" w:cs="宋体"/>
          <w:color w:val="auto"/>
          <w:sz w:val="22"/>
          <w:szCs w:val="22"/>
          <w:highlight w:val="none"/>
          <w:u w:val="single"/>
        </w:rPr>
        <w:t>项目的潜在供应商应在政采云平台（www.zcygov.cn）获取（下载）磋商文件，并于</w:t>
      </w:r>
      <w:r>
        <w:rPr>
          <w:rFonts w:hint="eastAsia" w:ascii="宋体" w:hAnsi="宋体" w:cs="宋体"/>
          <w:color w:val="auto"/>
          <w:sz w:val="22"/>
          <w:szCs w:val="22"/>
          <w:highlight w:val="none"/>
          <w:u w:val="single"/>
          <w:lang w:eastAsia="zh-CN"/>
        </w:rPr>
        <w:t>2025</w:t>
      </w:r>
      <w:r>
        <w:rPr>
          <w:rFonts w:hint="eastAsia" w:ascii="宋体" w:hAnsi="宋体" w:cs="宋体"/>
          <w:color w:val="auto"/>
          <w:sz w:val="22"/>
          <w:szCs w:val="22"/>
          <w:highlight w:val="none"/>
          <w:u w:val="single"/>
          <w:lang w:eastAsia="zh-CN"/>
        </w:rPr>
        <w:t xml:space="preserve"> </w:t>
      </w:r>
      <w:r>
        <w:rPr>
          <w:rFonts w:hint="eastAsia" w:ascii="宋体" w:hAnsi="宋体" w:cs="宋体"/>
          <w:color w:val="auto"/>
          <w:sz w:val="22"/>
          <w:szCs w:val="22"/>
          <w:highlight w:val="none"/>
          <w:u w:val="single"/>
        </w:rPr>
        <w:t>年</w:t>
      </w:r>
      <w:r>
        <w:rPr>
          <w:rFonts w:hint="eastAsia" w:ascii="宋体" w:hAnsi="宋体" w:cs="宋体"/>
          <w:color w:val="auto"/>
          <w:sz w:val="22"/>
          <w:szCs w:val="22"/>
          <w:highlight w:val="none"/>
          <w:u w:val="single"/>
          <w:lang w:val="en-US" w:eastAsia="zh-CN"/>
        </w:rPr>
        <w:t>3</w:t>
      </w:r>
      <w:r>
        <w:rPr>
          <w:rFonts w:hint="eastAsia" w:ascii="宋体" w:hAnsi="宋体" w:cs="宋体"/>
          <w:color w:val="auto"/>
          <w:sz w:val="22"/>
          <w:szCs w:val="22"/>
          <w:highlight w:val="none"/>
          <w:u w:val="single"/>
        </w:rPr>
        <w:t>月</w:t>
      </w:r>
      <w:r>
        <w:rPr>
          <w:rFonts w:hint="eastAsia" w:ascii="宋体" w:hAnsi="宋体" w:cs="宋体"/>
          <w:color w:val="auto"/>
          <w:sz w:val="22"/>
          <w:szCs w:val="22"/>
          <w:highlight w:val="none"/>
          <w:u w:val="single"/>
          <w:lang w:val="en-US" w:eastAsia="zh-CN"/>
        </w:rPr>
        <w:t>31</w:t>
      </w:r>
      <w:r>
        <w:rPr>
          <w:rFonts w:hint="eastAsia" w:ascii="宋体" w:hAnsi="宋体" w:cs="宋体"/>
          <w:color w:val="auto"/>
          <w:sz w:val="22"/>
          <w:szCs w:val="22"/>
          <w:highlight w:val="none"/>
          <w:u w:val="single"/>
        </w:rPr>
        <w:t>日</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u w:val="single"/>
          <w:lang w:val="en-US" w:eastAsia="zh-CN"/>
        </w:rPr>
        <w:t>09</w:t>
      </w:r>
      <w:r>
        <w:rPr>
          <w:rFonts w:hint="eastAsia" w:ascii="宋体" w:hAnsi="宋体" w:cs="宋体"/>
          <w:color w:val="auto"/>
          <w:sz w:val="22"/>
          <w:szCs w:val="22"/>
          <w:highlight w:val="none"/>
          <w:u w:val="single"/>
        </w:rPr>
        <w:t>:00（北京时间）前提交（上传）响应文件。</w:t>
      </w:r>
    </w:p>
    <w:p w14:paraId="17DCBBA1">
      <w:pPr>
        <w:keepNext w:val="0"/>
        <w:keepLines w:val="0"/>
        <w:pageBreakBefore w:val="0"/>
        <w:widowControl/>
        <w:kinsoku/>
        <w:wordWrap/>
        <w:overflowPunct/>
        <w:topLinePunct w:val="0"/>
        <w:autoSpaceDE/>
        <w:autoSpaceDN/>
        <w:bidi w:val="0"/>
        <w:adjustRightInd/>
        <w:snapToGrid/>
        <w:spacing w:before="60" w:after="60" w:line="320" w:lineRule="exact"/>
        <w:ind w:left="60"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一、项目基本情况</w:t>
      </w:r>
    </w:p>
    <w:p w14:paraId="55AE962F">
      <w:pPr>
        <w:keepNext w:val="0"/>
        <w:keepLines w:val="0"/>
        <w:pageBreakBefore w:val="0"/>
        <w:widowControl/>
        <w:kinsoku/>
        <w:wordWrap/>
        <w:overflowPunct/>
        <w:topLinePunct w:val="0"/>
        <w:autoSpaceDE/>
        <w:autoSpaceDN/>
        <w:bidi w:val="0"/>
        <w:adjustRightInd/>
        <w:snapToGrid/>
        <w:spacing w:before="60" w:after="60" w:line="320" w:lineRule="exact"/>
        <w:ind w:left="60" w:right="62"/>
        <w:jc w:val="left"/>
        <w:textAlignment w:val="auto"/>
        <w:rPr>
          <w:rFonts w:hint="eastAsia" w:ascii="宋体" w:hAnsi="宋体" w:eastAsia="宋体" w:cs="宋体"/>
          <w:bCs/>
          <w:color w:val="auto"/>
          <w:kern w:val="0"/>
          <w:sz w:val="22"/>
          <w:szCs w:val="22"/>
          <w:highlight w:val="none"/>
          <w:lang w:eastAsia="zh-CN"/>
        </w:rPr>
      </w:pPr>
      <w:r>
        <w:rPr>
          <w:rFonts w:hint="eastAsia" w:ascii="宋体" w:hAnsi="宋体" w:cs="宋体"/>
          <w:bCs/>
          <w:color w:val="auto"/>
          <w:kern w:val="0"/>
          <w:sz w:val="22"/>
          <w:szCs w:val="22"/>
          <w:highlight w:val="none"/>
        </w:rPr>
        <w:t xml:space="preserve">    项目编号：</w:t>
      </w:r>
      <w:r>
        <w:rPr>
          <w:rFonts w:hint="eastAsia" w:ascii="宋体" w:hAnsi="宋体" w:cs="宋体"/>
          <w:bCs/>
          <w:color w:val="auto"/>
          <w:kern w:val="0"/>
          <w:sz w:val="22"/>
          <w:szCs w:val="22"/>
          <w:highlight w:val="none"/>
          <w:lang w:eastAsia="zh-CN"/>
        </w:rPr>
        <w:t>WZYX-W2025022602</w:t>
      </w:r>
    </w:p>
    <w:p w14:paraId="34915B8B">
      <w:pPr>
        <w:keepNext w:val="0"/>
        <w:keepLines w:val="0"/>
        <w:pageBreakBefore w:val="0"/>
        <w:widowControl/>
        <w:kinsoku/>
        <w:wordWrap/>
        <w:overflowPunct/>
        <w:topLinePunct w:val="0"/>
        <w:autoSpaceDE/>
        <w:autoSpaceDN/>
        <w:bidi w:val="0"/>
        <w:adjustRightInd/>
        <w:snapToGrid/>
        <w:spacing w:before="60" w:after="60" w:line="320" w:lineRule="exact"/>
        <w:ind w:left="60" w:right="62"/>
        <w:jc w:val="left"/>
        <w:textAlignment w:val="auto"/>
        <w:rPr>
          <w:rFonts w:hint="eastAsia" w:ascii="宋体" w:hAnsi="宋体" w:eastAsia="宋体" w:cs="宋体"/>
          <w:bCs/>
          <w:color w:val="auto"/>
          <w:kern w:val="0"/>
          <w:sz w:val="22"/>
          <w:szCs w:val="22"/>
          <w:highlight w:val="none"/>
          <w:lang w:eastAsia="zh-CN"/>
        </w:rPr>
      </w:pPr>
      <w:r>
        <w:rPr>
          <w:rFonts w:hint="eastAsia" w:ascii="宋体" w:hAnsi="宋体" w:cs="宋体"/>
          <w:bCs/>
          <w:color w:val="auto"/>
          <w:kern w:val="0"/>
          <w:sz w:val="22"/>
          <w:szCs w:val="22"/>
          <w:highlight w:val="none"/>
        </w:rPr>
        <w:t xml:space="preserve">    项目名称：</w:t>
      </w:r>
      <w:r>
        <w:rPr>
          <w:rFonts w:hint="eastAsia" w:ascii="宋体" w:hAnsi="宋体" w:cs="宋体"/>
          <w:bCs/>
          <w:color w:val="auto"/>
          <w:kern w:val="0"/>
          <w:sz w:val="22"/>
          <w:szCs w:val="22"/>
          <w:highlight w:val="none"/>
          <w:lang w:eastAsia="zh-CN"/>
        </w:rPr>
        <w:t>温州市瓯海区2025年中小学生(幼儿)体育节组织实施服务</w:t>
      </w:r>
    </w:p>
    <w:p w14:paraId="2CBEF61D">
      <w:pPr>
        <w:keepNext w:val="0"/>
        <w:keepLines w:val="0"/>
        <w:pageBreakBefore w:val="0"/>
        <w:widowControl/>
        <w:kinsoku/>
        <w:wordWrap/>
        <w:overflowPunct/>
        <w:topLinePunct w:val="0"/>
        <w:autoSpaceDE/>
        <w:autoSpaceDN/>
        <w:bidi w:val="0"/>
        <w:adjustRightInd/>
        <w:snapToGrid/>
        <w:spacing w:before="60" w:after="60" w:line="320" w:lineRule="exact"/>
        <w:ind w:left="60" w:right="62" w:firstLine="44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 xml:space="preserve">采购方式：竞争性磋商 </w:t>
      </w:r>
    </w:p>
    <w:p w14:paraId="023AEBC9">
      <w:pPr>
        <w:keepNext w:val="0"/>
        <w:keepLines w:val="0"/>
        <w:pageBreakBefore w:val="0"/>
        <w:widowControl/>
        <w:kinsoku/>
        <w:wordWrap/>
        <w:overflowPunct/>
        <w:topLinePunct w:val="0"/>
        <w:autoSpaceDE/>
        <w:autoSpaceDN/>
        <w:bidi w:val="0"/>
        <w:adjustRightInd/>
        <w:snapToGrid/>
        <w:spacing w:before="60" w:after="60" w:line="320" w:lineRule="exact"/>
        <w:ind w:left="60" w:right="62" w:firstLine="440"/>
        <w:jc w:val="left"/>
        <w:textAlignment w:val="auto"/>
        <w:rPr>
          <w:rFonts w:hint="default" w:ascii="宋体" w:hAnsi="宋体" w:cs="宋体"/>
          <w:b w:val="0"/>
          <w:bCs/>
          <w:color w:val="auto"/>
          <w:kern w:val="0"/>
          <w:sz w:val="22"/>
          <w:szCs w:val="22"/>
          <w:highlight w:val="none"/>
          <w:lang w:val="en-US" w:eastAsia="zh-CN"/>
        </w:rPr>
      </w:pPr>
      <w:r>
        <w:rPr>
          <w:rFonts w:hint="eastAsia" w:ascii="宋体" w:hAnsi="宋体" w:eastAsia="宋体" w:cs="宋体"/>
          <w:b w:val="0"/>
          <w:bCs/>
          <w:color w:val="auto"/>
          <w:kern w:val="0"/>
          <w:sz w:val="22"/>
          <w:szCs w:val="22"/>
          <w:highlight w:val="none"/>
        </w:rPr>
        <w:t>预算金额（元）：</w:t>
      </w:r>
      <w:r>
        <w:rPr>
          <w:rFonts w:hint="eastAsia" w:ascii="宋体" w:hAnsi="宋体" w:cs="宋体"/>
          <w:b w:val="0"/>
          <w:bCs/>
          <w:color w:val="auto"/>
          <w:kern w:val="0"/>
          <w:sz w:val="22"/>
          <w:szCs w:val="22"/>
          <w:highlight w:val="none"/>
          <w:lang w:val="en-US" w:eastAsia="zh-CN"/>
        </w:rPr>
        <w:t>692000</w:t>
      </w:r>
    </w:p>
    <w:p w14:paraId="53D4A74C">
      <w:pPr>
        <w:keepNext w:val="0"/>
        <w:keepLines w:val="0"/>
        <w:pageBreakBefore w:val="0"/>
        <w:widowControl/>
        <w:kinsoku/>
        <w:wordWrap/>
        <w:overflowPunct/>
        <w:topLinePunct w:val="0"/>
        <w:autoSpaceDE/>
        <w:autoSpaceDN/>
        <w:bidi w:val="0"/>
        <w:adjustRightInd/>
        <w:snapToGrid/>
        <w:spacing w:before="60" w:after="60" w:line="320" w:lineRule="exact"/>
        <w:ind w:left="60" w:right="62" w:firstLine="440" w:firstLineChars="20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简要规格描述：</w:t>
      </w:r>
      <w:r>
        <w:rPr>
          <w:rFonts w:hint="eastAsia" w:ascii="宋体" w:hAnsi="宋体" w:cs="宋体"/>
          <w:bCs/>
          <w:color w:val="auto"/>
          <w:kern w:val="0"/>
          <w:sz w:val="22"/>
          <w:szCs w:val="22"/>
          <w:highlight w:val="none"/>
          <w:lang w:eastAsia="zh-CN"/>
        </w:rPr>
        <w:t>温州市瓯海区2025年中小学生(幼儿)体育节组织实施服务</w:t>
      </w:r>
      <w:r>
        <w:rPr>
          <w:rFonts w:hint="eastAsia" w:ascii="宋体" w:hAnsi="宋体" w:cs="宋体"/>
          <w:bCs/>
          <w:color w:val="auto"/>
          <w:kern w:val="0"/>
          <w:sz w:val="22"/>
          <w:szCs w:val="22"/>
          <w:highlight w:val="none"/>
        </w:rPr>
        <w:t xml:space="preserve">，具体采购内容及要求详见磋商文件相关部分 </w:t>
      </w:r>
    </w:p>
    <w:p w14:paraId="02A2203E">
      <w:pPr>
        <w:keepNext w:val="0"/>
        <w:keepLines w:val="0"/>
        <w:pageBreakBefore w:val="0"/>
        <w:widowControl/>
        <w:kinsoku/>
        <w:wordWrap/>
        <w:overflowPunct/>
        <w:topLinePunct w:val="0"/>
        <w:autoSpaceDE/>
        <w:autoSpaceDN/>
        <w:bidi w:val="0"/>
        <w:adjustRightInd/>
        <w:snapToGrid/>
        <w:spacing w:before="60" w:after="60" w:line="320" w:lineRule="exact"/>
        <w:ind w:left="60" w:right="62"/>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 xml:space="preserve">    合同履约期限：</w:t>
      </w:r>
      <w:r>
        <w:rPr>
          <w:rFonts w:hint="eastAsia" w:ascii="宋体" w:hAnsi="宋体" w:eastAsia="宋体" w:cs="宋体"/>
          <w:b w:val="0"/>
          <w:bCs/>
          <w:color w:val="auto"/>
          <w:kern w:val="0"/>
          <w:sz w:val="22"/>
          <w:szCs w:val="22"/>
          <w:highlight w:val="none"/>
        </w:rPr>
        <w:t>自合同签署生效之日起至所承担的赛事全部工作结束止</w:t>
      </w:r>
      <w:r>
        <w:rPr>
          <w:rFonts w:hint="eastAsia" w:ascii="宋体" w:hAnsi="宋体" w:eastAsia="宋体" w:cs="宋体"/>
          <w:b w:val="0"/>
          <w:bCs/>
          <w:color w:val="auto"/>
          <w:kern w:val="0"/>
          <w:sz w:val="22"/>
          <w:szCs w:val="22"/>
          <w:highlight w:val="none"/>
          <w:lang w:val="en-US" w:eastAsia="zh-CN"/>
        </w:rPr>
        <w:t>.</w:t>
      </w:r>
      <w:r>
        <w:rPr>
          <w:rFonts w:hint="eastAsia" w:ascii="宋体" w:hAnsi="宋体" w:cs="宋体"/>
          <w:bCs/>
          <w:color w:val="auto"/>
          <w:kern w:val="0"/>
          <w:sz w:val="22"/>
          <w:szCs w:val="22"/>
          <w:highlight w:val="none"/>
        </w:rPr>
        <w:t xml:space="preserve">   </w:t>
      </w:r>
    </w:p>
    <w:p w14:paraId="16D5ADE4">
      <w:pPr>
        <w:keepNext w:val="0"/>
        <w:keepLines w:val="0"/>
        <w:pageBreakBefore w:val="0"/>
        <w:widowControl/>
        <w:kinsoku/>
        <w:wordWrap/>
        <w:overflowPunct/>
        <w:topLinePunct w:val="0"/>
        <w:autoSpaceDE/>
        <w:autoSpaceDN/>
        <w:bidi w:val="0"/>
        <w:adjustRightInd/>
        <w:snapToGrid/>
        <w:spacing w:before="60" w:after="60" w:line="320" w:lineRule="exact"/>
        <w:ind w:left="60" w:right="62" w:firstLine="440" w:firstLineChars="20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本项目（</w:t>
      </w:r>
      <w:r>
        <w:rPr>
          <w:rFonts w:hint="eastAsia" w:ascii="宋体" w:hAnsi="宋体" w:cs="宋体"/>
          <w:bCs/>
          <w:color w:val="auto"/>
          <w:kern w:val="0"/>
          <w:sz w:val="22"/>
          <w:szCs w:val="22"/>
          <w:highlight w:val="none"/>
          <w:lang w:val="en-US" w:eastAsia="zh-CN"/>
        </w:rPr>
        <w:t>是</w:t>
      </w:r>
      <w:r>
        <w:rPr>
          <w:rFonts w:hint="eastAsia" w:ascii="宋体" w:hAnsi="宋体" w:cs="宋体"/>
          <w:bCs/>
          <w:color w:val="auto"/>
          <w:kern w:val="0"/>
          <w:sz w:val="22"/>
          <w:szCs w:val="22"/>
          <w:highlight w:val="none"/>
        </w:rPr>
        <w:t>）接受联合体投标。</w:t>
      </w:r>
    </w:p>
    <w:p w14:paraId="6EABEF70">
      <w:pPr>
        <w:keepNext w:val="0"/>
        <w:keepLines w:val="0"/>
        <w:pageBreakBefore w:val="0"/>
        <w:widowControl/>
        <w:kinsoku/>
        <w:wordWrap/>
        <w:overflowPunct/>
        <w:topLinePunct w:val="0"/>
        <w:autoSpaceDE/>
        <w:autoSpaceDN/>
        <w:bidi w:val="0"/>
        <w:adjustRightInd/>
        <w:snapToGrid/>
        <w:spacing w:before="60" w:after="60" w:line="320" w:lineRule="exact"/>
        <w:ind w:left="60" w:right="62" w:firstLine="441"/>
        <w:jc w:val="left"/>
        <w:textAlignment w:val="auto"/>
        <w:rPr>
          <w:rFonts w:ascii="宋体" w:hAnsi="宋体" w:cs="宋体"/>
          <w:color w:val="auto"/>
          <w:kern w:val="0"/>
          <w:sz w:val="22"/>
          <w:szCs w:val="22"/>
          <w:highlight w:val="none"/>
        </w:rPr>
      </w:pPr>
      <w:r>
        <w:rPr>
          <w:rFonts w:hint="eastAsia" w:ascii="宋体" w:hAnsi="宋体" w:cs="宋体"/>
          <w:b/>
          <w:color w:val="auto"/>
          <w:kern w:val="0"/>
          <w:sz w:val="22"/>
          <w:szCs w:val="22"/>
          <w:highlight w:val="none"/>
        </w:rPr>
        <w:t>二、申请人的资格要求</w:t>
      </w:r>
    </w:p>
    <w:p w14:paraId="1250AE7B">
      <w:pPr>
        <w:keepNext w:val="0"/>
        <w:keepLines w:val="0"/>
        <w:pageBreakBefore w:val="0"/>
        <w:widowControl/>
        <w:kinsoku/>
        <w:wordWrap/>
        <w:overflowPunct/>
        <w:topLinePunct w:val="0"/>
        <w:autoSpaceDE/>
        <w:autoSpaceDN/>
        <w:bidi w:val="0"/>
        <w:adjustRightInd/>
        <w:snapToGrid/>
        <w:spacing w:before="60" w:after="60" w:line="320" w:lineRule="exact"/>
        <w:ind w:left="708" w:leftChars="285" w:right="62" w:hanging="110" w:hangingChars="5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1.满足《中华人民共和国政府采购法》第二十二条的规定；未被“信用中国”（www.creditchina.gov.cn)、中国政府采购网（www.ccgp.gov.cn）列入失信被执行人、重大税收违法案件当事人名单、政府采购严重违法失信行为记录名单。</w:t>
      </w:r>
    </w:p>
    <w:p w14:paraId="6BE139C8">
      <w:pPr>
        <w:keepNext w:val="0"/>
        <w:keepLines w:val="0"/>
        <w:pageBreakBefore w:val="0"/>
        <w:widowControl/>
        <w:kinsoku/>
        <w:wordWrap/>
        <w:overflowPunct/>
        <w:topLinePunct w:val="0"/>
        <w:autoSpaceDE/>
        <w:autoSpaceDN/>
        <w:bidi w:val="0"/>
        <w:adjustRightInd/>
        <w:snapToGrid/>
        <w:spacing w:before="60" w:after="60" w:line="320" w:lineRule="exact"/>
        <w:ind w:left="708" w:leftChars="285" w:right="62" w:hanging="110" w:hangingChars="5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2.落实政府采购政策需满足的资格要求：本项目为专门面向中小企业采购的项目，供应商为中小企业/小微企业或监狱企业或残疾人福利企业；</w:t>
      </w:r>
    </w:p>
    <w:p w14:paraId="35A76F3C">
      <w:pPr>
        <w:keepNext w:val="0"/>
        <w:keepLines w:val="0"/>
        <w:pageBreakBefore w:val="0"/>
        <w:widowControl/>
        <w:kinsoku/>
        <w:wordWrap/>
        <w:overflowPunct/>
        <w:topLinePunct w:val="0"/>
        <w:autoSpaceDE/>
        <w:autoSpaceDN/>
        <w:bidi w:val="0"/>
        <w:adjustRightInd/>
        <w:snapToGrid/>
        <w:spacing w:before="60" w:after="60" w:line="320" w:lineRule="exact"/>
        <w:ind w:left="708" w:leftChars="285" w:right="62" w:hanging="110" w:hangingChars="5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3.本项目的特定资格要求：</w:t>
      </w:r>
      <w:r>
        <w:rPr>
          <w:rFonts w:hint="eastAsia" w:ascii="宋体" w:hAnsi="宋体" w:cs="宋体"/>
          <w:bCs/>
          <w:color w:val="auto"/>
          <w:kern w:val="0"/>
          <w:sz w:val="22"/>
          <w:szCs w:val="22"/>
          <w:highlight w:val="none"/>
          <w:lang w:val="en-US" w:eastAsia="zh-CN"/>
        </w:rPr>
        <w:t>无</w:t>
      </w:r>
      <w:r>
        <w:rPr>
          <w:rFonts w:hint="eastAsia" w:ascii="宋体" w:hAnsi="宋体" w:cs="宋体"/>
          <w:bCs/>
          <w:color w:val="auto"/>
          <w:kern w:val="0"/>
          <w:sz w:val="22"/>
          <w:szCs w:val="22"/>
          <w:highlight w:val="none"/>
        </w:rPr>
        <w:t>。</w:t>
      </w:r>
    </w:p>
    <w:p w14:paraId="654534AA">
      <w:pPr>
        <w:keepNext w:val="0"/>
        <w:keepLines w:val="0"/>
        <w:pageBreakBefore w:val="0"/>
        <w:widowControl/>
        <w:kinsoku/>
        <w:wordWrap/>
        <w:overflowPunct/>
        <w:topLinePunct w:val="0"/>
        <w:autoSpaceDE/>
        <w:autoSpaceDN/>
        <w:bidi w:val="0"/>
        <w:adjustRightInd/>
        <w:snapToGrid/>
        <w:spacing w:before="60" w:after="60" w:line="320" w:lineRule="exact"/>
        <w:ind w:left="60"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三、获取（下载）采购文件</w:t>
      </w:r>
    </w:p>
    <w:p w14:paraId="50CF3B73">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ascii="宋体" w:hAnsi="宋体" w:cs="宋体"/>
          <w:color w:val="auto"/>
          <w:kern w:val="0"/>
          <w:sz w:val="22"/>
          <w:szCs w:val="22"/>
          <w:highlight w:val="none"/>
        </w:rPr>
      </w:pPr>
      <w:r>
        <w:rPr>
          <w:rFonts w:hint="eastAsia" w:ascii="宋体" w:hAnsi="宋体" w:cs="宋体"/>
          <w:color w:val="auto"/>
          <w:kern w:val="0"/>
          <w:sz w:val="22"/>
          <w:szCs w:val="22"/>
          <w:highlight w:val="none"/>
        </w:rPr>
        <w:t>1.时间：公告发布之日起至</w:t>
      </w:r>
      <w:r>
        <w:rPr>
          <w:rFonts w:hint="eastAsia" w:ascii="宋体" w:hAnsi="宋体" w:cs="宋体"/>
          <w:color w:val="auto"/>
          <w:kern w:val="0"/>
          <w:sz w:val="22"/>
          <w:szCs w:val="22"/>
          <w:highlight w:val="none"/>
          <w:lang w:eastAsia="zh-CN"/>
        </w:rPr>
        <w:t>20</w:t>
      </w:r>
      <w:r>
        <w:rPr>
          <w:rFonts w:hint="eastAsia" w:ascii="宋体" w:hAnsi="宋体" w:cs="宋体"/>
          <w:color w:val="auto"/>
          <w:kern w:val="0"/>
          <w:sz w:val="22"/>
          <w:szCs w:val="22"/>
          <w:highlight w:val="none"/>
          <w:lang w:eastAsia="zh-CN"/>
        </w:rPr>
        <w:t xml:space="preserve">25 </w:t>
      </w:r>
      <w:r>
        <w:rPr>
          <w:rFonts w:hint="eastAsia" w:ascii="宋体" w:hAnsi="宋体" w:cs="宋体"/>
          <w:color w:val="auto"/>
          <w:kern w:val="0"/>
          <w:sz w:val="22"/>
          <w:szCs w:val="22"/>
          <w:highlight w:val="none"/>
        </w:rPr>
        <w:t>年</w:t>
      </w:r>
      <w:r>
        <w:rPr>
          <w:rFonts w:hint="eastAsia" w:ascii="宋体" w:hAnsi="宋体" w:cs="宋体"/>
          <w:color w:val="auto"/>
          <w:kern w:val="0"/>
          <w:sz w:val="22"/>
          <w:szCs w:val="22"/>
          <w:highlight w:val="none"/>
          <w:lang w:val="en-US" w:eastAsia="zh-CN"/>
        </w:rPr>
        <w:t>3</w:t>
      </w:r>
      <w:r>
        <w:rPr>
          <w:rFonts w:hint="eastAsia" w:ascii="宋体" w:hAnsi="宋体" w:cs="宋体"/>
          <w:color w:val="auto"/>
          <w:kern w:val="0"/>
          <w:sz w:val="22"/>
          <w:szCs w:val="22"/>
          <w:highlight w:val="none"/>
        </w:rPr>
        <w:t>月</w:t>
      </w:r>
      <w:r>
        <w:rPr>
          <w:rFonts w:hint="eastAsia" w:ascii="宋体" w:hAnsi="宋体" w:cs="宋体"/>
          <w:color w:val="auto"/>
          <w:kern w:val="0"/>
          <w:sz w:val="22"/>
          <w:szCs w:val="22"/>
          <w:highlight w:val="none"/>
          <w:lang w:val="en-US" w:eastAsia="zh-CN"/>
        </w:rPr>
        <w:t>31</w:t>
      </w:r>
      <w:r>
        <w:rPr>
          <w:rFonts w:hint="eastAsia" w:ascii="宋体" w:hAnsi="宋体" w:cs="宋体"/>
          <w:color w:val="auto"/>
          <w:kern w:val="0"/>
          <w:sz w:val="22"/>
          <w:szCs w:val="22"/>
          <w:highlight w:val="none"/>
        </w:rPr>
        <w:t>日</w:t>
      </w:r>
      <w:r>
        <w:rPr>
          <w:rFonts w:hint="eastAsia" w:ascii="宋体" w:hAnsi="宋体" w:cs="宋体"/>
          <w:color w:val="auto"/>
          <w:kern w:val="0"/>
          <w:sz w:val="22"/>
          <w:szCs w:val="22"/>
          <w:highlight w:val="none"/>
        </w:rPr>
        <w:t xml:space="preserve"> ，每天上午00:00至12:00 ，下午12:00至23:59（北京时间，线上获取法定节假日均可，线下获取文件法定节假日除外）。</w:t>
      </w:r>
    </w:p>
    <w:p w14:paraId="13D2B5D6">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ascii="宋体" w:hAnsi="宋体" w:cs="宋体"/>
          <w:color w:val="auto"/>
          <w:kern w:val="0"/>
          <w:sz w:val="22"/>
          <w:szCs w:val="22"/>
          <w:highlight w:val="none"/>
        </w:rPr>
      </w:pPr>
      <w:r>
        <w:rPr>
          <w:rFonts w:hint="eastAsia" w:ascii="宋体" w:hAnsi="宋体" w:cs="宋体"/>
          <w:color w:val="auto"/>
          <w:kern w:val="0"/>
          <w:sz w:val="22"/>
          <w:szCs w:val="22"/>
          <w:highlight w:val="none"/>
        </w:rPr>
        <w:t>2.地点：在政采云平台（www.zcygov.cn）。</w:t>
      </w:r>
    </w:p>
    <w:p w14:paraId="395682E7">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ascii="宋体" w:hAnsi="宋体" w:cs="宋体"/>
          <w:color w:val="auto"/>
          <w:sz w:val="22"/>
          <w:szCs w:val="22"/>
          <w:highlight w:val="none"/>
        </w:rPr>
      </w:pPr>
      <w:r>
        <w:rPr>
          <w:rFonts w:hint="eastAsia" w:ascii="宋体" w:hAnsi="宋体" w:cs="宋体"/>
          <w:color w:val="auto"/>
          <w:kern w:val="0"/>
          <w:sz w:val="22"/>
          <w:szCs w:val="22"/>
          <w:highlight w:val="none"/>
        </w:rPr>
        <w:t xml:space="preserve">3.方式：供应商登录政采云平台https://www.zcygov.cn/在线申请获取采购文件（进入“项目采购”应用，在获取采购文件菜单中选择项目，申请获取采购文件） </w:t>
      </w:r>
      <w:r>
        <w:rPr>
          <w:rFonts w:hint="eastAsia" w:ascii="宋体" w:hAnsi="宋体" w:cs="宋体"/>
          <w:color w:val="auto"/>
          <w:sz w:val="22"/>
          <w:szCs w:val="22"/>
          <w:highlight w:val="none"/>
        </w:rPr>
        <w:t>。</w:t>
      </w:r>
    </w:p>
    <w:p w14:paraId="293D9ADC">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ascii="宋体" w:hAnsi="宋体" w:cs="宋体"/>
          <w:color w:val="auto"/>
          <w:sz w:val="22"/>
          <w:szCs w:val="22"/>
          <w:highlight w:val="none"/>
        </w:rPr>
      </w:pPr>
      <w:r>
        <w:rPr>
          <w:rFonts w:hint="eastAsia" w:ascii="宋体" w:hAnsi="宋体" w:cs="宋体"/>
          <w:b/>
          <w:color w:val="auto"/>
          <w:kern w:val="0"/>
          <w:sz w:val="22"/>
          <w:szCs w:val="22"/>
          <w:highlight w:val="none"/>
        </w:rPr>
        <w:t>供应商只有在“政采云平台”完成获取采购文件申请并下载了采购文件后才视作依法获取采购文件（法律法规所指的供应商获取采购文件时间以供应商完成获取采购文件申请后下载采购文件的时间为准）。未依法获取采购文件的潜在供应商对采购文件提起质疑投诉，不予受理。</w:t>
      </w:r>
    </w:p>
    <w:p w14:paraId="0FC3FE65">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ascii="宋体" w:hAnsi="宋体" w:cs="宋体"/>
          <w:b/>
          <w:color w:val="auto"/>
          <w:kern w:val="0"/>
          <w:sz w:val="22"/>
          <w:szCs w:val="22"/>
          <w:highlight w:val="none"/>
        </w:rPr>
      </w:pPr>
      <w:r>
        <w:rPr>
          <w:rFonts w:hint="eastAsia" w:ascii="宋体" w:hAnsi="宋体" w:cs="宋体"/>
          <w:color w:val="auto"/>
          <w:kern w:val="0"/>
          <w:sz w:val="22"/>
          <w:szCs w:val="22"/>
          <w:highlight w:val="none"/>
        </w:rPr>
        <w:t>4．售价（元）：0</w:t>
      </w:r>
    </w:p>
    <w:p w14:paraId="58BF646E">
      <w:pPr>
        <w:keepNext w:val="0"/>
        <w:keepLines w:val="0"/>
        <w:pageBreakBefore w:val="0"/>
        <w:widowControl/>
        <w:kinsoku/>
        <w:wordWrap/>
        <w:overflowPunct/>
        <w:topLinePunct w:val="0"/>
        <w:autoSpaceDE/>
        <w:autoSpaceDN/>
        <w:bidi w:val="0"/>
        <w:adjustRightInd/>
        <w:snapToGrid/>
        <w:spacing w:before="60" w:after="60" w:line="320" w:lineRule="exact"/>
        <w:ind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四、响应文件提交（上传） </w:t>
      </w:r>
    </w:p>
    <w:p w14:paraId="260BBCC7">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ascii="宋体" w:hAnsi="宋体" w:cs="宋体"/>
          <w:color w:val="auto"/>
          <w:sz w:val="22"/>
          <w:szCs w:val="22"/>
          <w:highlight w:val="none"/>
        </w:rPr>
      </w:pPr>
      <w:r>
        <w:rPr>
          <w:rFonts w:hint="eastAsia" w:ascii="宋体" w:hAnsi="宋体" w:cs="宋体"/>
          <w:color w:val="auto"/>
          <w:sz w:val="22"/>
          <w:szCs w:val="22"/>
          <w:highlight w:val="none"/>
        </w:rPr>
        <w:t>截止时间：</w:t>
      </w:r>
      <w:r>
        <w:rPr>
          <w:rFonts w:hint="eastAsia" w:ascii="宋体" w:hAnsi="宋体" w:cs="宋体"/>
          <w:color w:val="auto"/>
          <w:sz w:val="22"/>
          <w:szCs w:val="22"/>
          <w:highlight w:val="none"/>
          <w:lang w:eastAsia="zh-CN"/>
        </w:rPr>
        <w:t>2025</w:t>
      </w:r>
      <w:r>
        <w:rPr>
          <w:rFonts w:hint="eastAsia" w:ascii="宋体" w:hAnsi="宋体" w:cs="宋体"/>
          <w:color w:val="auto"/>
          <w:sz w:val="22"/>
          <w:szCs w:val="22"/>
          <w:highlight w:val="none"/>
          <w:lang w:eastAsia="zh-CN"/>
        </w:rPr>
        <w:t xml:space="preserve"> </w:t>
      </w:r>
      <w:r>
        <w:rPr>
          <w:rFonts w:hint="eastAsia" w:ascii="宋体" w:hAnsi="宋体" w:cs="宋体"/>
          <w:color w:val="auto"/>
          <w:sz w:val="22"/>
          <w:szCs w:val="22"/>
          <w:highlight w:val="none"/>
        </w:rPr>
        <w:t>年</w:t>
      </w:r>
      <w:r>
        <w:rPr>
          <w:rFonts w:hint="eastAsia" w:ascii="宋体" w:hAnsi="宋体" w:cs="宋体"/>
          <w:color w:val="auto"/>
          <w:sz w:val="22"/>
          <w:szCs w:val="22"/>
          <w:highlight w:val="none"/>
          <w:lang w:val="en-US" w:eastAsia="zh-CN"/>
        </w:rPr>
        <w:t>3</w:t>
      </w:r>
      <w:r>
        <w:rPr>
          <w:rFonts w:hint="eastAsia" w:ascii="宋体" w:hAnsi="宋体" w:cs="宋体"/>
          <w:color w:val="auto"/>
          <w:sz w:val="22"/>
          <w:szCs w:val="22"/>
          <w:highlight w:val="none"/>
        </w:rPr>
        <w:t>月</w:t>
      </w:r>
      <w:r>
        <w:rPr>
          <w:rFonts w:hint="eastAsia" w:ascii="宋体" w:hAnsi="宋体" w:cs="宋体"/>
          <w:color w:val="auto"/>
          <w:sz w:val="22"/>
          <w:szCs w:val="22"/>
          <w:highlight w:val="none"/>
          <w:lang w:val="en-US" w:eastAsia="zh-CN"/>
        </w:rPr>
        <w:t>31</w:t>
      </w:r>
      <w:r>
        <w:rPr>
          <w:rFonts w:hint="eastAsia" w:ascii="宋体" w:hAnsi="宋体" w:cs="宋体"/>
          <w:color w:val="auto"/>
          <w:sz w:val="22"/>
          <w:szCs w:val="22"/>
          <w:highlight w:val="none"/>
        </w:rPr>
        <w:t>日</w:t>
      </w:r>
      <w:r>
        <w:rPr>
          <w:rFonts w:hint="eastAsia" w:ascii="宋体" w:hAnsi="宋体" w:cs="宋体"/>
          <w:color w:val="auto"/>
          <w:sz w:val="22"/>
          <w:szCs w:val="22"/>
          <w:highlight w:val="none"/>
          <w:lang w:val="en-US" w:eastAsia="zh-CN"/>
        </w:rPr>
        <w:t>09</w:t>
      </w:r>
      <w:r>
        <w:rPr>
          <w:rFonts w:hint="eastAsia" w:ascii="宋体" w:hAnsi="宋体" w:cs="宋体"/>
          <w:color w:val="auto"/>
          <w:sz w:val="22"/>
          <w:szCs w:val="22"/>
          <w:highlight w:val="none"/>
        </w:rPr>
        <w:t>:00（北京时间）</w:t>
      </w:r>
    </w:p>
    <w:p w14:paraId="57555D86">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ascii="宋体" w:hAnsi="宋体" w:cs="宋体"/>
          <w:color w:val="auto"/>
          <w:sz w:val="22"/>
          <w:szCs w:val="22"/>
          <w:highlight w:val="none"/>
        </w:rPr>
      </w:pPr>
      <w:r>
        <w:rPr>
          <w:rFonts w:hint="eastAsia" w:ascii="宋体" w:hAnsi="宋体" w:cs="宋体"/>
          <w:color w:val="auto"/>
          <w:sz w:val="22"/>
          <w:szCs w:val="22"/>
          <w:highlight w:val="none"/>
        </w:rPr>
        <w:t>地点（网址）：通过“政府采购云平台（www.zcygov.cn）”在线递交  </w:t>
      </w:r>
    </w:p>
    <w:p w14:paraId="71D8A650">
      <w:pPr>
        <w:keepNext w:val="0"/>
        <w:keepLines w:val="0"/>
        <w:pageBreakBefore w:val="0"/>
        <w:widowControl/>
        <w:kinsoku/>
        <w:wordWrap/>
        <w:overflowPunct/>
        <w:topLinePunct w:val="0"/>
        <w:autoSpaceDE/>
        <w:autoSpaceDN/>
        <w:bidi w:val="0"/>
        <w:adjustRightInd/>
        <w:snapToGrid/>
        <w:spacing w:before="60" w:after="60" w:line="320" w:lineRule="exact"/>
        <w:ind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五、响应文件开启 </w:t>
      </w:r>
    </w:p>
    <w:p w14:paraId="37FBD6BB">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ascii="宋体" w:hAnsi="宋体" w:cs="宋体"/>
          <w:color w:val="auto"/>
          <w:sz w:val="22"/>
          <w:szCs w:val="22"/>
          <w:highlight w:val="none"/>
        </w:rPr>
      </w:pPr>
      <w:r>
        <w:rPr>
          <w:rFonts w:hint="eastAsia" w:ascii="宋体" w:hAnsi="宋体" w:cs="宋体"/>
          <w:color w:val="auto"/>
          <w:sz w:val="22"/>
          <w:szCs w:val="22"/>
          <w:highlight w:val="none"/>
        </w:rPr>
        <w:t>开启时间：</w:t>
      </w:r>
      <w:r>
        <w:rPr>
          <w:rFonts w:hint="eastAsia" w:ascii="宋体" w:hAnsi="宋体" w:cs="宋体"/>
          <w:color w:val="auto"/>
          <w:sz w:val="22"/>
          <w:szCs w:val="22"/>
          <w:highlight w:val="none"/>
          <w:lang w:eastAsia="zh-CN"/>
        </w:rPr>
        <w:t xml:space="preserve">2025 </w:t>
      </w:r>
      <w:r>
        <w:rPr>
          <w:rFonts w:hint="eastAsia" w:ascii="宋体" w:hAnsi="宋体" w:cs="宋体"/>
          <w:color w:val="auto"/>
          <w:sz w:val="22"/>
          <w:szCs w:val="22"/>
          <w:highlight w:val="none"/>
        </w:rPr>
        <w:t>年</w:t>
      </w:r>
      <w:r>
        <w:rPr>
          <w:rFonts w:hint="eastAsia" w:ascii="宋体" w:hAnsi="宋体" w:cs="宋体"/>
          <w:color w:val="auto"/>
          <w:sz w:val="22"/>
          <w:szCs w:val="22"/>
          <w:highlight w:val="none"/>
          <w:lang w:val="en-US" w:eastAsia="zh-CN"/>
        </w:rPr>
        <w:t xml:space="preserve">3 </w:t>
      </w:r>
      <w:r>
        <w:rPr>
          <w:rFonts w:hint="eastAsia" w:ascii="宋体" w:hAnsi="宋体" w:cs="宋体"/>
          <w:color w:val="auto"/>
          <w:sz w:val="22"/>
          <w:szCs w:val="22"/>
          <w:highlight w:val="none"/>
        </w:rPr>
        <w:t>月</w:t>
      </w:r>
      <w:r>
        <w:rPr>
          <w:rFonts w:hint="eastAsia" w:ascii="宋体" w:hAnsi="宋体" w:cs="宋体"/>
          <w:color w:val="auto"/>
          <w:sz w:val="22"/>
          <w:szCs w:val="22"/>
          <w:highlight w:val="none"/>
          <w:lang w:val="en-US" w:eastAsia="zh-CN"/>
        </w:rPr>
        <w:t>31</w:t>
      </w:r>
      <w:r>
        <w:rPr>
          <w:rFonts w:hint="eastAsia" w:ascii="宋体" w:hAnsi="宋体" w:cs="宋体"/>
          <w:color w:val="auto"/>
          <w:sz w:val="22"/>
          <w:szCs w:val="22"/>
          <w:highlight w:val="none"/>
        </w:rPr>
        <w:t>日</w:t>
      </w:r>
      <w:r>
        <w:rPr>
          <w:rFonts w:hint="eastAsia" w:ascii="宋体" w:hAnsi="宋体" w:cs="宋体"/>
          <w:color w:val="auto"/>
          <w:sz w:val="22"/>
          <w:szCs w:val="22"/>
          <w:highlight w:val="none"/>
          <w:lang w:val="en-US" w:eastAsia="zh-CN"/>
        </w:rPr>
        <w:t>0</w:t>
      </w:r>
      <w:r>
        <w:rPr>
          <w:rFonts w:hint="eastAsia" w:ascii="宋体" w:hAnsi="宋体" w:cs="宋体"/>
          <w:color w:val="auto"/>
          <w:sz w:val="22"/>
          <w:szCs w:val="22"/>
          <w:highlight w:val="none"/>
          <w:lang w:val="en-US" w:eastAsia="zh-CN"/>
        </w:rPr>
        <w:t>9</w:t>
      </w:r>
      <w:r>
        <w:rPr>
          <w:rFonts w:hint="eastAsia" w:ascii="宋体" w:hAnsi="宋体" w:cs="宋体"/>
          <w:color w:val="auto"/>
          <w:sz w:val="22"/>
          <w:szCs w:val="22"/>
          <w:highlight w:val="none"/>
        </w:rPr>
        <w:t>:00 （北京时间）</w:t>
      </w:r>
    </w:p>
    <w:p w14:paraId="1F3E37D5">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ascii="宋体" w:hAnsi="宋体" w:cs="宋体"/>
          <w:color w:val="auto"/>
          <w:sz w:val="22"/>
          <w:szCs w:val="22"/>
          <w:highlight w:val="none"/>
        </w:rPr>
      </w:pPr>
      <w:r>
        <w:rPr>
          <w:rFonts w:hint="eastAsia" w:ascii="宋体" w:hAnsi="宋体" w:cs="宋体"/>
          <w:color w:val="auto"/>
          <w:sz w:val="22"/>
          <w:szCs w:val="22"/>
          <w:highlight w:val="none"/>
        </w:rPr>
        <w:t>地点（网址）：通过“政府采购云平台（www.zcygov.cn）”在线开标 </w:t>
      </w:r>
    </w:p>
    <w:p w14:paraId="031E95A7">
      <w:pPr>
        <w:keepNext w:val="0"/>
        <w:keepLines w:val="0"/>
        <w:pageBreakBefore w:val="0"/>
        <w:widowControl/>
        <w:kinsoku/>
        <w:wordWrap/>
        <w:overflowPunct/>
        <w:topLinePunct w:val="0"/>
        <w:autoSpaceDE/>
        <w:autoSpaceDN/>
        <w:bidi w:val="0"/>
        <w:adjustRightInd/>
        <w:snapToGrid/>
        <w:spacing w:before="60" w:after="60" w:line="320" w:lineRule="exact"/>
        <w:ind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六、公告期限</w:t>
      </w:r>
    </w:p>
    <w:p w14:paraId="4DA2176E">
      <w:pPr>
        <w:keepNext w:val="0"/>
        <w:keepLines w:val="0"/>
        <w:pageBreakBefore w:val="0"/>
        <w:widowControl/>
        <w:kinsoku/>
        <w:wordWrap/>
        <w:overflowPunct/>
        <w:topLinePunct w:val="0"/>
        <w:autoSpaceDE/>
        <w:autoSpaceDN/>
        <w:bidi w:val="0"/>
        <w:adjustRightInd/>
        <w:snapToGrid/>
        <w:spacing w:before="60" w:after="60" w:line="320" w:lineRule="exact"/>
        <w:ind w:left="61" w:leftChars="29" w:right="62" w:firstLine="323" w:firstLineChars="147"/>
        <w:jc w:val="left"/>
        <w:textAlignment w:val="auto"/>
        <w:rPr>
          <w:rFonts w:ascii="宋体" w:hAnsi="宋体" w:cs="宋体"/>
          <w:color w:val="auto"/>
          <w:kern w:val="0"/>
          <w:sz w:val="22"/>
          <w:szCs w:val="22"/>
          <w:highlight w:val="none"/>
        </w:rPr>
      </w:pPr>
      <w:r>
        <w:rPr>
          <w:rFonts w:hint="eastAsia" w:ascii="宋体" w:hAnsi="宋体" w:cs="宋体"/>
          <w:color w:val="auto"/>
          <w:kern w:val="0"/>
          <w:sz w:val="22"/>
          <w:szCs w:val="22"/>
          <w:highlight w:val="none"/>
        </w:rPr>
        <w:t>自本公告发布之日起3个工作日。</w:t>
      </w:r>
    </w:p>
    <w:p w14:paraId="3CFCE6A1">
      <w:pPr>
        <w:keepNext w:val="0"/>
        <w:keepLines w:val="0"/>
        <w:pageBreakBefore w:val="0"/>
        <w:widowControl/>
        <w:kinsoku/>
        <w:wordWrap/>
        <w:overflowPunct/>
        <w:topLinePunct w:val="0"/>
        <w:autoSpaceDE/>
        <w:autoSpaceDN/>
        <w:bidi w:val="0"/>
        <w:adjustRightInd/>
        <w:snapToGrid/>
        <w:spacing w:before="60" w:after="60" w:line="320" w:lineRule="exact"/>
        <w:ind w:left="60"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七、其他补充事宜</w:t>
      </w:r>
    </w:p>
    <w:p w14:paraId="5AAB848F">
      <w:pPr>
        <w:keepNext w:val="0"/>
        <w:keepLines w:val="0"/>
        <w:pageBreakBefore w:val="0"/>
        <w:widowControl/>
        <w:kinsoku/>
        <w:wordWrap/>
        <w:overflowPunct/>
        <w:topLinePunct w:val="0"/>
        <w:autoSpaceDE/>
        <w:autoSpaceDN/>
        <w:bidi w:val="0"/>
        <w:adjustRightInd/>
        <w:snapToGrid/>
        <w:spacing w:before="60" w:after="60" w:line="320" w:lineRule="exact"/>
        <w:ind w:left="61" w:leftChars="29" w:right="62" w:firstLine="323" w:firstLineChars="147"/>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651B0AC9">
      <w:pPr>
        <w:keepNext w:val="0"/>
        <w:keepLines w:val="0"/>
        <w:pageBreakBefore w:val="0"/>
        <w:widowControl/>
        <w:kinsoku/>
        <w:wordWrap/>
        <w:overflowPunct/>
        <w:topLinePunct w:val="0"/>
        <w:autoSpaceDE/>
        <w:autoSpaceDN/>
        <w:bidi w:val="0"/>
        <w:adjustRightInd/>
        <w:snapToGrid/>
        <w:spacing w:before="60" w:after="60" w:line="320" w:lineRule="exact"/>
        <w:ind w:left="61" w:leftChars="29" w:right="62" w:firstLine="323" w:firstLineChars="147"/>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0F2B76B4">
      <w:pPr>
        <w:keepNext w:val="0"/>
        <w:keepLines w:val="0"/>
        <w:pageBreakBefore w:val="0"/>
        <w:widowControl/>
        <w:kinsoku/>
        <w:wordWrap/>
        <w:overflowPunct/>
        <w:topLinePunct w:val="0"/>
        <w:autoSpaceDE/>
        <w:autoSpaceDN/>
        <w:bidi w:val="0"/>
        <w:adjustRightInd/>
        <w:snapToGrid/>
        <w:spacing w:before="60" w:after="60" w:line="320" w:lineRule="exact"/>
        <w:ind w:left="61" w:leftChars="29" w:right="62" w:firstLine="323" w:firstLineChars="147"/>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lang w:val="en-US" w:eastAsia="zh-CN"/>
        </w:rPr>
        <w:t>3</w:t>
      </w:r>
      <w:r>
        <w:rPr>
          <w:rFonts w:hint="eastAsia" w:ascii="宋体" w:hAnsi="宋体" w:cs="宋体"/>
          <w:color w:val="auto"/>
          <w:kern w:val="0"/>
          <w:sz w:val="22"/>
          <w:szCs w:val="22"/>
          <w:highlight w:val="none"/>
        </w:rPr>
        <w:t xml:space="preserve">.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14:paraId="7880E2AE">
      <w:pPr>
        <w:keepNext w:val="0"/>
        <w:keepLines w:val="0"/>
        <w:pageBreakBefore w:val="0"/>
        <w:widowControl/>
        <w:kinsoku/>
        <w:wordWrap/>
        <w:overflowPunct/>
        <w:topLinePunct w:val="0"/>
        <w:autoSpaceDE/>
        <w:autoSpaceDN/>
        <w:bidi w:val="0"/>
        <w:adjustRightInd/>
        <w:snapToGrid/>
        <w:spacing w:before="60" w:after="60" w:line="320" w:lineRule="exact"/>
        <w:ind w:left="61" w:leftChars="29" w:right="62" w:firstLine="323" w:firstLineChars="147"/>
        <w:jc w:val="left"/>
        <w:textAlignment w:val="auto"/>
        <w:rPr>
          <w:rFonts w:ascii="宋体" w:hAnsi="宋体" w:cs="宋体"/>
          <w:color w:val="auto"/>
          <w:kern w:val="0"/>
          <w:sz w:val="22"/>
          <w:szCs w:val="22"/>
          <w:highlight w:val="none"/>
        </w:rPr>
      </w:pPr>
      <w:r>
        <w:rPr>
          <w:rFonts w:hint="eastAsia" w:ascii="宋体" w:hAnsi="宋体" w:cs="宋体"/>
          <w:color w:val="auto"/>
          <w:kern w:val="0"/>
          <w:sz w:val="22"/>
          <w:szCs w:val="22"/>
          <w:highlight w:val="none"/>
          <w:lang w:val="en-US" w:eastAsia="zh-CN"/>
        </w:rPr>
        <w:t>4.</w:t>
      </w:r>
      <w:r>
        <w:rPr>
          <w:rFonts w:hint="eastAsia" w:ascii="宋体" w:hAnsi="宋体" w:cs="宋体"/>
          <w:color w:val="auto"/>
          <w:kern w:val="0"/>
          <w:sz w:val="22"/>
          <w:szCs w:val="22"/>
          <w:highlight w:val="none"/>
        </w:rPr>
        <w:t>其他事项：</w:t>
      </w:r>
      <w:bookmarkStart w:id="242" w:name="_GoBack"/>
      <w:bookmarkEnd w:id="242"/>
    </w:p>
    <w:p w14:paraId="1D7E030B">
      <w:pPr>
        <w:keepNext w:val="0"/>
        <w:keepLines w:val="0"/>
        <w:pageBreakBefore w:val="0"/>
        <w:widowControl/>
        <w:numPr>
          <w:ilvl w:val="0"/>
          <w:numId w:val="1"/>
        </w:numPr>
        <w:kinsoku/>
        <w:wordWrap/>
        <w:overflowPunct/>
        <w:topLinePunct w:val="0"/>
        <w:autoSpaceDE/>
        <w:autoSpaceDN/>
        <w:bidi w:val="0"/>
        <w:adjustRightInd/>
        <w:snapToGrid/>
        <w:spacing w:before="60" w:after="60" w:line="320" w:lineRule="exact"/>
        <w:ind w:right="62"/>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本项目通过“政采云平台（www.zcygov.cn）”实行在线投标响应（电子投标），供应商应按照本磋商文件和“政采云平台”的要求，编制并加密磋商响应文件。电子投标具体操作流程详见《供应商项目采购-电子招投标操作指南》，如遇技术问题详询400-881-7190。</w:t>
      </w:r>
    </w:p>
    <w:p w14:paraId="5D612D17">
      <w:pPr>
        <w:keepNext w:val="0"/>
        <w:keepLines w:val="0"/>
        <w:pageBreakBefore w:val="0"/>
        <w:widowControl/>
        <w:numPr>
          <w:ilvl w:val="0"/>
          <w:numId w:val="1"/>
        </w:numPr>
        <w:kinsoku/>
        <w:wordWrap/>
        <w:overflowPunct/>
        <w:topLinePunct w:val="0"/>
        <w:autoSpaceDE/>
        <w:autoSpaceDN/>
        <w:bidi w:val="0"/>
        <w:adjustRightInd/>
        <w:snapToGrid/>
        <w:spacing w:before="60" w:after="60" w:line="320" w:lineRule="exact"/>
        <w:ind w:right="62"/>
        <w:jc w:val="left"/>
        <w:textAlignment w:val="auto"/>
        <w:rPr>
          <w:rFonts w:ascii="宋体" w:hAnsi="宋体" w:cs="宋体"/>
          <w:color w:val="auto"/>
          <w:kern w:val="0"/>
          <w:sz w:val="22"/>
          <w:szCs w:val="22"/>
          <w:highlight w:val="none"/>
        </w:rPr>
      </w:pPr>
      <w:r>
        <w:rPr>
          <w:rFonts w:hint="eastAsia" w:ascii="宋体" w:hAnsi="宋体" w:cs="宋体"/>
          <w:color w:val="auto"/>
          <w:highlight w:val="none"/>
          <w:lang w:val="zh-CN"/>
        </w:rPr>
        <w:t>为支持和促进中小企业发展</w:t>
      </w:r>
      <w:r>
        <w:rPr>
          <w:rFonts w:hint="eastAsia" w:ascii="宋体" w:hAnsi="宋体" w:cs="宋体"/>
          <w:color w:val="auto"/>
          <w:highlight w:val="none"/>
        </w:rPr>
        <w:t>，</w:t>
      </w:r>
      <w:r>
        <w:rPr>
          <w:rFonts w:hint="eastAsia" w:ascii="宋体" w:hAnsi="宋体" w:cs="宋体"/>
          <w:color w:val="auto"/>
          <w:highlight w:val="none"/>
          <w:lang w:val="zh-CN"/>
        </w:rPr>
        <w:t>进一步发挥政府采购政策功能</w:t>
      </w:r>
      <w:r>
        <w:rPr>
          <w:rFonts w:hint="eastAsia" w:ascii="宋体" w:hAnsi="宋体" w:cs="宋体"/>
          <w:color w:val="auto"/>
          <w:highlight w:val="none"/>
        </w:rPr>
        <w:t>，</w:t>
      </w:r>
      <w:r>
        <w:rPr>
          <w:rFonts w:hint="eastAsia" w:ascii="宋体" w:hAnsi="宋体" w:cs="宋体"/>
          <w:color w:val="auto"/>
          <w:highlight w:val="none"/>
          <w:lang w:val="zh-CN"/>
        </w:rPr>
        <w:t>温州市财政局出台了《温州市财政局关于温州市政府采购支持中小企业信用融资的通知》</w:t>
      </w:r>
      <w:r>
        <w:rPr>
          <w:rFonts w:hint="eastAsia" w:ascii="宋体" w:hAnsi="宋体" w:cs="宋体"/>
          <w:color w:val="auto"/>
          <w:highlight w:val="none"/>
        </w:rPr>
        <w:t>（</w:t>
      </w:r>
      <w:r>
        <w:rPr>
          <w:rFonts w:hint="eastAsia" w:ascii="宋体" w:hAnsi="宋体" w:cs="宋体"/>
          <w:color w:val="auto"/>
          <w:highlight w:val="none"/>
          <w:lang w:val="zh-CN"/>
        </w:rPr>
        <w:t>温财采〔</w:t>
      </w:r>
      <w:r>
        <w:rPr>
          <w:rFonts w:hint="eastAsia" w:ascii="宋体" w:hAnsi="宋体" w:cs="宋体"/>
          <w:color w:val="auto"/>
          <w:highlight w:val="none"/>
        </w:rPr>
        <w:t>2020</w:t>
      </w:r>
      <w:r>
        <w:rPr>
          <w:rFonts w:hint="eastAsia" w:ascii="宋体" w:hAnsi="宋体" w:cs="宋体"/>
          <w:color w:val="auto"/>
          <w:highlight w:val="none"/>
          <w:lang w:val="zh-CN"/>
        </w:rPr>
        <w:t>〕</w:t>
      </w:r>
      <w:r>
        <w:rPr>
          <w:rFonts w:hint="eastAsia" w:ascii="宋体" w:hAnsi="宋体" w:cs="宋体"/>
          <w:color w:val="auto"/>
          <w:highlight w:val="none"/>
        </w:rPr>
        <w:t>3</w:t>
      </w:r>
      <w:r>
        <w:rPr>
          <w:rFonts w:hint="eastAsia" w:ascii="宋体" w:hAnsi="宋体" w:cs="宋体"/>
          <w:color w:val="auto"/>
          <w:highlight w:val="none"/>
          <w:lang w:val="zh-CN"/>
        </w:rPr>
        <w:t>号</w:t>
      </w:r>
      <w:r>
        <w:rPr>
          <w:rFonts w:hint="eastAsia" w:ascii="宋体" w:hAnsi="宋体" w:cs="宋体"/>
          <w:color w:val="auto"/>
          <w:highlight w:val="none"/>
        </w:rPr>
        <w:t>），</w:t>
      </w:r>
      <w:r>
        <w:rPr>
          <w:rFonts w:hint="eastAsia" w:ascii="宋体" w:hAnsi="宋体" w:cs="宋体"/>
          <w:color w:val="auto"/>
          <w:highlight w:val="none"/>
          <w:lang w:val="zh-CN"/>
        </w:rPr>
        <w:t>供应商若有融资意向</w:t>
      </w:r>
      <w:r>
        <w:rPr>
          <w:rFonts w:hint="eastAsia" w:ascii="宋体" w:hAnsi="宋体" w:cs="宋体"/>
          <w:color w:val="auto"/>
          <w:highlight w:val="none"/>
        </w:rPr>
        <w:t>，</w:t>
      </w:r>
      <w:r>
        <w:rPr>
          <w:rFonts w:hint="eastAsia" w:ascii="宋体" w:hAnsi="宋体" w:cs="宋体"/>
          <w:color w:val="auto"/>
          <w:highlight w:val="none"/>
          <w:lang w:val="zh-CN"/>
        </w:rPr>
        <w:t>可直接登录</w:t>
      </w:r>
      <w:r>
        <w:rPr>
          <w:rFonts w:hint="eastAsia" w:ascii="宋体" w:hAnsi="宋体" w:cs="宋体"/>
          <w:color w:val="auto"/>
          <w:highlight w:val="none"/>
        </w:rPr>
        <w:t>http://jinrong.zcygov.cn，</w:t>
      </w:r>
      <w:r>
        <w:rPr>
          <w:rFonts w:hint="eastAsia" w:ascii="宋体" w:hAnsi="宋体" w:cs="宋体"/>
          <w:color w:val="auto"/>
          <w:highlight w:val="none"/>
          <w:lang w:val="zh-CN"/>
        </w:rPr>
        <w:t>查看信用融资政策文件及各相关银行服务方案</w:t>
      </w:r>
      <w:r>
        <w:rPr>
          <w:rFonts w:hint="eastAsia" w:ascii="宋体" w:hAnsi="宋体" w:cs="宋体"/>
          <w:color w:val="auto"/>
          <w:highlight w:val="none"/>
        </w:rPr>
        <w:t>，</w:t>
      </w:r>
      <w:r>
        <w:rPr>
          <w:rFonts w:hint="eastAsia" w:ascii="宋体" w:hAnsi="宋体" w:cs="宋体"/>
          <w:color w:val="auto"/>
          <w:highlight w:val="none"/>
          <w:lang w:val="zh-CN"/>
        </w:rPr>
        <w:t>也可直接向各银行咨询相关业务。</w:t>
      </w:r>
    </w:p>
    <w:p w14:paraId="4BDEA4D6">
      <w:pPr>
        <w:keepNext w:val="0"/>
        <w:keepLines w:val="0"/>
        <w:pageBreakBefore w:val="0"/>
        <w:widowControl/>
        <w:kinsoku/>
        <w:wordWrap/>
        <w:overflowPunct/>
        <w:topLinePunct w:val="0"/>
        <w:autoSpaceDE/>
        <w:autoSpaceDN/>
        <w:bidi w:val="0"/>
        <w:adjustRightInd/>
        <w:snapToGrid/>
        <w:spacing w:before="60" w:after="60" w:line="320" w:lineRule="exact"/>
        <w:ind w:left="60" w:right="62"/>
        <w:jc w:val="left"/>
        <w:textAlignment w:val="auto"/>
        <w:rPr>
          <w:rFonts w:ascii="宋体" w:hAnsi="宋体" w:cs="宋体"/>
          <w:color w:val="auto"/>
          <w:kern w:val="0"/>
          <w:sz w:val="22"/>
          <w:szCs w:val="22"/>
          <w:highlight w:val="none"/>
        </w:rPr>
      </w:pPr>
      <w:r>
        <w:rPr>
          <w:rFonts w:hint="eastAsia" w:ascii="宋体" w:hAnsi="宋体" w:cs="宋体"/>
          <w:b/>
          <w:color w:val="auto"/>
          <w:kern w:val="0"/>
          <w:sz w:val="22"/>
          <w:szCs w:val="22"/>
          <w:highlight w:val="none"/>
        </w:rPr>
        <w:t>八、凡</w:t>
      </w:r>
      <w:r>
        <w:rPr>
          <w:rFonts w:hint="eastAsia" w:ascii="宋体" w:hAnsi="宋体" w:cs="宋体"/>
          <w:b/>
          <w:bCs/>
          <w:color w:val="auto"/>
          <w:kern w:val="0"/>
          <w:sz w:val="22"/>
          <w:szCs w:val="22"/>
          <w:highlight w:val="none"/>
        </w:rPr>
        <w:t>对本次采购提出询问、质疑、投诉，请按以下方式联系</w:t>
      </w:r>
    </w:p>
    <w:p w14:paraId="6B08846F">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rPr>
        <w:t>采购人：</w:t>
      </w:r>
      <w:r>
        <w:rPr>
          <w:rFonts w:hint="eastAsia" w:ascii="宋体" w:hAnsi="宋体" w:cs="宋体"/>
          <w:color w:val="auto"/>
          <w:kern w:val="0"/>
          <w:sz w:val="22"/>
          <w:szCs w:val="22"/>
          <w:highlight w:val="none"/>
          <w:lang w:eastAsia="zh-CN"/>
        </w:rPr>
        <w:t>温州市瓯海区教育局、温州市瓯海区体育事业发展中心</w:t>
      </w:r>
    </w:p>
    <w:p w14:paraId="339CE5A5">
      <w:pPr>
        <w:widowControl/>
        <w:spacing w:before="60" w:after="60" w:line="360" w:lineRule="exact"/>
        <w:ind w:right="60" w:firstLine="44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地址：</w:t>
      </w:r>
      <w:r>
        <w:rPr>
          <w:rFonts w:ascii="宋体"/>
          <w:color w:val="auto"/>
          <w:sz w:val="22"/>
          <w:highlight w:val="none"/>
        </w:rPr>
        <w:t>温州市瓯海区古岸路381号</w:t>
      </w:r>
      <w:r>
        <w:rPr>
          <w:rFonts w:hint="eastAsia" w:ascii="宋体"/>
          <w:color w:val="auto"/>
          <w:sz w:val="22"/>
          <w:highlight w:val="none"/>
        </w:rPr>
        <w:t>、温州市瓯海区行政审批中心4号楼</w:t>
      </w:r>
    </w:p>
    <w:p w14:paraId="34EA1B2E">
      <w:pPr>
        <w:widowControl/>
        <w:spacing w:before="60" w:after="60" w:line="360" w:lineRule="exact"/>
        <w:ind w:right="60" w:firstLine="44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联系人：蔡老师、程先生</w:t>
      </w:r>
    </w:p>
    <w:p w14:paraId="7C303539">
      <w:pPr>
        <w:widowControl/>
        <w:spacing w:before="60" w:after="60" w:line="360" w:lineRule="exact"/>
        <w:ind w:right="60" w:firstLine="440"/>
        <w:jc w:val="left"/>
        <w:rPr>
          <w:rFonts w:hint="eastAsia" w:ascii="宋体"/>
          <w:color w:val="auto"/>
          <w:sz w:val="22"/>
          <w:highlight w:val="none"/>
        </w:rPr>
      </w:pPr>
      <w:r>
        <w:rPr>
          <w:rFonts w:hint="eastAsia" w:ascii="宋体" w:hAnsi="宋体" w:eastAsia="宋体" w:cs="宋体"/>
          <w:color w:val="auto"/>
          <w:kern w:val="0"/>
          <w:sz w:val="22"/>
          <w:szCs w:val="22"/>
          <w:highlight w:val="none"/>
        </w:rPr>
        <w:t>电话 / 传真：</w:t>
      </w:r>
      <w:r>
        <w:rPr>
          <w:rFonts w:hint="eastAsia" w:ascii="宋体"/>
          <w:color w:val="auto"/>
          <w:sz w:val="22"/>
          <w:highlight w:val="none"/>
        </w:rPr>
        <w:t>0577-88585665、0577-86289934</w:t>
      </w:r>
    </w:p>
    <w:p w14:paraId="60A94631">
      <w:pPr>
        <w:widowControl/>
        <w:spacing w:before="60" w:after="60" w:line="360" w:lineRule="exact"/>
        <w:ind w:right="60" w:firstLine="440"/>
        <w:jc w:val="left"/>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rPr>
        <w:t>质疑联系人：麻老师、</w:t>
      </w:r>
      <w:r>
        <w:rPr>
          <w:rFonts w:hint="eastAsia" w:ascii="宋体" w:hAnsi="宋体" w:eastAsia="宋体" w:cs="宋体"/>
          <w:bCs/>
          <w:color w:val="auto"/>
          <w:kern w:val="0"/>
          <w:sz w:val="22"/>
          <w:szCs w:val="22"/>
          <w:highlight w:val="none"/>
          <w:lang w:val="en-US" w:eastAsia="zh-CN"/>
        </w:rPr>
        <w:t>任</w:t>
      </w:r>
      <w:r>
        <w:rPr>
          <w:rFonts w:hint="eastAsia" w:ascii="宋体" w:hAnsi="宋体" w:eastAsia="宋体" w:cs="宋体"/>
          <w:bCs/>
          <w:color w:val="auto"/>
          <w:kern w:val="0"/>
          <w:sz w:val="22"/>
          <w:szCs w:val="22"/>
          <w:highlight w:val="none"/>
        </w:rPr>
        <w:t>先生</w:t>
      </w:r>
    </w:p>
    <w:p w14:paraId="2AD89609">
      <w:pPr>
        <w:widowControl/>
        <w:spacing w:before="60" w:after="60" w:line="360" w:lineRule="exact"/>
        <w:ind w:right="60" w:firstLine="440"/>
        <w:jc w:val="left"/>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rPr>
        <w:t>质疑联系方式：0577-88585665、0577-86289934</w:t>
      </w:r>
    </w:p>
    <w:p w14:paraId="20DB20FC">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招标代理机构：温州元信工程项目管理有限公司</w:t>
      </w:r>
    </w:p>
    <w:p w14:paraId="292E7B79">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地址：温州市新桥街道牛山广场3号楼1905室</w:t>
      </w:r>
    </w:p>
    <w:p w14:paraId="7297642C">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hint="default"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rPr>
        <w:t>联系人：吴先生</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许先生</w:t>
      </w:r>
    </w:p>
    <w:p w14:paraId="766B04A1">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hint="default"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rPr>
        <w:t>联系电话：0577-88557963、</w:t>
      </w:r>
      <w:r>
        <w:rPr>
          <w:rFonts w:hint="eastAsia" w:ascii="宋体" w:hAnsi="宋体" w:cs="宋体"/>
          <w:color w:val="auto"/>
          <w:kern w:val="0"/>
          <w:sz w:val="22"/>
          <w:szCs w:val="22"/>
          <w:highlight w:val="none"/>
          <w:lang w:val="en-US" w:eastAsia="zh-CN"/>
        </w:rPr>
        <w:t>13385770450</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13505771347</w:t>
      </w:r>
    </w:p>
    <w:p w14:paraId="27A53FB9">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传真：0577-88557963</w:t>
      </w:r>
    </w:p>
    <w:p w14:paraId="0C7664BA">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质疑联系人：胡先生 </w:t>
      </w:r>
    </w:p>
    <w:p w14:paraId="07294244">
      <w:pPr>
        <w:keepNext w:val="0"/>
        <w:keepLines w:val="0"/>
        <w:pageBreakBefore w:val="0"/>
        <w:widowControl/>
        <w:kinsoku/>
        <w:wordWrap/>
        <w:overflowPunct/>
        <w:topLinePunct w:val="0"/>
        <w:autoSpaceDE/>
        <w:autoSpaceDN/>
        <w:bidi w:val="0"/>
        <w:adjustRightInd/>
        <w:snapToGrid/>
        <w:spacing w:before="60" w:after="60" w:line="320" w:lineRule="exact"/>
        <w:ind w:right="62"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质疑联系方式：15858758581</w:t>
      </w:r>
    </w:p>
    <w:p w14:paraId="439F82CB">
      <w:pPr>
        <w:widowControl/>
        <w:spacing w:before="60" w:after="60" w:line="360" w:lineRule="exact"/>
        <w:ind w:right="60" w:firstLine="44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同级政府采购监管部门：温州市瓯海区财政局</w:t>
      </w:r>
    </w:p>
    <w:p w14:paraId="4DBFC14E">
      <w:pPr>
        <w:widowControl/>
        <w:spacing w:before="60" w:after="60" w:line="360" w:lineRule="exact"/>
        <w:ind w:right="60" w:firstLine="44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地址：温州市瓯海区洲洋路6号瓯海区行政管理中心1号楼</w:t>
      </w:r>
    </w:p>
    <w:p w14:paraId="6AF7890B">
      <w:pPr>
        <w:widowControl/>
        <w:spacing w:before="60" w:after="60" w:line="360" w:lineRule="exact"/>
        <w:ind w:right="60" w:firstLine="44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联系人：徐先生</w:t>
      </w:r>
    </w:p>
    <w:p w14:paraId="6A2B6A94">
      <w:pPr>
        <w:widowControl/>
        <w:spacing w:before="60" w:after="60" w:line="360" w:lineRule="exact"/>
        <w:ind w:right="60" w:firstLine="44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联系电话：0577-88534479  </w:t>
      </w:r>
    </w:p>
    <w:p w14:paraId="7D577DFE">
      <w:pPr>
        <w:widowControl/>
        <w:spacing w:before="60" w:after="60" w:line="360" w:lineRule="exact"/>
        <w:ind w:right="60" w:firstLine="440"/>
        <w:jc w:val="left"/>
        <w:rPr>
          <w:rFonts w:ascii="宋体" w:hAnsi="宋体" w:cs="宋体"/>
          <w:color w:val="auto"/>
          <w:kern w:val="0"/>
          <w:sz w:val="22"/>
          <w:szCs w:val="22"/>
          <w:highlight w:val="none"/>
        </w:rPr>
      </w:pPr>
    </w:p>
    <w:p w14:paraId="21F753F7">
      <w:pPr>
        <w:widowControl/>
        <w:jc w:val="left"/>
        <w:rPr>
          <w:rFonts w:ascii="宋体" w:hAnsi="宋体" w:cs="宋体"/>
          <w:color w:val="auto"/>
          <w:sz w:val="22"/>
          <w:szCs w:val="22"/>
          <w:highlight w:val="none"/>
        </w:rPr>
      </w:pPr>
      <w:bookmarkStart w:id="4" w:name="_Toc249758859"/>
      <w:bookmarkStart w:id="5" w:name="_Toc221423614"/>
      <w:bookmarkStart w:id="6" w:name="_Toc239145349"/>
      <w:bookmarkStart w:id="7" w:name="_Toc223715993"/>
      <w:bookmarkStart w:id="8" w:name="_Toc221356946"/>
      <w:bookmarkStart w:id="9" w:name="_Toc249758707"/>
      <w:bookmarkStart w:id="10" w:name="_Toc246261260"/>
      <w:bookmarkStart w:id="11" w:name="_Toc262105498"/>
      <w:bookmarkStart w:id="12" w:name="_Toc222114874"/>
      <w:bookmarkStart w:id="13" w:name="_Toc241404197"/>
      <w:bookmarkStart w:id="14" w:name="_Toc245191309"/>
      <w:bookmarkStart w:id="15" w:name="_Toc245722276"/>
      <w:bookmarkStart w:id="16" w:name="_Toc221374621"/>
      <w:bookmarkStart w:id="17" w:name="_Toc221356881"/>
      <w:bookmarkStart w:id="18" w:name="_Toc262049413"/>
      <w:r>
        <w:rPr>
          <w:rFonts w:hint="eastAsia" w:ascii="宋体" w:hAnsi="宋体" w:cs="宋体"/>
          <w:color w:val="auto"/>
          <w:sz w:val="22"/>
          <w:szCs w:val="22"/>
          <w:highlight w:val="none"/>
        </w:rPr>
        <w:br w:type="page"/>
      </w:r>
    </w:p>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p w14:paraId="1F350334">
      <w:pPr>
        <w:pStyle w:val="2"/>
        <w:spacing w:before="120" w:after="120"/>
        <w:rPr>
          <w:rFonts w:ascii="宋体" w:hAnsi="宋体" w:eastAsia="宋体" w:cs="宋体"/>
          <w:color w:val="auto"/>
          <w:sz w:val="36"/>
          <w:szCs w:val="36"/>
          <w:highlight w:val="none"/>
        </w:rPr>
      </w:pPr>
      <w:bookmarkStart w:id="19" w:name="_Toc249758860"/>
      <w:bookmarkStart w:id="20" w:name="_Toc221356882"/>
      <w:bookmarkStart w:id="21" w:name="_Toc221356947"/>
      <w:bookmarkStart w:id="22" w:name="_Toc246261261"/>
      <w:bookmarkStart w:id="23" w:name="_Toc245191310"/>
      <w:bookmarkStart w:id="24" w:name="_Toc245722277"/>
      <w:bookmarkStart w:id="25" w:name="_Toc222114875"/>
      <w:bookmarkStart w:id="26" w:name="_Toc262049414"/>
      <w:bookmarkStart w:id="27" w:name="_Toc17522"/>
      <w:bookmarkStart w:id="28" w:name="_Toc239145350"/>
      <w:bookmarkStart w:id="29" w:name="_Toc249758708"/>
      <w:bookmarkStart w:id="30" w:name="_Toc221374622"/>
      <w:bookmarkStart w:id="31" w:name="_Toc221423615"/>
      <w:bookmarkStart w:id="32" w:name="_Toc223715994"/>
      <w:bookmarkStart w:id="33" w:name="_Toc262105499"/>
      <w:bookmarkStart w:id="34" w:name="_Toc241404198"/>
      <w:r>
        <w:rPr>
          <w:rFonts w:hint="eastAsia" w:ascii="宋体" w:hAnsi="宋体" w:eastAsia="宋体" w:cs="宋体"/>
          <w:color w:val="auto"/>
          <w:sz w:val="36"/>
          <w:szCs w:val="36"/>
          <w:highlight w:val="none"/>
        </w:rPr>
        <w:t>第一部分    供应商须知</w:t>
      </w:r>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p>
    <w:p w14:paraId="55B26CB3">
      <w:pPr>
        <w:pStyle w:val="2"/>
        <w:spacing w:before="120" w:after="120"/>
        <w:rPr>
          <w:rFonts w:ascii="宋体" w:hAnsi="宋体" w:eastAsia="宋体" w:cs="宋体"/>
          <w:color w:val="auto"/>
          <w:sz w:val="26"/>
          <w:szCs w:val="26"/>
          <w:highlight w:val="none"/>
        </w:rPr>
      </w:pPr>
      <w:bookmarkStart w:id="35" w:name="_Toc6014"/>
      <w:bookmarkStart w:id="36" w:name="_Toc223715995"/>
      <w:bookmarkStart w:id="37" w:name="_Toc221356883"/>
      <w:bookmarkStart w:id="38" w:name="_Toc241404199"/>
      <w:bookmarkStart w:id="39" w:name="_Toc221374623"/>
      <w:bookmarkStart w:id="40" w:name="_Toc221356948"/>
      <w:bookmarkStart w:id="41" w:name="_Toc262049415"/>
      <w:bookmarkStart w:id="42" w:name="_Toc249758861"/>
      <w:bookmarkStart w:id="43" w:name="_Toc246261262"/>
      <w:bookmarkStart w:id="44" w:name="_Toc221423616"/>
      <w:bookmarkStart w:id="45" w:name="_Toc249758709"/>
      <w:bookmarkStart w:id="46" w:name="_Toc222114876"/>
      <w:bookmarkStart w:id="47" w:name="_Toc245191311"/>
      <w:bookmarkStart w:id="48" w:name="_Toc262105500"/>
      <w:bookmarkStart w:id="49" w:name="_Toc239145351"/>
      <w:bookmarkStart w:id="50" w:name="_Toc245722278"/>
      <w:r>
        <w:rPr>
          <w:rFonts w:hint="eastAsia" w:ascii="宋体" w:hAnsi="宋体" w:eastAsia="宋体" w:cs="宋体"/>
          <w:color w:val="auto"/>
          <w:sz w:val="26"/>
          <w:szCs w:val="26"/>
          <w:highlight w:val="none"/>
        </w:rPr>
        <w:t xml:space="preserve">一、  </w:t>
      </w:r>
      <w:bookmarkStart w:id="51" w:name="_Toc27051"/>
      <w:r>
        <w:rPr>
          <w:rFonts w:hint="eastAsia" w:ascii="宋体" w:hAnsi="宋体" w:eastAsia="宋体" w:cs="宋体"/>
          <w:color w:val="auto"/>
          <w:sz w:val="26"/>
          <w:szCs w:val="26"/>
          <w:highlight w:val="none"/>
        </w:rPr>
        <w:t>供应商须知前附表</w:t>
      </w:r>
      <w:bookmarkEnd w:id="35"/>
      <w:bookmarkEnd w:id="51"/>
    </w:p>
    <w:tbl>
      <w:tblPr>
        <w:tblStyle w:val="38"/>
        <w:tblW w:w="9819" w:type="dxa"/>
        <w:tblInd w:w="0" w:type="dxa"/>
        <w:tblLayout w:type="fixed"/>
        <w:tblCellMar>
          <w:top w:w="0" w:type="dxa"/>
          <w:left w:w="108" w:type="dxa"/>
          <w:bottom w:w="0" w:type="dxa"/>
          <w:right w:w="108" w:type="dxa"/>
        </w:tblCellMar>
      </w:tblPr>
      <w:tblGrid>
        <w:gridCol w:w="776"/>
        <w:gridCol w:w="1517"/>
        <w:gridCol w:w="7526"/>
      </w:tblGrid>
      <w:tr w14:paraId="34912309">
        <w:tblPrEx>
          <w:tblCellMar>
            <w:top w:w="0" w:type="dxa"/>
            <w:left w:w="108" w:type="dxa"/>
            <w:bottom w:w="0" w:type="dxa"/>
            <w:right w:w="108" w:type="dxa"/>
          </w:tblCellMar>
        </w:tblPrEx>
        <w:trPr>
          <w:trHeight w:val="567"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C7F336E">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序号</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A558E57">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条款名称</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DA19A3">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编列内容</w:t>
            </w:r>
          </w:p>
        </w:tc>
      </w:tr>
      <w:tr w14:paraId="36A14965">
        <w:tblPrEx>
          <w:tblCellMar>
            <w:top w:w="0" w:type="dxa"/>
            <w:left w:w="108" w:type="dxa"/>
            <w:bottom w:w="0" w:type="dxa"/>
            <w:right w:w="108" w:type="dxa"/>
          </w:tblCellMar>
        </w:tblPrEx>
        <w:trPr>
          <w:trHeight w:val="967"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DC1FF2B">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6DDE7C5">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采购人</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FC95AA6">
            <w:pPr>
              <w:spacing w:line="400" w:lineRule="exact"/>
              <w:rPr>
                <w:rFonts w:hint="eastAsia" w:ascii="宋体" w:hAnsi="宋体" w:eastAsia="宋体" w:cs="宋体"/>
                <w:color w:val="auto"/>
                <w:kern w:val="0"/>
                <w:sz w:val="22"/>
                <w:szCs w:val="22"/>
                <w:highlight w:val="none"/>
                <w:lang w:eastAsia="zh-CN"/>
              </w:rPr>
            </w:pPr>
            <w:r>
              <w:rPr>
                <w:rFonts w:hint="eastAsia" w:ascii="宋体" w:hAnsi="宋体" w:cs="宋体"/>
                <w:color w:val="auto"/>
                <w:sz w:val="22"/>
                <w:szCs w:val="22"/>
                <w:highlight w:val="none"/>
              </w:rPr>
              <w:t>采购人：</w:t>
            </w:r>
            <w:r>
              <w:rPr>
                <w:rFonts w:hint="eastAsia" w:ascii="宋体" w:hAnsi="宋体" w:cs="宋体"/>
                <w:color w:val="auto"/>
                <w:kern w:val="0"/>
                <w:sz w:val="22"/>
                <w:szCs w:val="22"/>
                <w:highlight w:val="none"/>
                <w:lang w:eastAsia="zh-CN"/>
              </w:rPr>
              <w:t>温州市瓯海区教育局、温州市瓯海区体育事业发展中心</w:t>
            </w:r>
          </w:p>
          <w:p w14:paraId="1D2044DC">
            <w:pPr>
              <w:spacing w:line="4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联系人：蔡老师、程先生</w:t>
            </w:r>
          </w:p>
          <w:p w14:paraId="7D6C043F">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电话 / 传真：0577-88585665、0577-86289934</w:t>
            </w:r>
          </w:p>
        </w:tc>
      </w:tr>
      <w:tr w14:paraId="39293559">
        <w:tblPrEx>
          <w:tblCellMar>
            <w:top w:w="0" w:type="dxa"/>
            <w:left w:w="108" w:type="dxa"/>
            <w:bottom w:w="0" w:type="dxa"/>
            <w:right w:w="108" w:type="dxa"/>
          </w:tblCellMar>
        </w:tblPrEx>
        <w:trPr>
          <w:trHeight w:val="98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B92C3B9">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2042BEC">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采购代理机构</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319DF2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采购代理机构名称：温州元信工程项目管理有限公司</w:t>
            </w:r>
          </w:p>
          <w:p w14:paraId="46DFCE03">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地 址：温州市新桥街道牛山广场3号楼1905室。</w:t>
            </w:r>
          </w:p>
          <w:p w14:paraId="1BDBE465">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 xml:space="preserve">联系人：吴先生  </w:t>
            </w:r>
          </w:p>
          <w:p w14:paraId="1DBCA4A9">
            <w:pPr>
              <w:spacing w:line="400" w:lineRule="exact"/>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rPr>
              <w:t>联系电话：0577-88557963、</w:t>
            </w:r>
            <w:r>
              <w:rPr>
                <w:rFonts w:hint="eastAsia" w:ascii="宋体" w:hAnsi="宋体" w:cs="宋体"/>
                <w:color w:val="auto"/>
                <w:sz w:val="22"/>
                <w:szCs w:val="22"/>
                <w:highlight w:val="none"/>
                <w:lang w:val="en-US" w:eastAsia="zh-CN"/>
              </w:rPr>
              <w:t>13385770450</w:t>
            </w:r>
          </w:p>
        </w:tc>
      </w:tr>
      <w:tr w14:paraId="0AB92D82">
        <w:tblPrEx>
          <w:tblCellMar>
            <w:top w:w="0" w:type="dxa"/>
            <w:left w:w="108" w:type="dxa"/>
            <w:bottom w:w="0" w:type="dxa"/>
            <w:right w:w="108" w:type="dxa"/>
          </w:tblCellMar>
        </w:tblPrEx>
        <w:trPr>
          <w:trHeight w:val="75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0612948">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3</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2FB4A27">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采购名称</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8D5D381">
            <w:pPr>
              <w:spacing w:line="400" w:lineRule="exact"/>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温州市瓯海区2025年中小学生(幼儿)体育节组织实施服务</w:t>
            </w:r>
          </w:p>
          <w:p w14:paraId="53DC7619">
            <w:pPr>
              <w:spacing w:line="400" w:lineRule="exact"/>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磋商编号：</w:t>
            </w:r>
            <w:r>
              <w:rPr>
                <w:rFonts w:hint="eastAsia" w:ascii="宋体" w:hAnsi="宋体" w:cs="宋体"/>
                <w:color w:val="auto"/>
                <w:sz w:val="22"/>
                <w:szCs w:val="22"/>
                <w:highlight w:val="none"/>
                <w:lang w:eastAsia="zh-CN"/>
              </w:rPr>
              <w:t>WZYX-W2025022602</w:t>
            </w:r>
          </w:p>
        </w:tc>
      </w:tr>
      <w:tr w14:paraId="33F26B9D">
        <w:tblPrEx>
          <w:tblCellMar>
            <w:top w:w="0" w:type="dxa"/>
            <w:left w:w="108" w:type="dxa"/>
            <w:bottom w:w="0" w:type="dxa"/>
            <w:right w:w="108" w:type="dxa"/>
          </w:tblCellMar>
        </w:tblPrEx>
        <w:trPr>
          <w:trHeight w:val="75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A590FE6">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4</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01C009D">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采购内容</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E85C9CC">
            <w:pPr>
              <w:autoSpaceDE w:val="0"/>
              <w:autoSpaceDN w:val="0"/>
              <w:adjustRightInd w:val="0"/>
              <w:spacing w:line="400" w:lineRule="exact"/>
              <w:ind w:right="-34"/>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具体内容及要求见竞争性磋商文件。</w:t>
            </w:r>
          </w:p>
        </w:tc>
      </w:tr>
      <w:tr w14:paraId="6997583D">
        <w:tblPrEx>
          <w:tblCellMar>
            <w:top w:w="0" w:type="dxa"/>
            <w:left w:w="108" w:type="dxa"/>
            <w:bottom w:w="0" w:type="dxa"/>
            <w:right w:w="108" w:type="dxa"/>
          </w:tblCellMar>
        </w:tblPrEx>
        <w:trPr>
          <w:trHeight w:val="67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4AB601">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5</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C6167B4">
            <w:pPr>
              <w:spacing w:line="360" w:lineRule="exact"/>
              <w:rPr>
                <w:rFonts w:ascii="宋体" w:hAnsi="宋体" w:cs="宋体"/>
                <w:color w:val="auto"/>
                <w:kern w:val="0"/>
                <w:sz w:val="22"/>
                <w:szCs w:val="22"/>
                <w:highlight w:val="none"/>
                <w:lang w:val="zh-CN"/>
              </w:rPr>
            </w:pPr>
            <w:r>
              <w:rPr>
                <w:rFonts w:hint="eastAsia" w:ascii="宋体" w:hAnsi="宋体" w:cs="宋体"/>
                <w:b/>
                <w:color w:val="auto"/>
                <w:kern w:val="0"/>
                <w:sz w:val="22"/>
                <w:szCs w:val="22"/>
                <w:highlight w:val="none"/>
              </w:rPr>
              <w:t>核心产品</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CB45403">
            <w:pPr>
              <w:spacing w:line="360" w:lineRule="exact"/>
              <w:rPr>
                <w:rFonts w:ascii="宋体" w:hAnsi="宋体" w:cs="宋体"/>
                <w:color w:val="auto"/>
                <w:kern w:val="0"/>
                <w:sz w:val="22"/>
                <w:szCs w:val="22"/>
                <w:highlight w:val="none"/>
              </w:rPr>
            </w:pPr>
            <w:r>
              <w:rPr>
                <w:rFonts w:hint="eastAsia" w:ascii="宋体" w:hAnsi="宋体" w:cs="宋体"/>
                <w:b/>
                <w:color w:val="auto"/>
                <w:kern w:val="0"/>
                <w:sz w:val="22"/>
                <w:szCs w:val="22"/>
                <w:highlight w:val="none"/>
              </w:rPr>
              <w:t>本项目为服务类采购，无核心产品。</w:t>
            </w:r>
          </w:p>
        </w:tc>
      </w:tr>
      <w:tr w14:paraId="1F3C26CE">
        <w:tblPrEx>
          <w:tblCellMar>
            <w:top w:w="0" w:type="dxa"/>
            <w:left w:w="108" w:type="dxa"/>
            <w:bottom w:w="0" w:type="dxa"/>
            <w:right w:w="108" w:type="dxa"/>
          </w:tblCellMar>
        </w:tblPrEx>
        <w:trPr>
          <w:trHeight w:val="116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15FA860">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6</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0C7249F">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u w:val="single"/>
                <w:lang w:val="zh-CN"/>
              </w:rPr>
              <w:t>▲</w:t>
            </w:r>
            <w:r>
              <w:rPr>
                <w:rFonts w:hint="eastAsia" w:ascii="宋体" w:hAnsi="宋体" w:cs="宋体"/>
                <w:b/>
                <w:bCs/>
                <w:color w:val="auto"/>
                <w:kern w:val="0"/>
                <w:sz w:val="22"/>
                <w:szCs w:val="22"/>
                <w:highlight w:val="none"/>
                <w:u w:val="single"/>
              </w:rPr>
              <w:t>供应商</w:t>
            </w:r>
            <w:r>
              <w:rPr>
                <w:rFonts w:hint="eastAsia" w:ascii="宋体" w:hAnsi="宋体" w:cs="宋体"/>
                <w:b/>
                <w:bCs/>
                <w:color w:val="auto"/>
                <w:kern w:val="0"/>
                <w:sz w:val="22"/>
                <w:szCs w:val="22"/>
                <w:highlight w:val="none"/>
                <w:u w:val="single"/>
                <w:lang w:val="zh-CN"/>
              </w:rPr>
              <w:t>资质格要求</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799A9F1">
            <w:pPr>
              <w:widowControl/>
              <w:spacing w:before="60" w:after="60" w:line="360" w:lineRule="exact"/>
              <w:ind w:right="60"/>
              <w:jc w:val="left"/>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详见磋商公告</w:t>
            </w:r>
          </w:p>
        </w:tc>
      </w:tr>
      <w:tr w14:paraId="67EF0AED">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DC67BBA">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7</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C51A657">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是否接受联合体磋商</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BCC868A">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b/>
                <w:snapToGrid w:val="0"/>
                <w:color w:val="auto"/>
                <w:sz w:val="22"/>
                <w:szCs w:val="22"/>
                <w:highlight w:val="none"/>
              </w:rPr>
              <w:sym w:font="Wingdings" w:char="00A8"/>
            </w:r>
            <w:r>
              <w:rPr>
                <w:rFonts w:hint="eastAsia" w:ascii="宋体" w:hAnsi="宋体" w:cs="宋体"/>
                <w:color w:val="auto"/>
                <w:kern w:val="0"/>
                <w:sz w:val="22"/>
                <w:szCs w:val="22"/>
                <w:highlight w:val="none"/>
                <w:lang w:val="zh-CN"/>
              </w:rPr>
              <w:t>不接受</w:t>
            </w:r>
          </w:p>
          <w:p w14:paraId="2FB7924A">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☑接受</w:t>
            </w:r>
          </w:p>
        </w:tc>
      </w:tr>
      <w:tr w14:paraId="14736F40">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C52EDA3">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8</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762E62">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踏勘现场</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5FB10B4">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□组织</w:t>
            </w:r>
          </w:p>
          <w:p w14:paraId="2EE75EB8">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b/>
                <w:snapToGrid w:val="0"/>
                <w:color w:val="auto"/>
                <w:sz w:val="22"/>
                <w:szCs w:val="22"/>
                <w:highlight w:val="none"/>
              </w:rPr>
              <w:sym w:font="Wingdings" w:char="F0FE"/>
            </w:r>
            <w:r>
              <w:rPr>
                <w:rFonts w:hint="eastAsia" w:ascii="宋体" w:hAnsi="宋体" w:cs="宋体"/>
                <w:color w:val="auto"/>
                <w:kern w:val="0"/>
                <w:sz w:val="22"/>
                <w:szCs w:val="22"/>
                <w:highlight w:val="none"/>
                <w:lang w:val="zh-CN"/>
              </w:rPr>
              <w:t>不组织</w:t>
            </w:r>
          </w:p>
        </w:tc>
      </w:tr>
      <w:tr w14:paraId="0930F071">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900D05D">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9</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D2E43DB">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投标预备会</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77B218B">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□召开</w:t>
            </w:r>
            <w:r>
              <w:rPr>
                <w:rFonts w:hint="eastAsia" w:ascii="宋体" w:hAnsi="宋体" w:cs="宋体"/>
                <w:b/>
                <w:snapToGrid w:val="0"/>
                <w:color w:val="auto"/>
                <w:sz w:val="22"/>
                <w:szCs w:val="22"/>
                <w:highlight w:val="none"/>
              </w:rPr>
              <w:sym w:font="Wingdings" w:char="F0FE"/>
            </w:r>
            <w:r>
              <w:rPr>
                <w:rFonts w:hint="eastAsia" w:ascii="宋体" w:hAnsi="宋体" w:cs="宋体"/>
                <w:color w:val="auto"/>
                <w:kern w:val="0"/>
                <w:sz w:val="22"/>
                <w:szCs w:val="22"/>
                <w:highlight w:val="none"/>
                <w:lang w:val="zh-CN"/>
              </w:rPr>
              <w:t>不召开</w:t>
            </w:r>
          </w:p>
        </w:tc>
      </w:tr>
      <w:tr w14:paraId="598E9EEC">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5373F7B">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10</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A9E99A9">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磋商</w:t>
            </w:r>
            <w:r>
              <w:rPr>
                <w:rFonts w:hint="eastAsia" w:ascii="宋体" w:hAnsi="宋体" w:cs="宋体"/>
                <w:color w:val="auto"/>
                <w:kern w:val="0"/>
                <w:sz w:val="22"/>
                <w:szCs w:val="22"/>
                <w:highlight w:val="none"/>
              </w:rPr>
              <w:t>响应</w:t>
            </w:r>
            <w:r>
              <w:rPr>
                <w:rFonts w:hint="eastAsia" w:ascii="宋体" w:hAnsi="宋体" w:cs="宋体"/>
                <w:color w:val="auto"/>
                <w:kern w:val="0"/>
                <w:sz w:val="22"/>
                <w:szCs w:val="22"/>
                <w:highlight w:val="none"/>
                <w:lang w:val="zh-CN"/>
              </w:rPr>
              <w:t>截止时间</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073140F">
            <w:pPr>
              <w:autoSpaceDE w:val="0"/>
              <w:autoSpaceDN w:val="0"/>
              <w:adjustRightInd w:val="0"/>
              <w:spacing w:line="400" w:lineRule="exact"/>
              <w:rPr>
                <w:rFonts w:ascii="宋体" w:hAnsi="宋体" w:cs="宋体"/>
                <w:color w:val="auto"/>
                <w:kern w:val="0"/>
                <w:sz w:val="22"/>
                <w:szCs w:val="22"/>
                <w:highlight w:val="none"/>
              </w:rPr>
            </w:pPr>
            <w:r>
              <w:rPr>
                <w:rFonts w:hint="eastAsia" w:ascii="宋体" w:hAnsi="宋体" w:cs="宋体"/>
                <w:bCs/>
                <w:color w:val="auto"/>
                <w:kern w:val="0"/>
                <w:sz w:val="22"/>
                <w:szCs w:val="22"/>
                <w:highlight w:val="none"/>
              </w:rPr>
              <w:t>见竞争性磋商公告</w:t>
            </w:r>
          </w:p>
        </w:tc>
      </w:tr>
      <w:tr w14:paraId="2F54CA2C">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C9CB7BD">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11</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1B9C509">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分包</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DD6761C">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□允许</w:t>
            </w:r>
            <w:r>
              <w:rPr>
                <w:rFonts w:hint="eastAsia" w:ascii="宋体" w:hAnsi="宋体" w:cs="宋体"/>
                <w:b/>
                <w:snapToGrid w:val="0"/>
                <w:color w:val="auto"/>
                <w:sz w:val="22"/>
                <w:szCs w:val="22"/>
                <w:highlight w:val="none"/>
              </w:rPr>
              <w:sym w:font="Wingdings" w:char="F0FE"/>
            </w:r>
            <w:r>
              <w:rPr>
                <w:rFonts w:hint="eastAsia" w:ascii="宋体" w:hAnsi="宋体" w:cs="宋体"/>
                <w:color w:val="auto"/>
                <w:kern w:val="0"/>
                <w:sz w:val="22"/>
                <w:szCs w:val="22"/>
                <w:highlight w:val="none"/>
                <w:lang w:val="zh-CN"/>
              </w:rPr>
              <w:t>不允许</w:t>
            </w:r>
          </w:p>
        </w:tc>
      </w:tr>
      <w:tr w14:paraId="6D29DBB6">
        <w:tblPrEx>
          <w:tblCellMar>
            <w:top w:w="0" w:type="dxa"/>
            <w:left w:w="108" w:type="dxa"/>
            <w:bottom w:w="0" w:type="dxa"/>
            <w:right w:w="108" w:type="dxa"/>
          </w:tblCellMar>
        </w:tblPrEx>
        <w:trPr>
          <w:trHeight w:val="108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7E97D3C">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12</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6759AF1">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偏离</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858BF93">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偏差允许幅度及其处理方法：允许细微偏差，不允许重大偏差。由磋商小组判断，细微偏差要求供应商在评标结束前予以澄清、说明或补正，不接受要求进行的，</w:t>
            </w:r>
            <w:r>
              <w:rPr>
                <w:rFonts w:hint="eastAsia" w:ascii="宋体" w:hAnsi="宋体" w:cs="宋体"/>
                <w:color w:val="auto"/>
                <w:kern w:val="0"/>
                <w:sz w:val="22"/>
                <w:szCs w:val="22"/>
                <w:highlight w:val="none"/>
              </w:rPr>
              <w:t>磋商小组</w:t>
            </w:r>
            <w:r>
              <w:rPr>
                <w:rFonts w:hint="eastAsia" w:ascii="宋体" w:hAnsi="宋体" w:cs="宋体"/>
                <w:color w:val="auto"/>
                <w:kern w:val="0"/>
                <w:sz w:val="22"/>
                <w:szCs w:val="22"/>
                <w:highlight w:val="none"/>
                <w:lang w:val="zh-CN"/>
              </w:rPr>
              <w:t>有权做无效标处理，详见评标办法。</w:t>
            </w:r>
          </w:p>
        </w:tc>
      </w:tr>
      <w:tr w14:paraId="411198BF">
        <w:tblPrEx>
          <w:tblCellMar>
            <w:top w:w="0" w:type="dxa"/>
            <w:left w:w="108" w:type="dxa"/>
            <w:bottom w:w="0" w:type="dxa"/>
            <w:right w:w="108" w:type="dxa"/>
          </w:tblCellMar>
        </w:tblPrEx>
        <w:trPr>
          <w:trHeight w:val="68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B20A94E">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13</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5D9EA24">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磋商有效期</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6FCEEDC">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自磋商</w:t>
            </w:r>
            <w:r>
              <w:rPr>
                <w:rFonts w:hint="eastAsia" w:ascii="宋体" w:hAnsi="宋体" w:cs="宋体"/>
                <w:color w:val="auto"/>
                <w:kern w:val="0"/>
                <w:sz w:val="22"/>
                <w:szCs w:val="22"/>
                <w:highlight w:val="none"/>
              </w:rPr>
              <w:t>响应</w:t>
            </w:r>
            <w:r>
              <w:rPr>
                <w:rFonts w:hint="eastAsia" w:ascii="宋体" w:hAnsi="宋体" w:cs="宋体"/>
                <w:color w:val="auto"/>
                <w:kern w:val="0"/>
                <w:sz w:val="22"/>
                <w:szCs w:val="22"/>
                <w:highlight w:val="none"/>
                <w:lang w:val="zh-CN"/>
              </w:rPr>
              <w:t>截止时间起生效，有效期90天。</w:t>
            </w:r>
          </w:p>
        </w:tc>
      </w:tr>
      <w:tr w14:paraId="2275D9E8">
        <w:tblPrEx>
          <w:tblCellMar>
            <w:top w:w="0" w:type="dxa"/>
            <w:left w:w="108" w:type="dxa"/>
            <w:bottom w:w="0" w:type="dxa"/>
            <w:right w:w="108" w:type="dxa"/>
          </w:tblCellMar>
        </w:tblPrEx>
        <w:trPr>
          <w:trHeight w:val="846"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20587F8">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14</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DBA32F5">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投标保证金</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4D5D770">
            <w:pPr>
              <w:autoSpaceDE w:val="0"/>
              <w:autoSpaceDN w:val="0"/>
              <w:adjustRightInd w:val="0"/>
              <w:spacing w:line="400" w:lineRule="exact"/>
              <w:rPr>
                <w:rFonts w:ascii="宋体" w:hAnsi="宋体" w:cs="宋体"/>
                <w:b/>
                <w:bCs/>
                <w:color w:val="auto"/>
                <w:sz w:val="22"/>
                <w:szCs w:val="22"/>
                <w:highlight w:val="none"/>
              </w:rPr>
            </w:pPr>
            <w:r>
              <w:rPr>
                <w:rFonts w:hint="eastAsia" w:ascii="宋体" w:hAnsi="宋体" w:cs="宋体"/>
                <w:color w:val="auto"/>
                <w:sz w:val="22"/>
                <w:szCs w:val="22"/>
                <w:highlight w:val="none"/>
              </w:rPr>
              <w:t>无需提交</w:t>
            </w:r>
          </w:p>
        </w:tc>
      </w:tr>
      <w:tr w14:paraId="04AC4656">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0485216">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15</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CF5532D">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响应文件</w:t>
            </w:r>
            <w:r>
              <w:rPr>
                <w:rFonts w:hint="eastAsia" w:ascii="宋体" w:hAnsi="宋体" w:cs="宋体"/>
                <w:b/>
                <w:bCs/>
                <w:color w:val="auto"/>
                <w:kern w:val="0"/>
                <w:sz w:val="22"/>
                <w:szCs w:val="22"/>
                <w:highlight w:val="none"/>
                <w:lang w:val="zh-CN"/>
              </w:rPr>
              <w:t>的组成</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B9460B1">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由“资格响应文件”、“</w:t>
            </w:r>
            <w:r>
              <w:rPr>
                <w:rFonts w:hint="eastAsia" w:ascii="宋体" w:hAnsi="宋体" w:cs="宋体"/>
                <w:b/>
                <w:bCs/>
                <w:color w:val="auto"/>
                <w:kern w:val="0"/>
                <w:sz w:val="22"/>
                <w:szCs w:val="22"/>
                <w:highlight w:val="none"/>
              </w:rPr>
              <w:t>商务技术响应文件</w:t>
            </w:r>
            <w:r>
              <w:rPr>
                <w:rFonts w:hint="eastAsia" w:ascii="宋体" w:hAnsi="宋体" w:cs="宋体"/>
                <w:b/>
                <w:bCs/>
                <w:color w:val="auto"/>
                <w:kern w:val="0"/>
                <w:sz w:val="22"/>
                <w:szCs w:val="22"/>
                <w:highlight w:val="none"/>
                <w:lang w:val="zh-CN"/>
              </w:rPr>
              <w:t>”和“报价响应文件”三个部分组成。</w:t>
            </w:r>
          </w:p>
        </w:tc>
      </w:tr>
      <w:tr w14:paraId="63C089FD">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6B6105B">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16</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773FC7D">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响应文件</w:t>
            </w:r>
            <w:r>
              <w:rPr>
                <w:rFonts w:hint="eastAsia" w:ascii="宋体" w:hAnsi="宋体" w:cs="宋体"/>
                <w:b/>
                <w:bCs/>
                <w:color w:val="auto"/>
                <w:kern w:val="0"/>
                <w:sz w:val="22"/>
                <w:szCs w:val="22"/>
                <w:highlight w:val="none"/>
                <w:lang w:val="zh-CN"/>
              </w:rPr>
              <w:t>的编制</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414DE2A">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供应商应先安装“政采云</w:t>
            </w:r>
            <w:r>
              <w:rPr>
                <w:rFonts w:hint="eastAsia" w:ascii="宋体" w:hAnsi="宋体" w:cs="宋体"/>
                <w:b/>
                <w:bCs/>
                <w:color w:val="auto"/>
                <w:kern w:val="0"/>
                <w:sz w:val="22"/>
                <w:szCs w:val="22"/>
                <w:highlight w:val="none"/>
              </w:rPr>
              <w:t>投标</w:t>
            </w:r>
            <w:r>
              <w:rPr>
                <w:rFonts w:hint="eastAsia" w:ascii="宋体" w:hAnsi="宋体" w:cs="宋体"/>
                <w:b/>
                <w:bCs/>
                <w:color w:val="auto"/>
                <w:kern w:val="0"/>
                <w:sz w:val="22"/>
                <w:szCs w:val="22"/>
                <w:highlight w:val="none"/>
                <w:lang w:val="zh-CN"/>
              </w:rPr>
              <w:t>客户端”，并按照本</w:t>
            </w:r>
            <w:r>
              <w:rPr>
                <w:rFonts w:hint="eastAsia" w:ascii="宋体" w:hAnsi="宋体" w:cs="宋体"/>
                <w:b/>
                <w:bCs/>
                <w:color w:val="auto"/>
                <w:kern w:val="0"/>
                <w:sz w:val="22"/>
                <w:szCs w:val="22"/>
                <w:highlight w:val="none"/>
              </w:rPr>
              <w:t>竞争性磋商</w:t>
            </w:r>
            <w:r>
              <w:rPr>
                <w:rFonts w:hint="eastAsia" w:ascii="宋体" w:hAnsi="宋体" w:cs="宋体"/>
                <w:b/>
                <w:bCs/>
                <w:color w:val="auto"/>
                <w:kern w:val="0"/>
                <w:sz w:val="22"/>
                <w:szCs w:val="22"/>
                <w:highlight w:val="none"/>
                <w:lang w:val="zh-CN"/>
              </w:rPr>
              <w:t>文件和“《政府采购项目电子交易管理操作指南-供应商》”的要求，编制并加密</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w:t>
            </w:r>
          </w:p>
        </w:tc>
      </w:tr>
      <w:tr w14:paraId="3439741E">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0BB3D5A">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17</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D05B20F">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签字或盖章要求</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F68A0BB">
            <w:pPr>
              <w:autoSpaceDE w:val="0"/>
              <w:autoSpaceDN w:val="0"/>
              <w:adjustRightInd w:val="0"/>
              <w:spacing w:line="400" w:lineRule="exact"/>
              <w:rPr>
                <w:rFonts w:ascii="宋体" w:hAnsi="宋体" w:cs="宋体"/>
                <w:color w:val="auto"/>
                <w:sz w:val="22"/>
                <w:szCs w:val="22"/>
                <w:highlight w:val="none"/>
              </w:rPr>
            </w:pPr>
            <w:r>
              <w:rPr>
                <w:rFonts w:hint="eastAsia" w:ascii="宋体" w:hAnsi="宋体" w:cs="宋体"/>
                <w:color w:val="auto"/>
                <w:kern w:val="0"/>
                <w:sz w:val="22"/>
                <w:szCs w:val="22"/>
                <w:highlight w:val="none"/>
                <w:lang w:val="zh-CN"/>
              </w:rPr>
              <w:t>磋商响应文件的相应位置应加盖：电子签章。（或先制作word版打印，相应位置签字或盖章后再扫描上传）</w:t>
            </w:r>
          </w:p>
        </w:tc>
      </w:tr>
      <w:tr w14:paraId="44F42B9F">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0DC7B83">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18</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F3FC1C2">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文件形式、制作及组成</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1920675">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本项目实行在线投标响应（电子投标）。</w:t>
            </w:r>
          </w:p>
          <w:p w14:paraId="339FD723">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供应商须准备电子磋商响应文件（包括“电子加密磋商响应文件”和“备份磋商响应文件”两类，在磋商响应文件编制完成后同时生成）。</w:t>
            </w:r>
          </w:p>
          <w:p w14:paraId="5D563588">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（1）“电子加密磋商响应文件”（后缀格式为.jmbs）是指通过“政采云电子交易客户端”完成磋商响应文件编制后生成并加密的数据电文形式的磋商响应文件。</w:t>
            </w:r>
          </w:p>
          <w:p w14:paraId="7F14818C">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（2）“备份磋商响应文件”（后缀格式为.bfbs）是指与“电子加密磋商响应文件”同时生成的数据电文形式的电子文件（备份标书），其他方式编制的备份磋商响应文件视为无效备份磋商响应文件。</w:t>
            </w:r>
          </w:p>
          <w:p w14:paraId="16FBB5D9">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color w:val="auto"/>
                <w:kern w:val="0"/>
                <w:sz w:val="22"/>
                <w:szCs w:val="22"/>
                <w:highlight w:val="none"/>
                <w:lang w:val="zh-CN"/>
              </w:rPr>
              <w:t>以上两类磋商响应文件均由资格审查资料、商务技术文件、报价文件三部分组成。</w:t>
            </w:r>
          </w:p>
        </w:tc>
      </w:tr>
      <w:tr w14:paraId="32F6F523">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73FA820">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19</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869F5E8">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文件的上传和递交</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6ABE0EB">
            <w:pPr>
              <w:pStyle w:val="49"/>
              <w:autoSpaceDE w:val="0"/>
              <w:autoSpaceDN w:val="0"/>
              <w:adjustRightInd w:val="0"/>
              <w:spacing w:line="400" w:lineRule="exact"/>
              <w:jc w:val="both"/>
              <w:rPr>
                <w:rFonts w:cs="宋体"/>
                <w:color w:val="auto"/>
                <w:sz w:val="22"/>
                <w:highlight w:val="none"/>
              </w:rPr>
            </w:pPr>
            <w:r>
              <w:rPr>
                <w:rFonts w:hint="eastAsia" w:cs="宋体"/>
                <w:color w:val="auto"/>
                <w:sz w:val="22"/>
                <w:highlight w:val="none"/>
              </w:rPr>
              <w:t>（1）“电子加密磋商响应文件”的上传、递交：</w:t>
            </w:r>
          </w:p>
          <w:p w14:paraId="1B8ADAD9">
            <w:pPr>
              <w:pStyle w:val="49"/>
              <w:numPr>
                <w:ilvl w:val="0"/>
                <w:numId w:val="2"/>
              </w:numPr>
              <w:autoSpaceDE w:val="0"/>
              <w:autoSpaceDN w:val="0"/>
              <w:adjustRightInd w:val="0"/>
              <w:spacing w:line="400" w:lineRule="exact"/>
              <w:ind w:firstLine="0"/>
              <w:jc w:val="both"/>
              <w:rPr>
                <w:rFonts w:cs="宋体"/>
                <w:color w:val="auto"/>
                <w:sz w:val="22"/>
                <w:highlight w:val="none"/>
              </w:rPr>
            </w:pPr>
            <w:r>
              <w:rPr>
                <w:rFonts w:hint="eastAsia" w:cs="宋体"/>
                <w:color w:val="auto"/>
                <w:sz w:val="22"/>
                <w:highlight w:val="none"/>
              </w:rPr>
              <w:t>供应商应在磋商响应文件递交截止时间前将“电子加密磋商响应文件”成功上传递交至“政采云平台”，否则投标无效。</w:t>
            </w:r>
          </w:p>
          <w:p w14:paraId="4261FE48">
            <w:pPr>
              <w:pStyle w:val="49"/>
              <w:numPr>
                <w:ilvl w:val="0"/>
                <w:numId w:val="2"/>
              </w:numPr>
              <w:autoSpaceDE w:val="0"/>
              <w:autoSpaceDN w:val="0"/>
              <w:adjustRightInd w:val="0"/>
              <w:spacing w:line="400" w:lineRule="exact"/>
              <w:ind w:firstLine="0"/>
              <w:jc w:val="both"/>
              <w:rPr>
                <w:rFonts w:cs="宋体"/>
                <w:color w:val="auto"/>
                <w:sz w:val="22"/>
                <w:highlight w:val="none"/>
              </w:rPr>
            </w:pPr>
            <w:r>
              <w:rPr>
                <w:rFonts w:hint="eastAsia" w:cs="宋体"/>
                <w:color w:val="auto"/>
                <w:sz w:val="22"/>
                <w:highlight w:val="none"/>
              </w:rPr>
              <w:t>“电子加密磋商响应文件”成功上传递交后，供应商可自行打印磋商响应文件接收回执。</w:t>
            </w:r>
          </w:p>
          <w:p w14:paraId="7D4C9415">
            <w:pPr>
              <w:pStyle w:val="49"/>
              <w:autoSpaceDE w:val="0"/>
              <w:autoSpaceDN w:val="0"/>
              <w:adjustRightInd w:val="0"/>
              <w:spacing w:line="400" w:lineRule="exact"/>
              <w:jc w:val="both"/>
              <w:rPr>
                <w:rFonts w:cs="宋体"/>
                <w:color w:val="auto"/>
                <w:sz w:val="22"/>
                <w:highlight w:val="none"/>
              </w:rPr>
            </w:pPr>
            <w:r>
              <w:rPr>
                <w:rFonts w:hint="eastAsia" w:cs="宋体"/>
                <w:color w:val="auto"/>
                <w:sz w:val="22"/>
                <w:highlight w:val="none"/>
              </w:rPr>
              <w:t>（2）“备份磋商响应文件”的密封包装、递交：</w:t>
            </w:r>
          </w:p>
          <w:p w14:paraId="5A480B79">
            <w:pPr>
              <w:pStyle w:val="49"/>
              <w:numPr>
                <w:ilvl w:val="0"/>
                <w:numId w:val="3"/>
              </w:numPr>
              <w:autoSpaceDE w:val="0"/>
              <w:autoSpaceDN w:val="0"/>
              <w:adjustRightInd w:val="0"/>
              <w:spacing w:line="400" w:lineRule="exact"/>
              <w:ind w:firstLine="0"/>
              <w:jc w:val="both"/>
              <w:rPr>
                <w:rFonts w:cs="宋体"/>
                <w:b/>
                <w:bCs/>
                <w:color w:val="auto"/>
                <w:sz w:val="22"/>
                <w:highlight w:val="none"/>
              </w:rPr>
            </w:pPr>
            <w:r>
              <w:rPr>
                <w:rFonts w:hint="eastAsia" w:cs="宋体"/>
                <w:b/>
                <w:bCs/>
                <w:color w:val="auto"/>
                <w:sz w:val="22"/>
                <w:highlight w:val="none"/>
              </w:rPr>
              <w:t>供应商在“政采云平台”完成“电子加密磋商响应文件”的上传递交后，可以（建议）以电子邮件形式在提交磋商响应文件截止时间前传送至采购代理机构邮箱yxgc666@126.com。传送的备份标书需打包压缩并加密，加密密码由</w:t>
            </w:r>
            <w:r>
              <w:rPr>
                <w:rFonts w:hint="eastAsia" w:cs="宋体"/>
                <w:b/>
                <w:bCs/>
                <w:color w:val="auto"/>
                <w:sz w:val="22"/>
                <w:highlight w:val="none"/>
                <w:lang w:val="en-US"/>
              </w:rPr>
              <w:t>供应商</w:t>
            </w:r>
            <w:r>
              <w:rPr>
                <w:rFonts w:hint="eastAsia" w:cs="宋体"/>
                <w:b/>
                <w:bCs/>
                <w:color w:val="auto"/>
                <w:sz w:val="22"/>
                <w:highlight w:val="none"/>
              </w:rPr>
              <w:t>自行保管。</w:t>
            </w:r>
          </w:p>
          <w:p w14:paraId="0CB77EFF">
            <w:pPr>
              <w:pStyle w:val="49"/>
              <w:numPr>
                <w:ilvl w:val="0"/>
                <w:numId w:val="3"/>
              </w:numPr>
              <w:autoSpaceDE w:val="0"/>
              <w:autoSpaceDN w:val="0"/>
              <w:adjustRightInd w:val="0"/>
              <w:spacing w:line="400" w:lineRule="exact"/>
              <w:ind w:firstLine="0"/>
              <w:jc w:val="both"/>
              <w:rPr>
                <w:rFonts w:cs="宋体"/>
                <w:color w:val="auto"/>
                <w:sz w:val="22"/>
                <w:highlight w:val="none"/>
              </w:rPr>
            </w:pPr>
            <w:r>
              <w:rPr>
                <w:rFonts w:hint="eastAsia" w:cs="宋体"/>
                <w:color w:val="auto"/>
                <w:sz w:val="22"/>
                <w:highlight w:val="none"/>
              </w:rPr>
              <w:t>通过“政采云平台”成功上传递交的“电子加密磋商响应文件”已按时解密的，“备份磋商响应文件”自动失效。磋商响应文件递交截止时间前，供应商仅递交了“备份磋商响应文件”的，投标无效。</w:t>
            </w:r>
          </w:p>
        </w:tc>
      </w:tr>
      <w:tr w14:paraId="4685BA1D">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55C91CF">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20</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145AEAF">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电子响应文件的解密和异常情况处理</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767241E">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（1）磋商</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截止时间后，采购组织机构将向各供应商发出解密通知，各供应商代表应当在接到解密通知后登录政采云平台，对电子响应文件进行在线解密（解密</w:t>
            </w:r>
            <w:r>
              <w:rPr>
                <w:rFonts w:hint="eastAsia" w:ascii="宋体" w:hAnsi="宋体" w:cs="宋体"/>
                <w:b/>
                <w:bCs/>
                <w:color w:val="auto"/>
                <w:kern w:val="0"/>
                <w:sz w:val="22"/>
                <w:szCs w:val="22"/>
                <w:highlight w:val="none"/>
              </w:rPr>
              <w:t>电子响应</w:t>
            </w:r>
            <w:r>
              <w:rPr>
                <w:rFonts w:hint="eastAsia" w:ascii="宋体" w:hAnsi="宋体" w:cs="宋体"/>
                <w:b/>
                <w:bCs/>
                <w:color w:val="auto"/>
                <w:kern w:val="0"/>
                <w:sz w:val="22"/>
                <w:szCs w:val="22"/>
                <w:highlight w:val="none"/>
                <w:lang w:val="zh-CN"/>
              </w:rPr>
              <w:t>文件必须插入CA），在线解密电子响应文件时间为接到解密通知后</w:t>
            </w:r>
            <w:r>
              <w:rPr>
                <w:rFonts w:hint="eastAsia" w:ascii="宋体" w:hAnsi="宋体" w:cs="宋体"/>
                <w:b/>
                <w:bCs/>
                <w:color w:val="auto"/>
                <w:kern w:val="0"/>
                <w:sz w:val="22"/>
                <w:szCs w:val="22"/>
                <w:highlight w:val="none"/>
              </w:rPr>
              <w:t>3</w:t>
            </w:r>
            <w:r>
              <w:rPr>
                <w:rFonts w:hint="eastAsia" w:ascii="宋体" w:hAnsi="宋体" w:cs="宋体"/>
                <w:b/>
                <w:bCs/>
                <w:color w:val="auto"/>
                <w:kern w:val="0"/>
                <w:sz w:val="22"/>
                <w:szCs w:val="22"/>
                <w:highlight w:val="none"/>
                <w:lang w:val="zh-CN"/>
              </w:rPr>
              <w:t>0分钟内。</w:t>
            </w:r>
          </w:p>
          <w:p w14:paraId="7249D6A0">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2）异常处理：如政采云上电子响应文件出现解密失败情况，供应商可根据自身意愿确认是否将备份标书压缩包的解密密码传送至采购代理机构邮箱Yxgc666@126.com,采购代理机构收到解密密码后通过【异常处理】的端口对供应商的备份响应文件进行上传（上传成功后，“电子</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文件”自动失效），不能成功上传的视为</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文件撤回）。</w:t>
            </w:r>
          </w:p>
          <w:p w14:paraId="3588257B">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w:t>
            </w:r>
            <w:r>
              <w:rPr>
                <w:rFonts w:hint="eastAsia" w:ascii="宋体" w:hAnsi="宋体" w:cs="宋体"/>
                <w:b/>
                <w:bCs/>
                <w:color w:val="auto"/>
                <w:kern w:val="0"/>
                <w:sz w:val="22"/>
                <w:szCs w:val="22"/>
                <w:highlight w:val="none"/>
              </w:rPr>
              <w:t>3）响应</w:t>
            </w:r>
            <w:r>
              <w:rPr>
                <w:rFonts w:hint="eastAsia" w:ascii="宋体" w:hAnsi="宋体" w:cs="宋体"/>
                <w:b/>
                <w:bCs/>
                <w:color w:val="auto"/>
                <w:kern w:val="0"/>
                <w:sz w:val="22"/>
                <w:szCs w:val="22"/>
                <w:highlight w:val="none"/>
                <w:lang w:val="zh-CN"/>
              </w:rPr>
              <w:t>文件的启用，按先后顺序分别为电子响应文件、以电子邮件形式的备份响应文件，在下一顺位的</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文件启用之后，前一顺位的</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文件自动失效。</w:t>
            </w:r>
          </w:p>
        </w:tc>
      </w:tr>
      <w:tr w14:paraId="1ABDECAA">
        <w:tblPrEx>
          <w:tblCellMar>
            <w:top w:w="0" w:type="dxa"/>
            <w:left w:w="108" w:type="dxa"/>
            <w:bottom w:w="0" w:type="dxa"/>
            <w:right w:w="108" w:type="dxa"/>
          </w:tblCellMar>
        </w:tblPrEx>
        <w:trPr>
          <w:trHeight w:val="538"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1718614">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21</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60C075D">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政采云系统默认供应商自动放弃的情形</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95BFB86">
            <w:pPr>
              <w:numPr>
                <w:ilvl w:val="0"/>
                <w:numId w:val="4"/>
              </w:numPr>
              <w:autoSpaceDE w:val="0"/>
              <w:autoSpaceDN w:val="0"/>
              <w:adjustRightInd w:val="0"/>
              <w:spacing w:line="400" w:lineRule="exact"/>
              <w:ind w:firstLine="0"/>
              <w:rPr>
                <w:rFonts w:ascii="宋体" w:hAnsi="宋体" w:cs="宋体"/>
                <w:b/>
                <w:bCs/>
                <w:color w:val="auto"/>
                <w:sz w:val="22"/>
                <w:szCs w:val="22"/>
                <w:highlight w:val="none"/>
              </w:rPr>
            </w:pPr>
            <w:r>
              <w:rPr>
                <w:rFonts w:hint="eastAsia" w:ascii="宋体" w:hAnsi="宋体" w:cs="宋体"/>
                <w:b/>
                <w:bCs/>
                <w:color w:val="auto"/>
                <w:sz w:val="22"/>
                <w:szCs w:val="22"/>
                <w:highlight w:val="none"/>
              </w:rPr>
              <w:t>供应商未按规定上传电子响应文件的；</w:t>
            </w:r>
          </w:p>
          <w:p w14:paraId="36F2FA7F">
            <w:pPr>
              <w:numPr>
                <w:ilvl w:val="0"/>
                <w:numId w:val="4"/>
              </w:numPr>
              <w:autoSpaceDE w:val="0"/>
              <w:autoSpaceDN w:val="0"/>
              <w:adjustRightInd w:val="0"/>
              <w:spacing w:line="400" w:lineRule="exact"/>
              <w:ind w:firstLine="0"/>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在解密期限内供应商电子响应文件解密失败，且经异常处理后政采云电子交易系统仍未能解决的。</w:t>
            </w:r>
          </w:p>
        </w:tc>
      </w:tr>
      <w:tr w14:paraId="114FF8E1">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6050942">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22</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0A1E9D1">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开标时间</w:t>
            </w:r>
          </w:p>
          <w:p w14:paraId="0CADE50B">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和地点</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33620EB">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详见竞争性磋商公告</w:t>
            </w:r>
          </w:p>
          <w:p w14:paraId="244A2F88">
            <w:pPr>
              <w:pStyle w:val="16"/>
              <w:spacing w:line="400" w:lineRule="exact"/>
              <w:ind w:firstLine="420"/>
              <w:rPr>
                <w:rFonts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注：本项目为电子招投标，相关的招投标流程（</w:t>
            </w:r>
            <w:r>
              <w:rPr>
                <w:rFonts w:hint="eastAsia" w:ascii="宋体" w:hAnsi="宋体" w:eastAsia="宋体" w:cs="宋体"/>
                <w:color w:val="auto"/>
                <w:sz w:val="22"/>
                <w:szCs w:val="22"/>
                <w:highlight w:val="none"/>
              </w:rPr>
              <w:t>磋商</w:t>
            </w:r>
            <w:r>
              <w:rPr>
                <w:rFonts w:hint="eastAsia" w:ascii="宋体" w:hAnsi="宋体" w:eastAsia="宋体" w:cs="宋体"/>
                <w:color w:val="auto"/>
                <w:sz w:val="22"/>
                <w:szCs w:val="22"/>
                <w:highlight w:val="none"/>
                <w:lang w:val="zh-CN"/>
              </w:rPr>
              <w:t>文件下载、电子</w:t>
            </w:r>
            <w:r>
              <w:rPr>
                <w:rFonts w:hint="eastAsia" w:ascii="宋体" w:hAnsi="宋体" w:eastAsia="宋体" w:cs="宋体"/>
                <w:color w:val="auto"/>
                <w:sz w:val="22"/>
                <w:szCs w:val="22"/>
                <w:highlight w:val="none"/>
              </w:rPr>
              <w:t>响应</w:t>
            </w:r>
            <w:r>
              <w:rPr>
                <w:rFonts w:hint="eastAsia" w:ascii="宋体" w:hAnsi="宋体" w:eastAsia="宋体" w:cs="宋体"/>
                <w:color w:val="auto"/>
                <w:sz w:val="22"/>
                <w:szCs w:val="22"/>
                <w:highlight w:val="none"/>
                <w:lang w:val="zh-CN"/>
              </w:rPr>
              <w:t>文件上传、</w:t>
            </w:r>
            <w:r>
              <w:rPr>
                <w:rFonts w:hint="eastAsia" w:ascii="宋体" w:hAnsi="宋体" w:eastAsia="宋体" w:cs="宋体"/>
                <w:color w:val="auto"/>
                <w:sz w:val="22"/>
                <w:szCs w:val="22"/>
                <w:highlight w:val="none"/>
              </w:rPr>
              <w:t>磋商</w:t>
            </w:r>
            <w:r>
              <w:rPr>
                <w:rFonts w:hint="eastAsia" w:ascii="宋体" w:hAnsi="宋体" w:eastAsia="宋体" w:cs="宋体"/>
                <w:color w:val="auto"/>
                <w:sz w:val="22"/>
                <w:szCs w:val="22"/>
                <w:highlight w:val="none"/>
                <w:lang w:val="zh-CN"/>
              </w:rPr>
              <w:t>等程序）均在浙江政府采购网“政府采购云平台”进行，</w:t>
            </w:r>
            <w:r>
              <w:rPr>
                <w:rFonts w:hint="eastAsia" w:ascii="宋体" w:hAnsi="宋体" w:eastAsia="宋体" w:cs="宋体"/>
                <w:color w:val="auto"/>
                <w:sz w:val="22"/>
                <w:szCs w:val="22"/>
                <w:highlight w:val="none"/>
              </w:rPr>
              <w:t>供应商</w:t>
            </w:r>
            <w:r>
              <w:rPr>
                <w:rFonts w:hint="eastAsia" w:ascii="宋体" w:hAnsi="宋体" w:eastAsia="宋体" w:cs="宋体"/>
                <w:color w:val="auto"/>
                <w:sz w:val="22"/>
                <w:szCs w:val="22"/>
                <w:highlight w:val="none"/>
                <w:lang w:val="zh-CN"/>
              </w:rPr>
              <w:t>不必前往现场进行</w:t>
            </w:r>
            <w:r>
              <w:rPr>
                <w:rFonts w:hint="eastAsia" w:ascii="宋体" w:hAnsi="宋体" w:eastAsia="宋体" w:cs="宋体"/>
                <w:color w:val="auto"/>
                <w:sz w:val="22"/>
                <w:szCs w:val="22"/>
                <w:highlight w:val="none"/>
              </w:rPr>
              <w:t>磋商</w:t>
            </w:r>
            <w:r>
              <w:rPr>
                <w:rFonts w:hint="eastAsia" w:ascii="宋体" w:hAnsi="宋体" w:eastAsia="宋体" w:cs="宋体"/>
                <w:color w:val="auto"/>
                <w:sz w:val="22"/>
                <w:szCs w:val="22"/>
                <w:highlight w:val="none"/>
                <w:lang w:val="zh-CN"/>
              </w:rPr>
              <w:t>活动等事宜</w:t>
            </w:r>
          </w:p>
        </w:tc>
      </w:tr>
      <w:tr w14:paraId="737B6C10">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0E9ACBF">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23</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FBE1BF6">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询标澄清</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2CDC6C4">
            <w:pPr>
              <w:autoSpaceDE w:val="0"/>
              <w:autoSpaceDN w:val="0"/>
              <w:adjustRightInd w:val="0"/>
              <w:spacing w:line="400" w:lineRule="exact"/>
              <w:rPr>
                <w:rFonts w:ascii="宋体" w:hAnsi="宋体" w:cs="宋体"/>
                <w:color w:val="auto"/>
                <w:highlight w:val="none"/>
                <w:lang w:val="zh-CN"/>
              </w:rPr>
            </w:pPr>
            <w:r>
              <w:rPr>
                <w:rFonts w:hint="eastAsia" w:ascii="宋体" w:hAnsi="宋体" w:cs="宋体"/>
                <w:color w:val="auto"/>
                <w:highlight w:val="none"/>
                <w:lang w:val="zh-CN"/>
              </w:rPr>
              <w:t>（1）在</w:t>
            </w:r>
            <w:r>
              <w:rPr>
                <w:rFonts w:hint="eastAsia" w:ascii="宋体" w:hAnsi="宋体" w:cs="宋体"/>
                <w:color w:val="auto"/>
                <w:highlight w:val="none"/>
              </w:rPr>
              <w:t>评标</w:t>
            </w:r>
            <w:r>
              <w:rPr>
                <w:rFonts w:hint="eastAsia" w:ascii="宋体" w:hAnsi="宋体" w:cs="宋体"/>
                <w:color w:val="auto"/>
                <w:highlight w:val="none"/>
                <w:lang w:val="zh-CN"/>
              </w:rPr>
              <w:t>过程中，如磋商小组对供应商递交的电子响应文件存有疑问要求供应商进行澄清或根据评审需求需要与供应商进行投标的，将采用在政采云系统上向供应商发起询标函的方式进行。供应商须在“规定时间”内登录政采云系统根据标项回复询标函。</w:t>
            </w:r>
          </w:p>
          <w:p w14:paraId="4A9A9DCC">
            <w:pPr>
              <w:autoSpaceDE w:val="0"/>
              <w:autoSpaceDN w:val="0"/>
              <w:adjustRightInd w:val="0"/>
              <w:spacing w:line="400" w:lineRule="exact"/>
              <w:rPr>
                <w:rFonts w:ascii="宋体" w:hAnsi="宋体" w:cs="宋体"/>
                <w:color w:val="auto"/>
                <w:highlight w:val="none"/>
                <w:lang w:val="zh-CN"/>
              </w:rPr>
            </w:pPr>
            <w:r>
              <w:rPr>
                <w:rFonts w:hint="eastAsia" w:ascii="宋体" w:hAnsi="宋体" w:cs="宋体"/>
                <w:color w:val="auto"/>
                <w:highlight w:val="none"/>
                <w:lang w:val="zh-CN"/>
              </w:rPr>
              <w:t>（</w:t>
            </w:r>
            <w:r>
              <w:rPr>
                <w:rFonts w:hint="eastAsia" w:ascii="宋体" w:hAnsi="宋体" w:cs="宋体"/>
                <w:color w:val="auto"/>
                <w:highlight w:val="none"/>
              </w:rPr>
              <w:t>2</w:t>
            </w:r>
            <w:r>
              <w:rPr>
                <w:rFonts w:hint="eastAsia" w:ascii="宋体" w:hAnsi="宋体" w:cs="宋体"/>
                <w:color w:val="auto"/>
                <w:highlight w:val="none"/>
                <w:lang w:val="zh-CN"/>
              </w:rPr>
              <w:t>）</w:t>
            </w:r>
            <w:r>
              <w:rPr>
                <w:rFonts w:hint="eastAsia" w:ascii="宋体" w:hAnsi="宋体" w:cs="宋体"/>
                <w:color w:val="auto"/>
                <w:highlight w:val="none"/>
              </w:rPr>
              <w:t>在评标</w:t>
            </w:r>
            <w:r>
              <w:rPr>
                <w:rFonts w:hint="eastAsia" w:ascii="宋体" w:hAnsi="宋体" w:cs="宋体"/>
                <w:color w:val="auto"/>
                <w:highlight w:val="none"/>
                <w:lang w:val="zh-CN"/>
              </w:rPr>
              <w:t>过程中，建议各供应商代表应在电脑前及时在线关注评审动态，若因供应商自身原因导致其未能在规定时间内完成询标澄清或多轮报价事宜的，由此造成的后果由供应商自行承担。</w:t>
            </w:r>
          </w:p>
          <w:p w14:paraId="3F801BC5">
            <w:pPr>
              <w:pStyle w:val="16"/>
              <w:spacing w:line="400" w:lineRule="exact"/>
              <w:rPr>
                <w:rFonts w:ascii="宋体" w:hAnsi="宋体" w:eastAsia="宋体" w:cs="宋体"/>
                <w:color w:val="auto"/>
                <w:sz w:val="22"/>
                <w:szCs w:val="22"/>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3</w:t>
            </w:r>
            <w:r>
              <w:rPr>
                <w:rFonts w:hint="eastAsia" w:ascii="宋体" w:hAnsi="宋体" w:eastAsia="宋体" w:cs="宋体"/>
                <w:color w:val="auto"/>
                <w:highlight w:val="none"/>
                <w:lang w:val="zh-CN"/>
              </w:rPr>
              <w:t>）</w:t>
            </w:r>
            <w:r>
              <w:rPr>
                <w:rFonts w:hint="eastAsia" w:ascii="宋体" w:hAnsi="宋体" w:eastAsia="宋体" w:cs="宋体"/>
                <w:b/>
                <w:bCs/>
                <w:color w:val="auto"/>
                <w:highlight w:val="none"/>
                <w:lang w:val="zh-CN"/>
              </w:rPr>
              <w:t>本项目采购过程中，涉及的供应商联系方式（如手机号码、响应文件中预留的邮箱、供应商地址），均以供应商递交的电子响应文件中《法定代表人资格声明书》或《法定代表人授权委托书》上注明的联系方式为准。</w:t>
            </w:r>
          </w:p>
        </w:tc>
      </w:tr>
      <w:tr w14:paraId="02C2E63C">
        <w:tblPrEx>
          <w:tblCellMar>
            <w:top w:w="0" w:type="dxa"/>
            <w:left w:w="108" w:type="dxa"/>
            <w:bottom w:w="0" w:type="dxa"/>
            <w:right w:w="108" w:type="dxa"/>
          </w:tblCellMar>
        </w:tblPrEx>
        <w:trPr>
          <w:trHeight w:val="9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88BD698">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24</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05B5C56">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磋商小组</w:t>
            </w:r>
          </w:p>
          <w:p w14:paraId="511C5C9C">
            <w:pPr>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的组建</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759DDF0">
            <w:pPr>
              <w:spacing w:line="400" w:lineRule="exact"/>
              <w:rPr>
                <w:rFonts w:ascii="宋体" w:hAnsi="宋体" w:cs="宋体"/>
                <w:color w:val="auto"/>
                <w:kern w:val="0"/>
                <w:sz w:val="22"/>
                <w:szCs w:val="22"/>
                <w:highlight w:val="none"/>
                <w:lang w:val="zh-CN"/>
              </w:rPr>
            </w:pPr>
            <w:r>
              <w:rPr>
                <w:rFonts w:hint="eastAsia" w:ascii="宋体" w:hAnsi="宋体" w:cs="宋体"/>
                <w:bCs/>
                <w:color w:val="auto"/>
                <w:sz w:val="22"/>
                <w:szCs w:val="22"/>
                <w:highlight w:val="none"/>
              </w:rPr>
              <w:t>采购人按照《中华人民共和国政府采购法》等有关法律、法规的规定组建磋商小组，磋商小组由采购人代表和有关技术、经济等方面的专家组成，成员人数为3人（含）以上单数，除采购人代表外的专家将在评标专家库中随机抽取产生。</w:t>
            </w:r>
          </w:p>
        </w:tc>
      </w:tr>
      <w:tr w14:paraId="164CAAF5">
        <w:tblPrEx>
          <w:tblCellMar>
            <w:top w:w="0" w:type="dxa"/>
            <w:left w:w="108" w:type="dxa"/>
            <w:bottom w:w="0" w:type="dxa"/>
            <w:right w:w="108" w:type="dxa"/>
          </w:tblCellMar>
        </w:tblPrEx>
        <w:trPr>
          <w:trHeight w:val="9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6F724D7">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25</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568630">
            <w:pPr>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履约担保</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57DF278">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fldChar w:fldCharType="begin"/>
            </w:r>
            <w:r>
              <w:rPr>
                <w:rFonts w:hint="eastAsia" w:ascii="宋体" w:hAnsi="宋体" w:cs="宋体"/>
                <w:color w:val="auto"/>
                <w:kern w:val="0"/>
                <w:sz w:val="22"/>
                <w:szCs w:val="22"/>
                <w:highlight w:val="none"/>
              </w:rPr>
              <w:instrText xml:space="preserve"> eq \o\ac(</w:instrText>
            </w:r>
            <w:r>
              <w:rPr>
                <w:rFonts w:hint="eastAsia" w:ascii="宋体" w:hAnsi="宋体" w:cs="宋体"/>
                <w:color w:val="auto"/>
                <w:kern w:val="0"/>
                <w:position w:val="-4"/>
                <w:sz w:val="22"/>
                <w:szCs w:val="22"/>
                <w:highlight w:val="none"/>
              </w:rPr>
              <w:instrText xml:space="preserve">□</w:instrText>
            </w:r>
            <w:r>
              <w:rPr>
                <w:rFonts w:hint="eastAsia" w:ascii="宋体" w:hAnsi="宋体" w:cs="宋体"/>
                <w:color w:val="auto"/>
                <w:kern w:val="0"/>
                <w:position w:val="-4"/>
                <w:sz w:val="22"/>
                <w:szCs w:val="22"/>
                <w:highlight w:val="none"/>
                <w:lang w:eastAsia="zh-CN"/>
              </w:rPr>
              <w:instrText xml:space="preserve">,</w:instrText>
            </w:r>
            <w:r>
              <w:rPr>
                <w:rFonts w:hint="eastAsia" w:ascii="宋体" w:hAnsi="宋体" w:cs="宋体"/>
                <w:color w:val="auto"/>
                <w:kern w:val="0"/>
                <w:position w:val="-1"/>
                <w:sz w:val="15"/>
                <w:szCs w:val="22"/>
                <w:highlight w:val="none"/>
                <w:lang w:eastAsia="zh-CN"/>
              </w:rPr>
              <w:instrText xml:space="preserve">√</w:instrText>
            </w:r>
            <w:r>
              <w:rPr>
                <w:rFonts w:hint="eastAsia" w:ascii="宋体" w:hAnsi="宋体" w:cs="宋体"/>
                <w:color w:val="auto"/>
                <w:kern w:val="0"/>
                <w:sz w:val="22"/>
                <w:szCs w:val="22"/>
                <w:highlight w:val="none"/>
              </w:rPr>
              <w:instrText xml:space="preserve">)</w:instrText>
            </w:r>
            <w:r>
              <w:rPr>
                <w:rFonts w:hint="eastAsia" w:ascii="宋体" w:hAnsi="宋体" w:cs="宋体"/>
                <w:color w:val="auto"/>
                <w:kern w:val="0"/>
                <w:sz w:val="22"/>
                <w:szCs w:val="22"/>
                <w:highlight w:val="none"/>
              </w:rPr>
              <w:fldChar w:fldCharType="end"/>
            </w:r>
            <w:r>
              <w:rPr>
                <w:rFonts w:hint="eastAsia" w:ascii="宋体" w:hAnsi="宋体" w:cs="宋体"/>
                <w:color w:val="auto"/>
                <w:kern w:val="0"/>
                <w:sz w:val="22"/>
                <w:szCs w:val="22"/>
                <w:highlight w:val="none"/>
              </w:rPr>
              <w:t>不需要</w:t>
            </w:r>
          </w:p>
          <w:p w14:paraId="71415FE2">
            <w:pPr>
              <w:spacing w:line="400" w:lineRule="exact"/>
              <w:rPr>
                <w:rFonts w:hint="default"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rPr>
              <w:fldChar w:fldCharType="begin"/>
            </w:r>
            <w:r>
              <w:rPr>
                <w:rFonts w:hint="eastAsia" w:ascii="宋体" w:hAnsi="宋体" w:cs="宋体"/>
                <w:color w:val="auto"/>
                <w:kern w:val="0"/>
                <w:sz w:val="22"/>
                <w:szCs w:val="22"/>
                <w:highlight w:val="none"/>
              </w:rPr>
              <w:instrText xml:space="preserve"> eq \o\ac(□)</w:instrText>
            </w:r>
            <w:r>
              <w:rPr>
                <w:rFonts w:hint="eastAsia" w:ascii="宋体" w:hAnsi="宋体" w:cs="宋体"/>
                <w:color w:val="auto"/>
                <w:kern w:val="0"/>
                <w:sz w:val="22"/>
                <w:szCs w:val="22"/>
                <w:highlight w:val="none"/>
              </w:rPr>
              <w:fldChar w:fldCharType="end"/>
            </w:r>
            <w:r>
              <w:rPr>
                <w:rFonts w:hint="eastAsia" w:ascii="宋体" w:hAnsi="宋体" w:cs="宋体"/>
                <w:color w:val="auto"/>
                <w:kern w:val="0"/>
                <w:sz w:val="22"/>
                <w:szCs w:val="22"/>
                <w:highlight w:val="none"/>
              </w:rPr>
              <w:t xml:space="preserve">需要 </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合同金额的1%</w:t>
            </w:r>
          </w:p>
        </w:tc>
      </w:tr>
      <w:tr w14:paraId="02FEE4BE">
        <w:tblPrEx>
          <w:tblCellMar>
            <w:top w:w="0" w:type="dxa"/>
            <w:left w:w="108" w:type="dxa"/>
            <w:bottom w:w="0" w:type="dxa"/>
            <w:right w:w="108" w:type="dxa"/>
          </w:tblCellMar>
        </w:tblPrEx>
        <w:trPr>
          <w:trHeight w:val="554"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18DB8BC">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26</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4AEA773">
            <w:pPr>
              <w:adjustRightInd w:val="0"/>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政府采购</w:t>
            </w:r>
          </w:p>
          <w:p w14:paraId="6F89653A">
            <w:pPr>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扶持政策</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329549D">
            <w:pPr>
              <w:numPr>
                <w:ilvl w:val="0"/>
                <w:numId w:val="5"/>
              </w:numPr>
              <w:autoSpaceDE w:val="0"/>
              <w:autoSpaceDN w:val="0"/>
              <w:adjustRightInd w:val="0"/>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中小微企业扶持政策</w:t>
            </w:r>
          </w:p>
          <w:p w14:paraId="7F8F542F">
            <w:p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1）本次采购</w:t>
            </w:r>
            <w:r>
              <w:rPr>
                <w:rFonts w:hint="eastAsia" w:ascii="宋体" w:hAnsi="宋体" w:cs="宋体"/>
                <w:b/>
                <w:bCs/>
                <w:color w:val="auto"/>
                <w:sz w:val="22"/>
                <w:szCs w:val="22"/>
                <w:highlight w:val="none"/>
                <w:u w:val="single"/>
              </w:rPr>
              <w:t xml:space="preserve"> 是 </w:t>
            </w:r>
            <w:r>
              <w:rPr>
                <w:rFonts w:hint="eastAsia" w:ascii="宋体" w:hAnsi="宋体" w:cs="宋体"/>
                <w:color w:val="auto"/>
                <w:sz w:val="22"/>
                <w:szCs w:val="22"/>
                <w:highlight w:val="none"/>
                <w:lang w:val="zh-CN"/>
              </w:rPr>
              <w:t>专门</w:t>
            </w:r>
            <w:r>
              <w:rPr>
                <w:rFonts w:hint="eastAsia" w:ascii="宋体" w:hAnsi="宋体" w:cs="宋体"/>
                <w:color w:val="auto"/>
                <w:sz w:val="22"/>
                <w:szCs w:val="22"/>
                <w:highlight w:val="none"/>
                <w:lang w:val="en-US" w:eastAsia="zh-CN"/>
              </w:rPr>
              <w:t>为</w:t>
            </w:r>
            <w:r>
              <w:rPr>
                <w:rFonts w:hint="eastAsia" w:ascii="宋体" w:hAnsi="宋体" w:cs="宋体"/>
                <w:color w:val="auto"/>
                <w:sz w:val="22"/>
                <w:szCs w:val="22"/>
                <w:highlight w:val="none"/>
                <w:lang w:val="zh-CN"/>
              </w:rPr>
              <w:t>中小企业预留采购份额的采购项目。</w:t>
            </w:r>
          </w:p>
          <w:p w14:paraId="3B3323E0">
            <w:p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69346FA">
            <w:pPr>
              <w:autoSpaceDE w:val="0"/>
              <w:autoSpaceDN w:val="0"/>
              <w:adjustRightInd w:val="0"/>
              <w:spacing w:line="400" w:lineRule="exact"/>
              <w:rPr>
                <w:rFonts w:hint="eastAsia" w:ascii="宋体" w:hAnsi="宋体" w:eastAsia="宋体" w:cs="宋体"/>
                <w:b w:val="0"/>
                <w:bCs w:val="0"/>
                <w:color w:val="auto"/>
                <w:sz w:val="22"/>
                <w:szCs w:val="22"/>
                <w:highlight w:val="none"/>
                <w:lang w:val="zh-CN"/>
              </w:rPr>
            </w:pPr>
            <w:r>
              <w:rPr>
                <w:rFonts w:hint="eastAsia" w:ascii="宋体" w:hAnsi="宋体" w:cs="宋体"/>
                <w:color w:val="auto"/>
                <w:sz w:val="22"/>
                <w:szCs w:val="22"/>
                <w:highlight w:val="none"/>
                <w:lang w:val="zh-CN"/>
              </w:rPr>
              <w:t>3）本次采购对应的中小企业划分标准所属行业是：</w:t>
            </w:r>
            <w:r>
              <w:rPr>
                <w:rFonts w:hint="eastAsia" w:ascii="宋体" w:hAnsi="宋体" w:cs="新宋体"/>
                <w:b/>
                <w:bCs/>
                <w:color w:val="auto"/>
                <w:kern w:val="0"/>
                <w:sz w:val="22"/>
                <w:highlight w:val="none"/>
                <w:u w:val="single"/>
                <w:lang w:val="zh-CN"/>
              </w:rPr>
              <w:t>其他未列明行业</w:t>
            </w:r>
            <w:r>
              <w:rPr>
                <w:rFonts w:ascii="宋体" w:hAnsi="宋体" w:cs="新宋体"/>
                <w:color w:val="auto"/>
                <w:kern w:val="0"/>
                <w:sz w:val="22"/>
                <w:highlight w:val="none"/>
                <w:lang w:val="zh-CN"/>
              </w:rPr>
              <w:t>（</w:t>
            </w:r>
            <w:r>
              <w:rPr>
                <w:rFonts w:hint="eastAsia" w:ascii="宋体" w:hAnsi="宋体" w:cs="宋体"/>
                <w:color w:val="auto"/>
                <w:sz w:val="22"/>
                <w:szCs w:val="22"/>
                <w:highlight w:val="none"/>
                <w:lang w:val="zh-CN"/>
              </w:rPr>
              <w:t>从业人员300人以下的为中小微型企业。其中，从业人员100人及以上的为中型企业；从业人员10人及以上的为小型企业；从业人员10人以下的为微型企业</w:t>
            </w:r>
            <w:r>
              <w:rPr>
                <w:rFonts w:hint="eastAsia" w:ascii="宋体" w:hAnsi="宋体" w:eastAsia="宋体" w:cs="宋体"/>
                <w:b w:val="0"/>
                <w:bCs w:val="0"/>
                <w:color w:val="auto"/>
                <w:sz w:val="22"/>
                <w:szCs w:val="22"/>
                <w:highlight w:val="none"/>
                <w:lang w:val="zh-CN"/>
              </w:rPr>
              <w:t>）</w:t>
            </w:r>
          </w:p>
          <w:p w14:paraId="6347B4D9">
            <w:p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4）以联合体形式参加政府采购活动，联合体各方均为小微企业的，联合体视同小微企业。</w:t>
            </w:r>
          </w:p>
          <w:p w14:paraId="6DCD0158">
            <w:p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5）供应商应当出具《中小企业声明函》，否则</w:t>
            </w:r>
            <w:r>
              <w:rPr>
                <w:rFonts w:hint="eastAsia" w:ascii="宋体" w:hAnsi="宋体" w:cs="宋体"/>
                <w:color w:val="auto"/>
                <w:sz w:val="22"/>
                <w:szCs w:val="22"/>
                <w:highlight w:val="none"/>
              </w:rPr>
              <w:t>资格审查不予通过</w:t>
            </w:r>
            <w:r>
              <w:rPr>
                <w:rFonts w:hint="eastAsia" w:ascii="宋体" w:hAnsi="宋体" w:cs="宋体"/>
                <w:color w:val="auto"/>
                <w:sz w:val="22"/>
                <w:szCs w:val="22"/>
                <w:highlight w:val="none"/>
                <w:lang w:val="zh-CN"/>
              </w:rPr>
              <w:t>。</w:t>
            </w:r>
          </w:p>
          <w:p w14:paraId="3FEC6022">
            <w:p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6）残疾人福利性单位视同小微企业，享受小微企业同等的价格扣除。残疾人福利性单位参加政府采购活动时，应当提供《残疾人福利性单位声明函》。</w:t>
            </w:r>
          </w:p>
          <w:p w14:paraId="12F4B6E9">
            <w:pPr>
              <w:pStyle w:val="16"/>
              <w:spacing w:line="400" w:lineRule="exac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rPr>
              <w:t>7</w:t>
            </w:r>
            <w:r>
              <w:rPr>
                <w:rFonts w:hint="eastAsia" w:ascii="宋体" w:hAnsi="宋体" w:eastAsia="宋体" w:cs="宋体"/>
                <w:color w:val="auto"/>
                <w:sz w:val="22"/>
                <w:szCs w:val="22"/>
                <w:highlight w:val="none"/>
                <w:lang w:val="zh-CN"/>
              </w:rPr>
              <w:t>）监狱企业视同小</w:t>
            </w:r>
          </w:p>
          <w:p w14:paraId="6A23784F">
            <w:pPr>
              <w:pStyle w:val="16"/>
              <w:spacing w:line="400" w:lineRule="exact"/>
              <w:rPr>
                <w:rFonts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微企业，享受小微企业同等的价格扣除。监狱企业参加政府采购活动时，应当提供监狱企业声明函。</w:t>
            </w:r>
          </w:p>
          <w:p w14:paraId="378BC046">
            <w:pPr>
              <w:numPr>
                <w:ilvl w:val="0"/>
                <w:numId w:val="5"/>
              </w:num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节能产品 、环境标志产品扶持政策说明</w:t>
            </w:r>
          </w:p>
          <w:p w14:paraId="160A7260">
            <w:pPr>
              <w:autoSpaceDE w:val="0"/>
              <w:autoSpaceDN w:val="0"/>
              <w:adjustRightInd w:val="0"/>
              <w:spacing w:line="400" w:lineRule="exact"/>
              <w:ind w:firstLine="442" w:firstLineChars="200"/>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供应商所投产品属于节能产品或环境标志产品，给予适当加分。</w:t>
            </w:r>
          </w:p>
          <w:p w14:paraId="6076539F">
            <w:pPr>
              <w:autoSpaceDE w:val="0"/>
              <w:autoSpaceDN w:val="0"/>
              <w:adjustRightInd w:val="0"/>
              <w:spacing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详见评分细则。</w:t>
            </w:r>
          </w:p>
          <w:p w14:paraId="5D3F9957">
            <w:pPr>
              <w:numPr>
                <w:ilvl w:val="0"/>
                <w:numId w:val="5"/>
              </w:num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政府采购金融服务相关信息告知函</w:t>
            </w:r>
          </w:p>
          <w:p w14:paraId="398E4CEC">
            <w:pPr>
              <w:autoSpaceDE w:val="0"/>
              <w:autoSpaceDN w:val="0"/>
              <w:adjustRightInd w:val="0"/>
              <w:spacing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为优化政府采购营商环境，缓解供应商资金难题，助力打赢疫情防控阻击战，根据浙江省财政厅印发《关于坚决打赢疫情防控阻击战进一步做好政府采购资金支持企业发展工作的通知（浙财采监【2020】3号）》文件的精神，现将政府采购金融服务相关信息予以告知。</w:t>
            </w:r>
          </w:p>
          <w:p w14:paraId="4E89A155">
            <w:pPr>
              <w:autoSpaceDE w:val="0"/>
              <w:autoSpaceDN w:val="0"/>
              <w:adjustRightInd w:val="0"/>
              <w:spacing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r w14:paraId="11F2DF77">
        <w:tblPrEx>
          <w:tblCellMar>
            <w:top w:w="0" w:type="dxa"/>
            <w:left w:w="108" w:type="dxa"/>
            <w:bottom w:w="0" w:type="dxa"/>
            <w:right w:w="108" w:type="dxa"/>
          </w:tblCellMar>
        </w:tblPrEx>
        <w:trPr>
          <w:trHeight w:val="988"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824A04B">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27</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F8EB80D">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供应商信用查询</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5194C1A">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（1）供应商信用信息查询的查询渠道：“信用中国”(</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宋体" w:hAnsi="宋体" w:cs="宋体"/>
                <w:color w:val="auto"/>
                <w:sz w:val="22"/>
                <w:szCs w:val="22"/>
                <w:highlight w:val="none"/>
              </w:rPr>
              <w:t>www.creditchina.gov.cn</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t>)；“中国政府采购网”（http://www.ccgp.gov.cn/）；</w:t>
            </w:r>
          </w:p>
          <w:p w14:paraId="77A559F8">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（2）供应商信用信息查询记录和证据留存的具体方式：网页截图打印；</w:t>
            </w:r>
          </w:p>
          <w:p w14:paraId="1007AA70">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（3）信用信息的使用规则：</w:t>
            </w:r>
          </w:p>
          <w:p w14:paraId="61233459">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①在“信用中国”具有负面记录：列入失信被执行人、重大税收违法案件当事人名单、政府采购严重违法失信行为名单；</w:t>
            </w:r>
          </w:p>
          <w:p w14:paraId="4F8EC5E8">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②被“中国政府采购网”(www.ccgp.gov.cn)列入政府采购严重违法失信行为记录名单。</w:t>
            </w:r>
          </w:p>
          <w:p w14:paraId="3C1F7C3E">
            <w:pPr>
              <w:spacing w:line="400" w:lineRule="exact"/>
              <w:jc w:val="left"/>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（4）具有以上（3）所述信息记录的供应商，其投标做无效投标处理。</w:t>
            </w:r>
          </w:p>
        </w:tc>
      </w:tr>
      <w:tr w14:paraId="711DA9C4">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7396A43">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28</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0E0CE30">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合同备案</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1DD630E">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（1）成交供应商在中标通知书发出之日起30日历天内与采购人签订合同。</w:t>
            </w:r>
          </w:p>
          <w:p w14:paraId="7FE95AAD">
            <w:pPr>
              <w:spacing w:line="400" w:lineRule="exact"/>
              <w:jc w:val="left"/>
              <w:rPr>
                <w:rFonts w:ascii="宋体" w:hAnsi="宋体" w:cs="宋体"/>
                <w:color w:val="auto"/>
                <w:kern w:val="0"/>
                <w:sz w:val="22"/>
                <w:szCs w:val="22"/>
                <w:highlight w:val="none"/>
              </w:rPr>
            </w:pPr>
            <w:r>
              <w:rPr>
                <w:rFonts w:hint="eastAsia" w:ascii="宋体" w:hAnsi="宋体" w:cs="宋体"/>
                <w:color w:val="auto"/>
                <w:sz w:val="22"/>
                <w:szCs w:val="22"/>
                <w:highlight w:val="none"/>
              </w:rPr>
              <w:t>（2）成交供应商与采购人签订合同后，2日历天内将合同扫描件电子版发给采购代理机构：邮箱：</w:t>
            </w:r>
            <w:r>
              <w:rPr>
                <w:rFonts w:hint="eastAsia" w:ascii="宋体" w:hAnsi="宋体" w:cs="宋体"/>
                <w:b/>
                <w:color w:val="auto"/>
                <w:sz w:val="22"/>
                <w:szCs w:val="22"/>
                <w:highlight w:val="none"/>
                <w:u w:val="single"/>
              </w:rPr>
              <w:t>Yxgc666@126.com</w:t>
            </w:r>
            <w:r>
              <w:rPr>
                <w:rFonts w:hint="eastAsia" w:ascii="宋体" w:hAnsi="宋体" w:cs="宋体"/>
                <w:color w:val="auto"/>
                <w:sz w:val="22"/>
                <w:szCs w:val="22"/>
                <w:highlight w:val="none"/>
              </w:rPr>
              <w:t>。</w:t>
            </w:r>
          </w:p>
        </w:tc>
      </w:tr>
      <w:tr w14:paraId="09010B31">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2B81231">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29</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A730D10">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合同履约管理</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AB00339">
            <w:pPr>
              <w:spacing w:line="400" w:lineRule="exact"/>
              <w:jc w:val="left"/>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合同签订后，采购人依法加强对合同履约进行管理，并在中标单位服务、项目验收等重要关节，如实填写《合同验收报告》（或考核资料），并及时向同级财政部门报告验收过程中遇到的问题。</w:t>
            </w:r>
          </w:p>
        </w:tc>
      </w:tr>
      <w:tr w14:paraId="65272609">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8E0B6F7">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30</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E8F7433">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解释权</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CC74920">
            <w:pPr>
              <w:spacing w:line="400" w:lineRule="exact"/>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构成本竞争性磋商文件的各个组成文件应互为解释，互为说明；如有不明确或不一致，构成合同文件组成内容的，以合同文件约定内容为准，且以专用合同条款约定的合同文件优先顺序解释；仅适用于采购投标阶段的约定，按竞争性磋商公告、供应商须知、磋商办法、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6E90C549">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A953D1C">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31</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8244926">
            <w:pPr>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rPr>
              <w:t>采购代理服务费</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DFF32E0">
            <w:pPr>
              <w:spacing w:line="400" w:lineRule="exact"/>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rPr>
              <w:t>（1）本次采购代理服务费</w:t>
            </w:r>
            <w:r>
              <w:rPr>
                <w:rFonts w:hint="eastAsia" w:ascii="新宋体" w:hAnsi="新宋体" w:eastAsia="新宋体" w:cs="新宋体"/>
                <w:color w:val="auto"/>
                <w:sz w:val="22"/>
                <w:szCs w:val="22"/>
                <w:highlight w:val="none"/>
                <w:lang w:val="en-US" w:eastAsia="zh-CN"/>
              </w:rPr>
              <w:t>按</w:t>
            </w:r>
            <w:r>
              <w:rPr>
                <w:rFonts w:hint="eastAsia" w:ascii="宋体" w:hAnsi="宋体" w:eastAsia="宋体" w:cs="宋体"/>
                <w:color w:val="auto"/>
                <w:sz w:val="22"/>
                <w:szCs w:val="22"/>
                <w:highlight w:val="none"/>
              </w:rPr>
              <w:t>固定金额人民币</w:t>
            </w:r>
            <w:r>
              <w:rPr>
                <w:rFonts w:hint="eastAsia" w:ascii="宋体" w:hAnsi="宋体" w:cs="宋体"/>
                <w:b/>
                <w:bCs/>
                <w:color w:val="auto"/>
                <w:sz w:val="22"/>
                <w:szCs w:val="22"/>
                <w:highlight w:val="none"/>
                <w:lang w:val="en-US" w:eastAsia="zh-CN"/>
              </w:rPr>
              <w:t>10380</w:t>
            </w:r>
            <w:r>
              <w:rPr>
                <w:rFonts w:hint="eastAsia" w:ascii="宋体" w:hAnsi="宋体" w:eastAsia="宋体" w:cs="宋体"/>
                <w:color w:val="auto"/>
                <w:sz w:val="22"/>
                <w:szCs w:val="22"/>
                <w:highlight w:val="none"/>
              </w:rPr>
              <w:t>收取</w:t>
            </w:r>
            <w:r>
              <w:rPr>
                <w:rFonts w:hint="eastAsia" w:ascii="新宋体" w:hAnsi="新宋体" w:eastAsia="新宋体" w:cs="新宋体"/>
                <w:color w:val="auto"/>
                <w:sz w:val="22"/>
                <w:szCs w:val="22"/>
                <w:highlight w:val="none"/>
              </w:rPr>
              <w:t>，</w:t>
            </w:r>
            <w:r>
              <w:rPr>
                <w:rFonts w:hint="eastAsia" w:ascii="宋体" w:hAnsi="宋体" w:cs="宋体"/>
                <w:color w:val="auto"/>
                <w:sz w:val="22"/>
                <w:szCs w:val="22"/>
                <w:highlight w:val="none"/>
              </w:rPr>
              <w:t>由成交单位在领取成交通知书之前支付给采购代理机构，由中标（成交）单位一次性支付给采购代理机构，</w:t>
            </w:r>
            <w:r>
              <w:rPr>
                <w:rFonts w:hint="eastAsia" w:ascii="宋体" w:hAnsi="宋体" w:cs="宋体"/>
                <w:color w:val="auto"/>
                <w:sz w:val="22"/>
                <w:szCs w:val="22"/>
                <w:highlight w:val="none"/>
                <w:lang w:eastAsia="zh-CN"/>
              </w:rPr>
              <w:t>供应商</w:t>
            </w:r>
            <w:r>
              <w:rPr>
                <w:rFonts w:hint="eastAsia" w:ascii="宋体" w:hAnsi="宋体" w:cs="宋体"/>
                <w:color w:val="auto"/>
                <w:sz w:val="22"/>
                <w:szCs w:val="22"/>
                <w:highlight w:val="none"/>
              </w:rPr>
              <w:t>在报价时应充分考虑该部分费用；（计费标准：以采购预算为计费基准，按计价格2002（1980）号文件</w:t>
            </w:r>
            <w:r>
              <w:rPr>
                <w:rFonts w:hint="eastAsia" w:ascii="宋体" w:hAnsi="宋体" w:cs="宋体"/>
                <w:color w:val="auto"/>
                <w:sz w:val="22"/>
                <w:szCs w:val="22"/>
                <w:highlight w:val="none"/>
                <w:lang w:val="en-US" w:eastAsia="zh-CN"/>
              </w:rPr>
              <w:t>服务</w:t>
            </w:r>
            <w:r>
              <w:rPr>
                <w:rFonts w:hint="eastAsia" w:ascii="宋体" w:hAnsi="宋体" w:cs="宋体"/>
                <w:color w:val="auto"/>
                <w:sz w:val="22"/>
                <w:szCs w:val="22"/>
                <w:highlight w:val="none"/>
              </w:rPr>
              <w:t>类标准计算）</w:t>
            </w:r>
          </w:p>
          <w:p w14:paraId="14EAE42D">
            <w:pPr>
              <w:spacing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（2）采购代理服务费可以是现金、支票或汇票。</w:t>
            </w:r>
          </w:p>
          <w:p w14:paraId="11C6B999">
            <w:pPr>
              <w:pStyle w:val="49"/>
              <w:rPr>
                <w:rFonts w:hint="eastAsia" w:cs="宋体"/>
                <w:color w:val="auto"/>
                <w:sz w:val="22"/>
                <w:szCs w:val="22"/>
                <w:highlight w:val="none"/>
                <w:lang w:val="en-US" w:eastAsia="zh-CN"/>
              </w:rPr>
            </w:pPr>
            <w:r>
              <w:rPr>
                <w:rFonts w:hint="eastAsia" w:cs="宋体"/>
                <w:color w:val="auto"/>
                <w:sz w:val="22"/>
                <w:szCs w:val="22"/>
                <w:highlight w:val="none"/>
                <w:lang w:eastAsia="zh-CN"/>
              </w:rPr>
              <w:t>（</w:t>
            </w:r>
            <w:r>
              <w:rPr>
                <w:rFonts w:hint="eastAsia" w:cs="宋体"/>
                <w:color w:val="auto"/>
                <w:sz w:val="22"/>
                <w:szCs w:val="22"/>
                <w:highlight w:val="none"/>
                <w:lang w:val="en-US" w:eastAsia="zh-CN"/>
              </w:rPr>
              <w:t>3）银行信息</w:t>
            </w:r>
          </w:p>
          <w:p w14:paraId="5E32303C">
            <w:pPr>
              <w:pStyle w:val="49"/>
              <w:ind w:firstLine="440" w:firstLineChars="200"/>
              <w:rPr>
                <w:rFonts w:hint="eastAsia" w:cs="宋体"/>
                <w:color w:val="auto"/>
                <w:sz w:val="22"/>
                <w:szCs w:val="22"/>
                <w:highlight w:val="none"/>
                <w:lang w:val="en-US" w:eastAsia="zh-CN"/>
              </w:rPr>
            </w:pPr>
            <w:r>
              <w:rPr>
                <w:rFonts w:hint="eastAsia" w:cs="宋体"/>
                <w:color w:val="auto"/>
                <w:sz w:val="22"/>
                <w:szCs w:val="22"/>
                <w:highlight w:val="none"/>
                <w:lang w:val="en-US" w:eastAsia="zh-CN"/>
              </w:rPr>
              <w:t>户    名:温州元信工程项目管理有限公司</w:t>
            </w:r>
          </w:p>
          <w:p w14:paraId="26FA0A68">
            <w:pPr>
              <w:pStyle w:val="49"/>
              <w:ind w:firstLine="440" w:firstLineChars="200"/>
              <w:rPr>
                <w:rFonts w:hint="eastAsia" w:cs="宋体"/>
                <w:color w:val="auto"/>
                <w:sz w:val="22"/>
                <w:szCs w:val="22"/>
                <w:highlight w:val="none"/>
                <w:lang w:val="en-US" w:eastAsia="zh-CN"/>
              </w:rPr>
            </w:pPr>
            <w:r>
              <w:rPr>
                <w:rFonts w:hint="eastAsia" w:cs="宋体"/>
                <w:color w:val="auto"/>
                <w:sz w:val="22"/>
                <w:szCs w:val="22"/>
                <w:highlight w:val="none"/>
                <w:lang w:val="en-US" w:eastAsia="zh-CN"/>
              </w:rPr>
              <w:t>账户号码:201000300425754</w:t>
            </w:r>
          </w:p>
          <w:p w14:paraId="221A7630">
            <w:pPr>
              <w:pStyle w:val="49"/>
              <w:ind w:firstLine="440" w:firstLineChars="200"/>
              <w:rPr>
                <w:rFonts w:hint="default" w:eastAsia="宋体"/>
                <w:color w:val="auto"/>
                <w:highlight w:val="none"/>
                <w:lang w:val="en-US" w:eastAsia="zh-CN"/>
              </w:rPr>
            </w:pPr>
            <w:r>
              <w:rPr>
                <w:rFonts w:hint="eastAsia" w:cs="宋体"/>
                <w:color w:val="auto"/>
                <w:sz w:val="22"/>
                <w:szCs w:val="22"/>
                <w:highlight w:val="none"/>
                <w:lang w:val="en-US" w:eastAsia="zh-CN"/>
              </w:rPr>
              <w:t>开户银行:瓯海农村商业银行股份有限公司新桥支行高翔分理处</w:t>
            </w:r>
          </w:p>
        </w:tc>
      </w:tr>
    </w:tbl>
    <w:p w14:paraId="667BCBFC">
      <w:pPr>
        <w:spacing w:before="100" w:beforeAutospacing="1" w:after="100" w:afterAutospacing="1" w:line="440" w:lineRule="exact"/>
        <w:jc w:val="center"/>
        <w:outlineLvl w:val="0"/>
        <w:rPr>
          <w:rFonts w:ascii="宋体" w:hAnsi="宋体" w:cs="宋体"/>
          <w:b/>
          <w:bCs/>
          <w:color w:val="auto"/>
          <w:sz w:val="26"/>
          <w:szCs w:val="26"/>
          <w:highlight w:val="none"/>
        </w:rPr>
      </w:pPr>
      <w:bookmarkStart w:id="52" w:name="_Toc32482"/>
      <w:r>
        <w:rPr>
          <w:rFonts w:hint="eastAsia" w:ascii="宋体" w:hAnsi="宋体" w:cs="宋体"/>
          <w:b/>
          <w:bCs/>
          <w:color w:val="auto"/>
          <w:sz w:val="26"/>
          <w:szCs w:val="26"/>
          <w:highlight w:val="none"/>
        </w:rPr>
        <w:t>二、说明</w:t>
      </w:r>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2"/>
    </w:p>
    <w:p w14:paraId="6B07F14F">
      <w:pPr>
        <w:numPr>
          <w:ilvl w:val="0"/>
          <w:numId w:val="6"/>
        </w:numPr>
        <w:tabs>
          <w:tab w:val="clear" w:pos="562"/>
        </w:tabs>
        <w:spacing w:line="400" w:lineRule="exact"/>
        <w:ind w:left="540" w:hanging="540"/>
        <w:rPr>
          <w:rFonts w:ascii="宋体" w:hAnsi="宋体" w:cs="宋体"/>
          <w:color w:val="auto"/>
          <w:sz w:val="22"/>
          <w:szCs w:val="22"/>
          <w:highlight w:val="none"/>
        </w:rPr>
      </w:pPr>
      <w:r>
        <w:rPr>
          <w:rFonts w:hint="eastAsia" w:ascii="宋体" w:hAnsi="宋体" w:cs="宋体"/>
          <w:color w:val="auto"/>
          <w:sz w:val="22"/>
          <w:szCs w:val="22"/>
          <w:highlight w:val="none"/>
        </w:rPr>
        <w:t>本次采购是按照《中华人民共和国政府采购法》、《政府采购货物和服务采购投标管理办法》、</w:t>
      </w:r>
      <w:r>
        <w:rPr>
          <w:rFonts w:hint="eastAsia" w:ascii="宋体" w:hAnsi="宋体" w:cs="宋体"/>
          <w:color w:val="auto"/>
          <w:kern w:val="0"/>
          <w:sz w:val="22"/>
          <w:szCs w:val="22"/>
          <w:highlight w:val="none"/>
        </w:rPr>
        <w:t>《政府采购竞争性磋商采购方式管理暂行办法》</w:t>
      </w:r>
      <w:r>
        <w:rPr>
          <w:rFonts w:hint="eastAsia" w:ascii="宋体" w:hAnsi="宋体" w:cs="宋体"/>
          <w:color w:val="auto"/>
          <w:sz w:val="22"/>
          <w:szCs w:val="22"/>
          <w:highlight w:val="none"/>
        </w:rPr>
        <w:t>等法律及有关法规组织和实施的。</w:t>
      </w:r>
    </w:p>
    <w:p w14:paraId="1A35B1B1">
      <w:pPr>
        <w:numPr>
          <w:ilvl w:val="0"/>
          <w:numId w:val="6"/>
        </w:numPr>
        <w:tabs>
          <w:tab w:val="left" w:pos="900"/>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合格供应商要求以磋商公告对供应商资格条件要求的表述为准。</w:t>
      </w:r>
    </w:p>
    <w:p w14:paraId="7861278C">
      <w:pPr>
        <w:numPr>
          <w:ilvl w:val="0"/>
          <w:numId w:val="6"/>
        </w:numPr>
        <w:tabs>
          <w:tab w:val="clear" w:pos="562"/>
        </w:tabs>
        <w:spacing w:line="400" w:lineRule="exact"/>
        <w:ind w:left="540" w:hanging="540"/>
        <w:rPr>
          <w:rFonts w:ascii="宋体" w:hAnsi="宋体" w:cs="宋体"/>
          <w:color w:val="auto"/>
          <w:sz w:val="22"/>
          <w:szCs w:val="22"/>
          <w:highlight w:val="none"/>
        </w:rPr>
      </w:pPr>
      <w:r>
        <w:rPr>
          <w:rFonts w:hint="eastAsia" w:ascii="宋体" w:hAnsi="宋体" w:cs="宋体"/>
          <w:color w:val="auto"/>
          <w:sz w:val="22"/>
          <w:szCs w:val="22"/>
          <w:highlight w:val="none"/>
        </w:rPr>
        <w:t>磋商供应商代表</w:t>
      </w:r>
    </w:p>
    <w:p w14:paraId="7C79F50F">
      <w:pPr>
        <w:spacing w:line="400" w:lineRule="exact"/>
        <w:ind w:left="538" w:leftChars="256"/>
        <w:rPr>
          <w:rFonts w:ascii="宋体" w:hAnsi="宋体" w:cs="宋体"/>
          <w:color w:val="auto"/>
          <w:sz w:val="22"/>
          <w:szCs w:val="22"/>
          <w:highlight w:val="none"/>
        </w:rPr>
      </w:pPr>
      <w:r>
        <w:rPr>
          <w:rFonts w:hint="eastAsia" w:ascii="宋体" w:hAnsi="宋体" w:cs="宋体"/>
          <w:color w:val="auto"/>
          <w:sz w:val="22"/>
          <w:szCs w:val="22"/>
          <w:highlight w:val="none"/>
        </w:rPr>
        <w:t>指全权代表磋商供应商参加磋商活动并签署磋商响应文件的人。如果磋商供应商代表不是法定代表人（负责人），须持有《法定代表人（负责人）授权书》。</w:t>
      </w:r>
    </w:p>
    <w:p w14:paraId="48C6D3C4">
      <w:pPr>
        <w:numPr>
          <w:ilvl w:val="0"/>
          <w:numId w:val="6"/>
        </w:numPr>
        <w:tabs>
          <w:tab w:val="clear" w:pos="562"/>
        </w:tabs>
        <w:spacing w:line="400" w:lineRule="exact"/>
        <w:ind w:left="540" w:hanging="540"/>
        <w:rPr>
          <w:rFonts w:ascii="宋体" w:hAnsi="宋体" w:cs="宋体"/>
          <w:color w:val="auto"/>
          <w:sz w:val="22"/>
          <w:szCs w:val="22"/>
          <w:highlight w:val="none"/>
        </w:rPr>
      </w:pPr>
      <w:r>
        <w:rPr>
          <w:rFonts w:hint="eastAsia" w:ascii="宋体" w:hAnsi="宋体" w:cs="宋体"/>
          <w:color w:val="auto"/>
          <w:sz w:val="22"/>
          <w:szCs w:val="22"/>
          <w:highlight w:val="none"/>
        </w:rPr>
        <w:t>磋商费用</w:t>
      </w:r>
    </w:p>
    <w:p w14:paraId="23995700">
      <w:pPr>
        <w:spacing w:line="400" w:lineRule="exact"/>
        <w:ind w:left="538" w:leftChars="256"/>
        <w:rPr>
          <w:rFonts w:ascii="宋体" w:hAnsi="宋体" w:cs="宋体"/>
          <w:color w:val="auto"/>
          <w:sz w:val="22"/>
          <w:szCs w:val="22"/>
          <w:highlight w:val="none"/>
        </w:rPr>
      </w:pPr>
      <w:r>
        <w:rPr>
          <w:rFonts w:hint="eastAsia" w:ascii="宋体" w:hAnsi="宋体" w:cs="宋体"/>
          <w:color w:val="auto"/>
          <w:sz w:val="22"/>
          <w:szCs w:val="22"/>
          <w:highlight w:val="none"/>
        </w:rPr>
        <w:t>磋商供应商应承担所有与准备和参加磋商有关费用，不论磋商的结果如何，采购人均无义务和责任承担这些费用。</w:t>
      </w:r>
    </w:p>
    <w:p w14:paraId="170A6E8A">
      <w:pPr>
        <w:numPr>
          <w:ilvl w:val="0"/>
          <w:numId w:val="6"/>
        </w:numPr>
        <w:tabs>
          <w:tab w:val="clear" w:pos="562"/>
        </w:tabs>
        <w:spacing w:line="400" w:lineRule="exact"/>
        <w:ind w:left="540" w:hanging="540"/>
        <w:rPr>
          <w:rFonts w:ascii="宋体" w:hAnsi="宋体" w:cs="宋体"/>
          <w:color w:val="auto"/>
          <w:sz w:val="22"/>
          <w:szCs w:val="22"/>
          <w:highlight w:val="none"/>
        </w:rPr>
      </w:pPr>
      <w:r>
        <w:rPr>
          <w:rFonts w:hint="eastAsia" w:ascii="宋体" w:hAnsi="宋体" w:cs="宋体"/>
          <w:color w:val="auto"/>
          <w:sz w:val="22"/>
          <w:szCs w:val="22"/>
          <w:highlight w:val="none"/>
        </w:rPr>
        <w:t>优化政府采购金融服务</w:t>
      </w:r>
    </w:p>
    <w:p w14:paraId="60680626">
      <w:pPr>
        <w:spacing w:line="400" w:lineRule="exact"/>
        <w:rPr>
          <w:rFonts w:ascii="宋体" w:hAnsi="宋体" w:cs="宋体"/>
          <w:bCs/>
          <w:color w:val="auto"/>
          <w:spacing w:val="6"/>
          <w:sz w:val="22"/>
          <w:highlight w:val="none"/>
        </w:rPr>
      </w:pPr>
      <w:r>
        <w:rPr>
          <w:rFonts w:hint="eastAsia" w:ascii="宋体" w:hAnsi="宋体" w:cs="宋体"/>
          <w:bCs/>
          <w:color w:val="auto"/>
          <w:spacing w:val="6"/>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3E51499B">
      <w:pPr>
        <w:numPr>
          <w:ilvl w:val="0"/>
          <w:numId w:val="6"/>
        </w:numPr>
        <w:tabs>
          <w:tab w:val="clear" w:pos="562"/>
        </w:tabs>
        <w:spacing w:line="400" w:lineRule="exact"/>
        <w:ind w:left="540" w:hanging="540"/>
        <w:rPr>
          <w:rFonts w:ascii="宋体" w:hAnsi="宋体" w:cs="宋体"/>
          <w:color w:val="auto"/>
          <w:sz w:val="22"/>
          <w:szCs w:val="22"/>
          <w:highlight w:val="none"/>
        </w:rPr>
      </w:pPr>
      <w:r>
        <w:rPr>
          <w:rFonts w:hint="eastAsia" w:ascii="宋体" w:hAnsi="宋体" w:cs="宋体"/>
          <w:color w:val="auto"/>
          <w:sz w:val="22"/>
          <w:szCs w:val="22"/>
          <w:highlight w:val="none"/>
        </w:rPr>
        <w:t>特别说明：</w:t>
      </w:r>
    </w:p>
    <w:p w14:paraId="732256F9">
      <w:pPr>
        <w:numPr>
          <w:ilvl w:val="1"/>
          <w:numId w:val="7"/>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供应商应仔细阅读磋商文件的所有内容，按照磋商文件的要求提交磋商响应文件，并对所提供的全部资料的真实性承担法律责任。</w:t>
      </w:r>
    </w:p>
    <w:p w14:paraId="7EE41429">
      <w:pPr>
        <w:numPr>
          <w:ilvl w:val="1"/>
          <w:numId w:val="7"/>
        </w:numPr>
        <w:tabs>
          <w:tab w:val="clear" w:pos="992"/>
        </w:tabs>
        <w:spacing w:line="400" w:lineRule="exact"/>
        <w:ind w:left="640"/>
        <w:rPr>
          <w:rFonts w:ascii="宋体" w:hAnsi="宋体" w:cs="宋体"/>
          <w:color w:val="auto"/>
          <w:sz w:val="22"/>
          <w:szCs w:val="22"/>
          <w:highlight w:val="none"/>
        </w:rPr>
      </w:pPr>
      <w:bookmarkStart w:id="53" w:name="_Hlk37697637"/>
      <w:r>
        <w:rPr>
          <w:rFonts w:hint="eastAsia" w:ascii="宋体" w:hAnsi="宋体" w:cs="宋体"/>
          <w:color w:val="auto"/>
          <w:sz w:val="22"/>
          <w:szCs w:val="22"/>
          <w:highlight w:val="none"/>
        </w:rPr>
        <w:t>使用综合评分法的采购项目，提供相同品牌产品且通过资格审查、符合性审查的不同供应商参加同一合同项下投标的，按一家供应商计算，评审后得分最高的同品牌供应商获得成交供应商推荐资格；评审得分相同的，由采购人或者采购人委托磋商小组按照磋商文件规定的方式确定一个供应商获得成交供应商推荐资格，磋商文件未规定的采取随机抽取方式确定，其他同品牌供应商不作为成交候选供应商。</w:t>
      </w:r>
    </w:p>
    <w:p w14:paraId="0CF92BC0">
      <w:pPr>
        <w:numPr>
          <w:ilvl w:val="1"/>
          <w:numId w:val="7"/>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非单一产品采购项目，采购人应当根据采购项目技术构成、产品价格比重等合理确定核心产品，并在磋商文件中载明。多家供应商提供的核心产品品牌相同的，按前两款规定处理。</w:t>
      </w:r>
      <w:bookmarkEnd w:id="53"/>
    </w:p>
    <w:p w14:paraId="7E9F8938">
      <w:pPr>
        <w:numPr>
          <w:ilvl w:val="1"/>
          <w:numId w:val="7"/>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14:paraId="4CBFE409">
      <w:pPr>
        <w:numPr>
          <w:ilvl w:val="1"/>
          <w:numId w:val="7"/>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供应商在投标活动中提供任何虚假材料，其投标无效，并报监管部门查处；成交后发现的，成交供应商须依照《中华人民共和国消费者权益保护法》第49条之规定双倍赔偿采购人，且民事赔偿并不免除违法供应商的行政与刑事责任。</w:t>
      </w:r>
    </w:p>
    <w:p w14:paraId="421116AA">
      <w:pPr>
        <w:numPr>
          <w:ilvl w:val="1"/>
          <w:numId w:val="7"/>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lang w:val="zh-CN"/>
        </w:rPr>
        <w:t>非浙江政府采购网注册的供应商或发生变更且未及时更新的供应商，应当在规定时间内按照《浙江省政府采购供应商注册及诚信管理暂行办法》（浙财采监字［2009］28号）的相关规定及时办理更新或供应商注册事项。一旦被确定为成交供应商的，在合同签订前按本办法的规定完成注册并成为正式注册供应商。</w:t>
      </w:r>
    </w:p>
    <w:p w14:paraId="2CB29C30">
      <w:pPr>
        <w:spacing w:before="100" w:beforeAutospacing="1" w:after="100" w:afterAutospacing="1" w:line="440" w:lineRule="exact"/>
        <w:jc w:val="center"/>
        <w:outlineLvl w:val="0"/>
        <w:rPr>
          <w:rFonts w:ascii="宋体" w:hAnsi="宋体" w:cs="宋体"/>
          <w:b/>
          <w:bCs/>
          <w:color w:val="auto"/>
          <w:sz w:val="26"/>
          <w:szCs w:val="26"/>
          <w:highlight w:val="none"/>
        </w:rPr>
      </w:pPr>
      <w:bookmarkStart w:id="54" w:name="_Toc32266"/>
      <w:bookmarkStart w:id="55" w:name="_Toc221356949"/>
      <w:bookmarkStart w:id="56" w:name="_Toc221356884"/>
      <w:bookmarkStart w:id="57" w:name="_Toc221374624"/>
      <w:bookmarkStart w:id="58" w:name="_Toc222114877"/>
      <w:bookmarkStart w:id="59" w:name="_Toc245191312"/>
      <w:bookmarkStart w:id="60" w:name="_Toc223715996"/>
      <w:bookmarkStart w:id="61" w:name="_Toc221423617"/>
      <w:bookmarkStart w:id="62" w:name="_Toc245722279"/>
      <w:bookmarkStart w:id="63" w:name="_Toc246261263"/>
      <w:bookmarkStart w:id="64" w:name="_Toc239145352"/>
      <w:bookmarkStart w:id="65" w:name="_Toc262105501"/>
      <w:bookmarkStart w:id="66" w:name="_Toc249758710"/>
      <w:bookmarkStart w:id="67" w:name="_Toc249758862"/>
      <w:bookmarkStart w:id="68" w:name="_Toc262049416"/>
      <w:bookmarkStart w:id="69" w:name="_Toc241404200"/>
      <w:r>
        <w:rPr>
          <w:rFonts w:hint="eastAsia" w:ascii="宋体" w:hAnsi="宋体" w:cs="宋体"/>
          <w:b/>
          <w:bCs/>
          <w:color w:val="auto"/>
          <w:sz w:val="26"/>
          <w:szCs w:val="26"/>
          <w:highlight w:val="none"/>
        </w:rPr>
        <w:t>三、 磋商文件</w:t>
      </w:r>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14:paraId="5DF6165E">
      <w:pPr>
        <w:numPr>
          <w:ilvl w:val="0"/>
          <w:numId w:val="8"/>
        </w:numPr>
        <w:tabs>
          <w:tab w:val="left" w:pos="425"/>
          <w:tab w:val="left" w:pos="90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 xml:space="preserve"> 磋商文件由磋商磋商文件目录所列内容及相关资料组成。</w:t>
      </w:r>
    </w:p>
    <w:p w14:paraId="76AF30CB">
      <w:pPr>
        <w:numPr>
          <w:ilvl w:val="0"/>
          <w:numId w:val="8"/>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磋商文件的澄清</w:t>
      </w:r>
    </w:p>
    <w:p w14:paraId="50217675">
      <w:pPr>
        <w:numPr>
          <w:ilvl w:val="1"/>
          <w:numId w:val="9"/>
        </w:numPr>
        <w:spacing w:line="400" w:lineRule="exact"/>
        <w:ind w:left="525" w:hanging="420"/>
        <w:rPr>
          <w:rFonts w:ascii="宋体" w:hAnsi="宋体" w:cs="宋体"/>
          <w:color w:val="auto"/>
          <w:sz w:val="22"/>
          <w:szCs w:val="22"/>
          <w:highlight w:val="none"/>
        </w:rPr>
      </w:pPr>
      <w:r>
        <w:rPr>
          <w:rFonts w:hint="eastAsia" w:ascii="宋体" w:hAnsi="宋体" w:cs="宋体"/>
          <w:color w:val="auto"/>
          <w:sz w:val="22"/>
          <w:szCs w:val="22"/>
          <w:highlight w:val="none"/>
        </w:rPr>
        <w:t xml:space="preserve">  供应商对磋商文件如有疑点或未尽事宜要求澄清，或认为有必要进行说明或交流，供应商可以在知道或应知其权益受到损害之日起三个工作日内，以书面形式（包括信函、传真、下同）向采购人提出质疑，但质疑不得迟于报价文件递交截止时间5日前使采购人收到，采购人将用书面形式予以答复。如有必要，可将不说明问题来源的答复发给各有关磋商供应商或召开答疑会。如果标书答疑期内未收到有关疑问，视为供应商完全同意磋商文件所有条款，且对于磋商文件相关表述以及未尽事宜如有争议，以采购人解释为准。</w:t>
      </w:r>
    </w:p>
    <w:p w14:paraId="6C1BF6F8">
      <w:pPr>
        <w:numPr>
          <w:ilvl w:val="0"/>
          <w:numId w:val="8"/>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磋商文件的修改</w:t>
      </w:r>
    </w:p>
    <w:p w14:paraId="4E47A82B">
      <w:pPr>
        <w:numPr>
          <w:ilvl w:val="1"/>
          <w:numId w:val="10"/>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在磋商响应文件递交截止期5天前，采购人无论是出于何种原因，均可对磋商文件用补充文件的方式进行修改，并在</w:t>
      </w:r>
      <w:r>
        <w:rPr>
          <w:rFonts w:hint="eastAsia" w:ascii="宋体" w:hAnsi="宋体" w:cs="宋体"/>
          <w:bCs/>
          <w:color w:val="auto"/>
          <w:sz w:val="22"/>
          <w:szCs w:val="22"/>
          <w:highlight w:val="none"/>
        </w:rPr>
        <w:t>浙江政府采购网</w:t>
      </w:r>
      <w:r>
        <w:rPr>
          <w:rFonts w:hint="eastAsia" w:ascii="宋体" w:hAnsi="宋体" w:cs="宋体"/>
          <w:color w:val="auto"/>
          <w:sz w:val="22"/>
          <w:szCs w:val="22"/>
          <w:highlight w:val="none"/>
        </w:rPr>
        <w:t>上发布更正公告。该澄清和修改的内容为磋商文件的组成部分。采购人可以视采购具体情况在磋商文件要求提交截止时间三天前，作出延长报价文件递交截止时间和磋商时间的决定，并将变更时间书面通知所有磋商文件收受人，并在</w:t>
      </w:r>
      <w:r>
        <w:rPr>
          <w:rFonts w:hint="eastAsia" w:ascii="宋体" w:hAnsi="宋体" w:cs="宋体"/>
          <w:bCs/>
          <w:color w:val="auto"/>
          <w:sz w:val="22"/>
          <w:szCs w:val="22"/>
          <w:highlight w:val="none"/>
        </w:rPr>
        <w:t>浙江政府采购网</w:t>
      </w:r>
      <w:r>
        <w:rPr>
          <w:rFonts w:hint="eastAsia" w:ascii="宋体" w:hAnsi="宋体" w:cs="宋体"/>
          <w:color w:val="auto"/>
          <w:sz w:val="22"/>
          <w:szCs w:val="22"/>
          <w:highlight w:val="none"/>
        </w:rPr>
        <w:t>上发布变更公告。</w:t>
      </w:r>
    </w:p>
    <w:p w14:paraId="2836D9B4">
      <w:pPr>
        <w:numPr>
          <w:ilvl w:val="1"/>
          <w:numId w:val="10"/>
        </w:numPr>
        <w:tabs>
          <w:tab w:val="clear" w:pos="992"/>
        </w:tabs>
        <w:spacing w:line="400" w:lineRule="exact"/>
        <w:ind w:left="640"/>
        <w:rPr>
          <w:rFonts w:ascii="宋体" w:hAnsi="宋体" w:cs="宋体"/>
          <w:color w:val="auto"/>
          <w:sz w:val="22"/>
          <w:szCs w:val="22"/>
          <w:highlight w:val="none"/>
        </w:rPr>
      </w:pPr>
      <w:r>
        <w:rPr>
          <w:rFonts w:hint="eastAsia" w:ascii="宋体" w:hAnsi="宋体" w:cs="宋体"/>
          <w:bCs/>
          <w:color w:val="auto"/>
          <w:sz w:val="22"/>
          <w:szCs w:val="22"/>
          <w:highlight w:val="none"/>
        </w:rPr>
        <w:t>磋商文件如有补充更正均见浙江政府采购网（http://www.zjzfcg.gov.cn/）。供应商须自行查看是否有补充更正文件，并按补充更正文件要求磋商，否则责任自负</w:t>
      </w:r>
      <w:r>
        <w:rPr>
          <w:rFonts w:hint="eastAsia" w:ascii="宋体" w:hAnsi="宋体" w:cs="宋体"/>
          <w:color w:val="auto"/>
          <w:sz w:val="22"/>
          <w:szCs w:val="22"/>
          <w:highlight w:val="none"/>
        </w:rPr>
        <w:t>。</w:t>
      </w:r>
    </w:p>
    <w:p w14:paraId="519FDF68">
      <w:pPr>
        <w:numPr>
          <w:ilvl w:val="0"/>
          <w:numId w:val="8"/>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质疑</w:t>
      </w:r>
    </w:p>
    <w:p w14:paraId="11310D3F">
      <w:pPr>
        <w:numPr>
          <w:ilvl w:val="1"/>
          <w:numId w:val="11"/>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pacing w:val="6"/>
          <w:sz w:val="22"/>
          <w:highlight w:val="none"/>
        </w:rPr>
        <w:t>供应商认为磋商文件、采购过程、成交或者成交结果使自己的权益受到损害的，可以在知道</w:t>
      </w:r>
      <w:r>
        <w:rPr>
          <w:rFonts w:hint="eastAsia" w:ascii="宋体" w:hAnsi="宋体" w:cs="宋体"/>
          <w:color w:val="auto"/>
          <w:sz w:val="22"/>
          <w:szCs w:val="22"/>
          <w:highlight w:val="none"/>
        </w:rPr>
        <w:t>或者应知其权益受到损害之日起7个工作日内，以书面形式向采购人、采购代理机构提出质疑。逾期提出的，采购组织机构将不予受理、答复。</w:t>
      </w:r>
    </w:p>
    <w:p w14:paraId="25165684">
      <w:pPr>
        <w:numPr>
          <w:ilvl w:val="1"/>
          <w:numId w:val="11"/>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供应商提出质疑应当提交质疑函和必要的证明材料，质疑函范本请到“浙江政府采购网下载专区”下载，质疑函内容及签署等相关要求请参看《政府采购质疑和投诉办法》相关规定。</w:t>
      </w:r>
    </w:p>
    <w:p w14:paraId="1EE6A762">
      <w:pPr>
        <w:numPr>
          <w:ilvl w:val="1"/>
          <w:numId w:val="11"/>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提出质疑的供应商应当是参与本项目</w:t>
      </w:r>
      <w:r>
        <w:rPr>
          <w:rFonts w:hint="eastAsia" w:ascii="宋体" w:hAnsi="宋体" w:cs="宋体"/>
          <w:color w:val="auto"/>
          <w:sz w:val="22"/>
          <w:szCs w:val="22"/>
          <w:highlight w:val="none"/>
          <w:lang w:val="en-US" w:eastAsia="zh-CN"/>
        </w:rPr>
        <w:t>采购</w:t>
      </w:r>
      <w:r>
        <w:rPr>
          <w:rFonts w:hint="eastAsia" w:ascii="宋体" w:hAnsi="宋体" w:cs="宋体"/>
          <w:color w:val="auto"/>
          <w:sz w:val="22"/>
          <w:szCs w:val="22"/>
          <w:highlight w:val="none"/>
        </w:rPr>
        <w:t>活动的供应商。供应商在法定质疑期内一次性提出针对同一采购程序环节的质疑。</w:t>
      </w:r>
    </w:p>
    <w:p w14:paraId="3EAA92C1">
      <w:pPr>
        <w:numPr>
          <w:ilvl w:val="1"/>
          <w:numId w:val="11"/>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根据《政府采购质疑和投诉办法》第三十七条的规定，投诉人在全国范围12个月内三次以上投诉查无实据的，由财政部门列入不良行为记录名单。</w:t>
      </w:r>
    </w:p>
    <w:p w14:paraId="25840941">
      <w:pPr>
        <w:numPr>
          <w:ilvl w:val="0"/>
          <w:numId w:val="8"/>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投诉</w:t>
      </w:r>
    </w:p>
    <w:p w14:paraId="45520198">
      <w:pPr>
        <w:tabs>
          <w:tab w:val="left" w:pos="540"/>
        </w:tabs>
        <w:spacing w:line="400" w:lineRule="exact"/>
        <w:ind w:firstLine="464" w:firstLineChars="200"/>
        <w:rPr>
          <w:rFonts w:ascii="宋体" w:hAnsi="宋体" w:cs="宋体"/>
          <w:color w:val="auto"/>
          <w:sz w:val="22"/>
          <w:szCs w:val="22"/>
          <w:highlight w:val="none"/>
        </w:rPr>
      </w:pPr>
      <w:r>
        <w:rPr>
          <w:rFonts w:hint="eastAsia" w:ascii="宋体" w:hAnsi="宋体" w:cs="宋体"/>
          <w:color w:val="auto"/>
          <w:spacing w:val="6"/>
          <w:sz w:val="22"/>
          <w:highlight w:val="none"/>
        </w:rPr>
        <w:t>质疑供应商对采购人、采购代理机构的答复不满意或者采购人、采购代理机构未在规定的时间内作出答复的，可以在答复期满后十五个工作日内向同级政府采购监督部门投诉。投诉书范本请到“浙江政府采购网下载专区”下载。</w:t>
      </w:r>
    </w:p>
    <w:p w14:paraId="11DD9D3F">
      <w:pPr>
        <w:spacing w:before="100" w:beforeAutospacing="1" w:after="100" w:afterAutospacing="1" w:line="440" w:lineRule="exact"/>
        <w:jc w:val="center"/>
        <w:outlineLvl w:val="0"/>
        <w:rPr>
          <w:rFonts w:ascii="宋体" w:hAnsi="宋体" w:cs="宋体"/>
          <w:b/>
          <w:bCs/>
          <w:color w:val="auto"/>
          <w:sz w:val="26"/>
          <w:szCs w:val="26"/>
          <w:highlight w:val="none"/>
        </w:rPr>
      </w:pPr>
      <w:bookmarkStart w:id="70" w:name="_Toc262049417"/>
      <w:bookmarkStart w:id="71" w:name="_Toc245191313"/>
      <w:bookmarkStart w:id="72" w:name="_Toc223715997"/>
      <w:bookmarkStart w:id="73" w:name="_Toc222114878"/>
      <w:bookmarkStart w:id="74" w:name="_Toc245722280"/>
      <w:bookmarkStart w:id="75" w:name="_Toc249758711"/>
      <w:bookmarkStart w:id="76" w:name="_Toc7107"/>
      <w:bookmarkStart w:id="77" w:name="_Toc221356885"/>
      <w:bookmarkStart w:id="78" w:name="_Toc221356950"/>
      <w:bookmarkStart w:id="79" w:name="_Toc221423618"/>
      <w:bookmarkStart w:id="80" w:name="_Toc239145353"/>
      <w:bookmarkStart w:id="81" w:name="_Toc246261264"/>
      <w:bookmarkStart w:id="82" w:name="_Toc241404201"/>
      <w:bookmarkStart w:id="83" w:name="_Toc249758863"/>
      <w:bookmarkStart w:id="84" w:name="_Toc262105502"/>
      <w:bookmarkStart w:id="85" w:name="_Toc221374625"/>
      <w:r>
        <w:rPr>
          <w:rFonts w:hint="eastAsia" w:ascii="宋体" w:hAnsi="宋体" w:cs="宋体"/>
          <w:b/>
          <w:bCs/>
          <w:color w:val="auto"/>
          <w:sz w:val="26"/>
          <w:szCs w:val="26"/>
          <w:highlight w:val="none"/>
        </w:rPr>
        <w:t>四、 磋商响应文件的编制</w:t>
      </w:r>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4CB58FFC">
      <w:pPr>
        <w:numPr>
          <w:ilvl w:val="0"/>
          <w:numId w:val="1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磋商供应商应认真阅读磋商文件中所有事项格式、条款和技术规范等。</w:t>
      </w:r>
      <w:r>
        <w:rPr>
          <w:rFonts w:hint="eastAsia" w:ascii="宋体" w:hAnsi="宋体" w:cs="宋体"/>
          <w:b/>
          <w:color w:val="auto"/>
          <w:sz w:val="22"/>
          <w:szCs w:val="22"/>
          <w:highlight w:val="none"/>
        </w:rPr>
        <w:t>磋商供应商没有按照磋商文件要求提交全部资料，或者没有对磋商文件各个方面做出实质性响应，导致报价被拒绝的风险由供应商人自行承担。</w:t>
      </w:r>
    </w:p>
    <w:p w14:paraId="00F687BB">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磋商响应文件的构成</w:t>
      </w:r>
    </w:p>
    <w:p w14:paraId="12CC8C14">
      <w:pPr>
        <w:tabs>
          <w:tab w:val="left" w:pos="360"/>
          <w:tab w:val="left" w:pos="1135"/>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磋商响应文件由由资格文件、报价文件、商务技术文件三部分构成：</w:t>
      </w:r>
    </w:p>
    <w:p w14:paraId="44AF1ED4">
      <w:pPr>
        <w:spacing w:line="400" w:lineRule="exact"/>
        <w:ind w:left="187" w:leftChars="85" w:hanging="9" w:hangingChars="4"/>
        <w:rPr>
          <w:rFonts w:ascii="宋体" w:hAnsi="宋体" w:cs="宋体"/>
          <w:b/>
          <w:color w:val="auto"/>
          <w:sz w:val="22"/>
          <w:szCs w:val="22"/>
          <w:highlight w:val="none"/>
        </w:rPr>
      </w:pPr>
      <w:r>
        <w:rPr>
          <w:rFonts w:hint="eastAsia" w:ascii="宋体" w:hAnsi="宋体" w:cs="宋体"/>
          <w:b/>
          <w:color w:val="auto"/>
          <w:sz w:val="22"/>
          <w:szCs w:val="22"/>
          <w:highlight w:val="none"/>
        </w:rPr>
        <w:t>（1）资格文件</w:t>
      </w:r>
    </w:p>
    <w:tbl>
      <w:tblPr>
        <w:tblStyle w:val="38"/>
        <w:tblW w:w="9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7503"/>
        <w:gridCol w:w="1520"/>
      </w:tblGrid>
      <w:tr w14:paraId="20636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46CFF63E">
            <w:pPr>
              <w:overflowPunct w:val="0"/>
              <w:spacing w:line="40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序号</w:t>
            </w:r>
          </w:p>
        </w:tc>
        <w:tc>
          <w:tcPr>
            <w:tcW w:w="7503" w:type="dxa"/>
            <w:vAlign w:val="center"/>
          </w:tcPr>
          <w:p w14:paraId="66AF7B75">
            <w:pPr>
              <w:overflowPunct w:val="0"/>
              <w:spacing w:line="40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内 容</w:t>
            </w:r>
          </w:p>
        </w:tc>
        <w:tc>
          <w:tcPr>
            <w:tcW w:w="1520" w:type="dxa"/>
            <w:vAlign w:val="center"/>
          </w:tcPr>
          <w:p w14:paraId="194A46F2">
            <w:pPr>
              <w:overflowPunct w:val="0"/>
              <w:spacing w:line="40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备注</w:t>
            </w:r>
          </w:p>
        </w:tc>
      </w:tr>
      <w:tr w14:paraId="7EBFD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8" w:hRule="atLeast"/>
        </w:trPr>
        <w:tc>
          <w:tcPr>
            <w:tcW w:w="815" w:type="dxa"/>
            <w:vAlign w:val="center"/>
          </w:tcPr>
          <w:p w14:paraId="2BCA922E">
            <w:pPr>
              <w:spacing w:line="400" w:lineRule="exact"/>
              <w:jc w:val="center"/>
              <w:rPr>
                <w:rFonts w:ascii="宋体" w:hAnsi="宋体" w:cs="宋体"/>
                <w:bCs/>
                <w:color w:val="auto"/>
                <w:sz w:val="22"/>
                <w:szCs w:val="22"/>
                <w:highlight w:val="none"/>
              </w:rPr>
            </w:pPr>
            <w:r>
              <w:rPr>
                <w:rFonts w:hint="eastAsia" w:ascii="宋体" w:hAnsi="宋体" w:cs="宋体"/>
                <w:color w:val="auto"/>
                <w:sz w:val="22"/>
                <w:szCs w:val="22"/>
                <w:highlight w:val="none"/>
              </w:rPr>
              <w:t>1）</w:t>
            </w:r>
          </w:p>
        </w:tc>
        <w:tc>
          <w:tcPr>
            <w:tcW w:w="7503" w:type="dxa"/>
            <w:vAlign w:val="center"/>
          </w:tcPr>
          <w:p w14:paraId="266E1A2D">
            <w:pPr>
              <w:spacing w:line="400" w:lineRule="exact"/>
              <w:rPr>
                <w:rFonts w:ascii="宋体" w:hAnsi="宋体" w:cs="宋体"/>
                <w:bCs/>
                <w:color w:val="auto"/>
                <w:sz w:val="22"/>
                <w:szCs w:val="22"/>
                <w:highlight w:val="none"/>
              </w:rPr>
            </w:pPr>
            <w:r>
              <w:rPr>
                <w:rFonts w:hint="eastAsia" w:ascii="宋体" w:hAnsi="宋体" w:cs="宋体"/>
                <w:color w:val="auto"/>
                <w:sz w:val="22"/>
                <w:szCs w:val="22"/>
                <w:highlight w:val="none"/>
              </w:rPr>
              <w:t>营业执照(或事业法人登记证书或其它工商等登记证明材料；自然人参与政府采购，提供身份证)复印件、税务登记证(或其它缴纳证明材料)复印件、社保登记证（或其它缴纳证明材料）复印件；实施“五证合一、一照一码”登记制度改革的，只需提供改革后取得的营业执照复印件；</w:t>
            </w:r>
          </w:p>
        </w:tc>
        <w:tc>
          <w:tcPr>
            <w:tcW w:w="1520" w:type="dxa"/>
            <w:vAlign w:val="center"/>
          </w:tcPr>
          <w:p w14:paraId="15C75CC0">
            <w:pPr>
              <w:overflowPunct w:val="0"/>
              <w:spacing w:line="400" w:lineRule="exact"/>
              <w:jc w:val="center"/>
              <w:rPr>
                <w:rFonts w:ascii="宋体" w:hAnsi="宋体" w:cs="宋体"/>
                <w:b/>
                <w:color w:val="auto"/>
                <w:sz w:val="22"/>
                <w:szCs w:val="22"/>
                <w:highlight w:val="none"/>
              </w:rPr>
            </w:pPr>
          </w:p>
        </w:tc>
      </w:tr>
      <w:tr w14:paraId="72C28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7BC4E7F7">
            <w:pPr>
              <w:spacing w:line="400" w:lineRule="exact"/>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rPr>
              <w:t>2）</w:t>
            </w:r>
          </w:p>
        </w:tc>
        <w:tc>
          <w:tcPr>
            <w:tcW w:w="7503" w:type="dxa"/>
            <w:vAlign w:val="center"/>
          </w:tcPr>
          <w:p w14:paraId="5579B99A">
            <w:p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法定代表人声明书或法定代表人授权书</w:t>
            </w:r>
          </w:p>
        </w:tc>
        <w:tc>
          <w:tcPr>
            <w:tcW w:w="1520" w:type="dxa"/>
            <w:vMerge w:val="restart"/>
            <w:vAlign w:val="center"/>
          </w:tcPr>
          <w:p w14:paraId="78E61A34">
            <w:pPr>
              <w:spacing w:line="40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附件一</w:t>
            </w:r>
          </w:p>
        </w:tc>
      </w:tr>
      <w:tr w14:paraId="43DC5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1569D3C9">
            <w:pPr>
              <w:spacing w:line="400" w:lineRule="exact"/>
              <w:jc w:val="center"/>
              <w:rPr>
                <w:rFonts w:ascii="宋体" w:hAnsi="宋体" w:eastAsia="宋体" w:cs="宋体"/>
                <w:bCs/>
                <w:color w:val="auto"/>
                <w:kern w:val="2"/>
                <w:sz w:val="22"/>
                <w:szCs w:val="22"/>
                <w:highlight w:val="none"/>
                <w:lang w:val="en-US" w:eastAsia="zh-CN" w:bidi="ar-SA"/>
              </w:rPr>
            </w:pPr>
            <w:r>
              <w:rPr>
                <w:rFonts w:hint="eastAsia" w:ascii="宋体" w:hAnsi="宋体" w:cs="宋体"/>
                <w:color w:val="auto"/>
                <w:sz w:val="22"/>
                <w:szCs w:val="22"/>
                <w:highlight w:val="none"/>
              </w:rPr>
              <w:t>3）</w:t>
            </w:r>
          </w:p>
        </w:tc>
        <w:tc>
          <w:tcPr>
            <w:tcW w:w="7503" w:type="dxa"/>
            <w:vAlign w:val="center"/>
          </w:tcPr>
          <w:p w14:paraId="45BC4C26">
            <w:p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lang w:eastAsia="zh-CN"/>
              </w:rPr>
              <w:t>供应商</w:t>
            </w:r>
            <w:r>
              <w:rPr>
                <w:rFonts w:hint="eastAsia" w:ascii="宋体" w:hAnsi="宋体" w:cs="宋体"/>
                <w:bCs/>
                <w:color w:val="auto"/>
                <w:sz w:val="22"/>
                <w:szCs w:val="22"/>
                <w:highlight w:val="none"/>
              </w:rPr>
              <w:t>参与政府采购活动投标资格声明函</w:t>
            </w:r>
          </w:p>
        </w:tc>
        <w:tc>
          <w:tcPr>
            <w:tcW w:w="1520" w:type="dxa"/>
            <w:vMerge w:val="continue"/>
            <w:vAlign w:val="center"/>
          </w:tcPr>
          <w:p w14:paraId="69EF8E72">
            <w:pPr>
              <w:spacing w:line="400" w:lineRule="exact"/>
              <w:jc w:val="center"/>
              <w:rPr>
                <w:rFonts w:ascii="宋体" w:hAnsi="宋体" w:cs="宋体"/>
                <w:color w:val="auto"/>
                <w:sz w:val="22"/>
                <w:szCs w:val="22"/>
                <w:highlight w:val="none"/>
              </w:rPr>
            </w:pPr>
          </w:p>
        </w:tc>
      </w:tr>
      <w:tr w14:paraId="32CBA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125EBA72">
            <w:pPr>
              <w:spacing w:line="400" w:lineRule="exact"/>
              <w:jc w:val="center"/>
              <w:rPr>
                <w:rFonts w:ascii="宋体" w:hAnsi="宋体" w:eastAsia="宋体" w:cs="宋体"/>
                <w:bCs/>
                <w:color w:val="auto"/>
                <w:kern w:val="2"/>
                <w:sz w:val="22"/>
                <w:szCs w:val="22"/>
                <w:highlight w:val="none"/>
                <w:lang w:val="en-US" w:eastAsia="zh-CN" w:bidi="ar-SA"/>
              </w:rPr>
            </w:pPr>
            <w:r>
              <w:rPr>
                <w:rFonts w:hint="eastAsia" w:ascii="宋体" w:hAnsi="宋体" w:cs="宋体"/>
                <w:color w:val="auto"/>
                <w:sz w:val="22"/>
                <w:szCs w:val="22"/>
                <w:highlight w:val="none"/>
              </w:rPr>
              <w:t>4）</w:t>
            </w:r>
          </w:p>
        </w:tc>
        <w:tc>
          <w:tcPr>
            <w:tcW w:w="7503" w:type="dxa"/>
            <w:vAlign w:val="center"/>
          </w:tcPr>
          <w:p w14:paraId="23D4D18B">
            <w:p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诚信投标承诺书</w:t>
            </w:r>
          </w:p>
        </w:tc>
        <w:tc>
          <w:tcPr>
            <w:tcW w:w="1520" w:type="dxa"/>
            <w:vMerge w:val="continue"/>
            <w:vAlign w:val="center"/>
          </w:tcPr>
          <w:p w14:paraId="70E043BE">
            <w:pPr>
              <w:spacing w:line="400" w:lineRule="exact"/>
              <w:jc w:val="center"/>
              <w:rPr>
                <w:rFonts w:ascii="宋体" w:hAnsi="宋体" w:cs="宋体"/>
                <w:color w:val="auto"/>
                <w:sz w:val="22"/>
                <w:szCs w:val="22"/>
                <w:highlight w:val="none"/>
              </w:rPr>
            </w:pPr>
          </w:p>
        </w:tc>
      </w:tr>
      <w:tr w14:paraId="75ADC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67EB7B04">
            <w:pPr>
              <w:spacing w:line="400" w:lineRule="exact"/>
              <w:jc w:val="center"/>
              <w:rPr>
                <w:rFonts w:ascii="宋体" w:hAnsi="宋体" w:eastAsia="宋体" w:cs="宋体"/>
                <w:bCs/>
                <w:color w:val="auto"/>
                <w:kern w:val="2"/>
                <w:sz w:val="22"/>
                <w:szCs w:val="22"/>
                <w:highlight w:val="none"/>
                <w:lang w:val="en-US" w:eastAsia="zh-CN" w:bidi="ar-SA"/>
              </w:rPr>
            </w:pPr>
            <w:r>
              <w:rPr>
                <w:rFonts w:hint="eastAsia" w:ascii="宋体" w:hAnsi="宋体" w:cs="宋体"/>
                <w:color w:val="auto"/>
                <w:sz w:val="22"/>
                <w:szCs w:val="22"/>
                <w:highlight w:val="none"/>
              </w:rPr>
              <w:t>5）</w:t>
            </w:r>
          </w:p>
        </w:tc>
        <w:tc>
          <w:tcPr>
            <w:tcW w:w="7503" w:type="dxa"/>
            <w:vAlign w:val="center"/>
          </w:tcPr>
          <w:p w14:paraId="22F117BF">
            <w:p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中小微企业（或监狱企业、残疾人福利单位）声明函</w:t>
            </w:r>
          </w:p>
        </w:tc>
        <w:tc>
          <w:tcPr>
            <w:tcW w:w="1520" w:type="dxa"/>
            <w:vMerge w:val="continue"/>
            <w:vAlign w:val="center"/>
          </w:tcPr>
          <w:p w14:paraId="5CBFDDF9">
            <w:pPr>
              <w:spacing w:line="400" w:lineRule="exact"/>
              <w:jc w:val="center"/>
              <w:rPr>
                <w:rFonts w:ascii="宋体" w:hAnsi="宋体" w:cs="宋体"/>
                <w:color w:val="auto"/>
                <w:sz w:val="22"/>
                <w:szCs w:val="22"/>
                <w:highlight w:val="none"/>
              </w:rPr>
            </w:pPr>
          </w:p>
        </w:tc>
      </w:tr>
      <w:tr w14:paraId="19F9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shd w:val="clear" w:color="auto" w:fill="auto"/>
            <w:vAlign w:val="center"/>
          </w:tcPr>
          <w:p w14:paraId="2F6D01BF">
            <w:pPr>
              <w:spacing w:line="400" w:lineRule="exact"/>
              <w:jc w:val="center"/>
              <w:rPr>
                <w:rFonts w:hint="eastAsia" w:ascii="宋体" w:hAnsi="宋体" w:eastAsia="宋体" w:cs="宋体"/>
                <w:bCs/>
                <w:color w:val="auto"/>
                <w:kern w:val="2"/>
                <w:sz w:val="22"/>
                <w:szCs w:val="22"/>
                <w:highlight w:val="none"/>
                <w:lang w:val="en-US" w:eastAsia="zh-CN" w:bidi="ar-SA"/>
              </w:rPr>
            </w:pPr>
            <w:r>
              <w:rPr>
                <w:rFonts w:hint="eastAsia" w:ascii="宋体" w:hAnsi="宋体" w:cs="宋体"/>
                <w:color w:val="auto"/>
                <w:sz w:val="22"/>
                <w:szCs w:val="22"/>
                <w:highlight w:val="none"/>
              </w:rPr>
              <w:t>6）</w:t>
            </w:r>
          </w:p>
        </w:tc>
        <w:tc>
          <w:tcPr>
            <w:tcW w:w="7503" w:type="dxa"/>
            <w:vAlign w:val="center"/>
          </w:tcPr>
          <w:p w14:paraId="23D006C6">
            <w:pPr>
              <w:spacing w:line="400" w:lineRule="exact"/>
              <w:rPr>
                <w:rFonts w:hint="default"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rPr>
              <w:t>联合体协议书</w:t>
            </w:r>
            <w:r>
              <w:rPr>
                <w:rFonts w:hint="eastAsia" w:ascii="宋体" w:hAnsi="宋体" w:cs="宋体"/>
                <w:bCs/>
                <w:color w:val="auto"/>
                <w:sz w:val="22"/>
                <w:szCs w:val="22"/>
                <w:highlight w:val="none"/>
                <w:lang w:eastAsia="zh-CN"/>
              </w:rPr>
              <w:t>（</w:t>
            </w:r>
            <w:r>
              <w:rPr>
                <w:rFonts w:hint="eastAsia" w:ascii="宋体" w:hAnsi="宋体" w:cs="宋体"/>
                <w:bCs/>
                <w:color w:val="auto"/>
                <w:sz w:val="22"/>
                <w:szCs w:val="22"/>
                <w:highlight w:val="none"/>
                <w:lang w:val="en-US" w:eastAsia="zh-CN"/>
              </w:rPr>
              <w:t>如有）</w:t>
            </w:r>
          </w:p>
        </w:tc>
        <w:tc>
          <w:tcPr>
            <w:tcW w:w="1520" w:type="dxa"/>
            <w:vMerge w:val="continue"/>
            <w:vAlign w:val="center"/>
          </w:tcPr>
          <w:p w14:paraId="4145F408">
            <w:pPr>
              <w:spacing w:line="400" w:lineRule="exact"/>
              <w:jc w:val="center"/>
              <w:rPr>
                <w:rFonts w:ascii="宋体" w:hAnsi="宋体" w:cs="宋体"/>
                <w:color w:val="auto"/>
                <w:sz w:val="22"/>
                <w:szCs w:val="22"/>
                <w:highlight w:val="none"/>
              </w:rPr>
            </w:pPr>
          </w:p>
        </w:tc>
      </w:tr>
      <w:tr w14:paraId="7E499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shd w:val="clear" w:color="auto" w:fill="auto"/>
            <w:vAlign w:val="center"/>
          </w:tcPr>
          <w:p w14:paraId="2DCDF04A">
            <w:pPr>
              <w:spacing w:line="400" w:lineRule="exact"/>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rPr>
              <w:t>7）</w:t>
            </w:r>
          </w:p>
        </w:tc>
        <w:tc>
          <w:tcPr>
            <w:tcW w:w="7503" w:type="dxa"/>
            <w:shd w:val="clear" w:color="auto" w:fill="auto"/>
            <w:vAlign w:val="center"/>
          </w:tcPr>
          <w:p w14:paraId="2285EE84">
            <w:pPr>
              <w:spacing w:line="400" w:lineRule="exact"/>
              <w:rPr>
                <w:rFonts w:hint="eastAsia" w:ascii="宋体" w:hAnsi="宋体" w:eastAsia="宋体" w:cs="宋体"/>
                <w:bCs/>
                <w:color w:val="auto"/>
                <w:kern w:val="2"/>
                <w:sz w:val="22"/>
                <w:szCs w:val="22"/>
                <w:highlight w:val="none"/>
                <w:lang w:val="en-US" w:eastAsia="zh-CN" w:bidi="ar-SA"/>
              </w:rPr>
            </w:pPr>
            <w:r>
              <w:rPr>
                <w:rFonts w:hint="eastAsia" w:ascii="宋体" w:hAnsi="宋体" w:cs="宋体"/>
                <w:bCs/>
                <w:color w:val="auto"/>
                <w:sz w:val="22"/>
                <w:szCs w:val="22"/>
                <w:highlight w:val="none"/>
              </w:rPr>
              <w:t>供应商“信用中国”(www.creditchina.gov.cn)；“中国政府采购网”（http://www.ccgp.gov.cn/）信用记录网页截图（采购公告发布之日至磋商截止时间前）；</w:t>
            </w:r>
          </w:p>
        </w:tc>
        <w:tc>
          <w:tcPr>
            <w:tcW w:w="1520" w:type="dxa"/>
            <w:vAlign w:val="center"/>
          </w:tcPr>
          <w:p w14:paraId="39C2EF58">
            <w:pPr>
              <w:spacing w:line="400" w:lineRule="exact"/>
              <w:jc w:val="center"/>
              <w:rPr>
                <w:rFonts w:ascii="宋体" w:hAnsi="宋体" w:cs="宋体"/>
                <w:color w:val="auto"/>
                <w:sz w:val="22"/>
                <w:szCs w:val="22"/>
                <w:highlight w:val="none"/>
              </w:rPr>
            </w:pPr>
          </w:p>
        </w:tc>
      </w:tr>
      <w:tr w14:paraId="45B03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15" w:type="dxa"/>
            <w:shd w:val="clear" w:color="auto" w:fill="auto"/>
            <w:vAlign w:val="center"/>
          </w:tcPr>
          <w:p w14:paraId="13B266BF">
            <w:pPr>
              <w:spacing w:line="400" w:lineRule="exact"/>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lang w:val="en-US" w:eastAsia="zh-CN"/>
              </w:rPr>
              <w:t>8</w:t>
            </w:r>
            <w:r>
              <w:rPr>
                <w:rFonts w:hint="eastAsia" w:ascii="宋体" w:hAnsi="宋体" w:cs="宋体"/>
                <w:color w:val="auto"/>
                <w:sz w:val="22"/>
                <w:szCs w:val="22"/>
                <w:highlight w:val="none"/>
              </w:rPr>
              <w:t>）</w:t>
            </w:r>
          </w:p>
        </w:tc>
        <w:tc>
          <w:tcPr>
            <w:tcW w:w="7503" w:type="dxa"/>
            <w:shd w:val="clear" w:color="auto" w:fill="auto"/>
            <w:vAlign w:val="center"/>
          </w:tcPr>
          <w:p w14:paraId="23819B14">
            <w:pPr>
              <w:spacing w:line="400" w:lineRule="exact"/>
              <w:rPr>
                <w:rFonts w:ascii="宋体" w:hAnsi="宋体" w:eastAsia="宋体" w:cs="宋体"/>
                <w:bCs/>
                <w:color w:val="auto"/>
                <w:kern w:val="2"/>
                <w:sz w:val="22"/>
                <w:szCs w:val="22"/>
                <w:highlight w:val="none"/>
                <w:lang w:val="en-US" w:eastAsia="zh-CN" w:bidi="ar-SA"/>
              </w:rPr>
            </w:pPr>
            <w:r>
              <w:rPr>
                <w:rFonts w:hint="eastAsia" w:ascii="宋体" w:hAnsi="宋体" w:cs="宋体"/>
                <w:bCs/>
                <w:color w:val="auto"/>
                <w:sz w:val="22"/>
                <w:szCs w:val="22"/>
                <w:highlight w:val="none"/>
              </w:rPr>
              <w:t>供应商认为其他需要提供的材料</w:t>
            </w:r>
          </w:p>
        </w:tc>
        <w:tc>
          <w:tcPr>
            <w:tcW w:w="1520" w:type="dxa"/>
            <w:vAlign w:val="center"/>
          </w:tcPr>
          <w:p w14:paraId="1A7576E0">
            <w:pPr>
              <w:spacing w:line="400" w:lineRule="exact"/>
              <w:jc w:val="center"/>
              <w:rPr>
                <w:rFonts w:ascii="宋体" w:hAnsi="宋体" w:cs="宋体"/>
                <w:bCs/>
                <w:color w:val="auto"/>
                <w:sz w:val="22"/>
                <w:szCs w:val="22"/>
                <w:highlight w:val="none"/>
              </w:rPr>
            </w:pPr>
          </w:p>
        </w:tc>
      </w:tr>
    </w:tbl>
    <w:p w14:paraId="3179B1C3">
      <w:pPr>
        <w:spacing w:line="400" w:lineRule="exact"/>
        <w:ind w:left="187" w:leftChars="85" w:hanging="9" w:hangingChars="4"/>
        <w:rPr>
          <w:rFonts w:ascii="宋体" w:hAnsi="宋体" w:cs="宋体"/>
          <w:b/>
          <w:color w:val="auto"/>
          <w:sz w:val="22"/>
          <w:szCs w:val="22"/>
          <w:highlight w:val="none"/>
        </w:rPr>
      </w:pPr>
      <w:r>
        <w:rPr>
          <w:rFonts w:hint="eastAsia" w:ascii="宋体" w:hAnsi="宋体" w:cs="宋体"/>
          <w:b/>
          <w:color w:val="auto"/>
          <w:sz w:val="22"/>
          <w:szCs w:val="22"/>
          <w:highlight w:val="none"/>
        </w:rPr>
        <w:t>备注：</w:t>
      </w:r>
      <w:r>
        <w:rPr>
          <w:rFonts w:hint="eastAsia" w:ascii="宋体" w:hAnsi="宋体" w:cs="宋体"/>
          <w:color w:val="auto"/>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磋商响应文件中提供相关材料），证明其具备实际承担责任的能力和法定的缔结合同能力，可以独立参加政府采购活动，由单位负责人签署相关文件材料；</w:t>
      </w:r>
    </w:p>
    <w:p w14:paraId="611EDE26">
      <w:pPr>
        <w:spacing w:line="400" w:lineRule="exact"/>
        <w:rPr>
          <w:rFonts w:ascii="宋体" w:hAnsi="宋体" w:cs="宋体"/>
          <w:b/>
          <w:color w:val="auto"/>
          <w:kern w:val="0"/>
          <w:sz w:val="22"/>
          <w:szCs w:val="22"/>
          <w:highlight w:val="none"/>
        </w:rPr>
      </w:pPr>
      <w:r>
        <w:rPr>
          <w:rFonts w:hint="eastAsia" w:ascii="宋体" w:hAnsi="宋体" w:cs="宋体"/>
          <w:b/>
          <w:color w:val="auto"/>
          <w:sz w:val="22"/>
          <w:szCs w:val="22"/>
          <w:highlight w:val="none"/>
        </w:rPr>
        <w:t>（2）</w:t>
      </w:r>
      <w:r>
        <w:rPr>
          <w:rFonts w:hint="eastAsia" w:ascii="宋体" w:hAnsi="宋体" w:cs="宋体"/>
          <w:b/>
          <w:color w:val="auto"/>
          <w:kern w:val="0"/>
          <w:sz w:val="22"/>
          <w:szCs w:val="22"/>
          <w:highlight w:val="none"/>
        </w:rPr>
        <w:t>报价文件</w:t>
      </w:r>
    </w:p>
    <w:tbl>
      <w:tblPr>
        <w:tblStyle w:val="38"/>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3"/>
        <w:gridCol w:w="1524"/>
      </w:tblGrid>
      <w:tr w14:paraId="783D5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17" w:type="dxa"/>
            <w:vAlign w:val="center"/>
          </w:tcPr>
          <w:p w14:paraId="00DD71E7">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序号</w:t>
            </w:r>
          </w:p>
        </w:tc>
        <w:tc>
          <w:tcPr>
            <w:tcW w:w="7513" w:type="dxa"/>
            <w:vAlign w:val="center"/>
          </w:tcPr>
          <w:p w14:paraId="66AFD4A8">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内容</w:t>
            </w:r>
          </w:p>
        </w:tc>
        <w:tc>
          <w:tcPr>
            <w:tcW w:w="1524" w:type="dxa"/>
            <w:vAlign w:val="center"/>
          </w:tcPr>
          <w:p w14:paraId="0DA25C05">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备注</w:t>
            </w:r>
          </w:p>
        </w:tc>
      </w:tr>
      <w:tr w14:paraId="74D4C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4D62A91A">
            <w:pPr>
              <w:spacing w:line="400" w:lineRule="exact"/>
              <w:jc w:val="center"/>
              <w:rPr>
                <w:rFonts w:ascii="宋体" w:hAnsi="宋体" w:cs="宋体"/>
                <w:color w:val="auto"/>
                <w:kern w:val="0"/>
                <w:sz w:val="22"/>
                <w:szCs w:val="22"/>
                <w:highlight w:val="none"/>
              </w:rPr>
            </w:pPr>
            <w:r>
              <w:rPr>
                <w:rFonts w:hint="eastAsia" w:ascii="宋体" w:hAnsi="宋体" w:cs="宋体"/>
                <w:color w:val="auto"/>
                <w:sz w:val="22"/>
                <w:szCs w:val="22"/>
                <w:highlight w:val="none"/>
              </w:rPr>
              <w:t>1）</w:t>
            </w:r>
          </w:p>
        </w:tc>
        <w:tc>
          <w:tcPr>
            <w:tcW w:w="7513" w:type="dxa"/>
            <w:vAlign w:val="center"/>
          </w:tcPr>
          <w:p w14:paraId="01034393">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报价一览表</w:t>
            </w:r>
          </w:p>
        </w:tc>
        <w:tc>
          <w:tcPr>
            <w:tcW w:w="1524" w:type="dxa"/>
            <w:vMerge w:val="restart"/>
            <w:vAlign w:val="center"/>
          </w:tcPr>
          <w:p w14:paraId="4719F8F4">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附件二</w:t>
            </w:r>
          </w:p>
        </w:tc>
      </w:tr>
      <w:tr w14:paraId="57F83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624B95FD">
            <w:pPr>
              <w:spacing w:line="40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2）</w:t>
            </w:r>
          </w:p>
        </w:tc>
        <w:tc>
          <w:tcPr>
            <w:tcW w:w="7513" w:type="dxa"/>
            <w:shd w:val="clear" w:color="auto" w:fill="auto"/>
            <w:vAlign w:val="center"/>
          </w:tcPr>
          <w:p w14:paraId="3A159930">
            <w:pPr>
              <w:spacing w:line="430" w:lineRule="exact"/>
              <w:rPr>
                <w:rFonts w:hint="eastAsia" w:ascii="宋体" w:hAnsi="宋体" w:eastAsia="宋体" w:cs="宋体"/>
                <w:color w:val="auto"/>
                <w:kern w:val="0"/>
                <w:sz w:val="22"/>
                <w:szCs w:val="22"/>
                <w:highlight w:val="none"/>
                <w:lang w:val="en-US" w:eastAsia="zh-CN" w:bidi="ar-SA"/>
              </w:rPr>
            </w:pPr>
            <w:r>
              <w:rPr>
                <w:rFonts w:hint="eastAsia" w:ascii="宋体" w:hAnsi="宋体" w:cs="宋体"/>
                <w:color w:val="auto"/>
                <w:kern w:val="0"/>
                <w:sz w:val="22"/>
                <w:szCs w:val="22"/>
                <w:highlight w:val="none"/>
                <w:lang w:val="en-US" w:eastAsia="zh-CN"/>
              </w:rPr>
              <w:t>分项报价表</w:t>
            </w:r>
          </w:p>
        </w:tc>
        <w:tc>
          <w:tcPr>
            <w:tcW w:w="1524" w:type="dxa"/>
            <w:vMerge w:val="continue"/>
            <w:vAlign w:val="center"/>
          </w:tcPr>
          <w:p w14:paraId="1E6D7B43">
            <w:pPr>
              <w:spacing w:line="400" w:lineRule="exact"/>
              <w:jc w:val="center"/>
              <w:rPr>
                <w:rFonts w:hint="eastAsia" w:ascii="宋体" w:hAnsi="宋体" w:cs="宋体"/>
                <w:color w:val="auto"/>
                <w:kern w:val="0"/>
                <w:sz w:val="22"/>
                <w:szCs w:val="22"/>
                <w:highlight w:val="none"/>
              </w:rPr>
            </w:pPr>
          </w:p>
        </w:tc>
      </w:tr>
    </w:tbl>
    <w:p w14:paraId="19D8864A">
      <w:pPr>
        <w:spacing w:line="400" w:lineRule="exact"/>
        <w:rPr>
          <w:rFonts w:ascii="宋体" w:hAnsi="宋体" w:cs="宋体"/>
          <w:b/>
          <w:color w:val="auto"/>
          <w:sz w:val="22"/>
          <w:szCs w:val="22"/>
          <w:highlight w:val="none"/>
        </w:rPr>
      </w:pPr>
      <w:r>
        <w:rPr>
          <w:rFonts w:hint="eastAsia" w:ascii="宋体" w:hAnsi="宋体" w:cs="宋体"/>
          <w:b/>
          <w:color w:val="auto"/>
          <w:kern w:val="0"/>
          <w:sz w:val="22"/>
          <w:szCs w:val="22"/>
          <w:highlight w:val="none"/>
        </w:rPr>
        <w:t>（3）</w:t>
      </w:r>
      <w:r>
        <w:rPr>
          <w:rFonts w:hint="eastAsia" w:ascii="宋体" w:hAnsi="宋体" w:cs="宋体"/>
          <w:b/>
          <w:color w:val="auto"/>
          <w:sz w:val="22"/>
          <w:szCs w:val="22"/>
          <w:highlight w:val="none"/>
        </w:rPr>
        <w:t>商务技术文件</w:t>
      </w:r>
    </w:p>
    <w:tbl>
      <w:tblPr>
        <w:tblStyle w:val="3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3"/>
        <w:gridCol w:w="1524"/>
      </w:tblGrid>
      <w:tr w14:paraId="28370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727F501F">
            <w:pPr>
              <w:spacing w:line="40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序号</w:t>
            </w:r>
          </w:p>
        </w:tc>
        <w:tc>
          <w:tcPr>
            <w:tcW w:w="7513" w:type="dxa"/>
            <w:vAlign w:val="center"/>
          </w:tcPr>
          <w:p w14:paraId="2FD620BF">
            <w:pPr>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内容</w:t>
            </w:r>
          </w:p>
        </w:tc>
        <w:tc>
          <w:tcPr>
            <w:tcW w:w="1524" w:type="dxa"/>
            <w:vAlign w:val="center"/>
          </w:tcPr>
          <w:p w14:paraId="42B557B6">
            <w:pPr>
              <w:spacing w:line="40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备 注</w:t>
            </w:r>
          </w:p>
        </w:tc>
      </w:tr>
      <w:tr w14:paraId="175B0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3CAF694A">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7513" w:type="dxa"/>
            <w:vAlign w:val="center"/>
          </w:tcPr>
          <w:p w14:paraId="43320DE8">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磋商函</w:t>
            </w:r>
          </w:p>
        </w:tc>
        <w:tc>
          <w:tcPr>
            <w:tcW w:w="1524" w:type="dxa"/>
            <w:vAlign w:val="center"/>
          </w:tcPr>
          <w:p w14:paraId="439043B9">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附件三</w:t>
            </w:r>
          </w:p>
        </w:tc>
      </w:tr>
      <w:tr w14:paraId="61513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14420860">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7513" w:type="dxa"/>
            <w:vAlign w:val="center"/>
          </w:tcPr>
          <w:p w14:paraId="1D3EFF03">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技术规格、商务条款偏离表</w:t>
            </w:r>
          </w:p>
        </w:tc>
        <w:tc>
          <w:tcPr>
            <w:tcW w:w="1524" w:type="dxa"/>
            <w:vAlign w:val="center"/>
          </w:tcPr>
          <w:p w14:paraId="7A570E76">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附件四</w:t>
            </w:r>
          </w:p>
        </w:tc>
      </w:tr>
      <w:tr w14:paraId="1EE36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2719F669">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7513" w:type="dxa"/>
            <w:vAlign w:val="center"/>
          </w:tcPr>
          <w:p w14:paraId="3E72D5BA">
            <w:pPr>
              <w:spacing w:line="400" w:lineRule="exact"/>
              <w:rPr>
                <w:rFonts w:ascii="宋体" w:hAnsi="宋体" w:cs="宋体"/>
                <w:color w:val="auto"/>
                <w:sz w:val="22"/>
                <w:szCs w:val="22"/>
                <w:highlight w:val="none"/>
              </w:rPr>
            </w:pPr>
            <w:r>
              <w:rPr>
                <w:rFonts w:hint="eastAsia" w:ascii="宋体" w:hAnsi="宋体" w:cs="宋体"/>
                <w:b/>
                <w:bCs/>
                <w:color w:val="auto"/>
                <w:sz w:val="22"/>
                <w:szCs w:val="22"/>
                <w:highlight w:val="none"/>
              </w:rPr>
              <w:t>投标技术方案（按“评标细则”相关评分内容逐项编制，格式自拟）</w:t>
            </w:r>
          </w:p>
        </w:tc>
        <w:tc>
          <w:tcPr>
            <w:tcW w:w="1524" w:type="dxa"/>
            <w:vAlign w:val="center"/>
          </w:tcPr>
          <w:p w14:paraId="56A040A4">
            <w:pPr>
              <w:spacing w:line="400" w:lineRule="exact"/>
              <w:jc w:val="center"/>
              <w:rPr>
                <w:rFonts w:ascii="宋体" w:hAnsi="宋体" w:cs="宋体"/>
                <w:color w:val="auto"/>
                <w:sz w:val="22"/>
                <w:szCs w:val="22"/>
                <w:highlight w:val="none"/>
              </w:rPr>
            </w:pPr>
          </w:p>
        </w:tc>
      </w:tr>
      <w:tr w14:paraId="06270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4393C037">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7513" w:type="dxa"/>
            <w:vAlign w:val="center"/>
          </w:tcPr>
          <w:p w14:paraId="39B11ACE">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服务保证措施资信证明文件（本部分为商务技术文件评分内容，各供应商参照评分标准根据自身情况提供）</w:t>
            </w:r>
          </w:p>
        </w:tc>
        <w:tc>
          <w:tcPr>
            <w:tcW w:w="1524" w:type="dxa"/>
            <w:vAlign w:val="center"/>
          </w:tcPr>
          <w:p w14:paraId="6697ABDF">
            <w:pPr>
              <w:spacing w:line="400" w:lineRule="exact"/>
              <w:jc w:val="center"/>
              <w:rPr>
                <w:rFonts w:ascii="宋体" w:hAnsi="宋体" w:cs="宋体"/>
                <w:color w:val="auto"/>
                <w:sz w:val="22"/>
                <w:szCs w:val="22"/>
                <w:highlight w:val="none"/>
              </w:rPr>
            </w:pPr>
          </w:p>
        </w:tc>
      </w:tr>
      <w:tr w14:paraId="6610B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60718AE5">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7513" w:type="dxa"/>
            <w:vAlign w:val="center"/>
          </w:tcPr>
          <w:p w14:paraId="3A61E87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结合</w:t>
            </w:r>
            <w:r>
              <w:rPr>
                <w:rFonts w:hint="eastAsia" w:ascii="宋体" w:hAnsi="宋体" w:cs="宋体"/>
                <w:color w:val="auto"/>
                <w:sz w:val="22"/>
                <w:szCs w:val="22"/>
                <w:highlight w:val="none"/>
                <w:lang w:eastAsia="zh-CN"/>
              </w:rPr>
              <w:t>磋商文件</w:t>
            </w:r>
            <w:r>
              <w:rPr>
                <w:rFonts w:hint="eastAsia" w:ascii="宋体" w:hAnsi="宋体" w:cs="宋体"/>
                <w:color w:val="auto"/>
                <w:sz w:val="22"/>
                <w:szCs w:val="22"/>
                <w:highlight w:val="none"/>
              </w:rPr>
              <w:t>评分细则供应商认为需要提供的其他技术资料</w:t>
            </w:r>
          </w:p>
        </w:tc>
        <w:tc>
          <w:tcPr>
            <w:tcW w:w="1524" w:type="dxa"/>
            <w:vAlign w:val="center"/>
          </w:tcPr>
          <w:p w14:paraId="09671C16">
            <w:pPr>
              <w:spacing w:line="400" w:lineRule="exact"/>
              <w:jc w:val="center"/>
              <w:rPr>
                <w:rFonts w:ascii="宋体" w:hAnsi="宋体" w:cs="宋体"/>
                <w:color w:val="auto"/>
                <w:sz w:val="22"/>
                <w:szCs w:val="22"/>
                <w:highlight w:val="none"/>
              </w:rPr>
            </w:pPr>
          </w:p>
        </w:tc>
      </w:tr>
    </w:tbl>
    <w:p w14:paraId="0ED0CFCD">
      <w:pPr>
        <w:spacing w:line="400" w:lineRule="exact"/>
        <w:ind w:left="187" w:leftChars="85" w:hanging="9" w:hangingChars="4"/>
        <w:rPr>
          <w:rFonts w:ascii="宋体" w:hAnsi="宋体" w:cs="宋体"/>
          <w:bCs/>
          <w:color w:val="auto"/>
          <w:sz w:val="22"/>
          <w:szCs w:val="22"/>
          <w:highlight w:val="none"/>
        </w:rPr>
      </w:pPr>
      <w:r>
        <w:rPr>
          <w:rFonts w:hint="eastAsia" w:ascii="宋体" w:hAnsi="宋体" w:cs="宋体"/>
          <w:b/>
          <w:color w:val="auto"/>
          <w:sz w:val="22"/>
          <w:szCs w:val="22"/>
          <w:highlight w:val="none"/>
        </w:rPr>
        <w:t>说明：</w:t>
      </w:r>
    </w:p>
    <w:p w14:paraId="6FB4851F">
      <w:pPr>
        <w:numPr>
          <w:ilvl w:val="0"/>
          <w:numId w:val="1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供应商可根据磋商文件中的采购内容及需求和商务技术文件评分细则，提供供应商认为需要提供的文件和资料。</w:t>
      </w:r>
    </w:p>
    <w:p w14:paraId="24D3118B">
      <w:pPr>
        <w:numPr>
          <w:ilvl w:val="0"/>
          <w:numId w:val="1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响应文件中应承诺：供应商所提供的技术资料的所有权归采购人所有。如若发生第三方侵权事件，其侵权责任与采购人及采购代理机构无关，由供应商承担全部责任。侵权造成的所有相关费用，均由供应商支付，保证不伤害采购人的利益。</w:t>
      </w:r>
    </w:p>
    <w:p w14:paraId="559E68F0">
      <w:pPr>
        <w:numPr>
          <w:ilvl w:val="0"/>
          <w:numId w:val="1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以上所需的各种证书、证件、证明等若系复印件、扫描件，须加盖供应商有效的公章。</w:t>
      </w:r>
    </w:p>
    <w:p w14:paraId="460C48EF">
      <w:pPr>
        <w:numPr>
          <w:ilvl w:val="0"/>
          <w:numId w:val="1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相关证书、报告等如遇年检或换证等特殊情况须按要求提供相应的证明材料。</w:t>
      </w:r>
    </w:p>
    <w:p w14:paraId="61D11828">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磋商响应文件编制</w:t>
      </w:r>
    </w:p>
    <w:p w14:paraId="6AC52C14">
      <w:pPr>
        <w:numPr>
          <w:ilvl w:val="1"/>
          <w:numId w:val="14"/>
        </w:numPr>
        <w:tabs>
          <w:tab w:val="clear" w:pos="992"/>
        </w:tabs>
        <w:spacing w:line="400" w:lineRule="exact"/>
        <w:ind w:left="420" w:hanging="347"/>
        <w:rPr>
          <w:rFonts w:ascii="宋体" w:hAnsi="宋体" w:cs="宋体"/>
          <w:color w:val="auto"/>
          <w:sz w:val="22"/>
          <w:szCs w:val="22"/>
          <w:highlight w:val="none"/>
        </w:rPr>
      </w:pPr>
      <w:r>
        <w:rPr>
          <w:rFonts w:hint="eastAsia" w:ascii="宋体" w:hAnsi="宋体" w:cs="宋体"/>
          <w:color w:val="auto"/>
          <w:sz w:val="22"/>
          <w:szCs w:val="22"/>
          <w:highlight w:val="none"/>
        </w:rPr>
        <w:t>本项目通过“政采云平台（www.zcygov.cn）”实行在线投标响应（电子投标）。供应商应通过“政采云电子交易客户端”，并按照本磋商文件和“政采云平台”的要求编制并加密磋商响应文件。</w:t>
      </w:r>
    </w:p>
    <w:p w14:paraId="6FB8EFB9">
      <w:pPr>
        <w:numPr>
          <w:ilvl w:val="1"/>
          <w:numId w:val="14"/>
        </w:numPr>
        <w:tabs>
          <w:tab w:val="clear" w:pos="992"/>
        </w:tabs>
        <w:spacing w:line="400" w:lineRule="exact"/>
        <w:ind w:left="420" w:hanging="347"/>
        <w:rPr>
          <w:rFonts w:ascii="宋体" w:hAnsi="宋体" w:cs="宋体"/>
          <w:b/>
          <w:bCs/>
          <w:color w:val="auto"/>
          <w:sz w:val="22"/>
          <w:szCs w:val="22"/>
          <w:highlight w:val="none"/>
        </w:rPr>
      </w:pPr>
      <w:r>
        <w:rPr>
          <w:rFonts w:hint="eastAsia" w:ascii="宋体" w:hAnsi="宋体" w:cs="宋体"/>
          <w:b/>
          <w:bCs/>
          <w:color w:val="auto"/>
          <w:sz w:val="22"/>
          <w:szCs w:val="22"/>
          <w:highlight w:val="none"/>
        </w:rPr>
        <w:t>▲供应商提供的联系方式（手机号码、联系邮箱、联系地址），均以法定代表人声明书或法定代表人授权委托书上注明的联系方式为准，供应商必须保障其联系方式保持畅通。否则由此造成的后果均有供应商自行承担。</w:t>
      </w:r>
    </w:p>
    <w:p w14:paraId="28F94195">
      <w:pPr>
        <w:numPr>
          <w:ilvl w:val="1"/>
          <w:numId w:val="14"/>
        </w:numPr>
        <w:tabs>
          <w:tab w:val="clear" w:pos="992"/>
        </w:tabs>
        <w:spacing w:line="400" w:lineRule="exact"/>
        <w:ind w:left="420" w:hanging="347"/>
        <w:rPr>
          <w:rFonts w:ascii="宋体" w:hAnsi="宋体" w:cs="宋体"/>
          <w:color w:val="auto"/>
          <w:sz w:val="22"/>
          <w:szCs w:val="22"/>
          <w:highlight w:val="none"/>
        </w:rPr>
      </w:pPr>
      <w:r>
        <w:rPr>
          <w:rFonts w:hint="eastAsia" w:ascii="宋体" w:hAnsi="宋体" w:cs="宋体"/>
          <w:color w:val="auto"/>
          <w:sz w:val="22"/>
          <w:szCs w:val="22"/>
          <w:highlight w:val="none"/>
        </w:rPr>
        <w:t>本磋商文件“第五部分 ”中有提供格式的，供应商须参照格式进行编制（格式中要求提供相关证明材料的还需后附相关证明材料），并按格式要求在指定位置根据要求进行签章，否则视为未提供；本文件未提供格式的，请各供应商自行拟定格式，并加盖单位公章并由法定代表人或其授权代表签署（签字或盖章），否则视为未提供。</w:t>
      </w:r>
    </w:p>
    <w:p w14:paraId="5C563F9D">
      <w:pPr>
        <w:numPr>
          <w:ilvl w:val="1"/>
          <w:numId w:val="14"/>
        </w:numPr>
        <w:tabs>
          <w:tab w:val="clear" w:pos="992"/>
        </w:tabs>
        <w:spacing w:line="400" w:lineRule="exact"/>
        <w:ind w:left="420" w:hanging="347"/>
        <w:rPr>
          <w:rFonts w:ascii="宋体" w:hAnsi="宋体" w:cs="宋体"/>
          <w:color w:val="auto"/>
          <w:sz w:val="22"/>
          <w:szCs w:val="22"/>
          <w:highlight w:val="none"/>
        </w:rPr>
      </w:pPr>
      <w:r>
        <w:rPr>
          <w:rFonts w:hint="eastAsia" w:ascii="宋体" w:hAnsi="宋体" w:cs="宋体"/>
          <w:color w:val="auto"/>
          <w:sz w:val="22"/>
          <w:szCs w:val="22"/>
          <w:highlight w:val="none"/>
        </w:rPr>
        <w:t>磋商响应文件内容不完整、编排混乱导致磋商响应文件被误读、漏读或者查找不到相关内容的，是供应商的责任。</w:t>
      </w:r>
    </w:p>
    <w:p w14:paraId="1721B4EC">
      <w:pPr>
        <w:numPr>
          <w:ilvl w:val="1"/>
          <w:numId w:val="14"/>
        </w:numPr>
        <w:tabs>
          <w:tab w:val="clear" w:pos="992"/>
        </w:tabs>
        <w:spacing w:line="400" w:lineRule="exact"/>
        <w:ind w:left="420" w:hanging="347"/>
        <w:rPr>
          <w:rFonts w:ascii="宋体" w:hAnsi="宋体" w:cs="宋体"/>
          <w:color w:val="auto"/>
          <w:sz w:val="22"/>
          <w:szCs w:val="22"/>
          <w:highlight w:val="none"/>
        </w:rPr>
      </w:pPr>
      <w:r>
        <w:rPr>
          <w:rFonts w:hint="eastAsia" w:ascii="宋体" w:hAnsi="宋体" w:cs="宋体"/>
          <w:color w:val="auto"/>
          <w:sz w:val="22"/>
          <w:szCs w:val="22"/>
          <w:highlight w:val="none"/>
        </w:rPr>
        <w:t>磋商响应文件因字迹潦草或表达不清所引起的后果由供应商负责。</w:t>
      </w:r>
    </w:p>
    <w:p w14:paraId="0A16F1E2">
      <w:pPr>
        <w:numPr>
          <w:ilvl w:val="1"/>
          <w:numId w:val="14"/>
        </w:numPr>
        <w:tabs>
          <w:tab w:val="clear" w:pos="992"/>
        </w:tabs>
        <w:spacing w:line="400" w:lineRule="exact"/>
        <w:ind w:left="420" w:hanging="347"/>
        <w:rPr>
          <w:rFonts w:ascii="宋体" w:hAnsi="宋体" w:cs="宋体"/>
          <w:color w:val="auto"/>
          <w:sz w:val="22"/>
          <w:szCs w:val="22"/>
          <w:highlight w:val="none"/>
        </w:rPr>
      </w:pPr>
      <w:r>
        <w:rPr>
          <w:rFonts w:hint="eastAsia" w:ascii="宋体" w:hAnsi="宋体" w:cs="宋体"/>
          <w:color w:val="auto"/>
          <w:sz w:val="22"/>
          <w:szCs w:val="22"/>
          <w:highlight w:val="none"/>
        </w:rPr>
        <w:t>供应商没有按照本章节 “磋商响应文件组成”要求提供全部资料，或者没有仔细阅读磋商文件，或者没有对磋商文件在各方面的要求作出实质性响应是供应商的风险，由此造成的一切后果由供应商自行承担。</w:t>
      </w:r>
    </w:p>
    <w:p w14:paraId="080006BE">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磋商响应文件的签章</w:t>
      </w:r>
    </w:p>
    <w:p w14:paraId="566B08B1">
      <w:pPr>
        <w:numPr>
          <w:ilvl w:val="1"/>
          <w:numId w:val="15"/>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磋商响应文件的签章要求：供应商须知前附表第17款；</w:t>
      </w:r>
    </w:p>
    <w:p w14:paraId="6F3F82E4">
      <w:pPr>
        <w:numPr>
          <w:ilvl w:val="1"/>
          <w:numId w:val="15"/>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磋商响应文件应由供应商法定代表人或其授权代表签章（电子签章），并同时加盖供应商公章（电子签章）。</w:t>
      </w:r>
      <w:r>
        <w:rPr>
          <w:rFonts w:hint="eastAsia" w:ascii="宋体" w:hAnsi="宋体" w:cs="宋体"/>
          <w:color w:val="auto"/>
          <w:kern w:val="0"/>
          <w:sz w:val="22"/>
          <w:szCs w:val="22"/>
          <w:highlight w:val="none"/>
          <w:lang w:val="zh-CN"/>
        </w:rPr>
        <w:t>（或先制作word版打印，相应位置签字或盖章后再扫描上传）</w:t>
      </w:r>
    </w:p>
    <w:p w14:paraId="7A9C66F1">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磋商响应文件的形式</w:t>
      </w:r>
    </w:p>
    <w:p w14:paraId="44AB314F">
      <w:pPr>
        <w:tabs>
          <w:tab w:val="left" w:pos="36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磋商响应文件的形式：见供应商须知前附表第18款；</w:t>
      </w:r>
    </w:p>
    <w:p w14:paraId="3AE377A1">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政采云系统默认供应商自动放弃的情形</w:t>
      </w:r>
    </w:p>
    <w:p w14:paraId="0C90C17B">
      <w:pPr>
        <w:tabs>
          <w:tab w:val="left" w:pos="5355"/>
        </w:tabs>
        <w:spacing w:line="400" w:lineRule="exact"/>
        <w:ind w:firstLine="220" w:firstLineChars="100"/>
        <w:rPr>
          <w:rFonts w:ascii="宋体" w:hAnsi="宋体" w:cs="宋体"/>
          <w:color w:val="auto"/>
          <w:sz w:val="22"/>
          <w:szCs w:val="22"/>
          <w:highlight w:val="none"/>
        </w:rPr>
      </w:pPr>
      <w:r>
        <w:rPr>
          <w:rFonts w:hint="eastAsia" w:ascii="宋体" w:hAnsi="宋体" w:cs="宋体"/>
          <w:color w:val="auto"/>
          <w:kern w:val="0"/>
          <w:sz w:val="22"/>
          <w:szCs w:val="22"/>
          <w:highlight w:val="none"/>
        </w:rPr>
        <w:t>政采云系统默认供应商自动放弃的情形</w:t>
      </w:r>
      <w:r>
        <w:rPr>
          <w:rFonts w:hint="eastAsia" w:ascii="宋体" w:hAnsi="宋体" w:cs="宋体"/>
          <w:color w:val="auto"/>
          <w:sz w:val="22"/>
          <w:szCs w:val="22"/>
          <w:highlight w:val="none"/>
        </w:rPr>
        <w:t>：见供应商须知前附表第21款。</w:t>
      </w:r>
    </w:p>
    <w:p w14:paraId="37F5E51C">
      <w:pPr>
        <w:numPr>
          <w:ilvl w:val="0"/>
          <w:numId w:val="12"/>
        </w:numPr>
        <w:spacing w:line="400" w:lineRule="exact"/>
        <w:ind w:hanging="562"/>
        <w:rPr>
          <w:rFonts w:ascii="宋体" w:hAnsi="宋体" w:cs="宋体"/>
          <w:color w:val="auto"/>
          <w:sz w:val="22"/>
          <w:szCs w:val="22"/>
          <w:highlight w:val="none"/>
        </w:rPr>
      </w:pPr>
      <w:r>
        <w:rPr>
          <w:rFonts w:hint="eastAsia" w:ascii="宋体" w:hAnsi="宋体" w:cs="宋体"/>
          <w:bCs/>
          <w:color w:val="auto"/>
          <w:sz w:val="22"/>
          <w:szCs w:val="22"/>
          <w:highlight w:val="none"/>
        </w:rPr>
        <w:t>磋商报价</w:t>
      </w:r>
    </w:p>
    <w:p w14:paraId="3FC298DF">
      <w:pPr>
        <w:numPr>
          <w:ilvl w:val="1"/>
          <w:numId w:val="16"/>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w:t>
      </w:r>
      <w:r>
        <w:rPr>
          <w:rFonts w:hint="eastAsia" w:ascii="宋体" w:hAnsi="宋体" w:cs="宋体"/>
          <w:b/>
          <w:bCs/>
          <w:color w:val="auto"/>
          <w:sz w:val="22"/>
          <w:szCs w:val="22"/>
          <w:highlight w:val="none"/>
          <w:u w:val="single"/>
        </w:rPr>
        <w:t>磋商报价是指在正确地完全履行合同义务后采购人应支付给成交供应商的合同价款，</w:t>
      </w:r>
      <w:r>
        <w:rPr>
          <w:rFonts w:hint="eastAsia" w:ascii="宋体" w:hAnsi="宋体" w:cs="宋体"/>
          <w:b/>
          <w:color w:val="auto"/>
          <w:sz w:val="22"/>
          <w:highlight w:val="none"/>
          <w:u w:val="single"/>
        </w:rPr>
        <w:t>包括所有人员组织、技术服务、技术服务人员工资、奖金、社保金（失业、养老、医保等）、企业利润、税金、采购代理服务费等全部本身和不可或缺的所有工作开支等各项全部费用并承担一切风险责任。</w:t>
      </w:r>
      <w:r>
        <w:rPr>
          <w:rFonts w:hint="eastAsia" w:ascii="宋体" w:hAnsi="宋体" w:cs="宋体"/>
          <w:b/>
          <w:bCs/>
          <w:color w:val="auto"/>
          <w:sz w:val="22"/>
          <w:szCs w:val="22"/>
          <w:highlight w:val="none"/>
          <w:u w:val="single"/>
        </w:rPr>
        <w:t>供应商应根据上述因素自行考虑含入磋商报价。</w:t>
      </w:r>
    </w:p>
    <w:p w14:paraId="3096860A">
      <w:pPr>
        <w:numPr>
          <w:ilvl w:val="1"/>
          <w:numId w:val="16"/>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供应商须认真阅读、充分理解磋商文件，如有疑问可在询疑截止时间前送达（或传真）招标代理机构，招标代理机构将会统一解答。任何因对本项目磋商文件理解不清、产生歧义等由此产生的费用，视作以含在投标总价中。</w:t>
      </w:r>
    </w:p>
    <w:p w14:paraId="6D6353BD">
      <w:pPr>
        <w:numPr>
          <w:ilvl w:val="1"/>
          <w:numId w:val="16"/>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所有报价均以人民币报价，以其它货币报价的磋商不予接受。</w:t>
      </w:r>
    </w:p>
    <w:p w14:paraId="26667CFA">
      <w:pPr>
        <w:numPr>
          <w:ilvl w:val="1"/>
          <w:numId w:val="16"/>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采购人不接受任何选择报价，对每项内容只允许一个报价。</w:t>
      </w:r>
    </w:p>
    <w:p w14:paraId="659AEB82">
      <w:pPr>
        <w:numPr>
          <w:ilvl w:val="1"/>
          <w:numId w:val="16"/>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采购人要求分类报价是为了方便评标，但在任何情况下不限制采购人以其认为最合适的条款、条件签订合同的权利。</w:t>
      </w:r>
    </w:p>
    <w:p w14:paraId="4078BCB6">
      <w:pPr>
        <w:numPr>
          <w:ilvl w:val="1"/>
          <w:numId w:val="16"/>
        </w:numPr>
        <w:tabs>
          <w:tab w:val="clear" w:pos="992"/>
        </w:tabs>
        <w:spacing w:line="400" w:lineRule="exact"/>
        <w:ind w:left="640"/>
        <w:rPr>
          <w:rFonts w:ascii="宋体" w:hAnsi="宋体" w:cs="宋体"/>
          <w:b/>
          <w:bCs/>
          <w:color w:val="auto"/>
          <w:sz w:val="22"/>
          <w:szCs w:val="22"/>
          <w:highlight w:val="none"/>
        </w:rPr>
      </w:pPr>
      <w:r>
        <w:rPr>
          <w:rFonts w:hint="eastAsia" w:ascii="宋体" w:hAnsi="宋体" w:cs="宋体"/>
          <w:b/>
          <w:bCs/>
          <w:color w:val="auto"/>
          <w:sz w:val="22"/>
          <w:szCs w:val="22"/>
          <w:highlight w:val="none"/>
        </w:rPr>
        <w:t>磋商供应商所报的价格在合同执行过程中是固定不变的，不得以任何理由予以变更。任何包含价格调整的要求，将被认为是非实质性响应报价而予以拒绝。</w:t>
      </w:r>
    </w:p>
    <w:p w14:paraId="6DD6DCA7">
      <w:pPr>
        <w:numPr>
          <w:ilvl w:val="1"/>
          <w:numId w:val="16"/>
        </w:numPr>
        <w:tabs>
          <w:tab w:val="clear" w:pos="992"/>
        </w:tabs>
        <w:spacing w:line="400" w:lineRule="exact"/>
        <w:ind w:left="640"/>
        <w:rPr>
          <w:rFonts w:ascii="宋体" w:hAnsi="宋体" w:cs="宋体"/>
          <w:b/>
          <w:bCs/>
          <w:color w:val="auto"/>
          <w:sz w:val="22"/>
          <w:szCs w:val="22"/>
          <w:highlight w:val="none"/>
        </w:rPr>
      </w:pPr>
      <w:r>
        <w:rPr>
          <w:rFonts w:hint="eastAsia" w:ascii="宋体" w:hAnsi="宋体" w:cs="宋体"/>
          <w:b/>
          <w:bCs/>
          <w:color w:val="auto"/>
          <w:sz w:val="22"/>
          <w:szCs w:val="22"/>
          <w:highlight w:val="none"/>
        </w:rPr>
        <w:t>最低报价不能作为成交的保证。</w:t>
      </w:r>
    </w:p>
    <w:p w14:paraId="0D1C7211">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供应商如发生下列情况之一，将上报同级政府采购监督管理部门，追究其责任：</w:t>
      </w:r>
    </w:p>
    <w:p w14:paraId="2A403413">
      <w:pPr>
        <w:numPr>
          <w:ilvl w:val="0"/>
          <w:numId w:val="17"/>
        </w:numPr>
        <w:tabs>
          <w:tab w:val="clear" w:pos="420"/>
        </w:tabs>
        <w:spacing w:line="40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供应商在磋商文件规定的投标有效期内撤回投标；</w:t>
      </w:r>
    </w:p>
    <w:p w14:paraId="60C48C43">
      <w:pPr>
        <w:numPr>
          <w:ilvl w:val="0"/>
          <w:numId w:val="17"/>
        </w:numPr>
        <w:tabs>
          <w:tab w:val="clear" w:pos="420"/>
        </w:tabs>
        <w:spacing w:line="40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成交供应商未按成交通知书中规定的时间与采购人签订合同；</w:t>
      </w:r>
    </w:p>
    <w:p w14:paraId="6BF102A3">
      <w:pPr>
        <w:numPr>
          <w:ilvl w:val="0"/>
          <w:numId w:val="17"/>
        </w:numPr>
        <w:tabs>
          <w:tab w:val="clear" w:pos="420"/>
        </w:tabs>
        <w:spacing w:line="40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供应商在磋商文件中提供虚假技术指标及参数，经磋商小组确认属实的。</w:t>
      </w:r>
    </w:p>
    <w:p w14:paraId="23E08127">
      <w:pPr>
        <w:numPr>
          <w:ilvl w:val="0"/>
          <w:numId w:val="17"/>
        </w:numPr>
        <w:tabs>
          <w:tab w:val="clear" w:pos="420"/>
        </w:tabs>
        <w:spacing w:line="40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经同级政府采购监督管理部门审查认定供应商有违反《中华人民共和国政府采购法》等有关法律法规的行为。</w:t>
      </w:r>
    </w:p>
    <w:p w14:paraId="69AF4437">
      <w:pPr>
        <w:numPr>
          <w:ilvl w:val="0"/>
          <w:numId w:val="12"/>
        </w:numPr>
        <w:spacing w:line="400" w:lineRule="exact"/>
        <w:rPr>
          <w:rFonts w:ascii="宋体" w:hAnsi="宋体" w:cs="宋体"/>
          <w:b/>
          <w:color w:val="auto"/>
          <w:sz w:val="22"/>
          <w:szCs w:val="22"/>
          <w:highlight w:val="none"/>
        </w:rPr>
      </w:pPr>
      <w:r>
        <w:rPr>
          <w:rFonts w:hint="eastAsia" w:ascii="宋体" w:hAnsi="宋体" w:cs="宋体"/>
          <w:bCs/>
          <w:color w:val="auto"/>
          <w:sz w:val="22"/>
          <w:szCs w:val="22"/>
          <w:highlight w:val="none"/>
        </w:rPr>
        <w:t>报价文件有效期</w:t>
      </w:r>
    </w:p>
    <w:p w14:paraId="26BAD704">
      <w:pPr>
        <w:numPr>
          <w:ilvl w:val="1"/>
          <w:numId w:val="18"/>
        </w:numPr>
        <w:tabs>
          <w:tab w:val="clear" w:pos="992"/>
        </w:tabs>
        <w:spacing w:line="400" w:lineRule="exact"/>
        <w:ind w:left="640"/>
        <w:rPr>
          <w:rFonts w:ascii="宋体" w:hAnsi="宋体" w:cs="宋体"/>
          <w:b/>
          <w:bCs/>
          <w:color w:val="auto"/>
          <w:sz w:val="22"/>
          <w:szCs w:val="22"/>
          <w:highlight w:val="none"/>
        </w:rPr>
      </w:pPr>
      <w:r>
        <w:rPr>
          <w:rFonts w:hint="eastAsia" w:ascii="宋体" w:hAnsi="宋体" w:cs="宋体"/>
          <w:b/>
          <w:bCs/>
          <w:color w:val="auto"/>
          <w:sz w:val="22"/>
          <w:szCs w:val="22"/>
          <w:highlight w:val="none"/>
        </w:rPr>
        <w:t>自开标之日起 90天内报价应保持有效。报价有效期短于这个规定期限将视为非响应性报价而予以拒绝。</w:t>
      </w:r>
    </w:p>
    <w:p w14:paraId="62F0D766">
      <w:pPr>
        <w:numPr>
          <w:ilvl w:val="1"/>
          <w:numId w:val="18"/>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特殊情况下，在原报价有效期截止前，采购人可与磋商供应商协商延长报价有效期，这种要求和答复均以书面形式进行。磋商供应商可拒绝接受延期要求。同意延长报价文件有效期的供应商不得修改磋商响应文件。</w:t>
      </w:r>
    </w:p>
    <w:p w14:paraId="5A554159">
      <w:pPr>
        <w:spacing w:before="100" w:beforeAutospacing="1" w:after="100" w:afterAutospacing="1" w:line="440" w:lineRule="exact"/>
        <w:ind w:left="783" w:hanging="783" w:hangingChars="300"/>
        <w:jc w:val="center"/>
        <w:outlineLvl w:val="0"/>
        <w:rPr>
          <w:rFonts w:ascii="宋体" w:hAnsi="宋体" w:cs="宋体"/>
          <w:color w:val="auto"/>
          <w:sz w:val="22"/>
          <w:szCs w:val="22"/>
          <w:highlight w:val="none"/>
        </w:rPr>
      </w:pPr>
      <w:bookmarkStart w:id="86" w:name="_Toc246261265"/>
      <w:bookmarkStart w:id="87" w:name="_Toc223715998"/>
      <w:bookmarkStart w:id="88" w:name="_Toc221356951"/>
      <w:bookmarkStart w:id="89" w:name="_Toc222114879"/>
      <w:bookmarkStart w:id="90" w:name="_Toc249758712"/>
      <w:bookmarkStart w:id="91" w:name="_Toc245191314"/>
      <w:bookmarkStart w:id="92" w:name="_Toc262049418"/>
      <w:bookmarkStart w:id="93" w:name="_Toc221423619"/>
      <w:bookmarkStart w:id="94" w:name="_Toc262105503"/>
      <w:bookmarkStart w:id="95" w:name="_Toc249758864"/>
      <w:bookmarkStart w:id="96" w:name="_Toc32630"/>
      <w:bookmarkStart w:id="97" w:name="_Toc221374626"/>
      <w:bookmarkStart w:id="98" w:name="_Toc241404202"/>
      <w:bookmarkStart w:id="99" w:name="_Toc221356887"/>
      <w:bookmarkStart w:id="100" w:name="_Toc245722281"/>
      <w:bookmarkStart w:id="101" w:name="_Toc239145354"/>
      <w:r>
        <w:rPr>
          <w:rFonts w:hint="eastAsia" w:ascii="宋体" w:hAnsi="宋体" w:cs="宋体"/>
          <w:b/>
          <w:bCs/>
          <w:color w:val="auto"/>
          <w:sz w:val="26"/>
          <w:szCs w:val="26"/>
          <w:highlight w:val="none"/>
        </w:rPr>
        <w:t>五、 磋商响应文件的递交</w:t>
      </w:r>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p>
    <w:p w14:paraId="673B111D">
      <w:pPr>
        <w:numPr>
          <w:ilvl w:val="0"/>
          <w:numId w:val="19"/>
        </w:numPr>
        <w:tabs>
          <w:tab w:val="clear" w:pos="420"/>
        </w:tabs>
        <w:spacing w:line="400" w:lineRule="exact"/>
        <w:rPr>
          <w:rFonts w:ascii="宋体" w:hAnsi="宋体" w:cs="宋体"/>
          <w:b/>
          <w:color w:val="auto"/>
          <w:sz w:val="22"/>
          <w:szCs w:val="22"/>
          <w:highlight w:val="none"/>
        </w:rPr>
      </w:pPr>
      <w:bookmarkStart w:id="102" w:name="_Toc333430596"/>
      <w:r>
        <w:rPr>
          <w:rFonts w:hint="eastAsia" w:ascii="宋体" w:hAnsi="宋体" w:cs="宋体"/>
          <w:bCs/>
          <w:color w:val="auto"/>
          <w:sz w:val="22"/>
          <w:szCs w:val="22"/>
          <w:highlight w:val="none"/>
        </w:rPr>
        <w:t>磋商响应文件的递交</w:t>
      </w:r>
    </w:p>
    <w:p w14:paraId="668C6C4B">
      <w:pPr>
        <w:tabs>
          <w:tab w:val="left" w:pos="360"/>
          <w:tab w:val="left" w:pos="540"/>
        </w:tabs>
        <w:spacing w:line="400" w:lineRule="exact"/>
        <w:ind w:firstLine="440" w:firstLineChars="200"/>
        <w:rPr>
          <w:rFonts w:ascii="宋体" w:hAnsi="宋体" w:cs="宋体"/>
          <w:b/>
          <w:color w:val="auto"/>
          <w:sz w:val="22"/>
          <w:szCs w:val="22"/>
          <w:highlight w:val="none"/>
          <w:u w:val="single"/>
        </w:rPr>
      </w:pPr>
      <w:r>
        <w:rPr>
          <w:rFonts w:hint="eastAsia" w:ascii="宋体" w:hAnsi="宋体" w:cs="宋体"/>
          <w:color w:val="auto"/>
          <w:sz w:val="22"/>
          <w:szCs w:val="22"/>
          <w:highlight w:val="none"/>
        </w:rPr>
        <w:t>本项目实行网上投标。响应文件</w:t>
      </w:r>
      <w:r>
        <w:rPr>
          <w:rFonts w:hint="eastAsia" w:ascii="宋体" w:hAnsi="宋体" w:cs="宋体"/>
          <w:bCs/>
          <w:color w:val="auto"/>
          <w:kern w:val="0"/>
          <w:sz w:val="22"/>
          <w:szCs w:val="22"/>
          <w:highlight w:val="none"/>
        </w:rPr>
        <w:t>的上传、递交：见供应商须知前附表第18款。</w:t>
      </w:r>
    </w:p>
    <w:p w14:paraId="344AAD26">
      <w:pPr>
        <w:numPr>
          <w:ilvl w:val="0"/>
          <w:numId w:val="19"/>
        </w:numPr>
        <w:tabs>
          <w:tab w:val="clear" w:pos="420"/>
        </w:tabs>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“电子加密磋商响应文件”解密和异常情况处理。</w:t>
      </w:r>
    </w:p>
    <w:p w14:paraId="71DFD4A4">
      <w:pPr>
        <w:tabs>
          <w:tab w:val="left" w:pos="540"/>
        </w:tabs>
        <w:spacing w:line="400" w:lineRule="exact"/>
        <w:ind w:firstLine="440" w:firstLineChars="200"/>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“电子加密磋商响应文件”解密：见供应商须知前附表第19款。</w:t>
      </w:r>
    </w:p>
    <w:p w14:paraId="436A57AE">
      <w:pPr>
        <w:numPr>
          <w:ilvl w:val="0"/>
          <w:numId w:val="19"/>
        </w:numPr>
        <w:tabs>
          <w:tab w:val="clear" w:pos="420"/>
        </w:tabs>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磋商响应文件的修改和撤回</w:t>
      </w:r>
    </w:p>
    <w:p w14:paraId="66F0A2AD">
      <w:pPr>
        <w:numPr>
          <w:ilvl w:val="1"/>
          <w:numId w:val="20"/>
        </w:numPr>
        <w:tabs>
          <w:tab w:val="clear" w:pos="992"/>
        </w:tabs>
        <w:spacing w:line="400" w:lineRule="exact"/>
        <w:ind w:left="540" w:hanging="540"/>
        <w:rPr>
          <w:rFonts w:ascii="宋体" w:hAnsi="宋体" w:cs="宋体"/>
          <w:bCs/>
          <w:color w:val="auto"/>
          <w:sz w:val="22"/>
          <w:szCs w:val="22"/>
          <w:highlight w:val="none"/>
        </w:rPr>
      </w:pPr>
      <w:r>
        <w:rPr>
          <w:rFonts w:hint="eastAsia" w:ascii="宋体" w:hAnsi="宋体" w:cs="宋体"/>
          <w:bCs/>
          <w:color w:val="auto"/>
          <w:sz w:val="22"/>
          <w:szCs w:val="22"/>
          <w:highlight w:val="none"/>
        </w:rPr>
        <w:t>供应商应当在磋商截止时间前完成电子磋商响应文件的传输递交，并可以补充、修改或者撤回电子磋商响应文件。补充或者修改电子磋商响应文件的，应当先行撤回原文件，补充、修改后重新传输递交。</w:t>
      </w:r>
    </w:p>
    <w:p w14:paraId="5AE89D63">
      <w:pPr>
        <w:numPr>
          <w:ilvl w:val="1"/>
          <w:numId w:val="20"/>
        </w:numPr>
        <w:tabs>
          <w:tab w:val="clear" w:pos="992"/>
        </w:tabs>
        <w:spacing w:line="400" w:lineRule="exact"/>
        <w:ind w:left="540" w:hanging="540"/>
        <w:rPr>
          <w:rFonts w:ascii="宋体" w:hAnsi="宋体" w:cs="宋体"/>
          <w:b/>
          <w:color w:val="auto"/>
          <w:sz w:val="22"/>
          <w:szCs w:val="22"/>
          <w:highlight w:val="none"/>
          <w:u w:val="single"/>
        </w:rPr>
      </w:pPr>
      <w:r>
        <w:rPr>
          <w:rFonts w:hint="eastAsia" w:ascii="宋体" w:hAnsi="宋体" w:cs="宋体"/>
          <w:b/>
          <w:color w:val="auto"/>
          <w:sz w:val="22"/>
          <w:szCs w:val="22"/>
          <w:highlight w:val="none"/>
          <w:u w:val="single"/>
        </w:rPr>
        <w:t>▲磋商截止时间前未完成传输的，视为撤回磋商响应文件。磋商响应截止时间后送达的投标响应文件，将被政采云平台拒收。</w:t>
      </w:r>
    </w:p>
    <w:p w14:paraId="620EF1F0">
      <w:pPr>
        <w:numPr>
          <w:ilvl w:val="0"/>
          <w:numId w:val="19"/>
        </w:numPr>
        <w:tabs>
          <w:tab w:val="clear" w:pos="420"/>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u w:val="single"/>
        </w:rPr>
        <w:t>▲</w:t>
      </w:r>
      <w:r>
        <w:rPr>
          <w:rFonts w:hint="eastAsia" w:ascii="宋体" w:hAnsi="宋体" w:cs="宋体"/>
          <w:b/>
          <w:bCs/>
          <w:color w:val="auto"/>
          <w:sz w:val="22"/>
          <w:szCs w:val="22"/>
          <w:highlight w:val="none"/>
          <w:u w:val="single"/>
        </w:rPr>
        <w:t>发生下列情况之一的磋商响应文件将不予受理</w:t>
      </w:r>
      <w:r>
        <w:rPr>
          <w:rFonts w:hint="eastAsia" w:ascii="宋体" w:hAnsi="宋体" w:cs="宋体"/>
          <w:bCs/>
          <w:color w:val="auto"/>
          <w:sz w:val="22"/>
          <w:szCs w:val="22"/>
          <w:highlight w:val="none"/>
        </w:rPr>
        <w:t>：</w:t>
      </w:r>
    </w:p>
    <w:p w14:paraId="07823E61">
      <w:pPr>
        <w:numPr>
          <w:ilvl w:val="1"/>
          <w:numId w:val="21"/>
        </w:numPr>
        <w:tabs>
          <w:tab w:val="clear" w:pos="992"/>
        </w:tabs>
        <w:spacing w:line="400" w:lineRule="exact"/>
        <w:ind w:left="64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在磋商截止时间以后上传的磋商响应文件；</w:t>
      </w:r>
    </w:p>
    <w:p w14:paraId="45E18865">
      <w:pPr>
        <w:numPr>
          <w:ilvl w:val="1"/>
          <w:numId w:val="21"/>
        </w:numPr>
        <w:tabs>
          <w:tab w:val="clear" w:pos="992"/>
        </w:tabs>
        <w:spacing w:line="400" w:lineRule="exact"/>
        <w:ind w:left="64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仅递交了“备份磋商响应文件”而未将电子加密磋商响应文件上传至“政府采购云平台”的；</w:t>
      </w:r>
    </w:p>
    <w:p w14:paraId="62CA605C">
      <w:pPr>
        <w:numPr>
          <w:ilvl w:val="1"/>
          <w:numId w:val="21"/>
        </w:numPr>
        <w:tabs>
          <w:tab w:val="clear" w:pos="992"/>
        </w:tabs>
        <w:spacing w:line="400" w:lineRule="exact"/>
        <w:ind w:left="64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 xml:space="preserve">未在规定时间解密，或者，解密失败且经异常处理政采云系统仍未能识别的； </w:t>
      </w:r>
    </w:p>
    <w:p w14:paraId="5C263A42">
      <w:pPr>
        <w:numPr>
          <w:ilvl w:val="1"/>
          <w:numId w:val="21"/>
        </w:numPr>
        <w:tabs>
          <w:tab w:val="clear" w:pos="992"/>
        </w:tabs>
        <w:spacing w:line="400" w:lineRule="exact"/>
        <w:ind w:left="64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以纸质形式提交的；</w:t>
      </w:r>
    </w:p>
    <w:p w14:paraId="7F3F6B54">
      <w:pPr>
        <w:spacing w:before="100" w:beforeAutospacing="1" w:after="100" w:afterAutospacing="1" w:line="440" w:lineRule="exact"/>
        <w:ind w:left="783" w:hanging="783" w:hangingChars="300"/>
        <w:jc w:val="center"/>
        <w:outlineLvl w:val="0"/>
        <w:rPr>
          <w:rFonts w:ascii="宋体" w:hAnsi="宋体" w:cs="宋体"/>
          <w:b/>
          <w:bCs/>
          <w:color w:val="auto"/>
          <w:sz w:val="26"/>
          <w:szCs w:val="26"/>
          <w:highlight w:val="none"/>
        </w:rPr>
      </w:pPr>
      <w:bookmarkStart w:id="103" w:name="_Toc12917"/>
      <w:r>
        <w:rPr>
          <w:rFonts w:hint="eastAsia" w:ascii="宋体" w:hAnsi="宋体" w:cs="宋体"/>
          <w:b/>
          <w:bCs/>
          <w:color w:val="auto"/>
          <w:sz w:val="26"/>
          <w:szCs w:val="26"/>
          <w:highlight w:val="none"/>
        </w:rPr>
        <w:t>六、 磋商和评审</w:t>
      </w:r>
      <w:bookmarkEnd w:id="102"/>
      <w:bookmarkEnd w:id="103"/>
    </w:p>
    <w:p w14:paraId="0D999815">
      <w:pPr>
        <w:spacing w:line="400" w:lineRule="exact"/>
        <w:ind w:left="674" w:leftChars="17" w:hanging="638" w:hangingChars="290"/>
        <w:rPr>
          <w:rFonts w:ascii="宋体" w:hAnsi="宋体" w:cs="宋体"/>
          <w:color w:val="auto"/>
          <w:sz w:val="22"/>
          <w:szCs w:val="22"/>
          <w:highlight w:val="none"/>
        </w:rPr>
      </w:pPr>
      <w:bookmarkStart w:id="104" w:name="_Toc221356954"/>
      <w:bookmarkStart w:id="105" w:name="_Toc249758867"/>
      <w:bookmarkStart w:id="106" w:name="_Toc223716001"/>
      <w:bookmarkStart w:id="107" w:name="_Toc221356890"/>
      <w:bookmarkStart w:id="108" w:name="_Toc262105506"/>
      <w:bookmarkStart w:id="109" w:name="_Toc246261268"/>
      <w:bookmarkStart w:id="110" w:name="_Toc241404205"/>
      <w:bookmarkStart w:id="111" w:name="_Toc221374629"/>
      <w:bookmarkStart w:id="112" w:name="_Toc239145357"/>
      <w:bookmarkStart w:id="113" w:name="_Toc245191317"/>
      <w:bookmarkStart w:id="114" w:name="_Toc221423622"/>
      <w:bookmarkStart w:id="115" w:name="_Toc222114882"/>
      <w:bookmarkStart w:id="116" w:name="_Toc262049421"/>
      <w:bookmarkStart w:id="117" w:name="_Toc245722284"/>
      <w:bookmarkStart w:id="118" w:name="_Toc249758715"/>
      <w:r>
        <w:rPr>
          <w:rFonts w:hint="eastAsia" w:ascii="宋体" w:hAnsi="宋体" w:cs="宋体"/>
          <w:color w:val="auto"/>
          <w:sz w:val="22"/>
          <w:szCs w:val="22"/>
          <w:highlight w:val="none"/>
        </w:rPr>
        <w:t>1．磋商小组</w:t>
      </w:r>
    </w:p>
    <w:p w14:paraId="38CEC035">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1.1  政府采购代理机构依法组建磋商小组，磋商小组的成员在磋商过程中必须严格遵守《政府采购法》、</w:t>
      </w:r>
      <w:r>
        <w:rPr>
          <w:rFonts w:hint="eastAsia" w:ascii="宋体" w:hAnsi="宋体" w:cs="宋体"/>
          <w:color w:val="auto"/>
          <w:kern w:val="0"/>
          <w:sz w:val="22"/>
          <w:szCs w:val="22"/>
          <w:highlight w:val="none"/>
        </w:rPr>
        <w:t>《政府采购竞争性磋商采购方式管理暂行办法》</w:t>
      </w:r>
      <w:r>
        <w:rPr>
          <w:rFonts w:hint="eastAsia" w:ascii="宋体" w:hAnsi="宋体" w:cs="宋体"/>
          <w:color w:val="auto"/>
          <w:sz w:val="22"/>
          <w:szCs w:val="22"/>
          <w:highlight w:val="none"/>
        </w:rPr>
        <w:t>等有关法律、法规的规定。不得泄露评审情况和评审中获悉的商业秘密。</w:t>
      </w:r>
    </w:p>
    <w:p w14:paraId="48EAC86D">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1.2  磋商小组由3人（含）以上的单数组成，磋商小组负责对磋商响应文件进行审查、质疑、评估、比较及确定成交候选人。</w:t>
      </w:r>
    </w:p>
    <w:p w14:paraId="31AF6EFC">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2．开标（三阶段）</w:t>
      </w:r>
    </w:p>
    <w:p w14:paraId="38160B2A">
      <w:pPr>
        <w:spacing w:line="400" w:lineRule="exact"/>
        <w:ind w:firstLine="422"/>
        <w:rPr>
          <w:rFonts w:ascii="宋体" w:hAnsi="宋体" w:cs="宋体"/>
          <w:b/>
          <w:bCs/>
          <w:color w:val="auto"/>
          <w:sz w:val="22"/>
          <w:szCs w:val="22"/>
          <w:highlight w:val="none"/>
        </w:rPr>
      </w:pPr>
      <w:r>
        <w:rPr>
          <w:rFonts w:hint="eastAsia" w:ascii="宋体" w:hAnsi="宋体" w:cs="宋体"/>
          <w:b/>
          <w:bCs/>
          <w:color w:val="auto"/>
          <w:sz w:val="22"/>
          <w:szCs w:val="22"/>
          <w:highlight w:val="none"/>
        </w:rPr>
        <w:t xml:space="preserve">2.1 开标第一阶段 </w:t>
      </w:r>
    </w:p>
    <w:p w14:paraId="0C872CD7">
      <w:pPr>
        <w:numPr>
          <w:ilvl w:val="0"/>
          <w:numId w:val="22"/>
        </w:numPr>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磋商</w:t>
      </w:r>
      <w:r>
        <w:rPr>
          <w:rFonts w:hint="eastAsia" w:ascii="宋体" w:hAnsi="宋体" w:cs="宋体"/>
          <w:color w:val="auto"/>
          <w:sz w:val="22"/>
          <w:szCs w:val="22"/>
          <w:highlight w:val="none"/>
        </w:rPr>
        <w:t>响应</w:t>
      </w:r>
      <w:r>
        <w:rPr>
          <w:rFonts w:hint="eastAsia" w:ascii="宋体" w:hAnsi="宋体" w:cs="宋体"/>
          <w:color w:val="auto"/>
          <w:sz w:val="22"/>
          <w:szCs w:val="22"/>
          <w:highlight w:val="none"/>
          <w:lang w:val="zh-CN"/>
        </w:rPr>
        <w:t>截止时间后，采购组织机构将向各供应商发出解密通知，各供应商代表应当在接到解密通知后登录政采云平台，对电子响应文件进行在线解密。</w:t>
      </w:r>
    </w:p>
    <w:p w14:paraId="5A8BC3A4">
      <w:pPr>
        <w:numPr>
          <w:ilvl w:val="0"/>
          <w:numId w:val="22"/>
        </w:numPr>
        <w:spacing w:line="400" w:lineRule="exact"/>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异常处理：</w:t>
      </w:r>
      <w:r>
        <w:rPr>
          <w:rFonts w:hint="eastAsia" w:ascii="宋体" w:hAnsi="宋体" w:cs="宋体"/>
          <w:b/>
          <w:bCs/>
          <w:color w:val="auto"/>
          <w:sz w:val="22"/>
          <w:szCs w:val="22"/>
          <w:highlight w:val="none"/>
          <w:u w:val="single"/>
        </w:rPr>
        <w:t>如政采云上电子响应文件出现解密失败情况，供应商可根据自身意愿确认是否将备份标书压缩包的解密密码传送至采购代理机构邮箱Yxgc666@126.com,采购代理机构收到解密密码后通过【异常处理】的端口对供应商的备份响应文件进行上传（上传成功后，“电子响应文件”自动失效），不能成功上传的视为响应文件撤回）。</w:t>
      </w:r>
    </w:p>
    <w:p w14:paraId="01F58970">
      <w:pPr>
        <w:numPr>
          <w:ilvl w:val="0"/>
          <w:numId w:val="2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电子响应</w:t>
      </w:r>
      <w:r>
        <w:rPr>
          <w:rFonts w:hint="eastAsia" w:ascii="宋体" w:hAnsi="宋体" w:cs="宋体"/>
          <w:color w:val="auto"/>
          <w:sz w:val="22"/>
          <w:szCs w:val="22"/>
          <w:highlight w:val="none"/>
          <w:lang w:val="zh-CN"/>
        </w:rPr>
        <w:t>文件解密结束后</w:t>
      </w:r>
      <w:r>
        <w:rPr>
          <w:rFonts w:hint="eastAsia" w:ascii="宋体" w:hAnsi="宋体" w:cs="宋体"/>
          <w:color w:val="auto"/>
          <w:sz w:val="22"/>
          <w:szCs w:val="22"/>
          <w:highlight w:val="none"/>
        </w:rPr>
        <w:t>，</w:t>
      </w:r>
      <w:r>
        <w:rPr>
          <w:rFonts w:hint="eastAsia" w:ascii="宋体" w:hAnsi="宋体" w:cs="宋体"/>
          <w:color w:val="auto"/>
          <w:sz w:val="22"/>
          <w:szCs w:val="22"/>
          <w:highlight w:val="none"/>
          <w:lang w:val="zh-CN"/>
        </w:rPr>
        <w:t>各</w:t>
      </w:r>
      <w:r>
        <w:rPr>
          <w:rFonts w:hint="eastAsia" w:ascii="宋体" w:hAnsi="宋体" w:cs="宋体"/>
          <w:color w:val="auto"/>
          <w:sz w:val="22"/>
          <w:szCs w:val="22"/>
          <w:highlight w:val="none"/>
        </w:rPr>
        <w:t>供应商签署《政府采购活动现场确认声明书》（见附件）后将扫描件发送至采购代理机构邮箱Yxgc666@126.com</w:t>
      </w:r>
      <w:r>
        <w:rPr>
          <w:rFonts w:hint="eastAsia" w:ascii="宋体" w:hAnsi="宋体" w:cs="宋体"/>
          <w:color w:val="auto"/>
          <w:sz w:val="22"/>
          <w:szCs w:val="22"/>
          <w:highlight w:val="none"/>
          <w:lang w:val="zh-CN"/>
        </w:rPr>
        <w:t>。</w:t>
      </w:r>
    </w:p>
    <w:p w14:paraId="1F29BAC3">
      <w:pPr>
        <w:numPr>
          <w:ilvl w:val="0"/>
          <w:numId w:val="2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开启各供应商的标书信息，由采购人或采购代理机构或磋商小组依法对供应商的资格进行审查，经资格审查确认通过的电子响应文件由磋商小组进行进入符合性审查和商务技术响应文件评审，资格审查确认未通过的电子响应文件将被拒绝，其磋商不进入下一步评审。</w:t>
      </w:r>
    </w:p>
    <w:p w14:paraId="75A0ECD3">
      <w:pPr>
        <w:spacing w:line="400" w:lineRule="exact"/>
        <w:ind w:firstLine="422"/>
        <w:rPr>
          <w:rFonts w:ascii="宋体" w:hAnsi="宋体" w:cs="宋体"/>
          <w:b/>
          <w:bCs/>
          <w:color w:val="auto"/>
          <w:sz w:val="22"/>
          <w:szCs w:val="22"/>
          <w:highlight w:val="none"/>
        </w:rPr>
      </w:pPr>
      <w:r>
        <w:rPr>
          <w:rFonts w:hint="eastAsia" w:ascii="宋体" w:hAnsi="宋体" w:cs="宋体"/>
          <w:b/>
          <w:bCs/>
          <w:color w:val="auto"/>
          <w:sz w:val="22"/>
          <w:szCs w:val="22"/>
          <w:highlight w:val="none"/>
        </w:rPr>
        <w:t xml:space="preserve">2.2开标第二阶段  </w:t>
      </w:r>
    </w:p>
    <w:p w14:paraId="1A0A10A0">
      <w:pPr>
        <w:numPr>
          <w:ilvl w:val="0"/>
          <w:numId w:val="2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符合性审查：由磋商小组对各供应商的电子响应文件的有效性、完整性和对竞争性磋商文件的响应程度进行符合性审查，并在“政采云系统-符合性评审”中录入供应商的符合性审查情况；符合性审查未通过的电子响应文件将被拒绝，其磋商不进入下一步评审。</w:t>
      </w:r>
    </w:p>
    <w:p w14:paraId="60869C72">
      <w:pPr>
        <w:numPr>
          <w:ilvl w:val="0"/>
          <w:numId w:val="2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商务技术响应文件的评审</w:t>
      </w:r>
    </w:p>
    <w:p w14:paraId="5B3654F2">
      <w:pPr>
        <w:spacing w:line="400" w:lineRule="exact"/>
        <w:ind w:firstLine="422"/>
        <w:rPr>
          <w:rFonts w:ascii="宋体" w:hAnsi="宋体" w:cs="宋体"/>
          <w:color w:val="auto"/>
          <w:sz w:val="22"/>
          <w:szCs w:val="22"/>
          <w:highlight w:val="none"/>
        </w:rPr>
      </w:pPr>
      <w:r>
        <w:rPr>
          <w:rFonts w:hint="eastAsia" w:ascii="宋体" w:hAnsi="宋体" w:cs="宋体"/>
          <w:color w:val="auto"/>
          <w:sz w:val="22"/>
          <w:szCs w:val="22"/>
          <w:highlight w:val="none"/>
        </w:rPr>
        <w:t>由磋商小组对各供应商的电子响应文件的商务技术部分按竞争性磋商文件规定的评审方法进行评审，并得出商务技术得分。之后开启各供应商的报价文件，在“政采云平台”系统平台上公布各供应商报价一览表有关内容，同时当场制作开标记录，供应商在线进行确认。开标结束后，由磋商小组对报价的合理性、准确性等进行审查核实。</w:t>
      </w:r>
    </w:p>
    <w:p w14:paraId="3B2032A5">
      <w:pPr>
        <w:spacing w:line="400" w:lineRule="exact"/>
        <w:ind w:firstLine="422"/>
        <w:rPr>
          <w:rFonts w:ascii="宋体" w:hAnsi="宋体" w:cs="宋体"/>
          <w:b/>
          <w:bCs/>
          <w:color w:val="auto"/>
          <w:sz w:val="22"/>
          <w:szCs w:val="22"/>
          <w:highlight w:val="none"/>
        </w:rPr>
      </w:pPr>
      <w:r>
        <w:rPr>
          <w:rFonts w:hint="eastAsia" w:ascii="宋体" w:hAnsi="宋体" w:cs="宋体"/>
          <w:b/>
          <w:bCs/>
          <w:color w:val="auto"/>
          <w:sz w:val="22"/>
          <w:szCs w:val="22"/>
          <w:highlight w:val="none"/>
        </w:rPr>
        <w:t>2.3 开标第三阶段</w:t>
      </w:r>
    </w:p>
    <w:p w14:paraId="2C4DB7A7">
      <w:pPr>
        <w:numPr>
          <w:ilvl w:val="0"/>
          <w:numId w:val="24"/>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磋商小组根据项目情况组织多轮报价，</w:t>
      </w:r>
      <w:r>
        <w:rPr>
          <w:rFonts w:hint="eastAsia" w:ascii="宋体" w:hAnsi="宋体" w:cs="宋体"/>
          <w:color w:val="auto"/>
          <w:kern w:val="0"/>
          <w:sz w:val="22"/>
          <w:szCs w:val="22"/>
          <w:highlight w:val="none"/>
        </w:rPr>
        <w:t>供应商在规定的时间内在政采云平台提交二次（最终）报价；</w:t>
      </w:r>
    </w:p>
    <w:p w14:paraId="6D85AA17">
      <w:pPr>
        <w:numPr>
          <w:ilvl w:val="0"/>
          <w:numId w:val="24"/>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开启供应商的二次（最终）报价文件，公布二次（最终）报价有关内容，同时当场制作开标记录，供应商在线进行确认。开标结束后，由磋商小组对报价的合理性、准确性等进行审查核实。</w:t>
      </w:r>
    </w:p>
    <w:p w14:paraId="3C6B8C9F">
      <w:pPr>
        <w:numPr>
          <w:ilvl w:val="0"/>
          <w:numId w:val="24"/>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公布商务技术得分情况、二次（最终）报价有关内容及各供应商排名情况。</w:t>
      </w:r>
    </w:p>
    <w:p w14:paraId="3B58B8B8">
      <w:pPr>
        <w:numPr>
          <w:ilvl w:val="0"/>
          <w:numId w:val="24"/>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评审结束后，在“政采云平台”系统平台上公布中标（成交）候选供应商名单，及采购人最终确定中标（成交）供应商名单的时间和公告方式等；</w:t>
      </w:r>
    </w:p>
    <w:p w14:paraId="48E99C43">
      <w:pPr>
        <w:tabs>
          <w:tab w:val="left" w:pos="540"/>
        </w:tabs>
        <w:spacing w:line="400" w:lineRule="exac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▲特别说明：如遇“政采云平台”电子化开标或评审程序调整的，按调整后程序执行。</w:t>
      </w:r>
    </w:p>
    <w:p w14:paraId="685D5E47">
      <w:pPr>
        <w:tabs>
          <w:tab w:val="left" w:pos="540"/>
        </w:tabs>
        <w:spacing w:line="40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3.磋商</w:t>
      </w:r>
    </w:p>
    <w:p w14:paraId="22CF1F7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3.1磋商小组所有成员将遵循“公开、公平、公正”的原则，采用相同的程序和标准。如有必要，所有成员按顺序与单一供应商分别进行单独封闭式磋商。磋商内容包括服务价格、服务质量水平和保障措施、服务期限、服务方案、履约能力、培训计划、付款方式等方面进行磋商和综合分析考评，以确定是否满足采购要求。在磋商过程中，磋商的任何一方都不得透露与磋商有关的其他供应商的技术资料、价格和其他信息。磋商供应商在磋商过程中所作出的各种承诺都必须用书面形式（经电子签章的政采云平台上传文件，下同），并由磋商供应商代表签字。磋商轮次最多不超过3轮。</w:t>
      </w:r>
    </w:p>
    <w:p w14:paraId="14004612">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3.2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重新提交响应文件，并由其供应商代表签字或者加盖公章。由授权代表签字的，应当附法定代表人授权书。供应商为自然人的，应当由本人签字并附身份证明。</w:t>
      </w:r>
    </w:p>
    <w:p w14:paraId="6FC010E4">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3.3在磋商过程中，磋商供应商不得向磋商小组成员询问磋商情况，不得进行旨在影响磋商结果的活动，否则将取消其磋商资格。</w:t>
      </w:r>
    </w:p>
    <w:p w14:paraId="6B40E72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3.4在磋商过程中，磋商小组成员不得与磋商供应商私下交换意见，在竞争性磋商结束后，凡与磋商情况有接触的人不得将磋商情况扩散出磋商小组成员外。</w:t>
      </w:r>
    </w:p>
    <w:p w14:paraId="20C995F5">
      <w:pPr>
        <w:spacing w:line="40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3.5磋商结束后，磋商小组将要求磋商供应商在规定的时间内，统一进行最后报价，最后报价不得高于一次报价（磋商小组另有决议的除外）。</w:t>
      </w:r>
    </w:p>
    <w:p w14:paraId="2E90F2EC">
      <w:pPr>
        <w:spacing w:line="40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3.6报价文件开启后，由磋商小组对各供应商的报价（含一次报价、二次报价及最终报价）进行核查，核查时发现报价内容不清楚可要求供应商书面澄清，计算上的错误，可按下面方法修正：</w:t>
      </w:r>
    </w:p>
    <w:p w14:paraId="3BE466F1">
      <w:pPr>
        <w:numPr>
          <w:ilvl w:val="0"/>
          <w:numId w:val="25"/>
        </w:numPr>
        <w:tabs>
          <w:tab w:val="clear" w:pos="420"/>
        </w:tabs>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报价文件中上传的价格和系统中报价一览表里填写的价格不一致的，以供应商上传的</w:t>
      </w:r>
      <w:r>
        <w:rPr>
          <w:rFonts w:hint="eastAsia" w:ascii="宋体" w:hAnsi="宋体" w:cs="宋体"/>
          <w:color w:val="auto"/>
          <w:sz w:val="22"/>
          <w:szCs w:val="22"/>
          <w:highlight w:val="none"/>
        </w:rPr>
        <w:t>报价</w:t>
      </w:r>
      <w:r>
        <w:rPr>
          <w:rFonts w:hint="eastAsia" w:ascii="宋体" w:hAnsi="宋体" w:cs="宋体"/>
          <w:color w:val="auto"/>
          <w:kern w:val="0"/>
          <w:sz w:val="22"/>
          <w:szCs w:val="22"/>
          <w:highlight w:val="none"/>
        </w:rPr>
        <w:t>文件为准；磋商响应文件中开标一览表内容与磋商响应文件中相应内容不一致的，以开标一览表为准；磋商响应文件的大写金额和小写金额不一致的，以大写金额为准；单价金额小数点或者百分比有明显错位的，以开标一览表的总价为准，并修改单价；总价金额与按单价汇总金额不一致的，以单价金额计算结果为准。</w:t>
      </w:r>
    </w:p>
    <w:p w14:paraId="6B2D3E50">
      <w:pPr>
        <w:numPr>
          <w:ilvl w:val="0"/>
          <w:numId w:val="25"/>
        </w:numPr>
        <w:tabs>
          <w:tab w:val="clear" w:pos="420"/>
        </w:tabs>
        <w:spacing w:line="400" w:lineRule="exact"/>
        <w:rPr>
          <w:rFonts w:ascii="宋体" w:hAnsi="宋体" w:cs="宋体"/>
          <w:color w:val="auto"/>
          <w:highlight w:val="none"/>
        </w:rPr>
      </w:pPr>
      <w:r>
        <w:rPr>
          <w:rFonts w:hint="eastAsia" w:ascii="宋体" w:hAnsi="宋体" w:cs="宋体"/>
          <w:b/>
          <w:bCs/>
          <w:color w:val="auto"/>
          <w:sz w:val="22"/>
          <w:szCs w:val="22"/>
          <w:highlight w:val="none"/>
          <w:u w:val="single"/>
        </w:rPr>
        <w:t>▲</w:t>
      </w:r>
      <w:r>
        <w:rPr>
          <w:rFonts w:hint="eastAsia" w:ascii="宋体" w:hAnsi="宋体" w:cs="宋体"/>
          <w:b/>
          <w:color w:val="auto"/>
          <w:kern w:val="0"/>
          <w:sz w:val="22"/>
          <w:szCs w:val="22"/>
          <w:highlight w:val="none"/>
          <w:u w:val="single"/>
        </w:rPr>
        <w:t>如果供应商不接受对其价格错误进行修正，其投标无效。</w:t>
      </w:r>
    </w:p>
    <w:p w14:paraId="62084432">
      <w:pPr>
        <w:spacing w:line="400" w:lineRule="exact"/>
        <w:rPr>
          <w:rFonts w:hint="eastAsia" w:ascii="宋体" w:hAnsi="宋体" w:eastAsia="宋体" w:cs="宋体"/>
          <w:b/>
          <w:bCs/>
          <w:color w:val="auto"/>
          <w:sz w:val="22"/>
          <w:szCs w:val="22"/>
          <w:highlight w:val="none"/>
        </w:rPr>
      </w:pPr>
      <w:r>
        <w:rPr>
          <w:rFonts w:hint="eastAsia" w:ascii="宋体" w:hAnsi="宋体" w:cs="宋体"/>
          <w:b/>
          <w:bCs/>
          <w:color w:val="auto"/>
          <w:sz w:val="22"/>
          <w:szCs w:val="22"/>
          <w:highlight w:val="none"/>
        </w:rPr>
        <w:t>3.</w:t>
      </w:r>
      <w:r>
        <w:rPr>
          <w:rFonts w:hint="eastAsia" w:ascii="宋体" w:hAnsi="宋体" w:cs="宋体"/>
          <w:b/>
          <w:bCs/>
          <w:color w:val="auto"/>
          <w:sz w:val="22"/>
          <w:szCs w:val="22"/>
          <w:highlight w:val="none"/>
          <w:lang w:val="en-US" w:eastAsia="zh-CN"/>
        </w:rPr>
        <w:t>7</w:t>
      </w:r>
      <w:r>
        <w:rPr>
          <w:rFonts w:hint="eastAsia" w:ascii="宋体" w:hAnsi="宋体" w:cs="宋体"/>
          <w:b/>
          <w:bCs/>
          <w:color w:val="auto"/>
          <w:sz w:val="22"/>
          <w:szCs w:val="22"/>
          <w:highlight w:val="none"/>
        </w:rPr>
        <w:t>二次（最终）</w:t>
      </w:r>
      <w:r>
        <w:rPr>
          <w:rFonts w:hint="eastAsia" w:ascii="宋体" w:hAnsi="宋体" w:eastAsia="宋体" w:cs="宋体"/>
          <w:b/>
          <w:bCs/>
          <w:color w:val="auto"/>
          <w:sz w:val="22"/>
          <w:szCs w:val="22"/>
          <w:highlight w:val="none"/>
        </w:rPr>
        <w:t>单项报价</w:t>
      </w:r>
      <w:r>
        <w:rPr>
          <w:rFonts w:hint="eastAsia" w:ascii="宋体" w:hAnsi="宋体" w:cs="宋体"/>
          <w:b/>
          <w:bCs/>
          <w:color w:val="auto"/>
          <w:sz w:val="22"/>
          <w:szCs w:val="22"/>
          <w:highlight w:val="none"/>
          <w:lang w:val="en-US" w:eastAsia="zh-CN"/>
        </w:rPr>
        <w:t>以一次单项报价为基准，按</w:t>
      </w:r>
      <w:r>
        <w:rPr>
          <w:rFonts w:hint="eastAsia" w:ascii="宋体" w:hAnsi="宋体" w:cs="宋体"/>
          <w:b/>
          <w:bCs/>
          <w:color w:val="auto"/>
          <w:sz w:val="22"/>
          <w:szCs w:val="22"/>
          <w:highlight w:val="none"/>
        </w:rPr>
        <w:t>二次（最终）报价</w:t>
      </w:r>
      <w:r>
        <w:rPr>
          <w:rFonts w:hint="eastAsia" w:ascii="宋体" w:hAnsi="宋体" w:cs="宋体"/>
          <w:b/>
          <w:bCs/>
          <w:color w:val="auto"/>
          <w:sz w:val="22"/>
          <w:szCs w:val="22"/>
          <w:highlight w:val="none"/>
          <w:lang w:val="en-US" w:eastAsia="zh-CN"/>
        </w:rPr>
        <w:t>与一次报价的</w:t>
      </w:r>
      <w:r>
        <w:rPr>
          <w:rFonts w:hint="eastAsia" w:ascii="宋体" w:hAnsi="宋体" w:eastAsia="宋体" w:cs="宋体"/>
          <w:b/>
          <w:bCs/>
          <w:color w:val="auto"/>
          <w:sz w:val="22"/>
          <w:szCs w:val="22"/>
          <w:highlight w:val="none"/>
        </w:rPr>
        <w:t>同比例</w:t>
      </w:r>
      <w:r>
        <w:rPr>
          <w:rFonts w:hint="eastAsia" w:ascii="宋体" w:hAnsi="宋体" w:cs="宋体"/>
          <w:b/>
          <w:bCs/>
          <w:color w:val="auto"/>
          <w:sz w:val="22"/>
          <w:szCs w:val="22"/>
          <w:highlight w:val="none"/>
          <w:lang w:val="en-US" w:eastAsia="zh-CN"/>
        </w:rPr>
        <w:t>进行</w:t>
      </w:r>
      <w:r>
        <w:rPr>
          <w:rFonts w:hint="eastAsia" w:ascii="宋体" w:hAnsi="宋体" w:eastAsia="宋体" w:cs="宋体"/>
          <w:b/>
          <w:bCs/>
          <w:color w:val="auto"/>
          <w:sz w:val="22"/>
          <w:szCs w:val="22"/>
          <w:highlight w:val="none"/>
        </w:rPr>
        <w:t>调整。</w:t>
      </w:r>
    </w:p>
    <w:p w14:paraId="243512E3">
      <w:pPr>
        <w:tabs>
          <w:tab w:val="left" w:pos="540"/>
        </w:tabs>
        <w:spacing w:line="40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4．  无效标认定</w:t>
      </w:r>
    </w:p>
    <w:p w14:paraId="1D77C446">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 xml:space="preserve">4.1 </w:t>
      </w:r>
      <w:r>
        <w:rPr>
          <w:rFonts w:hint="eastAsia" w:ascii="宋体" w:hAnsi="宋体" w:cs="宋体"/>
          <w:b/>
          <w:bCs/>
          <w:color w:val="auto"/>
          <w:sz w:val="22"/>
          <w:szCs w:val="22"/>
          <w:highlight w:val="none"/>
          <w:u w:val="single"/>
        </w:rPr>
        <w:t>▲供应商有以下情形之一的，政府采购云平台将默认供应商自动放弃：</w:t>
      </w:r>
    </w:p>
    <w:p w14:paraId="54A8D1A9">
      <w:pPr>
        <w:numPr>
          <w:ilvl w:val="0"/>
          <w:numId w:val="26"/>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供应商未按规定上传电子响应文件的。</w:t>
      </w:r>
    </w:p>
    <w:p w14:paraId="1AEF4F3C">
      <w:pPr>
        <w:numPr>
          <w:ilvl w:val="0"/>
          <w:numId w:val="26"/>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在解密期限内供应商电子响应文件解密失败，且经异常处理后政采云电子交易系统仍未能解决的。</w:t>
      </w:r>
    </w:p>
    <w:p w14:paraId="7B767BE0">
      <w:pPr>
        <w:numPr>
          <w:ilvl w:val="0"/>
          <w:numId w:val="26"/>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供应商在规定时间内未提交二次（最终）报价的。</w:t>
      </w:r>
    </w:p>
    <w:p w14:paraId="75DDBE01">
      <w:pPr>
        <w:spacing w:line="400" w:lineRule="exact"/>
        <w:ind w:left="676" w:leftChars="17" w:hanging="640" w:hangingChars="290"/>
        <w:rPr>
          <w:rFonts w:ascii="宋体" w:hAnsi="宋体" w:cs="宋体"/>
          <w:b/>
          <w:bCs/>
          <w:color w:val="auto"/>
          <w:sz w:val="22"/>
          <w:szCs w:val="22"/>
          <w:highlight w:val="none"/>
          <w:u w:val="single"/>
        </w:rPr>
      </w:pPr>
      <w:r>
        <w:rPr>
          <w:rFonts w:hint="eastAsia" w:ascii="宋体" w:hAnsi="宋体" w:cs="宋体"/>
          <w:b/>
          <w:bCs/>
          <w:color w:val="auto"/>
          <w:sz w:val="22"/>
          <w:szCs w:val="22"/>
          <w:highlight w:val="none"/>
        </w:rPr>
        <w:t>4.2</w:t>
      </w:r>
      <w:r>
        <w:rPr>
          <w:rFonts w:hint="eastAsia" w:ascii="宋体" w:hAnsi="宋体" w:cs="宋体"/>
          <w:color w:val="auto"/>
          <w:sz w:val="22"/>
          <w:szCs w:val="22"/>
          <w:highlight w:val="none"/>
        </w:rPr>
        <w:t>▲</w:t>
      </w:r>
      <w:r>
        <w:rPr>
          <w:rFonts w:hint="eastAsia" w:ascii="宋体" w:hAnsi="宋体" w:cs="宋体"/>
          <w:b/>
          <w:bCs/>
          <w:color w:val="auto"/>
          <w:sz w:val="22"/>
          <w:szCs w:val="22"/>
          <w:highlight w:val="none"/>
          <w:u w:val="single"/>
        </w:rPr>
        <w:t>在磋商过程中，有下列情况之一的，经磋商小组认定后按无效报价处理：</w:t>
      </w:r>
    </w:p>
    <w:p w14:paraId="0FA77CDD">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电子响应文件未按规定进行CA电子签章；</w:t>
      </w:r>
    </w:p>
    <w:p w14:paraId="36DF03F4">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响应文件中要求供应商法定代表人或授权代表签字的地方无法定代表人签字或其授权代表签字的；</w:t>
      </w:r>
    </w:p>
    <w:p w14:paraId="12B967C8">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授权代表没有法定代表人合法、有效委托的；</w:t>
      </w:r>
    </w:p>
    <w:p w14:paraId="63FA44CE">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未按磋商文件要求提供资格文件的；</w:t>
      </w:r>
    </w:p>
    <w:p w14:paraId="35D3F6C5">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供应商被政府采购云平台默认自动放弃的；</w:t>
      </w:r>
    </w:p>
    <w:p w14:paraId="5C32323C">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电子响应文件内容不全或关键字迹模糊无法辨认的；</w:t>
      </w:r>
    </w:p>
    <w:p w14:paraId="4EFC5674">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磋商供应商递交两份或多份内容不同的电子响应文件的；</w:t>
      </w:r>
    </w:p>
    <w:p w14:paraId="2F932AE0">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电子响应文件附有采购人不能接受的条件；</w:t>
      </w:r>
    </w:p>
    <w:p w14:paraId="479B48F3">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报价明显低于其他通过符合性审查供应商的报价，有可能影响产品质量或者不能诚信履约的，且在评标现场合理的时间内不能证明其报价合理性的；</w:t>
      </w:r>
    </w:p>
    <w:p w14:paraId="202B70E3">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磋商报价（含一次报价、二次报价及最终报价）超过采购预算</w:t>
      </w:r>
      <w:r>
        <w:rPr>
          <w:rFonts w:hint="eastAsia" w:ascii="宋体" w:hAnsi="宋体" w:cs="宋体"/>
          <w:b/>
          <w:bCs/>
          <w:color w:val="auto"/>
          <w:kern w:val="0"/>
          <w:sz w:val="22"/>
          <w:szCs w:val="22"/>
          <w:highlight w:val="none"/>
          <w:u w:val="single"/>
          <w:lang w:val="en-US" w:eastAsia="zh-CN"/>
        </w:rPr>
        <w:t>或最高限价</w:t>
      </w:r>
      <w:r>
        <w:rPr>
          <w:rFonts w:hint="eastAsia" w:ascii="宋体" w:hAnsi="宋体" w:cs="宋体"/>
          <w:b/>
          <w:bCs/>
          <w:color w:val="auto"/>
          <w:kern w:val="0"/>
          <w:sz w:val="22"/>
          <w:szCs w:val="22"/>
          <w:highlight w:val="none"/>
          <w:u w:val="single"/>
        </w:rPr>
        <w:t>的；</w:t>
      </w:r>
    </w:p>
    <w:p w14:paraId="6AD2FEB4">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磋商小组认定不符合法律、法规和磋商文件中规定的其他实质性要求的。</w:t>
      </w:r>
    </w:p>
    <w:p w14:paraId="1BDE7785">
      <w:pPr>
        <w:pStyle w:val="202"/>
        <w:spacing w:line="400" w:lineRule="exact"/>
        <w:ind w:firstLine="0" w:firstLineChars="0"/>
        <w:rPr>
          <w:rFonts w:ascii="宋体" w:hAnsi="宋体" w:cs="宋体"/>
          <w:b/>
          <w:bCs/>
          <w:color w:val="auto"/>
          <w:sz w:val="22"/>
          <w:szCs w:val="22"/>
          <w:highlight w:val="none"/>
        </w:rPr>
      </w:pPr>
      <w:r>
        <w:rPr>
          <w:rFonts w:hint="eastAsia" w:ascii="宋体" w:hAnsi="宋体" w:cs="宋体"/>
          <w:color w:val="auto"/>
          <w:sz w:val="22"/>
          <w:szCs w:val="22"/>
          <w:highlight w:val="none"/>
        </w:rPr>
        <w:t>4.3▲</w:t>
      </w:r>
      <w:r>
        <w:rPr>
          <w:rFonts w:hint="eastAsia" w:ascii="宋体" w:hAnsi="宋体" w:cs="宋体"/>
          <w:b/>
          <w:bCs/>
          <w:color w:val="auto"/>
          <w:sz w:val="22"/>
          <w:szCs w:val="22"/>
          <w:highlight w:val="none"/>
          <w:u w:val="single"/>
        </w:rPr>
        <w:t>有下列情形之一的，认定为串通投标行为，按无效标处理：</w:t>
      </w:r>
    </w:p>
    <w:p w14:paraId="43574450">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不同供应商的磋商响应文件由同一单位（或个人）编制；</w:t>
      </w:r>
    </w:p>
    <w:p w14:paraId="7240E332">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不同供应商委托同一人办理磋商事宜的或不同供应商与同一供应商联合磋商的；</w:t>
      </w:r>
    </w:p>
    <w:p w14:paraId="3B4AD253">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不同供应商的磋商响应文件内容出现非正常一致，或者报价细目呈明显规律性变化；</w:t>
      </w:r>
    </w:p>
    <w:p w14:paraId="1552914D">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不同供应商的磋商响应文件载明的项目管理人员出现同一人的情况；</w:t>
      </w:r>
    </w:p>
    <w:p w14:paraId="4FED3B3A">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不同供应商的磋商响应文件相互混装；</w:t>
      </w:r>
    </w:p>
    <w:p w14:paraId="2DE64206">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法律、法规或规章规定的其他串通投标行为。</w:t>
      </w:r>
    </w:p>
    <w:p w14:paraId="4FB3B386">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5．确定成交候选人</w:t>
      </w:r>
    </w:p>
    <w:p w14:paraId="7F2BBFBF">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5.1  本次采购由采购人确定成交候选人。</w:t>
      </w:r>
    </w:p>
    <w:p w14:paraId="1774A749">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5.2  磋商小组应当根据综合评分情况，按照综合得分由高到低顺序推荐3名以上成交候选供应商。</w:t>
      </w:r>
      <w:r>
        <w:rPr>
          <w:rFonts w:hint="eastAsia" w:ascii="宋体" w:hAnsi="宋体" w:cs="宋体"/>
          <w:bCs/>
          <w:color w:val="auto"/>
          <w:sz w:val="22"/>
          <w:highlight w:val="none"/>
        </w:rPr>
        <w:t>综合得分相同的，以报价分得分高的优先；综合得分相同且报价分得分相同的，由磋商小组抽签决定。</w:t>
      </w:r>
    </w:p>
    <w:p w14:paraId="062412BB">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5.3  排名第一的成交候选人放弃成交或因不可抗力提出不能履行合同；或未能在规定时间内与采购人签订合同的；或者经质疑，采购人审查后，确认因排名第一的候选人在本次采购活动中存在违法违规行为或其他原因使质疑成立的，采购人可以视情况依次确定排名第二、第三的成交候选人为成交供应商。</w:t>
      </w:r>
    </w:p>
    <w:p w14:paraId="20530B39">
      <w:pPr>
        <w:tabs>
          <w:tab w:val="left" w:pos="540"/>
        </w:tabs>
        <w:spacing w:line="400" w:lineRule="exact"/>
        <w:ind w:left="552" w:hanging="552" w:hangingChars="250"/>
        <w:rPr>
          <w:rFonts w:ascii="宋体" w:hAnsi="宋体" w:cs="宋体"/>
          <w:b/>
          <w:color w:val="auto"/>
          <w:kern w:val="0"/>
          <w:sz w:val="22"/>
          <w:szCs w:val="22"/>
          <w:highlight w:val="none"/>
          <w:u w:val="single"/>
        </w:rPr>
      </w:pPr>
      <w:r>
        <w:rPr>
          <w:rFonts w:hint="eastAsia" w:ascii="宋体" w:hAnsi="宋体" w:cs="宋体"/>
          <w:b/>
          <w:color w:val="auto"/>
          <w:kern w:val="0"/>
          <w:sz w:val="22"/>
          <w:szCs w:val="22"/>
          <w:highlight w:val="none"/>
        </w:rPr>
        <w:t>6．▲</w:t>
      </w:r>
      <w:r>
        <w:rPr>
          <w:rFonts w:hint="eastAsia" w:ascii="宋体" w:hAnsi="宋体" w:cs="宋体"/>
          <w:b/>
          <w:color w:val="auto"/>
          <w:kern w:val="0"/>
          <w:sz w:val="22"/>
          <w:szCs w:val="22"/>
          <w:highlight w:val="none"/>
          <w:u w:val="single"/>
        </w:rPr>
        <w:t>磋商小组认为供应商的报价明显低于其他通过符合性审查供应商的报价，有可能影响工程质量或者不能诚信履约的，应当要求其在合理的时间内提供书面说明，必要时提交相关证明材料；供应商不能证明其报价合理性的，磋商小组应当将其作为无效标处理。</w:t>
      </w:r>
    </w:p>
    <w:p w14:paraId="1A42AF48">
      <w:pPr>
        <w:tabs>
          <w:tab w:val="left" w:pos="540"/>
        </w:tabs>
        <w:spacing w:line="400" w:lineRule="exact"/>
        <w:ind w:left="550" w:hanging="550" w:hangingChars="250"/>
        <w:rPr>
          <w:rFonts w:ascii="宋体" w:hAnsi="宋体" w:cs="宋体"/>
          <w:color w:val="auto"/>
          <w:sz w:val="22"/>
          <w:szCs w:val="22"/>
          <w:highlight w:val="none"/>
        </w:rPr>
      </w:pPr>
      <w:r>
        <w:rPr>
          <w:rFonts w:hint="eastAsia" w:ascii="宋体" w:hAnsi="宋体" w:cs="宋体"/>
          <w:color w:val="auto"/>
          <w:kern w:val="0"/>
          <w:sz w:val="22"/>
          <w:szCs w:val="22"/>
          <w:highlight w:val="none"/>
        </w:rPr>
        <w:t xml:space="preserve">7.   </w:t>
      </w:r>
      <w:r>
        <w:rPr>
          <w:rFonts w:hint="eastAsia" w:ascii="宋体" w:hAnsi="宋体" w:cs="宋体"/>
          <w:b/>
          <w:color w:val="auto"/>
          <w:kern w:val="0"/>
          <w:sz w:val="22"/>
          <w:szCs w:val="22"/>
          <w:highlight w:val="none"/>
        </w:rPr>
        <w:t>评审过程中遇到特殊情况，由磋商小级遵循公开、公正原则，采取投票方式按照少数服从多数原则决定。</w:t>
      </w:r>
    </w:p>
    <w:p w14:paraId="4B609F35">
      <w:pPr>
        <w:tabs>
          <w:tab w:val="left" w:pos="540"/>
        </w:tabs>
        <w:spacing w:line="400" w:lineRule="exact"/>
        <w:ind w:left="552" w:hanging="552" w:hangingChars="250"/>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8.　▲</w:t>
      </w:r>
      <w:r>
        <w:rPr>
          <w:rFonts w:hint="eastAsia" w:ascii="宋体" w:hAnsi="宋体" w:cs="宋体"/>
          <w:b/>
          <w:color w:val="auto"/>
          <w:kern w:val="0"/>
          <w:sz w:val="22"/>
          <w:szCs w:val="22"/>
          <w:highlight w:val="none"/>
          <w:u w:val="single"/>
        </w:rPr>
        <w:t>在磋商过程中符合竞争要求的供应商或者</w:t>
      </w:r>
      <w:r>
        <w:rPr>
          <w:rFonts w:hint="eastAsia" w:ascii="宋体" w:hAnsi="宋体" w:cs="宋体"/>
          <w:b/>
          <w:color w:val="auto"/>
          <w:sz w:val="22"/>
          <w:szCs w:val="22"/>
          <w:highlight w:val="none"/>
          <w:u w:val="single"/>
        </w:rPr>
        <w:t>最后磋商</w:t>
      </w:r>
      <w:r>
        <w:rPr>
          <w:rFonts w:hint="eastAsia" w:ascii="宋体" w:hAnsi="宋体" w:cs="宋体"/>
          <w:b/>
          <w:color w:val="auto"/>
          <w:kern w:val="0"/>
          <w:sz w:val="22"/>
          <w:szCs w:val="22"/>
          <w:highlight w:val="none"/>
          <w:u w:val="single"/>
        </w:rPr>
        <w:t>最终报价未超过采购预算的供应商不足3家</w:t>
      </w:r>
      <w:r>
        <w:rPr>
          <w:rFonts w:hint="eastAsia" w:ascii="宋体" w:hAnsi="宋体" w:cs="宋体"/>
          <w:b/>
          <w:color w:val="auto"/>
          <w:sz w:val="22"/>
          <w:szCs w:val="22"/>
          <w:highlight w:val="none"/>
          <w:u w:val="single"/>
        </w:rPr>
        <w:t>的，</w:t>
      </w:r>
      <w:r>
        <w:rPr>
          <w:rFonts w:hint="eastAsia" w:ascii="宋体" w:hAnsi="宋体" w:cs="宋体"/>
          <w:b/>
          <w:bCs/>
          <w:color w:val="auto"/>
          <w:sz w:val="22"/>
          <w:szCs w:val="22"/>
          <w:highlight w:val="none"/>
          <w:u w:val="single"/>
        </w:rPr>
        <w:t>按以下情况处理</w:t>
      </w:r>
      <w:r>
        <w:rPr>
          <w:rFonts w:hint="eastAsia" w:ascii="宋体" w:hAnsi="宋体" w:cs="宋体"/>
          <w:b/>
          <w:color w:val="auto"/>
          <w:kern w:val="0"/>
          <w:sz w:val="22"/>
          <w:szCs w:val="22"/>
          <w:highlight w:val="none"/>
          <w:u w:val="single"/>
        </w:rPr>
        <w:t>：</w:t>
      </w:r>
    </w:p>
    <w:p w14:paraId="081837DD">
      <w:pPr>
        <w:tabs>
          <w:tab w:val="left" w:pos="540"/>
        </w:tabs>
        <w:spacing w:line="400" w:lineRule="exact"/>
        <w:ind w:left="549" w:leftChars="209" w:hanging="110" w:hangingChars="50"/>
        <w:rPr>
          <w:rFonts w:ascii="宋体" w:hAnsi="宋体" w:cs="宋体"/>
          <w:bCs/>
          <w:color w:val="auto"/>
          <w:sz w:val="22"/>
          <w:szCs w:val="22"/>
          <w:highlight w:val="none"/>
          <w:u w:val="single"/>
        </w:rPr>
      </w:pPr>
      <w:r>
        <w:rPr>
          <w:rFonts w:hint="eastAsia" w:ascii="宋体" w:hAnsi="宋体" w:cs="宋体"/>
          <w:bCs/>
          <w:color w:val="auto"/>
          <w:sz w:val="22"/>
          <w:szCs w:val="22"/>
          <w:highlight w:val="none"/>
          <w:u w:val="single"/>
        </w:rPr>
        <w:t>1）磋商过程中符合竞争要求的供应商或者最终报价未超过采购预算的供应商为2家，如满足《财政部关于政府采购竞争性磋商采购方式管理暂行办法有关问题的补充通知》的相关规定，则继续评审磋商程序，按照两名供应商的综合得分排名推荐为第一、第二成交候选供应商；如未满足，则本项目流标，重新组织采购流程。</w:t>
      </w:r>
    </w:p>
    <w:p w14:paraId="73DAB91B">
      <w:pPr>
        <w:tabs>
          <w:tab w:val="left" w:pos="540"/>
        </w:tabs>
        <w:spacing w:line="400" w:lineRule="exact"/>
        <w:ind w:left="549" w:leftChars="209" w:hanging="110" w:hangingChars="50"/>
        <w:rPr>
          <w:rFonts w:ascii="宋体" w:hAnsi="宋体" w:cs="宋体"/>
          <w:bCs/>
          <w:color w:val="auto"/>
          <w:sz w:val="22"/>
          <w:szCs w:val="22"/>
          <w:highlight w:val="none"/>
          <w:u w:val="single"/>
        </w:rPr>
      </w:pPr>
      <w:r>
        <w:rPr>
          <w:rFonts w:hint="eastAsia" w:ascii="宋体" w:hAnsi="宋体" w:cs="宋体"/>
          <w:bCs/>
          <w:color w:val="auto"/>
          <w:sz w:val="22"/>
          <w:szCs w:val="22"/>
          <w:highlight w:val="none"/>
          <w:u w:val="single"/>
        </w:rPr>
        <w:t>2）磋商过程中符合竞争要求的供应商或者最终报价未超过采购预算的供应商仅有1家，本项目流标，应重新组织采购流程。</w:t>
      </w:r>
    </w:p>
    <w:p w14:paraId="4D3DEE67">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9．  磋商小组不向未成交供应商解释未成交原因，不退还电子响应文件。</w:t>
      </w:r>
    </w:p>
    <w:p w14:paraId="4952BA0F">
      <w:p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10．  可中止电子交易活动的情形</w:t>
      </w:r>
    </w:p>
    <w:p w14:paraId="503ABAC1">
      <w:pPr>
        <w:spacing w:line="400" w:lineRule="exact"/>
        <w:ind w:firstLine="440" w:firstLineChars="200"/>
        <w:rPr>
          <w:rFonts w:ascii="宋体" w:hAnsi="宋体" w:cs="宋体"/>
          <w:bCs/>
          <w:color w:val="auto"/>
          <w:sz w:val="22"/>
          <w:szCs w:val="22"/>
          <w:highlight w:val="none"/>
        </w:rPr>
      </w:pPr>
      <w:r>
        <w:rPr>
          <w:rFonts w:hint="eastAsia" w:ascii="宋体" w:hAnsi="宋体" w:cs="宋体"/>
          <w:bCs/>
          <w:color w:val="auto"/>
          <w:sz w:val="22"/>
          <w:szCs w:val="22"/>
          <w:highlight w:val="none"/>
        </w:rPr>
        <w:t>采购过程中出现以下情形，导致电子交易平台无法正常运行，或者无法保证电子交易的公平、公正和安全时，采购组织机构可中止电子交易活动：</w:t>
      </w:r>
    </w:p>
    <w:p w14:paraId="058F5FCA">
      <w:pPr>
        <w:numPr>
          <w:ilvl w:val="0"/>
          <w:numId w:val="29"/>
        </w:numPr>
        <w:spacing w:line="400" w:lineRule="exact"/>
        <w:ind w:firstLine="6"/>
        <w:rPr>
          <w:rFonts w:ascii="宋体" w:hAnsi="宋体" w:cs="宋体"/>
          <w:bCs/>
          <w:color w:val="auto"/>
          <w:sz w:val="22"/>
          <w:szCs w:val="22"/>
          <w:highlight w:val="none"/>
        </w:rPr>
      </w:pPr>
      <w:r>
        <w:rPr>
          <w:rFonts w:hint="eastAsia" w:ascii="宋体" w:hAnsi="宋体" w:cs="宋体"/>
          <w:bCs/>
          <w:color w:val="auto"/>
          <w:sz w:val="22"/>
          <w:szCs w:val="22"/>
          <w:highlight w:val="none"/>
        </w:rPr>
        <w:t>电子交易平台发生故障而无法登录访问的；</w:t>
      </w:r>
    </w:p>
    <w:p w14:paraId="478C5970">
      <w:pPr>
        <w:numPr>
          <w:ilvl w:val="0"/>
          <w:numId w:val="29"/>
        </w:numPr>
        <w:spacing w:line="400" w:lineRule="exact"/>
        <w:ind w:firstLine="6"/>
        <w:rPr>
          <w:rFonts w:ascii="宋体" w:hAnsi="宋体" w:cs="宋体"/>
          <w:bCs/>
          <w:color w:val="auto"/>
          <w:sz w:val="22"/>
          <w:szCs w:val="22"/>
          <w:highlight w:val="none"/>
        </w:rPr>
      </w:pPr>
      <w:r>
        <w:rPr>
          <w:rFonts w:hint="eastAsia" w:ascii="宋体" w:hAnsi="宋体" w:cs="宋体"/>
          <w:bCs/>
          <w:color w:val="auto"/>
          <w:sz w:val="22"/>
          <w:szCs w:val="22"/>
          <w:highlight w:val="none"/>
        </w:rPr>
        <w:t>电子交易平台应用或数据库出现错误，不能进行正常操作的；</w:t>
      </w:r>
    </w:p>
    <w:p w14:paraId="50A6C96B">
      <w:pPr>
        <w:numPr>
          <w:ilvl w:val="0"/>
          <w:numId w:val="29"/>
        </w:numPr>
        <w:spacing w:line="400" w:lineRule="exact"/>
        <w:ind w:firstLine="6"/>
        <w:rPr>
          <w:rFonts w:ascii="宋体" w:hAnsi="宋体" w:cs="宋体"/>
          <w:bCs/>
          <w:color w:val="auto"/>
          <w:sz w:val="22"/>
          <w:szCs w:val="22"/>
          <w:highlight w:val="none"/>
        </w:rPr>
      </w:pPr>
      <w:r>
        <w:rPr>
          <w:rFonts w:hint="eastAsia" w:ascii="宋体" w:hAnsi="宋体" w:cs="宋体"/>
          <w:bCs/>
          <w:color w:val="auto"/>
          <w:sz w:val="22"/>
          <w:szCs w:val="22"/>
          <w:highlight w:val="none"/>
        </w:rPr>
        <w:t>电子交易平台发现严重安全漏洞，有潜在泄密危险的；</w:t>
      </w:r>
    </w:p>
    <w:p w14:paraId="192D8BCE">
      <w:pPr>
        <w:numPr>
          <w:ilvl w:val="0"/>
          <w:numId w:val="29"/>
        </w:numPr>
        <w:spacing w:line="400" w:lineRule="exact"/>
        <w:ind w:firstLine="6"/>
        <w:rPr>
          <w:rFonts w:ascii="宋体" w:hAnsi="宋体" w:cs="宋体"/>
          <w:bCs/>
          <w:color w:val="auto"/>
          <w:sz w:val="22"/>
          <w:szCs w:val="22"/>
          <w:highlight w:val="none"/>
        </w:rPr>
      </w:pPr>
      <w:r>
        <w:rPr>
          <w:rFonts w:hint="eastAsia" w:ascii="宋体" w:hAnsi="宋体" w:cs="宋体"/>
          <w:bCs/>
          <w:color w:val="auto"/>
          <w:sz w:val="22"/>
          <w:szCs w:val="22"/>
          <w:highlight w:val="none"/>
        </w:rPr>
        <w:t>电子交易平台确认病毒发作导致不能进行正常操作的；</w:t>
      </w:r>
    </w:p>
    <w:p w14:paraId="00AC5D85">
      <w:pPr>
        <w:numPr>
          <w:ilvl w:val="0"/>
          <w:numId w:val="29"/>
        </w:numPr>
        <w:spacing w:line="400" w:lineRule="exact"/>
        <w:ind w:firstLine="6"/>
        <w:rPr>
          <w:rFonts w:ascii="宋体" w:hAnsi="宋体" w:cs="宋体"/>
          <w:bCs/>
          <w:color w:val="auto"/>
          <w:sz w:val="22"/>
          <w:szCs w:val="22"/>
          <w:highlight w:val="none"/>
        </w:rPr>
      </w:pPr>
      <w:r>
        <w:rPr>
          <w:rFonts w:hint="eastAsia" w:ascii="宋体" w:hAnsi="宋体" w:cs="宋体"/>
          <w:bCs/>
          <w:color w:val="auto"/>
          <w:sz w:val="22"/>
          <w:szCs w:val="22"/>
          <w:highlight w:val="none"/>
        </w:rPr>
        <w:t>其他无法保证电子交易的公平、公正和安全的情况。</w:t>
      </w:r>
    </w:p>
    <w:p w14:paraId="3698EC64">
      <w:pPr>
        <w:spacing w:line="400" w:lineRule="exact"/>
        <w:ind w:firstLine="440" w:firstLineChars="200"/>
        <w:rPr>
          <w:rFonts w:ascii="宋体" w:hAnsi="宋体" w:cs="宋体"/>
          <w:bCs/>
          <w:color w:val="auto"/>
          <w:sz w:val="22"/>
          <w:szCs w:val="22"/>
          <w:highlight w:val="none"/>
        </w:rPr>
      </w:pPr>
      <w:r>
        <w:rPr>
          <w:rFonts w:hint="eastAsia" w:ascii="宋体" w:hAnsi="宋体" w:cs="宋体"/>
          <w:bCs/>
          <w:color w:val="auto"/>
          <w:sz w:val="22"/>
          <w:szCs w:val="22"/>
          <w:highlight w:val="none"/>
        </w:rPr>
        <w:t>出现前款规定情形，不影响采购公平、公正性的，采购组织机构可以待上述情形消除后继续组织电子交易活动；影响或可能影响采购公平、公正性的，应当重新采购未详尽事宜，遵照有关法律法规执行。</w:t>
      </w:r>
    </w:p>
    <w:p w14:paraId="41F7475B">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11.  磋商和评审方法详见《磋商原则及方法》。</w:t>
      </w:r>
    </w:p>
    <w:p w14:paraId="1E46DEF3">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12．  未详尽事宜，遵照有关法律法规执行。</w:t>
      </w:r>
    </w:p>
    <w:p w14:paraId="69854B82">
      <w:pPr>
        <w:spacing w:before="100" w:beforeAutospacing="1" w:after="100" w:afterAutospacing="1" w:line="440" w:lineRule="exact"/>
        <w:ind w:left="783" w:hanging="783" w:hangingChars="300"/>
        <w:jc w:val="center"/>
        <w:outlineLvl w:val="0"/>
        <w:rPr>
          <w:rFonts w:ascii="宋体" w:hAnsi="宋体" w:cs="宋体"/>
          <w:b/>
          <w:bCs/>
          <w:color w:val="auto"/>
          <w:sz w:val="26"/>
          <w:szCs w:val="26"/>
          <w:highlight w:val="none"/>
        </w:rPr>
      </w:pPr>
      <w:bookmarkStart w:id="119" w:name="_Toc222114881"/>
      <w:bookmarkStart w:id="120" w:name="_Toc221356889"/>
      <w:bookmarkStart w:id="121" w:name="_Toc249758714"/>
      <w:bookmarkStart w:id="122" w:name="_Toc239145356"/>
      <w:bookmarkStart w:id="123" w:name="_Toc288"/>
      <w:bookmarkStart w:id="124" w:name="_Toc422225256"/>
      <w:bookmarkStart w:id="125" w:name="_Toc11411"/>
      <w:bookmarkStart w:id="126" w:name="_Toc221374628"/>
      <w:bookmarkStart w:id="127" w:name="_Toc32288"/>
      <w:bookmarkStart w:id="128" w:name="_Toc262105505"/>
      <w:bookmarkStart w:id="129" w:name="_Toc223716000"/>
      <w:bookmarkStart w:id="130" w:name="_Toc245191316"/>
      <w:bookmarkStart w:id="131" w:name="_Toc241404204"/>
      <w:bookmarkStart w:id="132" w:name="_Toc221423621"/>
      <w:bookmarkStart w:id="133" w:name="_Toc249758866"/>
      <w:bookmarkStart w:id="134" w:name="_Toc221356953"/>
      <w:bookmarkStart w:id="135" w:name="_Toc245722283"/>
      <w:bookmarkStart w:id="136" w:name="_Toc262049420"/>
      <w:bookmarkStart w:id="137" w:name="_Toc246261267"/>
      <w:r>
        <w:rPr>
          <w:rFonts w:hint="eastAsia" w:ascii="宋体" w:hAnsi="宋体" w:cs="宋体"/>
          <w:b/>
          <w:bCs/>
          <w:color w:val="auto"/>
          <w:sz w:val="26"/>
          <w:szCs w:val="26"/>
          <w:highlight w:val="none"/>
        </w:rPr>
        <w:t>七、定标及授予合同</w:t>
      </w:r>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p>
    <w:p w14:paraId="183F2C99">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 定标</w:t>
      </w:r>
    </w:p>
    <w:p w14:paraId="540320C6">
      <w:pPr>
        <w:spacing w:line="400" w:lineRule="exact"/>
        <w:rPr>
          <w:rFonts w:ascii="宋体" w:hAnsi="宋体" w:cs="宋体"/>
          <w:color w:val="auto"/>
          <w:kern w:val="0"/>
          <w:sz w:val="22"/>
          <w:szCs w:val="22"/>
          <w:highlight w:val="none"/>
        </w:rPr>
      </w:pPr>
      <w:r>
        <w:rPr>
          <w:rFonts w:hint="eastAsia" w:ascii="宋体" w:hAnsi="宋体" w:cs="宋体"/>
          <w:color w:val="auto"/>
          <w:sz w:val="22"/>
          <w:szCs w:val="22"/>
          <w:highlight w:val="none"/>
        </w:rPr>
        <w:t>1.1 磋商小组提交评审报告之日起2个工作日内，</w:t>
      </w:r>
      <w:r>
        <w:rPr>
          <w:rFonts w:hint="eastAsia" w:ascii="宋体" w:hAnsi="宋体" w:cs="宋体"/>
          <w:color w:val="auto"/>
          <w:kern w:val="0"/>
          <w:sz w:val="22"/>
          <w:szCs w:val="22"/>
          <w:highlight w:val="none"/>
        </w:rPr>
        <w:t>采购人在磋商小组推荐的成交候选供应商名单中最终确定成交供应商。</w:t>
      </w:r>
    </w:p>
    <w:p w14:paraId="7F3B20C1">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1.2 采购代理机构在“政采云”平台上公示成交结果，成交公告期限为1个工作日。</w:t>
      </w:r>
    </w:p>
    <w:p w14:paraId="0B1EEFF3">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1.3 各供应商对结果如有异议，可在公示之日起7个工作日内以书面形式向采购人进行署名投诉或提出质疑，但需对投诉或质疑内容的真实性承担法律责任。</w:t>
      </w:r>
    </w:p>
    <w:p w14:paraId="3CE55658">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1.4 在公示成交结果的同时，采购人向成交供应商发出成交通知书。</w:t>
      </w:r>
    </w:p>
    <w:p w14:paraId="6269B8F3">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 签订合同</w:t>
      </w:r>
    </w:p>
    <w:p w14:paraId="02CF9979">
      <w:pPr>
        <w:tabs>
          <w:tab w:val="left" w:pos="54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2.1公示期结束后，成交供应商须在5个工作日内主动联系采购人或采购机构领取成交通知书。成交供应商应当在成交通知书发出之日起30日内与采购人签订合同。成交供应商未经采购人许可，在规定时间内未到采购人处与采购人签订合同，则视为拒签合同。</w:t>
      </w:r>
    </w:p>
    <w:p w14:paraId="352C4452">
      <w:pPr>
        <w:tabs>
          <w:tab w:val="left" w:pos="54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2.2 竞争性磋商文件、成交供应商的磋商响应文件及磋商响应修改文件、磋商评审过程中有关澄清文件及经双方签字的询标纪要（承诺）和成交通知书均作为合同附件。</w:t>
      </w:r>
    </w:p>
    <w:p w14:paraId="391B83AC">
      <w:pPr>
        <w:tabs>
          <w:tab w:val="left" w:pos="54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2.3 拒签合同的责任</w:t>
      </w:r>
    </w:p>
    <w:p w14:paraId="64491780">
      <w:pPr>
        <w:tabs>
          <w:tab w:val="left" w:pos="54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2.4 成交供应商在规定时间内（30日历天）借故否认已经承诺的条件、拒签合同者，以投标违约处理，赔偿采购人由此造成的直接经济损失；采购人重新组织</w:t>
      </w:r>
      <w:r>
        <w:rPr>
          <w:rFonts w:hint="eastAsia" w:ascii="宋体" w:hAnsi="宋体" w:cs="宋体"/>
          <w:color w:val="auto"/>
          <w:sz w:val="22"/>
          <w:szCs w:val="22"/>
          <w:highlight w:val="none"/>
          <w:lang w:val="en-US" w:eastAsia="zh-CN"/>
        </w:rPr>
        <w:t>采购活动</w:t>
      </w:r>
      <w:r>
        <w:rPr>
          <w:rFonts w:hint="eastAsia" w:ascii="宋体" w:hAnsi="宋体" w:cs="宋体"/>
          <w:color w:val="auto"/>
          <w:sz w:val="22"/>
          <w:szCs w:val="22"/>
          <w:highlight w:val="none"/>
        </w:rPr>
        <w:t>的，所需费用由原成交供应商承担。</w:t>
      </w:r>
    </w:p>
    <w:p w14:paraId="5E705E16">
      <w:pPr>
        <w:numPr>
          <w:ilvl w:val="0"/>
          <w:numId w:val="2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2.5成交供应商应在合同签订后2个工作日内提交一份合同文本扫描件报采购代理机构备案</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发送至采购代理机构邮箱Yxgc666@126.com</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w:t>
      </w:r>
    </w:p>
    <w:p w14:paraId="69C7E82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3.成交供应商有以下情况的，则采购人有权决定是否将其成交资格转交成交备选供应商或重新组织项目采购流程：</w:t>
      </w:r>
    </w:p>
    <w:p w14:paraId="77BE7111">
      <w:pPr>
        <w:numPr>
          <w:ilvl w:val="0"/>
          <w:numId w:val="30"/>
        </w:numPr>
        <w:spacing w:line="400" w:lineRule="exact"/>
        <w:ind w:firstLine="418" w:firstLineChars="190"/>
        <w:rPr>
          <w:rFonts w:ascii="宋体" w:hAnsi="宋体" w:cs="宋体"/>
          <w:bCs/>
          <w:color w:val="auto"/>
          <w:sz w:val="22"/>
          <w:szCs w:val="22"/>
          <w:highlight w:val="none"/>
          <w:lang w:val="zh-CN"/>
        </w:rPr>
      </w:pPr>
      <w:r>
        <w:rPr>
          <w:rFonts w:hint="eastAsia" w:ascii="宋体" w:hAnsi="宋体" w:cs="宋体"/>
          <w:bCs/>
          <w:color w:val="auto"/>
          <w:sz w:val="22"/>
          <w:szCs w:val="22"/>
          <w:highlight w:val="none"/>
          <w:lang w:val="zh-CN"/>
        </w:rPr>
        <w:t>成交供应商主动放弃成交资格；</w:t>
      </w:r>
    </w:p>
    <w:p w14:paraId="2E18B321">
      <w:pPr>
        <w:numPr>
          <w:ilvl w:val="0"/>
          <w:numId w:val="30"/>
        </w:numPr>
        <w:spacing w:line="400" w:lineRule="exact"/>
        <w:ind w:firstLine="418" w:firstLineChars="190"/>
        <w:rPr>
          <w:rFonts w:ascii="宋体" w:hAnsi="宋体" w:cs="宋体"/>
          <w:bCs/>
          <w:color w:val="auto"/>
          <w:sz w:val="22"/>
          <w:szCs w:val="22"/>
          <w:highlight w:val="none"/>
          <w:lang w:val="zh-CN"/>
        </w:rPr>
      </w:pPr>
      <w:r>
        <w:rPr>
          <w:rFonts w:hint="eastAsia" w:ascii="宋体" w:hAnsi="宋体" w:cs="宋体"/>
          <w:bCs/>
          <w:color w:val="auto"/>
          <w:sz w:val="22"/>
          <w:szCs w:val="22"/>
          <w:highlight w:val="none"/>
          <w:lang w:val="zh-CN"/>
        </w:rPr>
        <w:t>成交供应商因不可抗力提出不能履行合同；</w:t>
      </w:r>
    </w:p>
    <w:p w14:paraId="21FD0D29">
      <w:pPr>
        <w:numPr>
          <w:ilvl w:val="0"/>
          <w:numId w:val="30"/>
        </w:numPr>
        <w:spacing w:line="400" w:lineRule="exact"/>
        <w:ind w:firstLine="418" w:firstLineChars="190"/>
        <w:rPr>
          <w:rFonts w:ascii="宋体" w:hAnsi="宋体" w:cs="宋体"/>
          <w:bCs/>
          <w:color w:val="auto"/>
          <w:sz w:val="22"/>
          <w:szCs w:val="22"/>
          <w:highlight w:val="none"/>
          <w:lang w:val="zh-CN"/>
        </w:rPr>
      </w:pPr>
      <w:r>
        <w:rPr>
          <w:rFonts w:hint="eastAsia" w:ascii="宋体" w:hAnsi="宋体" w:cs="宋体"/>
          <w:bCs/>
          <w:color w:val="auto"/>
          <w:sz w:val="22"/>
          <w:szCs w:val="22"/>
          <w:highlight w:val="none"/>
          <w:lang w:val="zh-CN"/>
        </w:rPr>
        <w:t>成交供应商未能在规定时间内与采购人签订合同；</w:t>
      </w:r>
    </w:p>
    <w:p w14:paraId="4E08FD5D">
      <w:pPr>
        <w:numPr>
          <w:ilvl w:val="0"/>
          <w:numId w:val="30"/>
        </w:numPr>
        <w:spacing w:line="400" w:lineRule="exact"/>
        <w:ind w:firstLine="418" w:firstLineChars="190"/>
        <w:rPr>
          <w:rFonts w:ascii="宋体" w:hAnsi="宋体" w:cs="宋体"/>
          <w:bCs/>
          <w:color w:val="auto"/>
          <w:sz w:val="22"/>
          <w:szCs w:val="22"/>
          <w:highlight w:val="none"/>
        </w:rPr>
      </w:pPr>
      <w:r>
        <w:rPr>
          <w:rFonts w:hint="eastAsia" w:ascii="宋体" w:hAnsi="宋体" w:cs="宋体"/>
          <w:bCs/>
          <w:color w:val="auto"/>
          <w:sz w:val="22"/>
          <w:szCs w:val="22"/>
          <w:highlight w:val="none"/>
          <w:lang w:val="zh-CN"/>
        </w:rPr>
        <w:t>经质疑，采购人审查后，成交供应商确实在本次采购活动中存在违法违规行为或其他原因使质疑成立的。</w:t>
      </w:r>
    </w:p>
    <w:p w14:paraId="02CA4F96">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4.根据《浙江省财政厅关于明确政府采购保证金管理工作的通知》（浙财采监〔2019〕5号）规定“供应商在政府采购活动中违反政府采购相关规定给采购组织机构造成损失的，采购组织机构可按照采购文件约定要求供应商承担赔偿责任。”的规定，对放弃中标（成交）资格的供应商，需承担代理费和专家评审费等费用。</w:t>
      </w:r>
    </w:p>
    <w:p w14:paraId="49992D13">
      <w:pPr>
        <w:spacing w:before="100" w:beforeAutospacing="1" w:after="100" w:afterAutospacing="1" w:line="440" w:lineRule="exact"/>
        <w:ind w:left="783" w:hanging="783" w:hangingChars="300"/>
        <w:jc w:val="center"/>
        <w:outlineLvl w:val="0"/>
        <w:rPr>
          <w:rFonts w:hint="eastAsia" w:ascii="宋体" w:hAnsi="宋体" w:eastAsia="宋体" w:cs="宋体"/>
          <w:b/>
          <w:bCs/>
          <w:color w:val="auto"/>
          <w:sz w:val="26"/>
          <w:szCs w:val="26"/>
          <w:highlight w:val="none"/>
          <w:lang w:val="en-US" w:eastAsia="zh-CN"/>
        </w:rPr>
      </w:pPr>
      <w:bookmarkStart w:id="138" w:name="_Toc6230"/>
      <w:bookmarkStart w:id="139" w:name="_Toc18423"/>
      <w:bookmarkStart w:id="140" w:name="_Toc25540"/>
      <w:r>
        <w:rPr>
          <w:rFonts w:hint="eastAsia" w:ascii="宋体" w:hAnsi="宋体" w:eastAsia="宋体" w:cs="宋体"/>
          <w:b/>
          <w:bCs/>
          <w:color w:val="auto"/>
          <w:sz w:val="26"/>
          <w:szCs w:val="26"/>
          <w:highlight w:val="none"/>
          <w:lang w:val="en-US" w:eastAsia="zh-CN"/>
        </w:rPr>
        <w:t>八、验收</w:t>
      </w:r>
      <w:bookmarkEnd w:id="138"/>
      <w:bookmarkEnd w:id="139"/>
      <w:bookmarkEnd w:id="140"/>
    </w:p>
    <w:p w14:paraId="193775A4">
      <w:pPr>
        <w:keepNext w:val="0"/>
        <w:keepLines w:val="0"/>
        <w:pageBreakBefore w:val="0"/>
        <w:widowControl w:val="0"/>
        <w:numPr>
          <w:ilvl w:val="0"/>
          <w:numId w:val="3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auto"/>
          <w:sz w:val="22"/>
          <w:szCs w:val="22"/>
          <w:highlight w:val="none"/>
          <w:lang w:val="en-US" w:eastAsia="zh-CN"/>
        </w:rPr>
      </w:pPr>
      <w:r>
        <w:rPr>
          <w:rFonts w:hint="eastAsia" w:ascii="宋体" w:hAnsi="宋体" w:eastAsia="宋体" w:cs="Arial"/>
          <w:bCs/>
          <w:color w:val="auto"/>
          <w:sz w:val="22"/>
          <w:szCs w:val="22"/>
          <w:highlight w:val="none"/>
          <w:lang w:val="en-US" w:eastAsia="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CFF0E68">
      <w:pPr>
        <w:keepNext w:val="0"/>
        <w:keepLines w:val="0"/>
        <w:pageBreakBefore w:val="0"/>
        <w:widowControl w:val="0"/>
        <w:numPr>
          <w:ilvl w:val="0"/>
          <w:numId w:val="3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auto"/>
          <w:sz w:val="22"/>
          <w:szCs w:val="22"/>
          <w:highlight w:val="none"/>
          <w:lang w:val="en-US" w:eastAsia="zh-CN"/>
        </w:rPr>
      </w:pPr>
      <w:r>
        <w:rPr>
          <w:rFonts w:hint="eastAsia" w:ascii="宋体" w:hAnsi="宋体" w:eastAsia="宋体" w:cs="Arial"/>
          <w:bCs/>
          <w:color w:val="auto"/>
          <w:sz w:val="22"/>
          <w:szCs w:val="22"/>
          <w:highlight w:val="none"/>
          <w:lang w:val="en-US" w:eastAsia="zh-CN"/>
        </w:rPr>
        <w:t>采购人可以邀请参加本项目的其他供应商或者第三方机构参与验收。参与验收的供应商或者第三方机构的意见作为验收书的参考资料一并存档。</w:t>
      </w:r>
    </w:p>
    <w:p w14:paraId="3025C838">
      <w:pPr>
        <w:keepNext w:val="0"/>
        <w:keepLines w:val="0"/>
        <w:pageBreakBefore w:val="0"/>
        <w:widowControl w:val="0"/>
        <w:numPr>
          <w:ilvl w:val="0"/>
          <w:numId w:val="3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auto"/>
          <w:sz w:val="22"/>
          <w:szCs w:val="22"/>
          <w:highlight w:val="none"/>
          <w:lang w:val="en-US" w:eastAsia="zh-CN"/>
        </w:rPr>
      </w:pPr>
      <w:r>
        <w:rPr>
          <w:rFonts w:hint="eastAsia" w:ascii="宋体" w:hAnsi="宋体" w:eastAsia="宋体" w:cs="Arial"/>
          <w:bCs/>
          <w:color w:val="auto"/>
          <w:sz w:val="22"/>
          <w:szCs w:val="22"/>
          <w:highlight w:val="none"/>
          <w:lang w:val="en-US" w:eastAsia="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1E3A8C5B">
      <w:pPr>
        <w:keepNext w:val="0"/>
        <w:keepLines w:val="0"/>
        <w:pageBreakBefore w:val="0"/>
        <w:widowControl w:val="0"/>
        <w:numPr>
          <w:ilvl w:val="0"/>
          <w:numId w:val="3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auto"/>
          <w:sz w:val="22"/>
          <w:szCs w:val="22"/>
          <w:highlight w:val="none"/>
          <w:lang w:val="en-US" w:eastAsia="zh-CN"/>
        </w:rPr>
      </w:pPr>
      <w:r>
        <w:rPr>
          <w:rFonts w:hint="eastAsia" w:ascii="宋体" w:hAnsi="宋体" w:eastAsia="宋体" w:cs="Arial"/>
          <w:bCs/>
          <w:color w:val="auto"/>
          <w:sz w:val="22"/>
          <w:szCs w:val="22"/>
          <w:highlight w:val="none"/>
          <w:lang w:val="en-US" w:eastAsia="zh-CN"/>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4D9E323">
      <w:pPr>
        <w:keepNext w:val="0"/>
        <w:keepLines w:val="0"/>
        <w:pageBreakBefore w:val="0"/>
        <w:widowControl w:val="0"/>
        <w:numPr>
          <w:ilvl w:val="0"/>
          <w:numId w:val="3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
          <w:bCs w:val="0"/>
          <w:color w:val="auto"/>
          <w:sz w:val="22"/>
          <w:szCs w:val="22"/>
          <w:highlight w:val="none"/>
          <w:lang w:val="en-US" w:eastAsia="zh-CN"/>
        </w:rPr>
      </w:pPr>
      <w:bookmarkStart w:id="141" w:name="_Hlt74730295"/>
      <w:bookmarkEnd w:id="141"/>
      <w:bookmarkStart w:id="142" w:name="_Hlt74729768"/>
      <w:bookmarkEnd w:id="142"/>
      <w:bookmarkStart w:id="143" w:name="_Hlt74707468"/>
      <w:bookmarkEnd w:id="143"/>
      <w:bookmarkStart w:id="144" w:name="_Hlt68073093"/>
      <w:bookmarkEnd w:id="144"/>
      <w:bookmarkStart w:id="145" w:name="_Hlt68072998"/>
      <w:bookmarkEnd w:id="145"/>
      <w:bookmarkStart w:id="146" w:name="_Hlt68403820"/>
      <w:bookmarkEnd w:id="146"/>
      <w:bookmarkStart w:id="147" w:name="_Hlt75236290"/>
      <w:bookmarkEnd w:id="147"/>
      <w:bookmarkStart w:id="148" w:name="_Hlt74714665"/>
      <w:bookmarkEnd w:id="148"/>
      <w:bookmarkStart w:id="149" w:name="_Hlt75236011"/>
      <w:bookmarkEnd w:id="149"/>
      <w:bookmarkStart w:id="150" w:name="_Hlt75236101"/>
      <w:bookmarkEnd w:id="150"/>
      <w:bookmarkStart w:id="151" w:name="_Hlt68057669"/>
      <w:bookmarkEnd w:id="151"/>
      <w:bookmarkStart w:id="152" w:name="_Hlt68072990"/>
      <w:bookmarkEnd w:id="152"/>
      <w:r>
        <w:rPr>
          <w:rFonts w:hint="eastAsia" w:ascii="宋体" w:hAnsi="宋体" w:eastAsia="宋体" w:cs="Arial"/>
          <w:b/>
          <w:bCs w:val="0"/>
          <w:color w:val="auto"/>
          <w:sz w:val="22"/>
          <w:szCs w:val="22"/>
          <w:highlight w:val="none"/>
          <w:lang w:val="en-US" w:eastAsia="zh-CN"/>
        </w:rPr>
        <w:t>履约验收费用由供应商承担，因供应商原因造成验收不通过的，再次验收的费用仍由供应商承担。如采用简易验收的，则不需要支付该笔费用。</w:t>
      </w:r>
    </w:p>
    <w:p w14:paraId="31C873C7">
      <w:pPr>
        <w:pStyle w:val="2"/>
        <w:spacing w:line="400" w:lineRule="exact"/>
        <w:rPr>
          <w:rFonts w:ascii="宋体" w:hAnsi="宋体" w:eastAsia="宋体" w:cs="宋体"/>
          <w:color w:val="auto"/>
          <w:sz w:val="36"/>
          <w:szCs w:val="36"/>
          <w:highlight w:val="none"/>
        </w:rPr>
      </w:pPr>
      <w:r>
        <w:rPr>
          <w:rFonts w:hint="eastAsia" w:ascii="宋体" w:hAnsi="宋体" w:eastAsia="宋体" w:cs="宋体"/>
          <w:color w:val="auto"/>
          <w:sz w:val="36"/>
          <w:szCs w:val="36"/>
          <w:highlight w:val="none"/>
        </w:rPr>
        <w:br w:type="page"/>
      </w:r>
      <w:bookmarkStart w:id="153" w:name="_Toc23172"/>
      <w:r>
        <w:rPr>
          <w:rFonts w:hint="eastAsia" w:ascii="宋体" w:hAnsi="宋体" w:eastAsia="宋体" w:cs="宋体"/>
          <w:color w:val="auto"/>
          <w:sz w:val="36"/>
          <w:szCs w:val="36"/>
          <w:highlight w:val="none"/>
        </w:rPr>
        <w:t>第二部分   采购内容及要求</w:t>
      </w:r>
      <w:bookmarkEnd w:id="153"/>
    </w:p>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14:paraId="230B9815">
      <w:pPr>
        <w:adjustRightInd w:val="0"/>
        <w:snapToGrid w:val="0"/>
        <w:spacing w:line="400" w:lineRule="exact"/>
        <w:ind w:firstLine="480"/>
        <w:rPr>
          <w:rFonts w:ascii="宋体" w:hAnsi="宋体" w:cs="宋体"/>
          <w:b/>
          <w:bCs/>
          <w:color w:val="auto"/>
          <w:szCs w:val="21"/>
          <w:highlight w:val="none"/>
        </w:rPr>
      </w:pPr>
      <w:bookmarkStart w:id="154" w:name="_Toc221374631"/>
      <w:bookmarkStart w:id="155" w:name="_Toc467175860"/>
      <w:bookmarkStart w:id="156" w:name="_Toc262049424"/>
      <w:bookmarkStart w:id="157" w:name="_Toc221356892"/>
      <w:bookmarkStart w:id="158" w:name="_Toc222114884"/>
      <w:bookmarkStart w:id="159" w:name="_Toc239145359"/>
      <w:bookmarkStart w:id="160" w:name="_Toc245191319"/>
      <w:bookmarkStart w:id="161" w:name="_Toc221423624"/>
      <w:bookmarkStart w:id="162" w:name="_Toc262105509"/>
      <w:bookmarkStart w:id="163" w:name="_Toc458516429"/>
      <w:bookmarkStart w:id="164" w:name="_Toc221356956"/>
      <w:bookmarkStart w:id="165" w:name="_Toc246261270"/>
      <w:bookmarkStart w:id="166" w:name="_Toc223716003"/>
      <w:bookmarkStart w:id="167" w:name="_Toc249758719"/>
      <w:bookmarkStart w:id="168" w:name="_Toc245722286"/>
      <w:bookmarkStart w:id="169" w:name="_Toc241404207"/>
      <w:bookmarkStart w:id="170" w:name="_Toc249758870"/>
      <w:bookmarkStart w:id="171" w:name="_Toc249758718"/>
      <w:bookmarkStart w:id="172" w:name="_Toc527717315"/>
      <w:bookmarkStart w:id="173" w:name="_Toc507146682"/>
      <w:bookmarkStart w:id="174" w:name="_Toc445832494"/>
    </w:p>
    <w:p w14:paraId="735A2F81">
      <w:pPr>
        <w:numPr>
          <w:ilvl w:val="0"/>
          <w:numId w:val="32"/>
        </w:numPr>
        <w:tabs>
          <w:tab w:val="left" w:pos="420"/>
        </w:tabs>
        <w:snapToGrid w:val="0"/>
        <w:spacing w:line="380" w:lineRule="exact"/>
        <w:rPr>
          <w:rFonts w:hint="eastAsia" w:ascii="宋体" w:hAnsi="宋体" w:eastAsia="宋体" w:cs="Times New Roman"/>
          <w:b/>
          <w:color w:val="auto"/>
          <w:sz w:val="22"/>
          <w:szCs w:val="22"/>
          <w:highlight w:val="none"/>
        </w:rPr>
      </w:pPr>
      <w:r>
        <w:rPr>
          <w:rFonts w:hint="eastAsia" w:ascii="宋体" w:hAnsi="宋体" w:eastAsia="宋体" w:cs="Times New Roman"/>
          <w:b/>
          <w:color w:val="auto"/>
          <w:sz w:val="22"/>
          <w:szCs w:val="22"/>
          <w:highlight w:val="none"/>
        </w:rPr>
        <w:t>采购总说明</w:t>
      </w:r>
    </w:p>
    <w:p w14:paraId="1AAD81CF">
      <w:pPr>
        <w:numPr>
          <w:ilvl w:val="0"/>
          <w:numId w:val="33"/>
        </w:numPr>
        <w:spacing w:line="380" w:lineRule="exact"/>
        <w:rPr>
          <w:rFonts w:ascii="宋体"/>
          <w:color w:val="auto"/>
          <w:szCs w:val="21"/>
          <w:highlight w:val="none"/>
        </w:rPr>
      </w:pPr>
      <w:r>
        <w:rPr>
          <w:rFonts w:hint="eastAsia" w:ascii="宋体" w:hAnsi="宋体"/>
          <w:color w:val="auto"/>
          <w:szCs w:val="21"/>
          <w:highlight w:val="none"/>
        </w:rPr>
        <w:t>本次采购设一个标段，每个供应商必须完成采购内容和合同（基本要求、服务流程、价格和服务）规定义务，</w:t>
      </w:r>
      <w:r>
        <w:rPr>
          <w:rFonts w:ascii="宋体" w:hAnsi="宋体"/>
          <w:color w:val="auto"/>
          <w:szCs w:val="21"/>
          <w:highlight w:val="none"/>
        </w:rPr>
        <w:t xml:space="preserve"> </w:t>
      </w:r>
      <w:r>
        <w:rPr>
          <w:rFonts w:hint="eastAsia" w:ascii="宋体" w:hAnsi="宋体"/>
          <w:color w:val="auto"/>
          <w:szCs w:val="21"/>
          <w:highlight w:val="none"/>
        </w:rPr>
        <w:t>投标供应商须对采购范围内的全部内容进行报价，而不允许只对其中部分内容进行报价，否则投标将被否决，谢绝联合投标。</w:t>
      </w:r>
    </w:p>
    <w:p w14:paraId="20290C1A">
      <w:pPr>
        <w:numPr>
          <w:ilvl w:val="0"/>
          <w:numId w:val="33"/>
        </w:numPr>
        <w:spacing w:line="380" w:lineRule="exact"/>
        <w:rPr>
          <w:rFonts w:ascii="宋体"/>
          <w:color w:val="auto"/>
          <w:szCs w:val="21"/>
          <w:highlight w:val="none"/>
        </w:rPr>
      </w:pPr>
      <w:r>
        <w:rPr>
          <w:rFonts w:hint="eastAsia" w:ascii="宋体" w:hAnsi="宋体"/>
          <w:color w:val="auto"/>
          <w:szCs w:val="21"/>
          <w:highlight w:val="none"/>
        </w:rPr>
        <w:t>供应商需按</w:t>
      </w:r>
      <w:r>
        <w:rPr>
          <w:rFonts w:hint="eastAsia" w:ascii="宋体" w:hAnsi="宋体"/>
          <w:color w:val="auto"/>
          <w:szCs w:val="21"/>
          <w:highlight w:val="none"/>
          <w:lang w:val="en-US" w:eastAsia="zh-CN"/>
        </w:rPr>
        <w:t>磋商</w:t>
      </w:r>
      <w:r>
        <w:rPr>
          <w:rFonts w:hint="eastAsia" w:ascii="宋体" w:hAnsi="宋体"/>
          <w:color w:val="auto"/>
          <w:szCs w:val="21"/>
          <w:highlight w:val="none"/>
        </w:rPr>
        <w:t>文件的要求完成所有工作。按工作顺序提交所需的无论其是否被明细列在合同文件中的所有资料，提供的服务必须满足</w:t>
      </w:r>
      <w:r>
        <w:rPr>
          <w:rFonts w:hint="eastAsia" w:ascii="宋体" w:hAnsi="宋体"/>
          <w:color w:val="auto"/>
          <w:szCs w:val="21"/>
          <w:highlight w:val="none"/>
          <w:lang w:val="en-US" w:eastAsia="zh-CN"/>
        </w:rPr>
        <w:t>磋商</w:t>
      </w:r>
      <w:r>
        <w:rPr>
          <w:rFonts w:hint="eastAsia" w:ascii="宋体" w:hAnsi="宋体"/>
          <w:color w:val="auto"/>
          <w:szCs w:val="21"/>
          <w:highlight w:val="none"/>
        </w:rPr>
        <w:t>文件中提出的相关技术要求。</w:t>
      </w:r>
    </w:p>
    <w:p w14:paraId="7A1B8A39">
      <w:pPr>
        <w:numPr>
          <w:ilvl w:val="0"/>
          <w:numId w:val="33"/>
        </w:numPr>
        <w:spacing w:line="380" w:lineRule="exact"/>
        <w:rPr>
          <w:rFonts w:ascii="宋体"/>
          <w:color w:val="auto"/>
          <w:szCs w:val="21"/>
          <w:highlight w:val="none"/>
        </w:rPr>
      </w:pPr>
      <w:r>
        <w:rPr>
          <w:rFonts w:hint="eastAsia" w:ascii="宋体" w:hAnsi="宋体"/>
          <w:bCs/>
          <w:color w:val="auto"/>
          <w:szCs w:val="21"/>
          <w:highlight w:val="none"/>
        </w:rPr>
        <w:t>在报价之前，供应商须仔细阅读</w:t>
      </w:r>
      <w:r>
        <w:rPr>
          <w:rFonts w:hint="eastAsia" w:ascii="宋体" w:hAnsi="宋体"/>
          <w:bCs/>
          <w:color w:val="auto"/>
          <w:szCs w:val="21"/>
          <w:highlight w:val="none"/>
          <w:lang w:val="en-US" w:eastAsia="zh-CN"/>
        </w:rPr>
        <w:t>磋商</w:t>
      </w:r>
      <w:r>
        <w:rPr>
          <w:rFonts w:hint="eastAsia" w:ascii="宋体" w:hAnsi="宋体"/>
          <w:bCs/>
          <w:color w:val="auto"/>
          <w:szCs w:val="21"/>
          <w:highlight w:val="none"/>
        </w:rPr>
        <w:t>文件，如发现有任何疑问、冲突或技术问题，供应商须在答疑截止时间前以书面形式向采购代理机构提出。逾期</w:t>
      </w:r>
      <w:r>
        <w:rPr>
          <w:rFonts w:hint="eastAsia" w:ascii="宋体" w:hAnsi="宋体"/>
          <w:bCs/>
          <w:color w:val="auto"/>
          <w:szCs w:val="21"/>
          <w:highlight w:val="none"/>
          <w:lang w:val="en-US" w:eastAsia="zh-CN"/>
        </w:rPr>
        <w:t>采购</w:t>
      </w:r>
      <w:r>
        <w:rPr>
          <w:rFonts w:hint="eastAsia" w:ascii="宋体" w:hAnsi="宋体"/>
          <w:bCs/>
          <w:color w:val="auto"/>
          <w:szCs w:val="21"/>
          <w:highlight w:val="none"/>
        </w:rPr>
        <w:t>人不再作答复，有关风险及责任由供应商自行承担</w:t>
      </w:r>
      <w:r>
        <w:rPr>
          <w:rFonts w:hint="eastAsia" w:ascii="宋体" w:hAnsi="宋体"/>
          <w:color w:val="auto"/>
          <w:szCs w:val="21"/>
          <w:highlight w:val="none"/>
        </w:rPr>
        <w:t>。</w:t>
      </w:r>
    </w:p>
    <w:p w14:paraId="46319C47">
      <w:pPr>
        <w:numPr>
          <w:ilvl w:val="0"/>
          <w:numId w:val="32"/>
        </w:numPr>
        <w:tabs>
          <w:tab w:val="left" w:pos="420"/>
        </w:tabs>
        <w:snapToGrid w:val="0"/>
        <w:spacing w:line="380" w:lineRule="exact"/>
        <w:rPr>
          <w:rFonts w:hint="eastAsia" w:ascii="宋体" w:hAnsi="宋体" w:eastAsia="宋体" w:cs="Times New Roman"/>
          <w:b/>
          <w:color w:val="auto"/>
          <w:sz w:val="22"/>
          <w:szCs w:val="22"/>
          <w:highlight w:val="none"/>
        </w:rPr>
      </w:pPr>
      <w:r>
        <w:rPr>
          <w:rFonts w:hint="eastAsia" w:ascii="宋体" w:hAnsi="宋体" w:eastAsia="宋体" w:cs="Times New Roman"/>
          <w:b/>
          <w:color w:val="auto"/>
          <w:sz w:val="22"/>
          <w:szCs w:val="22"/>
          <w:highlight w:val="none"/>
          <w:lang w:val="en-US" w:eastAsia="zh-CN"/>
        </w:rPr>
        <w:t>赛事简介</w:t>
      </w:r>
    </w:p>
    <w:p w14:paraId="19A8A914">
      <w:pPr>
        <w:numPr>
          <w:ilvl w:val="0"/>
          <w:numId w:val="0"/>
        </w:numPr>
        <w:tabs>
          <w:tab w:val="left" w:pos="420"/>
        </w:tabs>
        <w:snapToGrid w:val="0"/>
        <w:spacing w:line="380" w:lineRule="exact"/>
        <w:ind w:leftChars="0" w:firstLine="420" w:firstLineChars="200"/>
        <w:rPr>
          <w:rFonts w:hint="eastAsia" w:ascii="宋体" w:hAnsi="宋体"/>
          <w:b/>
          <w:color w:val="auto"/>
          <w:sz w:val="22"/>
          <w:szCs w:val="22"/>
          <w:highlight w:val="none"/>
        </w:rPr>
      </w:pPr>
      <w:r>
        <w:rPr>
          <w:rFonts w:hint="eastAsia" w:ascii="宋体" w:hAnsi="宋体"/>
          <w:bCs/>
          <w:color w:val="auto"/>
          <w:szCs w:val="21"/>
          <w:highlight w:val="none"/>
        </w:rPr>
        <w:t>本赛事为每年一次的瓯海区中小学生（幼儿）体育节系列比赛，由瓯海区教育局和体育事业发展中心联合举办的综合性中小学生体育赛事，共设乒乓球</w:t>
      </w:r>
      <w:r>
        <w:rPr>
          <w:rFonts w:hint="eastAsia" w:ascii="宋体" w:hAnsi="宋体"/>
          <w:bCs/>
          <w:color w:val="auto"/>
          <w:szCs w:val="21"/>
          <w:highlight w:val="none"/>
          <w:lang w:eastAsia="zh-CN"/>
        </w:rPr>
        <w:t>、</w:t>
      </w:r>
      <w:r>
        <w:rPr>
          <w:rFonts w:hint="eastAsia" w:ascii="宋体" w:hAnsi="宋体"/>
          <w:bCs/>
          <w:color w:val="auto"/>
          <w:szCs w:val="21"/>
          <w:highlight w:val="none"/>
        </w:rPr>
        <w:t>棋类</w:t>
      </w:r>
      <w:r>
        <w:rPr>
          <w:rFonts w:hint="eastAsia" w:ascii="宋体" w:hAnsi="宋体"/>
          <w:bCs/>
          <w:color w:val="auto"/>
          <w:szCs w:val="21"/>
          <w:highlight w:val="none"/>
          <w:lang w:eastAsia="zh-CN"/>
        </w:rPr>
        <w:t>、</w:t>
      </w:r>
      <w:r>
        <w:rPr>
          <w:rFonts w:hint="eastAsia" w:ascii="宋体" w:hAnsi="宋体"/>
          <w:bCs/>
          <w:color w:val="auto"/>
          <w:szCs w:val="21"/>
          <w:highlight w:val="none"/>
        </w:rPr>
        <w:t>跆拳道</w:t>
      </w:r>
      <w:r>
        <w:rPr>
          <w:rFonts w:hint="eastAsia" w:ascii="宋体" w:hAnsi="宋体"/>
          <w:bCs/>
          <w:color w:val="auto"/>
          <w:szCs w:val="21"/>
          <w:highlight w:val="none"/>
          <w:lang w:eastAsia="zh-CN"/>
        </w:rPr>
        <w:t>、</w:t>
      </w:r>
      <w:r>
        <w:rPr>
          <w:rFonts w:hint="eastAsia" w:ascii="宋体" w:hAnsi="宋体"/>
          <w:bCs/>
          <w:color w:val="auto"/>
          <w:szCs w:val="21"/>
          <w:highlight w:val="none"/>
        </w:rPr>
        <w:t>羽毛球</w:t>
      </w:r>
      <w:r>
        <w:rPr>
          <w:rFonts w:hint="eastAsia" w:ascii="宋体" w:hAnsi="宋体"/>
          <w:bCs/>
          <w:color w:val="auto"/>
          <w:szCs w:val="21"/>
          <w:highlight w:val="none"/>
          <w:lang w:eastAsia="zh-CN"/>
        </w:rPr>
        <w:t>、</w:t>
      </w:r>
      <w:r>
        <w:rPr>
          <w:rFonts w:hint="eastAsia" w:ascii="宋体" w:hAnsi="宋体"/>
          <w:bCs/>
          <w:color w:val="auto"/>
          <w:szCs w:val="21"/>
          <w:highlight w:val="none"/>
        </w:rPr>
        <w:t>足球联赛</w:t>
      </w:r>
      <w:r>
        <w:rPr>
          <w:rFonts w:hint="eastAsia" w:ascii="宋体" w:hAnsi="宋体"/>
          <w:bCs/>
          <w:color w:val="auto"/>
          <w:szCs w:val="21"/>
          <w:highlight w:val="none"/>
          <w:lang w:eastAsia="zh-CN"/>
        </w:rPr>
        <w:t>、</w:t>
      </w:r>
      <w:r>
        <w:rPr>
          <w:rFonts w:hint="eastAsia" w:ascii="宋体" w:hAnsi="宋体"/>
          <w:bCs/>
          <w:color w:val="auto"/>
          <w:szCs w:val="21"/>
          <w:highlight w:val="none"/>
        </w:rPr>
        <w:t>健美操</w:t>
      </w:r>
      <w:r>
        <w:rPr>
          <w:rFonts w:hint="eastAsia" w:ascii="宋体" w:hAnsi="宋体"/>
          <w:bCs/>
          <w:color w:val="auto"/>
          <w:szCs w:val="21"/>
          <w:highlight w:val="none"/>
          <w:lang w:eastAsia="zh-CN"/>
        </w:rPr>
        <w:t>、</w:t>
      </w:r>
      <w:r>
        <w:rPr>
          <w:rFonts w:hint="eastAsia" w:ascii="宋体" w:hAnsi="宋体"/>
          <w:bCs/>
          <w:color w:val="auto"/>
          <w:szCs w:val="21"/>
          <w:highlight w:val="none"/>
        </w:rPr>
        <w:t>游泳</w:t>
      </w:r>
      <w:r>
        <w:rPr>
          <w:rFonts w:hint="eastAsia" w:ascii="宋体" w:hAnsi="宋体"/>
          <w:bCs/>
          <w:color w:val="auto"/>
          <w:szCs w:val="21"/>
          <w:highlight w:val="none"/>
          <w:lang w:eastAsia="zh-CN"/>
        </w:rPr>
        <w:t>、</w:t>
      </w:r>
      <w:r>
        <w:rPr>
          <w:rFonts w:hint="eastAsia" w:ascii="宋体" w:hAnsi="宋体"/>
          <w:bCs/>
          <w:color w:val="auto"/>
          <w:szCs w:val="21"/>
          <w:highlight w:val="none"/>
        </w:rPr>
        <w:t>排  球</w:t>
      </w:r>
      <w:r>
        <w:rPr>
          <w:rFonts w:hint="eastAsia" w:ascii="宋体" w:hAnsi="宋体"/>
          <w:bCs/>
          <w:color w:val="auto"/>
          <w:szCs w:val="21"/>
          <w:highlight w:val="none"/>
          <w:lang w:eastAsia="zh-CN"/>
        </w:rPr>
        <w:t>、</w:t>
      </w:r>
      <w:r>
        <w:rPr>
          <w:rFonts w:hint="eastAsia" w:ascii="宋体" w:hAnsi="宋体"/>
          <w:bCs/>
          <w:color w:val="auto"/>
          <w:szCs w:val="21"/>
          <w:highlight w:val="none"/>
        </w:rPr>
        <w:t>篮球联赛</w:t>
      </w:r>
      <w:r>
        <w:rPr>
          <w:rFonts w:hint="eastAsia" w:ascii="宋体" w:hAnsi="宋体"/>
          <w:bCs/>
          <w:color w:val="auto"/>
          <w:szCs w:val="21"/>
          <w:highlight w:val="none"/>
          <w:lang w:eastAsia="zh-CN"/>
        </w:rPr>
        <w:t>、</w:t>
      </w:r>
      <w:r>
        <w:rPr>
          <w:rFonts w:hint="eastAsia" w:ascii="宋体" w:hAnsi="宋体"/>
          <w:bCs/>
          <w:color w:val="auto"/>
          <w:szCs w:val="21"/>
          <w:highlight w:val="none"/>
        </w:rPr>
        <w:t>田径</w:t>
      </w:r>
      <w:r>
        <w:rPr>
          <w:rFonts w:hint="eastAsia" w:ascii="宋体" w:hAnsi="宋体"/>
          <w:bCs/>
          <w:color w:val="auto"/>
          <w:szCs w:val="21"/>
          <w:highlight w:val="none"/>
          <w:lang w:eastAsia="zh-CN"/>
        </w:rPr>
        <w:t>、</w:t>
      </w:r>
      <w:r>
        <w:rPr>
          <w:rFonts w:hint="eastAsia" w:ascii="宋体" w:hAnsi="宋体"/>
          <w:bCs/>
          <w:color w:val="auto"/>
          <w:szCs w:val="21"/>
          <w:highlight w:val="none"/>
        </w:rPr>
        <w:t>定向等</w:t>
      </w:r>
      <w:r>
        <w:rPr>
          <w:rFonts w:hint="eastAsia" w:ascii="宋体" w:hAnsi="宋体"/>
          <w:bCs/>
          <w:color w:val="auto"/>
          <w:szCs w:val="21"/>
          <w:highlight w:val="none"/>
          <w:lang w:val="en-US" w:eastAsia="zh-CN"/>
        </w:rPr>
        <w:t>11</w:t>
      </w:r>
      <w:r>
        <w:rPr>
          <w:rFonts w:hint="eastAsia" w:ascii="宋体" w:hAnsi="宋体"/>
          <w:bCs/>
          <w:color w:val="auto"/>
          <w:szCs w:val="21"/>
          <w:highlight w:val="none"/>
        </w:rPr>
        <w:t>个大项，预计有</w:t>
      </w:r>
      <w:r>
        <w:rPr>
          <w:rFonts w:hint="eastAsia" w:ascii="宋体" w:hAnsi="宋体"/>
          <w:bCs/>
          <w:color w:val="auto"/>
          <w:szCs w:val="21"/>
          <w:highlight w:val="none"/>
          <w:lang w:val="en-US" w:eastAsia="zh-CN"/>
        </w:rPr>
        <w:t xml:space="preserve"> 2000</w:t>
      </w:r>
      <w:r>
        <w:rPr>
          <w:rFonts w:hint="eastAsia" w:ascii="宋体" w:hAnsi="宋体"/>
          <w:bCs/>
          <w:color w:val="auto"/>
          <w:szCs w:val="21"/>
          <w:highlight w:val="none"/>
        </w:rPr>
        <w:t>多人参赛，是检验瓯海区中小学校（</w:t>
      </w:r>
      <w:r>
        <w:rPr>
          <w:rFonts w:hint="eastAsia" w:ascii="宋体" w:hAnsi="宋体"/>
          <w:bCs/>
          <w:color w:val="auto"/>
          <w:szCs w:val="21"/>
          <w:highlight w:val="none"/>
          <w:lang w:eastAsia="zh-CN"/>
        </w:rPr>
        <w:t>幼儿</w:t>
      </w:r>
      <w:r>
        <w:rPr>
          <w:rFonts w:hint="eastAsia" w:ascii="宋体" w:hAnsi="宋体"/>
          <w:bCs/>
          <w:color w:val="auto"/>
          <w:szCs w:val="21"/>
          <w:highlight w:val="none"/>
        </w:rPr>
        <w:t>）整体运动水平的大平台，是选拔优秀体育苗子，促进瓯海区青少年竞技运动水平不断提高的重要途径。</w:t>
      </w:r>
    </w:p>
    <w:p w14:paraId="5E29CC06">
      <w:pPr>
        <w:numPr>
          <w:ilvl w:val="0"/>
          <w:numId w:val="32"/>
        </w:numPr>
        <w:tabs>
          <w:tab w:val="left" w:pos="420"/>
        </w:tabs>
        <w:snapToGrid w:val="0"/>
        <w:spacing w:line="380" w:lineRule="exact"/>
        <w:rPr>
          <w:rFonts w:hint="eastAsia" w:ascii="宋体" w:hAnsi="宋体"/>
          <w:b/>
          <w:color w:val="auto"/>
          <w:sz w:val="22"/>
          <w:szCs w:val="22"/>
          <w:highlight w:val="none"/>
        </w:rPr>
      </w:pPr>
      <w:r>
        <w:rPr>
          <w:rFonts w:hint="eastAsia" w:ascii="宋体" w:hAnsi="宋体"/>
          <w:b/>
          <w:color w:val="auto"/>
          <w:sz w:val="22"/>
          <w:szCs w:val="22"/>
          <w:highlight w:val="none"/>
        </w:rPr>
        <w:t>采购内容</w:t>
      </w:r>
    </w:p>
    <w:tbl>
      <w:tblPr>
        <w:tblStyle w:val="38"/>
        <w:tblW w:w="4997" w:type="pct"/>
        <w:tblCellSpacing w:w="0"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1361"/>
        <w:gridCol w:w="1067"/>
        <w:gridCol w:w="1046"/>
        <w:gridCol w:w="6188"/>
      </w:tblGrid>
      <w:tr w14:paraId="0B77B1C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60" w:hRule="atLeast"/>
          <w:tblCellSpacing w:w="0" w:type="dxa"/>
        </w:trPr>
        <w:tc>
          <w:tcPr>
            <w:tcW w:w="704" w:type="pct"/>
            <w:tcBorders>
              <w:top w:val="outset" w:color="auto" w:sz="6" w:space="0"/>
              <w:left w:val="outset" w:color="auto" w:sz="6" w:space="0"/>
              <w:bottom w:val="outset" w:color="auto" w:sz="6" w:space="0"/>
              <w:right w:val="outset" w:color="auto" w:sz="6" w:space="0"/>
            </w:tcBorders>
            <w:noWrap w:val="0"/>
            <w:vAlign w:val="center"/>
          </w:tcPr>
          <w:p w14:paraId="7A8FB980">
            <w:pPr>
              <w:spacing w:line="300" w:lineRule="atLeast"/>
              <w:jc w:val="center"/>
              <w:rPr>
                <w:rFonts w:hint="eastAsia" w:ascii="宋体" w:hAnsi="宋体"/>
                <w:color w:val="auto"/>
                <w:szCs w:val="21"/>
                <w:highlight w:val="none"/>
              </w:rPr>
            </w:pPr>
            <w:r>
              <w:rPr>
                <w:rFonts w:hint="eastAsia" w:ascii="宋体" w:hAnsi="宋体"/>
                <w:bCs/>
                <w:color w:val="auto"/>
                <w:szCs w:val="21"/>
                <w:highlight w:val="none"/>
              </w:rPr>
              <w:t>赛事名称</w:t>
            </w:r>
          </w:p>
        </w:tc>
        <w:tc>
          <w:tcPr>
            <w:tcW w:w="552" w:type="pct"/>
            <w:tcBorders>
              <w:top w:val="outset" w:color="auto" w:sz="6" w:space="0"/>
              <w:left w:val="outset" w:color="auto" w:sz="6" w:space="0"/>
              <w:bottom w:val="outset" w:color="auto" w:sz="6" w:space="0"/>
              <w:right w:val="outset" w:color="auto" w:sz="6" w:space="0"/>
            </w:tcBorders>
            <w:noWrap w:val="0"/>
            <w:vAlign w:val="center"/>
          </w:tcPr>
          <w:p w14:paraId="4F9AAA5F">
            <w:pPr>
              <w:spacing w:line="300" w:lineRule="atLeast"/>
              <w:jc w:val="center"/>
              <w:rPr>
                <w:rFonts w:hint="eastAsia" w:ascii="宋体" w:hAnsi="宋体"/>
                <w:color w:val="auto"/>
                <w:szCs w:val="21"/>
                <w:highlight w:val="none"/>
              </w:rPr>
            </w:pPr>
            <w:r>
              <w:rPr>
                <w:rFonts w:hint="eastAsia" w:ascii="宋体" w:hAnsi="宋体"/>
                <w:bCs/>
                <w:color w:val="auto"/>
                <w:szCs w:val="21"/>
                <w:highlight w:val="none"/>
              </w:rPr>
              <w:t>举办时间</w:t>
            </w:r>
          </w:p>
        </w:tc>
        <w:tc>
          <w:tcPr>
            <w:tcW w:w="541" w:type="pct"/>
            <w:tcBorders>
              <w:top w:val="outset" w:color="auto" w:sz="6" w:space="0"/>
              <w:left w:val="outset" w:color="auto" w:sz="6" w:space="0"/>
              <w:bottom w:val="outset" w:color="auto" w:sz="6" w:space="0"/>
              <w:right w:val="outset" w:color="auto" w:sz="6" w:space="0"/>
            </w:tcBorders>
            <w:noWrap w:val="0"/>
            <w:vAlign w:val="center"/>
          </w:tcPr>
          <w:p w14:paraId="68432E7C">
            <w:pPr>
              <w:spacing w:line="300" w:lineRule="atLeast"/>
              <w:jc w:val="center"/>
              <w:rPr>
                <w:rFonts w:hint="eastAsia" w:ascii="宋体" w:hAnsi="宋体"/>
                <w:color w:val="auto"/>
                <w:szCs w:val="21"/>
                <w:highlight w:val="none"/>
              </w:rPr>
            </w:pPr>
            <w:r>
              <w:rPr>
                <w:rFonts w:hint="eastAsia" w:ascii="宋体" w:hAnsi="宋体"/>
                <w:bCs/>
                <w:color w:val="auto"/>
                <w:szCs w:val="21"/>
                <w:highlight w:val="none"/>
              </w:rPr>
              <w:t>地点</w:t>
            </w:r>
          </w:p>
        </w:tc>
        <w:tc>
          <w:tcPr>
            <w:tcW w:w="3201" w:type="pct"/>
            <w:tcBorders>
              <w:top w:val="outset" w:color="auto" w:sz="6" w:space="0"/>
              <w:left w:val="outset" w:color="auto" w:sz="6" w:space="0"/>
              <w:bottom w:val="outset" w:color="auto" w:sz="6" w:space="0"/>
              <w:right w:val="outset" w:color="auto" w:sz="6" w:space="0"/>
            </w:tcBorders>
            <w:noWrap w:val="0"/>
            <w:vAlign w:val="center"/>
          </w:tcPr>
          <w:p w14:paraId="56A3B205">
            <w:pPr>
              <w:spacing w:line="300" w:lineRule="atLeast"/>
              <w:jc w:val="center"/>
              <w:rPr>
                <w:rFonts w:hint="eastAsia" w:ascii="宋体" w:hAnsi="宋体"/>
                <w:color w:val="auto"/>
                <w:szCs w:val="21"/>
                <w:highlight w:val="none"/>
              </w:rPr>
            </w:pPr>
            <w:r>
              <w:rPr>
                <w:rFonts w:hint="eastAsia" w:ascii="宋体" w:hAnsi="宋体"/>
                <w:bCs/>
                <w:color w:val="auto"/>
                <w:szCs w:val="21"/>
                <w:highlight w:val="none"/>
              </w:rPr>
              <w:t>承办赛事相关标准要求</w:t>
            </w:r>
          </w:p>
        </w:tc>
      </w:tr>
      <w:tr w14:paraId="2CD93E2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913" w:hRule="atLeast"/>
          <w:tblCellSpacing w:w="0" w:type="dxa"/>
        </w:trPr>
        <w:tc>
          <w:tcPr>
            <w:tcW w:w="704" w:type="pct"/>
            <w:tcBorders>
              <w:top w:val="outset" w:color="auto" w:sz="6" w:space="0"/>
              <w:left w:val="outset" w:color="auto" w:sz="6" w:space="0"/>
              <w:bottom w:val="outset" w:color="auto" w:sz="6" w:space="0"/>
              <w:right w:val="outset" w:color="auto" w:sz="6" w:space="0"/>
            </w:tcBorders>
            <w:noWrap w:val="0"/>
            <w:vAlign w:val="center"/>
          </w:tcPr>
          <w:p w14:paraId="4BB9F501">
            <w:pPr>
              <w:spacing w:line="300" w:lineRule="atLeast"/>
              <w:rPr>
                <w:rFonts w:hint="eastAsia" w:ascii="宋体" w:hAnsi="宋体"/>
                <w:color w:val="auto"/>
                <w:szCs w:val="21"/>
                <w:highlight w:val="none"/>
              </w:rPr>
            </w:pPr>
            <w:r>
              <w:rPr>
                <w:rFonts w:hint="eastAsia" w:ascii="宋体" w:hAnsi="宋体"/>
                <w:color w:val="auto"/>
                <w:szCs w:val="21"/>
                <w:highlight w:val="none"/>
              </w:rPr>
              <w:t>瓯海区202</w:t>
            </w:r>
            <w:r>
              <w:rPr>
                <w:rFonts w:hint="eastAsia" w:ascii="宋体" w:hAnsi="宋体"/>
                <w:color w:val="auto"/>
                <w:szCs w:val="21"/>
                <w:highlight w:val="none"/>
                <w:lang w:val="en-US" w:eastAsia="zh-CN"/>
              </w:rPr>
              <w:t>5</w:t>
            </w:r>
            <w:r>
              <w:rPr>
                <w:rFonts w:hint="eastAsia" w:ascii="宋体" w:hAnsi="宋体"/>
                <w:color w:val="auto"/>
                <w:szCs w:val="21"/>
                <w:highlight w:val="none"/>
              </w:rPr>
              <w:t>年中小学生(</w:t>
            </w:r>
            <w:r>
              <w:rPr>
                <w:rFonts w:hint="eastAsia" w:ascii="宋体" w:hAnsi="宋体"/>
                <w:color w:val="auto"/>
                <w:szCs w:val="21"/>
                <w:highlight w:val="none"/>
                <w:lang w:eastAsia="zh-CN"/>
              </w:rPr>
              <w:t>幼儿</w:t>
            </w:r>
            <w:r>
              <w:rPr>
                <w:rFonts w:hint="eastAsia" w:ascii="宋体" w:hAnsi="宋体"/>
                <w:color w:val="auto"/>
                <w:szCs w:val="21"/>
                <w:highlight w:val="none"/>
              </w:rPr>
              <w:t>)体育节</w:t>
            </w:r>
          </w:p>
        </w:tc>
        <w:tc>
          <w:tcPr>
            <w:tcW w:w="552" w:type="pct"/>
            <w:tcBorders>
              <w:top w:val="outset" w:color="auto" w:sz="6" w:space="0"/>
              <w:left w:val="outset" w:color="auto" w:sz="6" w:space="0"/>
              <w:bottom w:val="outset" w:color="auto" w:sz="6" w:space="0"/>
              <w:right w:val="outset" w:color="auto" w:sz="6" w:space="0"/>
            </w:tcBorders>
            <w:noWrap w:val="0"/>
            <w:vAlign w:val="center"/>
          </w:tcPr>
          <w:p w14:paraId="5300FAD9">
            <w:pPr>
              <w:spacing w:line="300" w:lineRule="atLeast"/>
              <w:jc w:val="center"/>
              <w:rPr>
                <w:rFonts w:hint="eastAsia" w:ascii="宋体" w:hAnsi="宋体"/>
                <w:color w:val="auto"/>
                <w:szCs w:val="21"/>
                <w:highlight w:val="none"/>
              </w:rPr>
            </w:pPr>
            <w:r>
              <w:rPr>
                <w:rFonts w:hint="eastAsia" w:ascii="宋体" w:hAnsi="宋体"/>
                <w:color w:val="auto"/>
                <w:szCs w:val="21"/>
                <w:highlight w:val="none"/>
                <w:lang w:val="en-US" w:eastAsia="zh-CN"/>
              </w:rPr>
              <w:t>全</w:t>
            </w:r>
            <w:r>
              <w:rPr>
                <w:rFonts w:hint="eastAsia" w:ascii="宋体" w:hAnsi="宋体"/>
                <w:color w:val="auto"/>
                <w:szCs w:val="21"/>
                <w:highlight w:val="none"/>
              </w:rPr>
              <w:t>年</w:t>
            </w:r>
          </w:p>
        </w:tc>
        <w:tc>
          <w:tcPr>
            <w:tcW w:w="541" w:type="pct"/>
            <w:tcBorders>
              <w:top w:val="outset" w:color="auto" w:sz="6" w:space="0"/>
              <w:left w:val="outset" w:color="auto" w:sz="6" w:space="0"/>
              <w:bottom w:val="outset" w:color="auto" w:sz="6" w:space="0"/>
              <w:right w:val="outset" w:color="auto" w:sz="6" w:space="0"/>
            </w:tcBorders>
            <w:noWrap w:val="0"/>
            <w:vAlign w:val="center"/>
          </w:tcPr>
          <w:p w14:paraId="6BC1F9C8">
            <w:pPr>
              <w:spacing w:line="300" w:lineRule="atLeas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指定地点</w:t>
            </w:r>
          </w:p>
        </w:tc>
        <w:tc>
          <w:tcPr>
            <w:tcW w:w="3201" w:type="pct"/>
            <w:tcBorders>
              <w:top w:val="outset" w:color="auto" w:sz="6" w:space="0"/>
              <w:left w:val="outset" w:color="auto" w:sz="6" w:space="0"/>
              <w:bottom w:val="outset" w:color="auto" w:sz="6" w:space="0"/>
              <w:right w:val="outset" w:color="auto" w:sz="6" w:space="0"/>
            </w:tcBorders>
            <w:noWrap w:val="0"/>
            <w:vAlign w:val="center"/>
          </w:tcPr>
          <w:p w14:paraId="5E08F331">
            <w:pPr>
              <w:spacing w:line="300" w:lineRule="atLeast"/>
              <w:rPr>
                <w:rFonts w:hint="eastAsia" w:ascii="宋体" w:hAnsi="宋体"/>
                <w:color w:val="auto"/>
                <w:szCs w:val="21"/>
                <w:highlight w:val="none"/>
              </w:rPr>
            </w:pPr>
            <w:r>
              <w:rPr>
                <w:rFonts w:ascii="宋体" w:hAnsi="宋体"/>
                <w:color w:val="auto"/>
                <w:szCs w:val="21"/>
                <w:highlight w:val="none"/>
              </w:rPr>
              <w:t>1、补贴标准：裁判长500元/天/人，副裁判长、主裁判400元/天/人，裁判员300元/天/人；篮球裁判、排球裁判劳务费按市场价格每场计算；篮球和排球由裁判长编排，篮球编排1500元，排球编排1000元，田径编排2000元；医务人员400元/天/人；</w:t>
            </w:r>
            <w:r>
              <w:rPr>
                <w:rFonts w:ascii="宋体" w:hAnsi="宋体"/>
                <w:color w:val="auto"/>
                <w:szCs w:val="21"/>
                <w:highlight w:val="none"/>
              </w:rPr>
              <w:br w:type="textWrapping"/>
            </w:r>
            <w:r>
              <w:rPr>
                <w:rFonts w:ascii="宋体" w:hAnsi="宋体"/>
                <w:color w:val="auto"/>
                <w:szCs w:val="21"/>
                <w:highlight w:val="none"/>
              </w:rPr>
              <w:t>2、餐费标准：早餐10元/人，中餐.晚餐30元/人。</w:t>
            </w:r>
            <w:r>
              <w:rPr>
                <w:rFonts w:ascii="宋体" w:hAnsi="宋体"/>
                <w:color w:val="auto"/>
                <w:szCs w:val="21"/>
                <w:highlight w:val="none"/>
              </w:rPr>
              <w:br w:type="textWrapping"/>
            </w:r>
            <w:r>
              <w:rPr>
                <w:rFonts w:ascii="宋体" w:hAnsi="宋体"/>
                <w:color w:val="auto"/>
                <w:szCs w:val="21"/>
                <w:highlight w:val="none"/>
              </w:rPr>
              <w:t>3、服装费：排球、篮球裁判300元/人，田径裁判按400元/人（共45人）。</w:t>
            </w:r>
          </w:p>
          <w:p w14:paraId="682FE9BC">
            <w:pPr>
              <w:spacing w:line="300" w:lineRule="atLeast"/>
              <w:rPr>
                <w:rFonts w:hint="eastAsia" w:ascii="宋体" w:hAnsi="宋体"/>
                <w:color w:val="auto"/>
                <w:szCs w:val="21"/>
                <w:highlight w:val="none"/>
              </w:rPr>
            </w:pPr>
            <w:r>
              <w:rPr>
                <w:rFonts w:hint="eastAsia" w:ascii="宋体" w:hAnsi="宋体"/>
                <w:color w:val="auto"/>
                <w:szCs w:val="21"/>
                <w:highlight w:val="none"/>
                <w:lang w:val="en-US" w:eastAsia="zh-CN"/>
              </w:rPr>
              <w:t>4、</w:t>
            </w:r>
            <w:r>
              <w:rPr>
                <w:rFonts w:hint="eastAsia" w:ascii="宋体" w:hAnsi="宋体"/>
                <w:color w:val="auto"/>
                <w:szCs w:val="21"/>
                <w:highlight w:val="none"/>
              </w:rPr>
              <w:t>比赛直播费用</w:t>
            </w:r>
            <w:r>
              <w:rPr>
                <w:rFonts w:hint="eastAsia" w:ascii="宋体" w:hAnsi="宋体"/>
                <w:color w:val="auto"/>
                <w:szCs w:val="21"/>
                <w:highlight w:val="none"/>
                <w:lang w:val="en-US" w:eastAsia="zh-CN"/>
              </w:rPr>
              <w:t>10</w:t>
            </w:r>
            <w:r>
              <w:rPr>
                <w:rFonts w:hint="eastAsia" w:ascii="宋体" w:hAnsi="宋体"/>
                <w:color w:val="auto"/>
                <w:szCs w:val="21"/>
                <w:highlight w:val="none"/>
              </w:rPr>
              <w:t>000元。</w:t>
            </w:r>
          </w:p>
          <w:p w14:paraId="0A6E5737">
            <w:pPr>
              <w:spacing w:line="300" w:lineRule="atLeast"/>
              <w:rPr>
                <w:rFonts w:hint="eastAsia" w:ascii="宋体" w:hAnsi="宋体"/>
                <w:color w:val="auto"/>
                <w:szCs w:val="21"/>
                <w:highlight w:val="none"/>
              </w:rPr>
            </w:pPr>
            <w:r>
              <w:rPr>
                <w:rFonts w:hint="eastAsia" w:ascii="宋体" w:hAnsi="宋体"/>
                <w:color w:val="auto"/>
                <w:szCs w:val="21"/>
                <w:highlight w:val="none"/>
                <w:lang w:val="en-US" w:eastAsia="zh-CN"/>
              </w:rPr>
              <w:t>5、</w:t>
            </w:r>
            <w:r>
              <w:rPr>
                <w:rFonts w:hint="eastAsia" w:ascii="宋体" w:hAnsi="宋体"/>
                <w:color w:val="auto"/>
                <w:szCs w:val="21"/>
                <w:highlight w:val="none"/>
              </w:rPr>
              <w:t>比赛期间场地需配备保安、医生，必要时配备救护车，器材租赁和购置费、比赛用具购买、秩序册、成绩册、证件、奖牌等制作费，宣传费用、场地水电费用，赛事及其他费用。</w:t>
            </w:r>
          </w:p>
          <w:p w14:paraId="39B2C3CD">
            <w:pPr>
              <w:spacing w:line="300" w:lineRule="atLeast"/>
              <w:rPr>
                <w:rFonts w:hint="eastAsia" w:ascii="宋体" w:hAnsi="宋体"/>
                <w:color w:val="auto"/>
                <w:szCs w:val="21"/>
                <w:highlight w:val="none"/>
              </w:rPr>
            </w:pPr>
            <w:r>
              <w:rPr>
                <w:rFonts w:hint="eastAsia" w:ascii="宋体" w:hAnsi="宋体"/>
                <w:color w:val="auto"/>
                <w:szCs w:val="21"/>
                <w:highlight w:val="none"/>
                <w:lang w:val="en-US" w:eastAsia="zh-CN"/>
              </w:rPr>
              <w:t>6、</w:t>
            </w:r>
            <w:r>
              <w:rPr>
                <w:rFonts w:hint="eastAsia" w:ascii="宋体" w:hAnsi="宋体"/>
                <w:color w:val="auto"/>
                <w:szCs w:val="21"/>
                <w:highlight w:val="none"/>
              </w:rPr>
              <w:t>本次赛事需由成交供应商自行提供场地</w:t>
            </w:r>
            <w:r>
              <w:rPr>
                <w:rFonts w:hint="eastAsia" w:ascii="宋体" w:hAnsi="宋体"/>
                <w:color w:val="auto"/>
                <w:szCs w:val="21"/>
                <w:highlight w:val="none"/>
                <w:lang w:eastAsia="zh-CN"/>
              </w:rPr>
              <w:t>，</w:t>
            </w:r>
            <w:r>
              <w:rPr>
                <w:rFonts w:hint="eastAsia" w:ascii="宋体" w:hAnsi="宋体"/>
                <w:color w:val="auto"/>
                <w:szCs w:val="21"/>
                <w:highlight w:val="none"/>
              </w:rPr>
              <w:t>所产生的全部费用均包含在</w:t>
            </w:r>
            <w:r>
              <w:rPr>
                <w:rFonts w:hint="eastAsia" w:ascii="宋体" w:hAnsi="宋体"/>
                <w:color w:val="auto"/>
                <w:szCs w:val="21"/>
                <w:highlight w:val="none"/>
                <w:lang w:val="en-US" w:eastAsia="zh-CN"/>
              </w:rPr>
              <w:t>磋商</w:t>
            </w:r>
            <w:r>
              <w:rPr>
                <w:rFonts w:hint="eastAsia" w:ascii="宋体" w:hAnsi="宋体"/>
                <w:color w:val="auto"/>
                <w:szCs w:val="21"/>
                <w:highlight w:val="none"/>
              </w:rPr>
              <w:t>报价中。</w:t>
            </w:r>
          </w:p>
        </w:tc>
      </w:tr>
    </w:tbl>
    <w:p w14:paraId="13B8D603">
      <w:pPr>
        <w:autoSpaceDE w:val="0"/>
        <w:autoSpaceDN w:val="0"/>
        <w:adjustRightInd w:val="0"/>
        <w:snapToGrid w:val="0"/>
        <w:spacing w:line="380" w:lineRule="atLeast"/>
        <w:ind w:firstLine="462" w:firstLineChars="209"/>
        <w:textAlignment w:val="bottom"/>
        <w:rPr>
          <w:rFonts w:hint="eastAsia" w:ascii="宋体" w:hAnsi="宋体"/>
          <w:b/>
          <w:bCs/>
          <w:color w:val="auto"/>
          <w:sz w:val="22"/>
          <w:highlight w:val="none"/>
          <w:u w:val="single"/>
        </w:rPr>
      </w:pPr>
      <w:r>
        <w:rPr>
          <w:rFonts w:ascii="宋体" w:hAnsi="宋体"/>
          <w:b/>
          <w:bCs/>
          <w:color w:val="auto"/>
          <w:sz w:val="22"/>
          <w:highlight w:val="none"/>
          <w:u w:val="single"/>
        </w:rPr>
        <w:t>注：如本项目因不可抗力因素，无法举行赛事的，根据以开展赛事按照实际进行结算，202</w:t>
      </w:r>
      <w:r>
        <w:rPr>
          <w:rFonts w:hint="eastAsia" w:ascii="宋体" w:hAnsi="宋体"/>
          <w:b/>
          <w:bCs/>
          <w:color w:val="auto"/>
          <w:sz w:val="22"/>
          <w:highlight w:val="none"/>
          <w:u w:val="single"/>
          <w:lang w:val="en-US" w:eastAsia="zh-CN"/>
        </w:rPr>
        <w:t>5</w:t>
      </w:r>
      <w:r>
        <w:rPr>
          <w:rFonts w:ascii="宋体" w:hAnsi="宋体"/>
          <w:b/>
          <w:bCs/>
          <w:color w:val="auto"/>
          <w:sz w:val="22"/>
          <w:highlight w:val="none"/>
          <w:u w:val="single"/>
        </w:rPr>
        <w:t>学年第一学期期末考试前未开展</w:t>
      </w:r>
      <w:r>
        <w:rPr>
          <w:rFonts w:hint="eastAsia" w:ascii="宋体" w:hAnsi="宋体"/>
          <w:b/>
          <w:bCs/>
          <w:color w:val="auto"/>
          <w:sz w:val="22"/>
          <w:highlight w:val="none"/>
          <w:u w:val="single"/>
        </w:rPr>
        <w:t>的</w:t>
      </w:r>
      <w:r>
        <w:rPr>
          <w:rFonts w:ascii="宋体" w:hAnsi="宋体"/>
          <w:b/>
          <w:bCs/>
          <w:color w:val="auto"/>
          <w:sz w:val="22"/>
          <w:highlight w:val="none"/>
          <w:u w:val="single"/>
        </w:rPr>
        <w:t>赛事将终止，各供应商应考虑报价风险，进行报价。</w:t>
      </w:r>
      <w:r>
        <w:rPr>
          <w:rFonts w:hint="eastAsia" w:ascii="宋体" w:hAnsi="宋体"/>
          <w:b/>
          <w:bCs/>
          <w:color w:val="auto"/>
          <w:sz w:val="22"/>
          <w:highlight w:val="none"/>
          <w:u w:val="single"/>
        </w:rPr>
        <w:t>要求：</w:t>
      </w:r>
    </w:p>
    <w:p w14:paraId="35DF1B09">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1、技术保障</w:t>
      </w:r>
    </w:p>
    <w:p w14:paraId="5385606E">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配备足够的裁判员和工作人员，其中要有相应等级的裁判员，还需配备体育节会编排工作和电动计时的专业人员，完成比赛的编排、成绩录入和电计操作，确保各项比赛安全顺利的进行。</w:t>
      </w:r>
    </w:p>
    <w:p w14:paraId="4B40087A">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2、医疗保障</w:t>
      </w:r>
    </w:p>
    <w:p w14:paraId="0C975ADD">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比赛现场必须要配备救护车和医务人员（必须持有医生执业资格证书）。</w:t>
      </w:r>
    </w:p>
    <w:p w14:paraId="0B990630">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3、安全保障</w:t>
      </w:r>
    </w:p>
    <w:p w14:paraId="35CDD8FF">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制定详细的安保方案，并配备足够的赛场安保人员。</w:t>
      </w:r>
    </w:p>
    <w:p w14:paraId="2CAAABEB">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4、场地器材保障</w:t>
      </w:r>
    </w:p>
    <w:p w14:paraId="6B5DFF2E">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比赛场地由瓯海区教育局和区体育事业发展中心指定地点，田径运动会的比赛器材由区体育事业发展中心免费提供（不足器材由购</w:t>
      </w:r>
      <w:r>
        <w:rPr>
          <w:rFonts w:hint="eastAsia" w:ascii="宋体" w:hAnsi="宋体"/>
          <w:bCs/>
          <w:color w:val="auto"/>
          <w:sz w:val="22"/>
          <w:highlight w:val="none"/>
          <w:lang w:eastAsia="zh-CN"/>
        </w:rPr>
        <w:t>供应商</w:t>
      </w:r>
      <w:r>
        <w:rPr>
          <w:rFonts w:hint="eastAsia" w:ascii="宋体" w:hAnsi="宋体"/>
          <w:bCs/>
          <w:color w:val="auto"/>
          <w:sz w:val="22"/>
          <w:highlight w:val="none"/>
        </w:rPr>
        <w:t>负责添置），场地布置由购</w:t>
      </w:r>
      <w:r>
        <w:rPr>
          <w:rFonts w:hint="eastAsia" w:ascii="宋体" w:hAnsi="宋体"/>
          <w:bCs/>
          <w:color w:val="auto"/>
          <w:sz w:val="22"/>
          <w:highlight w:val="none"/>
          <w:lang w:eastAsia="zh-CN"/>
        </w:rPr>
        <w:t>供应商</w:t>
      </w:r>
      <w:r>
        <w:rPr>
          <w:rFonts w:hint="eastAsia" w:ascii="宋体" w:hAnsi="宋体"/>
          <w:bCs/>
          <w:color w:val="auto"/>
          <w:sz w:val="22"/>
          <w:highlight w:val="none"/>
        </w:rPr>
        <w:t>负责配置，确保比赛顺利进行。</w:t>
      </w:r>
    </w:p>
    <w:p w14:paraId="310C95FE">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5、经费保障</w:t>
      </w:r>
    </w:p>
    <w:p w14:paraId="4C4519B4">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购</w:t>
      </w:r>
      <w:r>
        <w:rPr>
          <w:rFonts w:hint="eastAsia" w:ascii="宋体" w:hAnsi="宋体"/>
          <w:bCs/>
          <w:color w:val="auto"/>
          <w:sz w:val="22"/>
          <w:highlight w:val="none"/>
          <w:lang w:eastAsia="zh-CN"/>
        </w:rPr>
        <w:t>供应商</w:t>
      </w:r>
      <w:r>
        <w:rPr>
          <w:rFonts w:hint="eastAsia" w:ascii="宋体" w:hAnsi="宋体"/>
          <w:bCs/>
          <w:color w:val="auto"/>
          <w:sz w:val="22"/>
          <w:highlight w:val="none"/>
        </w:rPr>
        <w:t>需要有足够支付本次比赛所需经费的资金，比赛经费包括裁判员、工作人员、安保人员、医务人员等餐费、工作补贴，场地布置、奖杯奖牌和秩序册制作、比赛用具配备等本次比赛所需的所有经费。</w:t>
      </w:r>
    </w:p>
    <w:p w14:paraId="43D804A4">
      <w:pPr>
        <w:numPr>
          <w:ilvl w:val="0"/>
          <w:numId w:val="32"/>
        </w:numPr>
        <w:tabs>
          <w:tab w:val="left" w:pos="420"/>
        </w:tabs>
        <w:snapToGrid w:val="0"/>
        <w:spacing w:line="380" w:lineRule="exact"/>
        <w:rPr>
          <w:rFonts w:hint="eastAsia" w:ascii="宋体" w:hAnsi="宋体" w:eastAsia="宋体" w:cs="Times New Roman"/>
          <w:b/>
          <w:color w:val="auto"/>
          <w:sz w:val="22"/>
          <w:szCs w:val="22"/>
          <w:highlight w:val="none"/>
        </w:rPr>
      </w:pPr>
      <w:r>
        <w:rPr>
          <w:rFonts w:hint="eastAsia" w:ascii="宋体" w:hAnsi="宋体" w:eastAsia="宋体" w:cs="Times New Roman"/>
          <w:b/>
          <w:color w:val="auto"/>
          <w:sz w:val="22"/>
          <w:szCs w:val="22"/>
          <w:highlight w:val="none"/>
        </w:rPr>
        <w:t>商务条款：</w:t>
      </w:r>
    </w:p>
    <w:p w14:paraId="6FDE1447">
      <w:pPr>
        <w:autoSpaceDE w:val="0"/>
        <w:autoSpaceDN w:val="0"/>
        <w:adjustRightInd w:val="0"/>
        <w:snapToGrid w:val="0"/>
        <w:spacing w:line="400" w:lineRule="atLeast"/>
        <w:ind w:firstLine="110" w:firstLineChars="50"/>
        <w:textAlignment w:val="bottom"/>
        <w:rPr>
          <w:rFonts w:hint="eastAsia" w:ascii="宋体" w:hAnsi="宋体"/>
          <w:bCs/>
          <w:color w:val="auto"/>
          <w:sz w:val="22"/>
          <w:highlight w:val="none"/>
        </w:rPr>
      </w:pPr>
      <w:r>
        <w:rPr>
          <w:rFonts w:hint="eastAsia" w:ascii="宋体" w:hAnsi="宋体"/>
          <w:bCs/>
          <w:color w:val="auto"/>
          <w:sz w:val="22"/>
          <w:highlight w:val="none"/>
        </w:rPr>
        <w:t>1、付款方式：</w:t>
      </w:r>
    </w:p>
    <w:p w14:paraId="181584B4">
      <w:pPr>
        <w:widowControl/>
        <w:tabs>
          <w:tab w:val="left" w:pos="540"/>
        </w:tabs>
        <w:autoSpaceDE w:val="0"/>
        <w:autoSpaceDN w:val="0"/>
        <w:adjustRightInd w:val="0"/>
        <w:snapToGrid w:val="0"/>
        <w:spacing w:line="454" w:lineRule="atLeast"/>
        <w:textAlignment w:val="bottom"/>
        <w:rPr>
          <w:rFonts w:hint="eastAsia" w:ascii="宋体" w:hAnsi="宋体"/>
          <w:color w:val="auto"/>
          <w:sz w:val="22"/>
          <w:highlight w:val="none"/>
        </w:rPr>
      </w:pPr>
      <w:r>
        <w:rPr>
          <w:rFonts w:hint="eastAsia" w:ascii="宋体" w:hAnsi="宋体"/>
          <w:color w:val="auto"/>
          <w:sz w:val="22"/>
          <w:highlight w:val="none"/>
        </w:rPr>
        <w:t>1.1</w:t>
      </w:r>
      <w:r>
        <w:rPr>
          <w:rFonts w:ascii="宋体" w:hAnsi="宋体"/>
          <w:color w:val="auto"/>
          <w:sz w:val="22"/>
          <w:highlight w:val="none"/>
        </w:rPr>
        <w:t>第一期，</w:t>
      </w:r>
      <w:r>
        <w:rPr>
          <w:rFonts w:hint="eastAsia" w:ascii="宋体" w:hAnsi="宋体"/>
          <w:color w:val="auto"/>
          <w:sz w:val="22"/>
          <w:szCs w:val="22"/>
          <w:highlight w:val="none"/>
        </w:rPr>
        <w:t>合同签订后</w:t>
      </w:r>
      <w:r>
        <w:rPr>
          <w:rFonts w:hint="eastAsia" w:ascii="宋体" w:hAnsi="宋体"/>
          <w:color w:val="auto"/>
          <w:sz w:val="22"/>
          <w:szCs w:val="22"/>
          <w:highlight w:val="none"/>
          <w:lang w:val="en-US" w:eastAsia="zh-CN"/>
        </w:rPr>
        <w:t>7</w:t>
      </w:r>
      <w:r>
        <w:rPr>
          <w:rFonts w:hint="eastAsia" w:ascii="宋体" w:hAnsi="宋体"/>
          <w:color w:val="auto"/>
          <w:sz w:val="22"/>
          <w:szCs w:val="22"/>
          <w:highlight w:val="none"/>
        </w:rPr>
        <w:t>个工作日内</w:t>
      </w:r>
      <w:r>
        <w:rPr>
          <w:rFonts w:hint="eastAsia" w:ascii="宋体" w:hAnsi="宋体"/>
          <w:color w:val="auto"/>
          <w:sz w:val="22"/>
          <w:highlight w:val="none"/>
        </w:rPr>
        <w:t>，</w:t>
      </w:r>
      <w:r>
        <w:rPr>
          <w:rFonts w:hint="eastAsia" w:ascii="宋体" w:hAnsi="宋体"/>
          <w:color w:val="auto"/>
          <w:sz w:val="22"/>
          <w:highlight w:val="none"/>
          <w:lang w:val="en-US" w:eastAsia="zh-CN"/>
        </w:rPr>
        <w:t>采购人</w:t>
      </w:r>
      <w:r>
        <w:rPr>
          <w:rFonts w:ascii="宋体" w:hAnsi="宋体"/>
          <w:color w:val="auto"/>
          <w:sz w:val="22"/>
          <w:highlight w:val="none"/>
        </w:rPr>
        <w:t>支付</w:t>
      </w:r>
      <w:r>
        <w:rPr>
          <w:rFonts w:hint="eastAsia" w:ascii="宋体" w:hAnsi="宋体"/>
          <w:color w:val="auto"/>
          <w:sz w:val="22"/>
          <w:highlight w:val="none"/>
        </w:rPr>
        <w:t>供应商合同金额</w:t>
      </w:r>
      <w:r>
        <w:rPr>
          <w:rFonts w:hint="eastAsia" w:ascii="宋体" w:hAnsi="宋体"/>
          <w:color w:val="auto"/>
          <w:sz w:val="22"/>
          <w:highlight w:val="none"/>
          <w:lang w:val="en-US" w:eastAsia="zh-CN"/>
        </w:rPr>
        <w:t>5</w:t>
      </w:r>
      <w:r>
        <w:rPr>
          <w:rFonts w:hint="eastAsia" w:ascii="宋体" w:hAnsi="宋体"/>
          <w:color w:val="auto"/>
          <w:sz w:val="22"/>
          <w:highlight w:val="none"/>
        </w:rPr>
        <w:t>0</w:t>
      </w:r>
      <w:r>
        <w:rPr>
          <w:rFonts w:ascii="宋体" w:hAnsi="宋体"/>
          <w:color w:val="auto"/>
          <w:sz w:val="22"/>
          <w:highlight w:val="none"/>
        </w:rPr>
        <w:t>%</w:t>
      </w:r>
      <w:r>
        <w:rPr>
          <w:rFonts w:hint="eastAsia" w:ascii="宋体" w:hAnsi="宋体"/>
          <w:color w:val="auto"/>
          <w:sz w:val="22"/>
          <w:highlight w:val="none"/>
        </w:rPr>
        <w:t>的办赛经费。</w:t>
      </w:r>
    </w:p>
    <w:p w14:paraId="43C3810E">
      <w:pPr>
        <w:widowControl/>
        <w:tabs>
          <w:tab w:val="left" w:pos="540"/>
        </w:tabs>
        <w:autoSpaceDE w:val="0"/>
        <w:autoSpaceDN w:val="0"/>
        <w:adjustRightInd w:val="0"/>
        <w:snapToGrid w:val="0"/>
        <w:spacing w:line="454" w:lineRule="atLeast"/>
        <w:textAlignment w:val="bottom"/>
        <w:rPr>
          <w:rFonts w:hint="eastAsia" w:ascii="宋体" w:hAnsi="宋体"/>
          <w:color w:val="auto"/>
          <w:sz w:val="22"/>
          <w:highlight w:val="none"/>
        </w:rPr>
      </w:pPr>
      <w:r>
        <w:rPr>
          <w:rFonts w:hint="eastAsia" w:ascii="宋体" w:hAnsi="宋体"/>
          <w:color w:val="auto"/>
          <w:sz w:val="22"/>
          <w:highlight w:val="none"/>
        </w:rPr>
        <w:t>1.2</w:t>
      </w:r>
      <w:r>
        <w:rPr>
          <w:rFonts w:ascii="宋体" w:hAnsi="宋体"/>
          <w:color w:val="auto"/>
          <w:sz w:val="22"/>
          <w:highlight w:val="none"/>
        </w:rPr>
        <w:t>第二期，时间为</w:t>
      </w:r>
      <w:r>
        <w:rPr>
          <w:rFonts w:hint="eastAsia" w:ascii="宋体" w:hAnsi="宋体"/>
          <w:color w:val="auto"/>
          <w:sz w:val="22"/>
          <w:highlight w:val="none"/>
        </w:rPr>
        <w:t>顺利</w:t>
      </w:r>
      <w:r>
        <w:rPr>
          <w:rFonts w:ascii="宋体" w:hAnsi="宋体"/>
          <w:color w:val="auto"/>
          <w:sz w:val="22"/>
          <w:highlight w:val="none"/>
        </w:rPr>
        <w:t>完成</w:t>
      </w:r>
      <w:r>
        <w:rPr>
          <w:rFonts w:hint="eastAsia" w:ascii="宋体" w:hAnsi="宋体"/>
          <w:color w:val="auto"/>
          <w:sz w:val="22"/>
          <w:highlight w:val="none"/>
        </w:rPr>
        <w:t>温州市瓯海区</w:t>
      </w:r>
      <w:r>
        <w:rPr>
          <w:rFonts w:hint="eastAsia" w:ascii="宋体" w:hAnsi="宋体"/>
          <w:color w:val="auto"/>
          <w:sz w:val="22"/>
          <w:highlight w:val="none"/>
          <w:lang w:eastAsia="zh-CN"/>
        </w:rPr>
        <w:t>202</w:t>
      </w:r>
      <w:r>
        <w:rPr>
          <w:rFonts w:hint="eastAsia" w:ascii="宋体" w:hAnsi="宋体"/>
          <w:color w:val="auto"/>
          <w:sz w:val="22"/>
          <w:highlight w:val="none"/>
          <w:lang w:val="en-US" w:eastAsia="zh-CN"/>
        </w:rPr>
        <w:t>5</w:t>
      </w:r>
      <w:r>
        <w:rPr>
          <w:rFonts w:hint="eastAsia" w:ascii="宋体" w:hAnsi="宋体"/>
          <w:color w:val="auto"/>
          <w:sz w:val="22"/>
          <w:highlight w:val="none"/>
        </w:rPr>
        <w:t>年中小学生(</w:t>
      </w:r>
      <w:r>
        <w:rPr>
          <w:rFonts w:hint="eastAsia" w:ascii="宋体" w:hAnsi="宋体"/>
          <w:color w:val="auto"/>
          <w:sz w:val="22"/>
          <w:highlight w:val="none"/>
          <w:lang w:eastAsia="zh-CN"/>
        </w:rPr>
        <w:t>幼儿</w:t>
      </w:r>
      <w:r>
        <w:rPr>
          <w:rFonts w:hint="eastAsia" w:ascii="宋体" w:hAnsi="宋体"/>
          <w:color w:val="auto"/>
          <w:sz w:val="22"/>
          <w:highlight w:val="none"/>
        </w:rPr>
        <w:t>)体育节所有比赛后</w:t>
      </w:r>
      <w:r>
        <w:rPr>
          <w:rFonts w:ascii="宋体" w:hAnsi="宋体"/>
          <w:color w:val="auto"/>
          <w:sz w:val="22"/>
          <w:highlight w:val="none"/>
        </w:rPr>
        <w:t>，经过采购人</w:t>
      </w:r>
      <w:r>
        <w:rPr>
          <w:rFonts w:hint="eastAsia" w:ascii="宋体" w:hAnsi="宋体"/>
          <w:color w:val="auto"/>
          <w:sz w:val="22"/>
          <w:highlight w:val="none"/>
        </w:rPr>
        <w:t>评审比赛完成情况，所有比赛完成</w:t>
      </w:r>
      <w:r>
        <w:rPr>
          <w:rFonts w:ascii="宋体" w:hAnsi="宋体"/>
          <w:color w:val="auto"/>
          <w:sz w:val="22"/>
          <w:highlight w:val="none"/>
        </w:rPr>
        <w:t>后</w:t>
      </w:r>
      <w:r>
        <w:rPr>
          <w:rFonts w:hint="eastAsia" w:ascii="宋体" w:hAnsi="宋体"/>
          <w:color w:val="auto"/>
          <w:sz w:val="22"/>
          <w:highlight w:val="none"/>
        </w:rPr>
        <w:t>5</w:t>
      </w:r>
      <w:r>
        <w:rPr>
          <w:rFonts w:ascii="宋体" w:hAnsi="宋体"/>
          <w:color w:val="auto"/>
          <w:sz w:val="22"/>
          <w:highlight w:val="none"/>
        </w:rPr>
        <w:t>天内</w:t>
      </w:r>
      <w:r>
        <w:rPr>
          <w:rFonts w:hint="eastAsia" w:ascii="宋体" w:hAnsi="宋体"/>
          <w:color w:val="auto"/>
          <w:sz w:val="22"/>
          <w:highlight w:val="none"/>
          <w:lang w:val="en-US" w:eastAsia="zh-CN"/>
        </w:rPr>
        <w:t>组织验收</w:t>
      </w:r>
      <w:r>
        <w:rPr>
          <w:rFonts w:hint="eastAsia" w:ascii="宋体" w:hAnsi="宋体"/>
          <w:color w:val="auto"/>
          <w:sz w:val="22"/>
          <w:highlight w:val="none"/>
        </w:rPr>
        <w:t>，采购人根据</w:t>
      </w:r>
      <w:r>
        <w:rPr>
          <w:rFonts w:hint="eastAsia" w:ascii="宋体" w:hAnsi="宋体"/>
          <w:color w:val="auto"/>
          <w:sz w:val="22"/>
          <w:highlight w:val="none"/>
          <w:lang w:val="en-US" w:eastAsia="zh-CN"/>
        </w:rPr>
        <w:t>验收</w:t>
      </w:r>
      <w:r>
        <w:rPr>
          <w:rFonts w:hint="eastAsia" w:ascii="宋体" w:hAnsi="宋体"/>
          <w:color w:val="auto"/>
          <w:sz w:val="22"/>
          <w:highlight w:val="none"/>
        </w:rPr>
        <w:t>评审情况按比例支付剩余经费，具体</w:t>
      </w:r>
      <w:r>
        <w:rPr>
          <w:rFonts w:hint="eastAsia" w:ascii="宋体" w:hAnsi="宋体"/>
          <w:color w:val="auto"/>
          <w:sz w:val="22"/>
          <w:highlight w:val="none"/>
          <w:lang w:val="en-US" w:eastAsia="zh-CN"/>
        </w:rPr>
        <w:t>验收</w:t>
      </w:r>
      <w:r>
        <w:rPr>
          <w:rFonts w:hint="eastAsia" w:ascii="宋体" w:hAnsi="宋体"/>
          <w:color w:val="auto"/>
          <w:sz w:val="22"/>
          <w:highlight w:val="none"/>
        </w:rPr>
        <w:t>评审情况以</w:t>
      </w:r>
      <w:r>
        <w:rPr>
          <w:rFonts w:hint="eastAsia" w:ascii="宋体" w:hAnsi="宋体"/>
          <w:color w:val="auto"/>
          <w:sz w:val="22"/>
          <w:highlight w:val="none"/>
          <w:lang w:val="en-US" w:eastAsia="zh-CN"/>
        </w:rPr>
        <w:t>验收</w:t>
      </w:r>
      <w:r>
        <w:rPr>
          <w:rFonts w:hint="eastAsia" w:ascii="宋体" w:hAnsi="宋体"/>
          <w:color w:val="auto"/>
          <w:sz w:val="22"/>
          <w:highlight w:val="none"/>
        </w:rPr>
        <w:t>评审小组出具的评估报告为依据；</w:t>
      </w:r>
      <w:r>
        <w:rPr>
          <w:rFonts w:hint="eastAsia" w:ascii="宋体" w:hAnsi="宋体"/>
          <w:color w:val="auto"/>
          <w:sz w:val="22"/>
          <w:highlight w:val="none"/>
          <w:lang w:val="en-US" w:eastAsia="zh-CN"/>
        </w:rPr>
        <w:t>验收</w:t>
      </w:r>
      <w:r>
        <w:rPr>
          <w:rFonts w:hint="eastAsia" w:ascii="宋体" w:hAnsi="宋体"/>
          <w:color w:val="auto"/>
          <w:sz w:val="22"/>
          <w:highlight w:val="none"/>
        </w:rPr>
        <w:t>评审结果合格及以上的采购人全额</w:t>
      </w:r>
      <w:r>
        <w:rPr>
          <w:rFonts w:ascii="宋体" w:hAnsi="宋体"/>
          <w:color w:val="auto"/>
          <w:sz w:val="22"/>
          <w:highlight w:val="none"/>
        </w:rPr>
        <w:t>支付</w:t>
      </w:r>
      <w:r>
        <w:rPr>
          <w:rFonts w:hint="eastAsia" w:ascii="宋体" w:hAnsi="宋体"/>
          <w:color w:val="auto"/>
          <w:sz w:val="22"/>
          <w:highlight w:val="none"/>
        </w:rPr>
        <w:t>本次采购未付的剩余金额，</w:t>
      </w:r>
      <w:r>
        <w:rPr>
          <w:rFonts w:hint="eastAsia" w:ascii="宋体" w:hAnsi="宋体"/>
          <w:color w:val="auto"/>
          <w:sz w:val="22"/>
          <w:highlight w:val="none"/>
          <w:lang w:val="en-US" w:eastAsia="zh-CN"/>
        </w:rPr>
        <w:t>验收</w:t>
      </w:r>
      <w:r>
        <w:rPr>
          <w:rFonts w:hint="eastAsia" w:ascii="宋体" w:hAnsi="宋体"/>
          <w:color w:val="auto"/>
          <w:sz w:val="22"/>
          <w:highlight w:val="none"/>
        </w:rPr>
        <w:t>评审结果不合格的采购人视情况</w:t>
      </w:r>
      <w:r>
        <w:rPr>
          <w:rFonts w:ascii="宋体" w:hAnsi="宋体"/>
          <w:color w:val="auto"/>
          <w:sz w:val="22"/>
          <w:highlight w:val="none"/>
        </w:rPr>
        <w:t>支付</w:t>
      </w:r>
      <w:r>
        <w:rPr>
          <w:rFonts w:hint="eastAsia" w:ascii="宋体" w:hAnsi="宋体"/>
          <w:color w:val="auto"/>
          <w:sz w:val="22"/>
          <w:highlight w:val="none"/>
        </w:rPr>
        <w:t>本次采购未付的剩余金额的25</w:t>
      </w:r>
      <w:r>
        <w:rPr>
          <w:rFonts w:ascii="宋体" w:hAnsi="宋体"/>
          <w:color w:val="auto"/>
          <w:sz w:val="22"/>
          <w:highlight w:val="none"/>
        </w:rPr>
        <w:t>%</w:t>
      </w:r>
      <w:r>
        <w:rPr>
          <w:rFonts w:hint="eastAsia" w:ascii="宋体" w:hAnsi="宋体"/>
          <w:color w:val="auto"/>
          <w:sz w:val="22"/>
          <w:highlight w:val="none"/>
        </w:rPr>
        <w:t>或不予支付。</w:t>
      </w:r>
    </w:p>
    <w:p w14:paraId="5F3CAF49">
      <w:pPr>
        <w:widowControl/>
        <w:tabs>
          <w:tab w:val="left" w:pos="540"/>
        </w:tabs>
        <w:autoSpaceDE w:val="0"/>
        <w:autoSpaceDN w:val="0"/>
        <w:adjustRightInd w:val="0"/>
        <w:snapToGrid w:val="0"/>
        <w:spacing w:line="454" w:lineRule="atLeast"/>
        <w:textAlignment w:val="bottom"/>
        <w:rPr>
          <w:rFonts w:hint="eastAsia" w:ascii="宋体" w:hAnsi="宋体"/>
          <w:color w:val="auto"/>
          <w:sz w:val="22"/>
          <w:szCs w:val="22"/>
          <w:highlight w:val="none"/>
        </w:rPr>
      </w:pPr>
      <w:r>
        <w:rPr>
          <w:rFonts w:hint="eastAsia" w:ascii="宋体" w:hAnsi="宋体"/>
          <w:color w:val="auto"/>
          <w:sz w:val="22"/>
          <w:szCs w:val="22"/>
          <w:highlight w:val="none"/>
        </w:rPr>
        <w:t>2、支付办法：</w:t>
      </w:r>
    </w:p>
    <w:p w14:paraId="0973DF33">
      <w:pPr>
        <w:widowControl/>
        <w:tabs>
          <w:tab w:val="left" w:pos="540"/>
        </w:tabs>
        <w:autoSpaceDE w:val="0"/>
        <w:autoSpaceDN w:val="0"/>
        <w:adjustRightInd w:val="0"/>
        <w:snapToGrid w:val="0"/>
        <w:spacing w:line="454" w:lineRule="atLeast"/>
        <w:textAlignment w:val="bottom"/>
        <w:rPr>
          <w:rFonts w:hint="eastAsia" w:ascii="宋体" w:hAnsi="宋体"/>
          <w:color w:val="auto"/>
          <w:sz w:val="22"/>
          <w:szCs w:val="22"/>
          <w:highlight w:val="none"/>
        </w:rPr>
      </w:pPr>
      <w:r>
        <w:rPr>
          <w:rFonts w:hint="eastAsia" w:ascii="宋体" w:hAnsi="宋体"/>
          <w:color w:val="auto"/>
          <w:sz w:val="22"/>
          <w:szCs w:val="22"/>
          <w:highlight w:val="none"/>
        </w:rPr>
        <w:t>本次采购由温州市瓯海区教育局和温州市瓯海区体育事业发展中心联合举行，所用经费由温州市瓯海区教育局和温州市瓯海区体育事业发展中心共同承担，双方各付本次合同金额的50%。</w:t>
      </w:r>
    </w:p>
    <w:p w14:paraId="5C7F0CBF">
      <w:pPr>
        <w:rPr>
          <w:rFonts w:hint="default"/>
          <w:color w:val="auto"/>
          <w:highlight w:val="none"/>
          <w:lang w:val="en-US" w:eastAsia="zh-CN"/>
        </w:rPr>
      </w:pPr>
    </w:p>
    <w:p w14:paraId="76756240">
      <w:pPr>
        <w:widowControl/>
        <w:snapToGrid w:val="0"/>
        <w:spacing w:line="460" w:lineRule="exact"/>
        <w:ind w:firstLine="210" w:firstLineChars="100"/>
        <w:rPr>
          <w:color w:val="auto"/>
          <w:highlight w:val="none"/>
          <w:u w:val="none"/>
        </w:rPr>
      </w:pPr>
      <w:r>
        <w:rPr>
          <w:color w:val="auto"/>
          <w:highlight w:val="none"/>
          <w:u w:val="none"/>
        </w:rPr>
        <w:br w:type="page"/>
      </w:r>
    </w:p>
    <w:p w14:paraId="3E9E3494">
      <w:pPr>
        <w:rPr>
          <w:color w:val="auto"/>
          <w:highlight w:val="none"/>
        </w:rPr>
      </w:pPr>
    </w:p>
    <w:p w14:paraId="05C955E5">
      <w:pPr>
        <w:pStyle w:val="50"/>
        <w:rPr>
          <w:rFonts w:ascii="宋体" w:hAnsi="宋体" w:cs="宋体"/>
          <w:color w:val="auto"/>
          <w:highlight w:val="none"/>
        </w:rPr>
      </w:pPr>
    </w:p>
    <w:p w14:paraId="2936D2CE">
      <w:pPr>
        <w:pStyle w:val="2"/>
        <w:spacing w:line="400" w:lineRule="exact"/>
        <w:rPr>
          <w:rFonts w:ascii="宋体" w:hAnsi="宋体" w:eastAsia="宋体" w:cs="宋体"/>
          <w:color w:val="auto"/>
          <w:sz w:val="36"/>
          <w:szCs w:val="36"/>
          <w:highlight w:val="none"/>
        </w:rPr>
      </w:pPr>
      <w:bookmarkStart w:id="175" w:name="_Toc2106"/>
      <w:r>
        <w:rPr>
          <w:rFonts w:hint="eastAsia" w:ascii="宋体" w:hAnsi="宋体" w:eastAsia="宋体" w:cs="宋体"/>
          <w:color w:val="auto"/>
          <w:sz w:val="36"/>
          <w:szCs w:val="36"/>
          <w:highlight w:val="none"/>
        </w:rPr>
        <w:t>第三部分   磋商原则及方法</w:t>
      </w:r>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p>
    <w:p w14:paraId="1CFEBEBE">
      <w:pPr>
        <w:spacing w:beforeLines="20" w:afterLines="20" w:line="440" w:lineRule="exact"/>
        <w:ind w:firstLine="325" w:firstLineChars="147"/>
        <w:rPr>
          <w:rFonts w:ascii="宋体" w:hAnsi="宋体" w:cs="宋体"/>
          <w:b/>
          <w:color w:val="auto"/>
          <w:sz w:val="22"/>
          <w:szCs w:val="22"/>
          <w:highlight w:val="none"/>
        </w:rPr>
      </w:pPr>
      <w:r>
        <w:rPr>
          <w:rFonts w:hint="eastAsia" w:ascii="宋体" w:hAnsi="宋体" w:cs="宋体"/>
          <w:b/>
          <w:bCs/>
          <w:color w:val="auto"/>
          <w:sz w:val="22"/>
          <w:szCs w:val="22"/>
          <w:highlight w:val="none"/>
        </w:rPr>
        <w:t>根据《中华人民共和国政府采购法》、《政府采购竞争性磋商采购方式管理暂行办法》等相关法规特制定以下磋商评审办法。</w:t>
      </w:r>
    </w:p>
    <w:p w14:paraId="46140E3D">
      <w:pPr>
        <w:spacing w:line="420" w:lineRule="exact"/>
        <w:outlineLvl w:val="0"/>
        <w:rPr>
          <w:rFonts w:ascii="宋体" w:hAnsi="宋体" w:cs="宋体"/>
          <w:color w:val="auto"/>
          <w:sz w:val="22"/>
          <w:szCs w:val="22"/>
          <w:highlight w:val="none"/>
        </w:rPr>
      </w:pPr>
      <w:bookmarkStart w:id="176" w:name="_Toc5821"/>
      <w:bookmarkStart w:id="177" w:name="_Toc23884074"/>
      <w:bookmarkStart w:id="178" w:name="_Toc16193"/>
      <w:bookmarkStart w:id="179" w:name="_Toc507146686"/>
      <w:bookmarkStart w:id="180" w:name="_Toc467175864"/>
      <w:bookmarkStart w:id="181" w:name="_Toc527717319"/>
      <w:bookmarkStart w:id="182" w:name="_Toc23884114"/>
      <w:bookmarkStart w:id="183" w:name="_Toc445832502"/>
      <w:bookmarkStart w:id="184" w:name="_Toc15523"/>
      <w:bookmarkStart w:id="185" w:name="_Toc458516434"/>
      <w:r>
        <w:rPr>
          <w:rFonts w:hint="eastAsia" w:ascii="宋体" w:hAnsi="宋体" w:cs="宋体"/>
          <w:color w:val="auto"/>
          <w:sz w:val="22"/>
          <w:szCs w:val="22"/>
          <w:highlight w:val="none"/>
        </w:rPr>
        <w:t>一. 总则</w:t>
      </w:r>
      <w:bookmarkEnd w:id="176"/>
      <w:bookmarkEnd w:id="177"/>
      <w:bookmarkEnd w:id="178"/>
      <w:bookmarkEnd w:id="179"/>
      <w:bookmarkEnd w:id="180"/>
      <w:bookmarkEnd w:id="181"/>
      <w:bookmarkEnd w:id="182"/>
      <w:bookmarkEnd w:id="183"/>
      <w:bookmarkEnd w:id="184"/>
      <w:bookmarkEnd w:id="185"/>
    </w:p>
    <w:p w14:paraId="781FB0CF">
      <w:pPr>
        <w:spacing w:line="420" w:lineRule="exact"/>
        <w:ind w:left="439" w:leftChars="209"/>
        <w:rPr>
          <w:rFonts w:ascii="宋体" w:hAnsi="宋体" w:cs="宋体"/>
          <w:color w:val="auto"/>
          <w:sz w:val="22"/>
          <w:szCs w:val="22"/>
          <w:highlight w:val="none"/>
        </w:rPr>
      </w:pPr>
      <w:r>
        <w:rPr>
          <w:rFonts w:hint="eastAsia" w:ascii="宋体" w:hAnsi="宋体" w:cs="宋体"/>
          <w:color w:val="auto"/>
          <w:sz w:val="22"/>
          <w:szCs w:val="22"/>
          <w:highlight w:val="none"/>
        </w:rPr>
        <w:t>磋商工作遵循“公平、公正、科学、择优”原则和“诚实、信誉、效率”的服务原则。最大限度的保护采购人权益，严格按照磋商文件的要求，对磋商响应文件进行综合评审。磋商供应商不得以任何方式干扰采购工作的进行，一经发现其磋商响应文件将被拒绝。</w:t>
      </w:r>
    </w:p>
    <w:p w14:paraId="0CAFA2B7">
      <w:pPr>
        <w:spacing w:line="450" w:lineRule="exact"/>
        <w:rPr>
          <w:rFonts w:ascii="宋体" w:hAnsi="宋体" w:cs="宋体"/>
          <w:b/>
          <w:bCs/>
          <w:color w:val="auto"/>
          <w:sz w:val="22"/>
          <w:szCs w:val="22"/>
          <w:highlight w:val="none"/>
        </w:rPr>
      </w:pPr>
      <w:r>
        <w:rPr>
          <w:rFonts w:hint="eastAsia" w:ascii="宋体" w:hAnsi="宋体" w:cs="宋体"/>
          <w:color w:val="auto"/>
          <w:sz w:val="22"/>
          <w:szCs w:val="22"/>
          <w:highlight w:val="none"/>
        </w:rPr>
        <w:t>二. 磋商程序</w:t>
      </w:r>
    </w:p>
    <w:p w14:paraId="5DF40788">
      <w:pPr>
        <w:spacing w:line="400" w:lineRule="exact"/>
        <w:ind w:left="420" w:leftChars="200"/>
        <w:rPr>
          <w:rFonts w:ascii="宋体" w:hAnsi="宋体" w:cs="宋体"/>
          <w:color w:val="auto"/>
          <w:sz w:val="22"/>
          <w:szCs w:val="22"/>
          <w:highlight w:val="none"/>
        </w:rPr>
      </w:pPr>
      <w:r>
        <w:rPr>
          <w:rFonts w:hint="eastAsia" w:ascii="宋体" w:hAnsi="宋体" w:cs="宋体"/>
          <w:b/>
          <w:color w:val="auto"/>
          <w:sz w:val="22"/>
          <w:szCs w:val="22"/>
          <w:highlight w:val="none"/>
        </w:rPr>
        <w:t>磋商和评审程序：本次磋商分三个阶段进行，具体详见本磋商文件《第一部分 供应商须知》“六 磋商和评审”</w:t>
      </w:r>
      <w:r>
        <w:rPr>
          <w:rFonts w:hint="eastAsia" w:ascii="宋体" w:hAnsi="宋体" w:cs="宋体"/>
          <w:color w:val="auto"/>
          <w:sz w:val="22"/>
          <w:szCs w:val="22"/>
          <w:highlight w:val="none"/>
        </w:rPr>
        <w:t>。</w:t>
      </w:r>
    </w:p>
    <w:p w14:paraId="4BE4C28D">
      <w:pPr>
        <w:numPr>
          <w:ilvl w:val="0"/>
          <w:numId w:val="34"/>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磋商办法</w:t>
      </w:r>
    </w:p>
    <w:p w14:paraId="6177F017">
      <w:pPr>
        <w:pStyle w:val="19"/>
        <w:numPr>
          <w:ilvl w:val="0"/>
          <w:numId w:val="35"/>
        </w:numPr>
        <w:spacing w:line="440" w:lineRule="exact"/>
        <w:ind w:left="431" w:leftChars="104" w:hanging="213" w:hangingChars="97"/>
        <w:rPr>
          <w:rFonts w:ascii="宋体" w:hAnsi="宋体" w:cs="宋体"/>
          <w:bCs/>
          <w:color w:val="auto"/>
          <w:sz w:val="22"/>
          <w:highlight w:val="none"/>
        </w:rPr>
      </w:pPr>
      <w:r>
        <w:rPr>
          <w:rFonts w:hint="eastAsia" w:ascii="宋体" w:hAnsi="宋体" w:cs="宋体"/>
          <w:bCs/>
          <w:color w:val="auto"/>
          <w:sz w:val="22"/>
          <w:highlight w:val="none"/>
        </w:rPr>
        <w:t>本项目磋商办法采取百分制综合评分法，其中商务技术</w:t>
      </w:r>
      <w:r>
        <w:rPr>
          <w:rFonts w:hint="eastAsia" w:ascii="宋体" w:hAnsi="宋体" w:cs="宋体"/>
          <w:bCs/>
          <w:color w:val="auto"/>
          <w:sz w:val="22"/>
          <w:highlight w:val="none"/>
          <w:lang w:val="en-US" w:eastAsia="zh-CN"/>
        </w:rPr>
        <w:t>70</w:t>
      </w:r>
      <w:r>
        <w:rPr>
          <w:rFonts w:hint="eastAsia" w:ascii="宋体" w:hAnsi="宋体" w:cs="宋体"/>
          <w:bCs/>
          <w:color w:val="auto"/>
          <w:sz w:val="22"/>
          <w:highlight w:val="none"/>
        </w:rPr>
        <w:t>分（商务技术权值为</w:t>
      </w:r>
      <w:r>
        <w:rPr>
          <w:rFonts w:hint="eastAsia" w:ascii="宋体" w:hAnsi="宋体" w:cs="宋体"/>
          <w:bCs/>
          <w:color w:val="auto"/>
          <w:sz w:val="22"/>
          <w:highlight w:val="none"/>
          <w:lang w:val="en-US" w:eastAsia="zh-CN"/>
        </w:rPr>
        <w:t>70</w:t>
      </w:r>
      <w:r>
        <w:rPr>
          <w:rFonts w:hint="eastAsia" w:ascii="宋体" w:hAnsi="宋体" w:cs="宋体"/>
          <w:bCs/>
          <w:color w:val="auto"/>
          <w:sz w:val="22"/>
          <w:highlight w:val="none"/>
        </w:rPr>
        <w:t>%），投标报价</w:t>
      </w:r>
      <w:r>
        <w:rPr>
          <w:rFonts w:hint="eastAsia" w:ascii="宋体" w:hAnsi="宋体" w:cs="宋体"/>
          <w:bCs/>
          <w:color w:val="auto"/>
          <w:sz w:val="22"/>
          <w:highlight w:val="none"/>
          <w:lang w:val="en-US" w:eastAsia="zh-CN"/>
        </w:rPr>
        <w:t>30</w:t>
      </w:r>
      <w:r>
        <w:rPr>
          <w:rFonts w:hint="eastAsia" w:ascii="宋体" w:hAnsi="宋体" w:cs="宋体"/>
          <w:bCs/>
          <w:color w:val="auto"/>
          <w:sz w:val="22"/>
          <w:highlight w:val="none"/>
        </w:rPr>
        <w:t>分（价格权值为</w:t>
      </w:r>
      <w:r>
        <w:rPr>
          <w:rFonts w:hint="eastAsia" w:ascii="宋体" w:hAnsi="宋体" w:cs="宋体"/>
          <w:bCs/>
          <w:color w:val="auto"/>
          <w:sz w:val="22"/>
          <w:highlight w:val="none"/>
          <w:lang w:val="en-US" w:eastAsia="zh-CN"/>
        </w:rPr>
        <w:t>30</w:t>
      </w:r>
      <w:r>
        <w:rPr>
          <w:rFonts w:hint="eastAsia" w:ascii="宋体" w:hAnsi="宋体" w:cs="宋体"/>
          <w:bCs/>
          <w:color w:val="auto"/>
          <w:sz w:val="22"/>
          <w:highlight w:val="none"/>
        </w:rPr>
        <w:t>%）。即最大限度地满足磋商文件实质性要求前提下，按照磋商文件中规定的各项评分内容进行综合评审。</w:t>
      </w:r>
    </w:p>
    <w:p w14:paraId="6BD9A90D">
      <w:pPr>
        <w:pStyle w:val="19"/>
        <w:numPr>
          <w:ilvl w:val="0"/>
          <w:numId w:val="35"/>
        </w:numPr>
        <w:spacing w:line="440" w:lineRule="exact"/>
        <w:ind w:left="431" w:leftChars="104" w:hanging="213" w:hangingChars="97"/>
        <w:rPr>
          <w:rFonts w:ascii="宋体" w:hAnsi="宋体" w:cs="宋体"/>
          <w:bCs/>
          <w:color w:val="auto"/>
          <w:sz w:val="22"/>
          <w:highlight w:val="none"/>
        </w:rPr>
      </w:pPr>
      <w:r>
        <w:rPr>
          <w:rFonts w:hint="eastAsia" w:ascii="宋体" w:hAnsi="宋体" w:cs="宋体"/>
          <w:bCs/>
          <w:color w:val="auto"/>
          <w:sz w:val="22"/>
          <w:highlight w:val="none"/>
        </w:rPr>
        <w:t>评标过程中遇到特殊情况，由磋商小组遵循公平、公正原则，采取记名投票方式按照少数服从多数原则决定。</w:t>
      </w:r>
    </w:p>
    <w:p w14:paraId="39C3AA85">
      <w:pPr>
        <w:pStyle w:val="19"/>
        <w:numPr>
          <w:ilvl w:val="0"/>
          <w:numId w:val="35"/>
        </w:numPr>
        <w:spacing w:line="440" w:lineRule="exact"/>
        <w:ind w:left="431" w:leftChars="104" w:hanging="213" w:hangingChars="97"/>
        <w:rPr>
          <w:rFonts w:ascii="宋体" w:hAnsi="宋体" w:cs="宋体"/>
          <w:bCs/>
          <w:color w:val="auto"/>
          <w:sz w:val="22"/>
          <w:highlight w:val="none"/>
        </w:rPr>
      </w:pPr>
      <w:r>
        <w:rPr>
          <w:rFonts w:hint="eastAsia" w:ascii="宋体" w:hAnsi="宋体" w:cs="宋体"/>
          <w:bCs/>
          <w:color w:val="auto"/>
          <w:sz w:val="22"/>
          <w:highlight w:val="none"/>
        </w:rPr>
        <w:t>磋商小组根据综合评分情况，按照综得分由高到低顺序推荐3名成交候选供应商，并提交评审报告。综合得分相同的，综以报价分得分高的优先；综合得分相同且报价分得分相同的，由磋商小组抽签决定。</w:t>
      </w:r>
    </w:p>
    <w:p w14:paraId="311EE075">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四．</w:t>
      </w:r>
      <w:r>
        <w:rPr>
          <w:rFonts w:hint="eastAsia" w:ascii="宋体" w:hAnsi="宋体" w:cs="宋体"/>
          <w:b/>
          <w:color w:val="auto"/>
          <w:sz w:val="22"/>
          <w:szCs w:val="22"/>
          <w:highlight w:val="none"/>
        </w:rPr>
        <w:t>磋商细则</w:t>
      </w:r>
    </w:p>
    <w:p w14:paraId="13B7045C">
      <w:pPr>
        <w:spacing w:line="450" w:lineRule="exact"/>
        <w:rPr>
          <w:rFonts w:ascii="宋体" w:hAnsi="宋体" w:cs="宋体"/>
          <w:color w:val="auto"/>
          <w:sz w:val="22"/>
          <w:szCs w:val="22"/>
          <w:highlight w:val="none"/>
        </w:rPr>
      </w:pPr>
      <w:r>
        <w:rPr>
          <w:rFonts w:hint="eastAsia" w:ascii="宋体" w:hAnsi="宋体" w:cs="宋体"/>
          <w:color w:val="auto"/>
          <w:sz w:val="22"/>
          <w:szCs w:val="22"/>
          <w:highlight w:val="none"/>
        </w:rPr>
        <w:t>1、</w:t>
      </w:r>
      <w:r>
        <w:rPr>
          <w:rFonts w:hint="eastAsia" w:ascii="宋体" w:hAnsi="宋体" w:cs="宋体"/>
          <w:b/>
          <w:bCs/>
          <w:color w:val="auto"/>
          <w:sz w:val="22"/>
          <w:szCs w:val="22"/>
          <w:highlight w:val="none"/>
        </w:rPr>
        <w:t>商务技术评分</w:t>
      </w:r>
      <w:r>
        <w:rPr>
          <w:rFonts w:hint="eastAsia" w:ascii="宋体" w:hAnsi="宋体" w:cs="宋体"/>
          <w:b/>
          <w:bCs/>
          <w:color w:val="auto"/>
          <w:sz w:val="22"/>
          <w:szCs w:val="22"/>
          <w:highlight w:val="none"/>
          <w:lang w:val="en-US" w:eastAsia="zh-CN"/>
        </w:rPr>
        <w:t>70</w:t>
      </w:r>
      <w:r>
        <w:rPr>
          <w:rFonts w:hint="eastAsia" w:ascii="宋体" w:hAnsi="宋体" w:cs="宋体"/>
          <w:b/>
          <w:bCs/>
          <w:color w:val="auto"/>
          <w:sz w:val="22"/>
          <w:szCs w:val="22"/>
          <w:highlight w:val="none"/>
        </w:rPr>
        <w:t>分</w:t>
      </w:r>
    </w:p>
    <w:p w14:paraId="5E8A5C44">
      <w:pPr>
        <w:spacing w:line="45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各磋商小组成员按下列评分项目进行评定，每人一张评分计算表，由磋商小组成员各自评定打分并记实名。如任何一张表的一项评分内容分值超过规定的范围，则该张表无效。磋商小组成员对各供应商的各项评分内容评分的合计分的算术平均值为该磋商供应商商务技术分的最终得分（四舍五入，保留小数点后二位）。</w:t>
      </w:r>
    </w:p>
    <w:tbl>
      <w:tblPr>
        <w:tblStyle w:val="38"/>
        <w:tblW w:w="4982"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07"/>
        <w:gridCol w:w="2440"/>
        <w:gridCol w:w="825"/>
        <w:gridCol w:w="5947"/>
      </w:tblGrid>
      <w:tr w14:paraId="0F7CD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7" w:hRule="atLeast"/>
        </w:trPr>
        <w:tc>
          <w:tcPr>
            <w:tcW w:w="309" w:type="pct"/>
            <w:noWrap w:val="0"/>
            <w:vAlign w:val="center"/>
          </w:tcPr>
          <w:p w14:paraId="03EA87E8">
            <w:pPr>
              <w:snapToGrid w:val="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序号</w:t>
            </w:r>
          </w:p>
        </w:tc>
        <w:tc>
          <w:tcPr>
            <w:tcW w:w="1242" w:type="pct"/>
            <w:tcBorders>
              <w:right w:val="single" w:color="auto" w:sz="4" w:space="0"/>
            </w:tcBorders>
            <w:noWrap w:val="0"/>
            <w:vAlign w:val="center"/>
          </w:tcPr>
          <w:p w14:paraId="461D1D8F">
            <w:pPr>
              <w:snapToGrid w:val="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评分内容</w:t>
            </w:r>
          </w:p>
        </w:tc>
        <w:tc>
          <w:tcPr>
            <w:tcW w:w="420" w:type="pct"/>
            <w:tcBorders>
              <w:left w:val="single" w:color="auto" w:sz="4" w:space="0"/>
            </w:tcBorders>
            <w:noWrap w:val="0"/>
            <w:vAlign w:val="center"/>
          </w:tcPr>
          <w:p w14:paraId="2BA18511">
            <w:pPr>
              <w:snapToGrid w:val="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满分</w:t>
            </w:r>
          </w:p>
        </w:tc>
        <w:tc>
          <w:tcPr>
            <w:tcW w:w="3027" w:type="pct"/>
            <w:noWrap w:val="0"/>
            <w:vAlign w:val="center"/>
          </w:tcPr>
          <w:p w14:paraId="4077644F">
            <w:pPr>
              <w:snapToGrid w:val="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评分档次</w:t>
            </w:r>
          </w:p>
        </w:tc>
      </w:tr>
      <w:tr w14:paraId="6250AD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6" w:hRule="atLeast"/>
        </w:trPr>
        <w:tc>
          <w:tcPr>
            <w:tcW w:w="309" w:type="pct"/>
            <w:noWrap w:val="0"/>
            <w:vAlign w:val="center"/>
          </w:tcPr>
          <w:p w14:paraId="1DACE94D">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1242" w:type="pct"/>
            <w:tcBorders>
              <w:right w:val="single" w:color="auto" w:sz="4" w:space="0"/>
            </w:tcBorders>
            <w:shd w:val="clear" w:color="auto" w:fill="auto"/>
            <w:noWrap w:val="0"/>
            <w:vAlign w:val="center"/>
          </w:tcPr>
          <w:p w14:paraId="0ADEC403">
            <w:pPr>
              <w:pStyle w:val="23"/>
              <w:snapToGrid w:val="0"/>
              <w:spacing w:line="300" w:lineRule="auto"/>
              <w:jc w:val="center"/>
              <w:rPr>
                <w:rFonts w:hint="eastAsia" w:ascii="宋体" w:hAnsi="宋体" w:eastAsia="宋体" w:cs="宋体"/>
                <w:color w:val="auto"/>
                <w:kern w:val="0"/>
                <w:sz w:val="22"/>
                <w:szCs w:val="22"/>
                <w:highlight w:val="none"/>
                <w:lang w:val="en-US" w:eastAsia="zh-CN" w:bidi="ar-SA"/>
              </w:rPr>
            </w:pPr>
            <w:r>
              <w:rPr>
                <w:rFonts w:hAnsi="宋体" w:cs="Arial"/>
                <w:color w:val="auto"/>
                <w:sz w:val="22"/>
                <w:szCs w:val="22"/>
                <w:highlight w:val="none"/>
              </w:rPr>
              <w:t>采购需求分析</w:t>
            </w:r>
          </w:p>
        </w:tc>
        <w:tc>
          <w:tcPr>
            <w:tcW w:w="420" w:type="pct"/>
            <w:tcBorders>
              <w:left w:val="single" w:color="auto" w:sz="4" w:space="0"/>
              <w:right w:val="single" w:color="auto" w:sz="4" w:space="0"/>
            </w:tcBorders>
            <w:shd w:val="clear" w:color="auto" w:fill="auto"/>
            <w:noWrap w:val="0"/>
            <w:vAlign w:val="center"/>
          </w:tcPr>
          <w:p w14:paraId="4D69951A">
            <w:pPr>
              <w:snapToGrid w:val="0"/>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lang w:val="en-US" w:eastAsia="zh-CN"/>
              </w:rPr>
              <w:t>10</w:t>
            </w:r>
          </w:p>
        </w:tc>
        <w:tc>
          <w:tcPr>
            <w:tcW w:w="3027" w:type="pct"/>
            <w:tcBorders>
              <w:left w:val="single" w:color="auto" w:sz="4" w:space="0"/>
            </w:tcBorders>
            <w:shd w:val="clear" w:color="auto" w:fill="auto"/>
            <w:noWrap w:val="0"/>
            <w:vAlign w:val="center"/>
          </w:tcPr>
          <w:p w14:paraId="29D0CF2B">
            <w:pPr>
              <w:pStyle w:val="49"/>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w:t>
            </w:r>
            <w:r>
              <w:rPr>
                <w:rFonts w:hint="eastAsia" w:ascii="宋体" w:hAnsi="宋体" w:eastAsia="宋体" w:cs="宋体"/>
                <w:color w:val="auto"/>
                <w:sz w:val="22"/>
                <w:szCs w:val="22"/>
                <w:highlight w:val="none"/>
              </w:rPr>
              <w:t>项目</w:t>
            </w:r>
            <w:r>
              <w:rPr>
                <w:rFonts w:hint="eastAsia" w:ascii="宋体" w:hAnsi="宋体" w:eastAsia="宋体" w:cs="宋体"/>
                <w:color w:val="auto"/>
                <w:sz w:val="22"/>
                <w:szCs w:val="22"/>
                <w:highlight w:val="none"/>
                <w:lang w:val="en-US" w:eastAsia="zh-CN"/>
              </w:rPr>
              <w:t>实际情况和各项赛事的不同</w:t>
            </w:r>
            <w:r>
              <w:rPr>
                <w:rFonts w:hint="eastAsia" w:ascii="宋体" w:hAnsi="宋体" w:eastAsia="宋体" w:cs="宋体"/>
                <w:color w:val="auto"/>
                <w:sz w:val="22"/>
                <w:szCs w:val="22"/>
                <w:highlight w:val="none"/>
              </w:rPr>
              <w:t>需求</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分析并有针对性的提出应对措施，</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3BE159F2">
            <w:pPr>
              <w:pStyle w:val="49"/>
              <w:rPr>
                <w:rFonts w:hint="eastAsia" w:ascii="宋体" w:hAnsi="宋体" w:eastAsia="宋体" w:cs="宋体"/>
                <w:color w:val="auto"/>
                <w:sz w:val="22"/>
                <w:szCs w:val="22"/>
                <w:highlight w:val="none"/>
                <w:lang w:val="zh-CN" w:eastAsia="zh-CN" w:bidi="ar-SA"/>
              </w:rPr>
            </w:pPr>
            <w:r>
              <w:rPr>
                <w:rFonts w:hint="eastAsia" w:ascii="宋体" w:hAnsi="宋体" w:cs="宋体"/>
                <w:color w:val="auto"/>
                <w:sz w:val="22"/>
                <w:szCs w:val="22"/>
                <w:highlight w:val="none"/>
                <w:lang w:val="en-US" w:eastAsia="zh-CN"/>
              </w:rPr>
              <w:t>A档：10分；B档：8分；C档：5分；D档：2分。未提供本项的不得分。</w:t>
            </w:r>
          </w:p>
        </w:tc>
      </w:tr>
      <w:tr w14:paraId="0E410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0" w:hRule="atLeast"/>
        </w:trPr>
        <w:tc>
          <w:tcPr>
            <w:tcW w:w="309" w:type="pct"/>
            <w:noWrap w:val="0"/>
            <w:vAlign w:val="center"/>
          </w:tcPr>
          <w:p w14:paraId="75C7D564">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p>
        </w:tc>
        <w:tc>
          <w:tcPr>
            <w:tcW w:w="1242" w:type="pct"/>
            <w:tcBorders>
              <w:right w:val="single" w:color="auto" w:sz="4" w:space="0"/>
            </w:tcBorders>
            <w:shd w:val="clear" w:color="auto" w:fill="auto"/>
            <w:noWrap w:val="0"/>
            <w:vAlign w:val="center"/>
          </w:tcPr>
          <w:p w14:paraId="0846D2DE">
            <w:pPr>
              <w:snapToGrid w:val="0"/>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竞赛和器材保障方案</w:t>
            </w:r>
          </w:p>
        </w:tc>
        <w:tc>
          <w:tcPr>
            <w:tcW w:w="420" w:type="pct"/>
            <w:tcBorders>
              <w:left w:val="single" w:color="auto" w:sz="4" w:space="0"/>
              <w:right w:val="single" w:color="auto" w:sz="4" w:space="0"/>
            </w:tcBorders>
            <w:shd w:val="clear" w:color="auto" w:fill="auto"/>
            <w:noWrap w:val="0"/>
            <w:vAlign w:val="center"/>
          </w:tcPr>
          <w:p w14:paraId="3DA6877B">
            <w:pPr>
              <w:snapToGrid w:val="0"/>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lang w:val="en-US" w:eastAsia="zh-CN"/>
              </w:rPr>
              <w:t>10</w:t>
            </w:r>
          </w:p>
        </w:tc>
        <w:tc>
          <w:tcPr>
            <w:tcW w:w="3027" w:type="pct"/>
            <w:tcBorders>
              <w:left w:val="single" w:color="auto" w:sz="4" w:space="0"/>
            </w:tcBorders>
            <w:shd w:val="clear" w:color="auto" w:fill="auto"/>
            <w:noWrap w:val="0"/>
            <w:vAlign w:val="center"/>
          </w:tcPr>
          <w:p w14:paraId="3FCDC728">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竞赛和器材保障方案及实施计划满足</w:t>
            </w:r>
            <w:r>
              <w:rPr>
                <w:rFonts w:hint="eastAsia" w:ascii="宋体" w:hAnsi="宋体" w:eastAsia="宋体" w:cs="宋体"/>
                <w:color w:val="auto"/>
                <w:sz w:val="22"/>
                <w:szCs w:val="22"/>
                <w:highlight w:val="none"/>
                <w:lang w:val="en-US" w:eastAsia="zh-CN"/>
              </w:rPr>
              <w:t>体育节各项赛事需求的满足的</w:t>
            </w:r>
            <w:r>
              <w:rPr>
                <w:rFonts w:hint="eastAsia" w:ascii="宋体" w:hAnsi="宋体" w:eastAsia="宋体" w:cs="宋体"/>
                <w:color w:val="auto"/>
                <w:sz w:val="22"/>
                <w:szCs w:val="22"/>
                <w:highlight w:val="none"/>
              </w:rPr>
              <w:t>程度和合理性、可操作性，</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2CCBA1DC">
            <w:pPr>
              <w:pStyle w:val="49"/>
              <w:rPr>
                <w:rFonts w:hint="eastAsia" w:ascii="宋体" w:hAnsi="宋体" w:eastAsia="宋体" w:cs="宋体"/>
                <w:color w:val="auto"/>
                <w:sz w:val="22"/>
                <w:szCs w:val="22"/>
                <w:highlight w:val="none"/>
                <w:lang w:val="zh-CN" w:eastAsia="zh-CN" w:bidi="ar-SA"/>
              </w:rPr>
            </w:pPr>
            <w:r>
              <w:rPr>
                <w:rFonts w:hint="eastAsia" w:ascii="宋体" w:hAnsi="宋体" w:cs="宋体"/>
                <w:color w:val="auto"/>
                <w:sz w:val="22"/>
                <w:szCs w:val="22"/>
                <w:highlight w:val="none"/>
                <w:lang w:val="en-US" w:eastAsia="zh-CN"/>
              </w:rPr>
              <w:t>A档：10分；B档：8分；C档：5分；D档：2分。未提供本项的不得分。</w:t>
            </w:r>
          </w:p>
        </w:tc>
      </w:tr>
      <w:tr w14:paraId="46A9FF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3" w:hRule="atLeast"/>
        </w:trPr>
        <w:tc>
          <w:tcPr>
            <w:tcW w:w="309" w:type="pct"/>
            <w:noWrap w:val="0"/>
            <w:vAlign w:val="center"/>
          </w:tcPr>
          <w:p w14:paraId="72AE03A8">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p>
        </w:tc>
        <w:tc>
          <w:tcPr>
            <w:tcW w:w="1242" w:type="pct"/>
            <w:tcBorders>
              <w:right w:val="single" w:color="auto" w:sz="4" w:space="0"/>
            </w:tcBorders>
            <w:noWrap w:val="0"/>
            <w:vAlign w:val="center"/>
          </w:tcPr>
          <w:p w14:paraId="174089A3">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媒体宣传推广方案</w:t>
            </w:r>
          </w:p>
        </w:tc>
        <w:tc>
          <w:tcPr>
            <w:tcW w:w="420" w:type="pct"/>
            <w:tcBorders>
              <w:left w:val="single" w:color="auto" w:sz="4" w:space="0"/>
              <w:right w:val="single" w:color="auto" w:sz="4" w:space="0"/>
            </w:tcBorders>
            <w:noWrap w:val="0"/>
            <w:vAlign w:val="center"/>
          </w:tcPr>
          <w:p w14:paraId="7B78A9FA">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6</w:t>
            </w:r>
          </w:p>
        </w:tc>
        <w:tc>
          <w:tcPr>
            <w:tcW w:w="3027" w:type="pct"/>
            <w:tcBorders>
              <w:left w:val="single" w:color="auto" w:sz="4" w:space="0"/>
            </w:tcBorders>
            <w:noWrap w:val="0"/>
            <w:vAlign w:val="center"/>
          </w:tcPr>
          <w:p w14:paraId="68136F01">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媒体宣传推广方案及实施计划满足采购项目需求程度和合理性、可操作性，</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391ECCE4">
            <w:pPr>
              <w:pStyle w:val="49"/>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A档：6分；B档：4分；C档：2分；D档：1分。未提供本项的不得分。</w:t>
            </w:r>
          </w:p>
        </w:tc>
      </w:tr>
      <w:tr w14:paraId="40B749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4" w:hRule="atLeast"/>
        </w:trPr>
        <w:tc>
          <w:tcPr>
            <w:tcW w:w="309" w:type="pct"/>
            <w:noWrap w:val="0"/>
            <w:vAlign w:val="center"/>
          </w:tcPr>
          <w:p w14:paraId="2BC2559A">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p>
        </w:tc>
        <w:tc>
          <w:tcPr>
            <w:tcW w:w="1242" w:type="pct"/>
            <w:tcBorders>
              <w:right w:val="single" w:color="auto" w:sz="4" w:space="0"/>
            </w:tcBorders>
            <w:noWrap w:val="0"/>
            <w:vAlign w:val="center"/>
          </w:tcPr>
          <w:p w14:paraId="5BD604CA">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后勤保障方案</w:t>
            </w:r>
          </w:p>
        </w:tc>
        <w:tc>
          <w:tcPr>
            <w:tcW w:w="420" w:type="pct"/>
            <w:tcBorders>
              <w:left w:val="single" w:color="auto" w:sz="4" w:space="0"/>
              <w:right w:val="single" w:color="auto" w:sz="4" w:space="0"/>
            </w:tcBorders>
            <w:noWrap w:val="0"/>
            <w:vAlign w:val="center"/>
          </w:tcPr>
          <w:p w14:paraId="534D881A">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12</w:t>
            </w:r>
          </w:p>
        </w:tc>
        <w:tc>
          <w:tcPr>
            <w:tcW w:w="3027" w:type="pct"/>
            <w:tcBorders>
              <w:left w:val="single" w:color="auto" w:sz="4" w:space="0"/>
            </w:tcBorders>
            <w:noWrap w:val="0"/>
            <w:vAlign w:val="center"/>
          </w:tcPr>
          <w:p w14:paraId="11F04BDD">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后勤保障方案及实施计划满足采购项目需求程度和合理性、可操作性。安保设施设备、医疗救护用品保障方案，</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482BB863">
            <w:pPr>
              <w:snapToGrid w:val="0"/>
              <w:jc w:val="left"/>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A档：12分；B档：9分；C档：6分；D档：3分。未提供本项的不得分。</w:t>
            </w:r>
          </w:p>
        </w:tc>
      </w:tr>
      <w:tr w14:paraId="2A4A16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309" w:type="pct"/>
            <w:noWrap w:val="0"/>
            <w:vAlign w:val="center"/>
          </w:tcPr>
          <w:p w14:paraId="3313756D">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w:t>
            </w:r>
          </w:p>
        </w:tc>
        <w:tc>
          <w:tcPr>
            <w:tcW w:w="1242" w:type="pct"/>
            <w:tcBorders>
              <w:right w:val="single" w:color="auto" w:sz="4" w:space="0"/>
            </w:tcBorders>
            <w:noWrap w:val="0"/>
            <w:vAlign w:val="center"/>
          </w:tcPr>
          <w:p w14:paraId="778F2742">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赛道和场地布置方案</w:t>
            </w:r>
          </w:p>
        </w:tc>
        <w:tc>
          <w:tcPr>
            <w:tcW w:w="420" w:type="pct"/>
            <w:tcBorders>
              <w:left w:val="single" w:color="auto" w:sz="4" w:space="0"/>
              <w:right w:val="single" w:color="auto" w:sz="4" w:space="0"/>
            </w:tcBorders>
            <w:noWrap w:val="0"/>
            <w:vAlign w:val="center"/>
          </w:tcPr>
          <w:p w14:paraId="13061215">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12</w:t>
            </w:r>
          </w:p>
        </w:tc>
        <w:tc>
          <w:tcPr>
            <w:tcW w:w="3027" w:type="pct"/>
            <w:tcBorders>
              <w:left w:val="single" w:color="auto" w:sz="4" w:space="0"/>
            </w:tcBorders>
            <w:noWrap w:val="0"/>
            <w:vAlign w:val="center"/>
          </w:tcPr>
          <w:p w14:paraId="195A358D">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赛道和场地布置方案</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实施计划</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进（退）场方案等，</w:t>
            </w:r>
            <w:r>
              <w:rPr>
                <w:rFonts w:hint="eastAsia" w:ascii="宋体" w:hAnsi="宋体" w:eastAsia="宋体" w:cs="宋体"/>
                <w:color w:val="auto"/>
                <w:sz w:val="22"/>
                <w:szCs w:val="22"/>
                <w:highlight w:val="none"/>
              </w:rPr>
              <w:t>满足采购项目需求程度和合理性、可操作性，</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2D77F1BA">
            <w:pPr>
              <w:pStyle w:val="49"/>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A档：12分；B档：9分；C档：6分；D档：3分。未提供本项的不得分。</w:t>
            </w:r>
          </w:p>
        </w:tc>
      </w:tr>
      <w:tr w14:paraId="36B7B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9" w:hRule="atLeast"/>
        </w:trPr>
        <w:tc>
          <w:tcPr>
            <w:tcW w:w="309" w:type="pct"/>
            <w:noWrap w:val="0"/>
            <w:vAlign w:val="center"/>
          </w:tcPr>
          <w:p w14:paraId="7358715D">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w:t>
            </w:r>
          </w:p>
        </w:tc>
        <w:tc>
          <w:tcPr>
            <w:tcW w:w="1242" w:type="pct"/>
            <w:tcBorders>
              <w:right w:val="single" w:color="auto" w:sz="4" w:space="0"/>
            </w:tcBorders>
            <w:noWrap w:val="0"/>
            <w:vAlign w:val="center"/>
          </w:tcPr>
          <w:p w14:paraId="3B03328C">
            <w:pPr>
              <w:snapToGrid w:val="0"/>
              <w:jc w:val="cente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应急预案</w:t>
            </w:r>
          </w:p>
        </w:tc>
        <w:tc>
          <w:tcPr>
            <w:tcW w:w="420" w:type="pct"/>
            <w:tcBorders>
              <w:left w:val="single" w:color="auto" w:sz="4" w:space="0"/>
              <w:right w:val="single" w:color="auto" w:sz="4" w:space="0"/>
            </w:tcBorders>
            <w:noWrap w:val="0"/>
            <w:vAlign w:val="center"/>
          </w:tcPr>
          <w:p w14:paraId="3B8A2722">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5</w:t>
            </w:r>
          </w:p>
        </w:tc>
        <w:tc>
          <w:tcPr>
            <w:tcW w:w="3027" w:type="pct"/>
            <w:tcBorders>
              <w:left w:val="single" w:color="auto" w:sz="4" w:space="0"/>
            </w:tcBorders>
            <w:noWrap w:val="0"/>
            <w:vAlign w:val="center"/>
          </w:tcPr>
          <w:p w14:paraId="1B78F64F">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应急预案的可靠性和周密程度，</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0C182FBE">
            <w:pPr>
              <w:pStyle w:val="49"/>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A档：5分；B档：4分；C档：2分；D档：1分。未提供本项的不得分。</w:t>
            </w:r>
          </w:p>
        </w:tc>
      </w:tr>
      <w:tr w14:paraId="0998A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1" w:hRule="atLeast"/>
        </w:trPr>
        <w:tc>
          <w:tcPr>
            <w:tcW w:w="309" w:type="pct"/>
            <w:noWrap w:val="0"/>
            <w:vAlign w:val="center"/>
          </w:tcPr>
          <w:p w14:paraId="49B98D86">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w:t>
            </w:r>
          </w:p>
        </w:tc>
        <w:tc>
          <w:tcPr>
            <w:tcW w:w="1242" w:type="pct"/>
            <w:tcBorders>
              <w:right w:val="single" w:color="auto" w:sz="4" w:space="0"/>
            </w:tcBorders>
            <w:noWrap w:val="0"/>
            <w:vAlign w:val="center"/>
          </w:tcPr>
          <w:p w14:paraId="5E0AC1E2">
            <w:pPr>
              <w:snapToGrid w:val="0"/>
              <w:jc w:val="cente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项目组人员配置</w:t>
            </w:r>
          </w:p>
        </w:tc>
        <w:tc>
          <w:tcPr>
            <w:tcW w:w="420" w:type="pct"/>
            <w:tcBorders>
              <w:left w:val="single" w:color="auto" w:sz="4" w:space="0"/>
            </w:tcBorders>
            <w:noWrap w:val="0"/>
            <w:vAlign w:val="center"/>
          </w:tcPr>
          <w:p w14:paraId="5ABCFE69">
            <w:pPr>
              <w:snapToGrid w:val="0"/>
              <w:jc w:val="cente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8</w:t>
            </w:r>
          </w:p>
        </w:tc>
        <w:tc>
          <w:tcPr>
            <w:tcW w:w="3027" w:type="pct"/>
            <w:noWrap w:val="0"/>
            <w:vAlign w:val="center"/>
          </w:tcPr>
          <w:p w14:paraId="0381772C">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根据项目组</w:t>
            </w:r>
            <w:r>
              <w:rPr>
                <w:rFonts w:hint="eastAsia" w:ascii="宋体" w:hAnsi="宋体" w:eastAsia="宋体" w:cs="宋体"/>
                <w:color w:val="auto"/>
                <w:sz w:val="22"/>
                <w:szCs w:val="22"/>
                <w:highlight w:val="none"/>
                <w:lang w:val="en-US" w:eastAsia="zh-CN"/>
              </w:rPr>
              <w:t>其他工作人员</w:t>
            </w:r>
            <w:r>
              <w:rPr>
                <w:rFonts w:hint="eastAsia" w:ascii="宋体" w:hAnsi="宋体" w:eastAsia="宋体" w:cs="宋体"/>
                <w:color w:val="auto"/>
                <w:sz w:val="22"/>
                <w:szCs w:val="22"/>
                <w:highlight w:val="none"/>
              </w:rPr>
              <w:t>人员的数量配备、本单位人员与外聘人员的构成比例、人员的业务资质资历等，</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4808EBE6">
            <w:pPr>
              <w:snapToGrid w:val="0"/>
              <w:jc w:val="left"/>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A档：8分；B档：6分；C档：4分；D档：2分。未提供本项的不得分。</w:t>
            </w:r>
          </w:p>
        </w:tc>
      </w:tr>
      <w:tr w14:paraId="0C88A2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5" w:hRule="atLeast"/>
        </w:trPr>
        <w:tc>
          <w:tcPr>
            <w:tcW w:w="309" w:type="pct"/>
            <w:noWrap w:val="0"/>
            <w:vAlign w:val="center"/>
          </w:tcPr>
          <w:p w14:paraId="67B24E9F">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w:t>
            </w:r>
          </w:p>
        </w:tc>
        <w:tc>
          <w:tcPr>
            <w:tcW w:w="1242" w:type="pct"/>
            <w:tcBorders>
              <w:right w:val="single" w:color="auto" w:sz="4" w:space="0"/>
            </w:tcBorders>
            <w:noWrap w:val="0"/>
            <w:vAlign w:val="center"/>
          </w:tcPr>
          <w:p w14:paraId="58474E48">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供应商</w:t>
            </w:r>
            <w:r>
              <w:rPr>
                <w:rFonts w:hint="eastAsia" w:ascii="宋体" w:hAnsi="宋体" w:eastAsia="宋体" w:cs="宋体"/>
                <w:color w:val="auto"/>
                <w:sz w:val="22"/>
                <w:szCs w:val="22"/>
                <w:highlight w:val="none"/>
              </w:rPr>
              <w:t>的综合实力</w:t>
            </w:r>
          </w:p>
        </w:tc>
        <w:tc>
          <w:tcPr>
            <w:tcW w:w="420" w:type="pct"/>
            <w:tcBorders>
              <w:left w:val="single" w:color="auto" w:sz="4" w:space="0"/>
            </w:tcBorders>
            <w:noWrap w:val="0"/>
            <w:vAlign w:val="center"/>
          </w:tcPr>
          <w:p w14:paraId="159F7574">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5</w:t>
            </w:r>
          </w:p>
        </w:tc>
        <w:tc>
          <w:tcPr>
            <w:tcW w:w="3027" w:type="pct"/>
            <w:noWrap w:val="0"/>
            <w:vAlign w:val="center"/>
          </w:tcPr>
          <w:p w14:paraId="1A53EEAA">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w:t>
            </w:r>
            <w:r>
              <w:rPr>
                <w:rFonts w:hint="eastAsia" w:ascii="宋体" w:hAnsi="宋体" w:eastAsia="宋体" w:cs="宋体"/>
                <w:color w:val="auto"/>
                <w:sz w:val="22"/>
                <w:szCs w:val="22"/>
                <w:highlight w:val="none"/>
                <w:lang w:val="en-US" w:eastAsia="zh-CN"/>
              </w:rPr>
              <w:t>企业文化、行业经验、</w:t>
            </w:r>
            <w:r>
              <w:rPr>
                <w:rFonts w:hint="eastAsia" w:ascii="宋体" w:hAnsi="宋体" w:eastAsia="宋体" w:cs="宋体"/>
                <w:color w:val="auto"/>
                <w:sz w:val="22"/>
                <w:szCs w:val="22"/>
                <w:highlight w:val="none"/>
              </w:rPr>
              <w:t>资信</w:t>
            </w:r>
            <w:r>
              <w:rPr>
                <w:rFonts w:hint="eastAsia" w:ascii="宋体" w:hAnsi="宋体" w:eastAsia="宋体" w:cs="宋体"/>
                <w:color w:val="auto"/>
                <w:sz w:val="22"/>
                <w:szCs w:val="22"/>
                <w:highlight w:val="none"/>
                <w:lang w:val="en-US" w:eastAsia="zh-CN"/>
              </w:rPr>
              <w:t>能力</w:t>
            </w:r>
            <w:r>
              <w:rPr>
                <w:rFonts w:hint="eastAsia" w:ascii="宋体" w:hAnsi="宋体" w:eastAsia="宋体" w:cs="宋体"/>
                <w:color w:val="auto"/>
                <w:sz w:val="22"/>
                <w:szCs w:val="22"/>
                <w:highlight w:val="none"/>
              </w:rPr>
              <w:t>等</w:t>
            </w:r>
            <w:r>
              <w:rPr>
                <w:rFonts w:hint="eastAsia" w:ascii="宋体" w:hAnsi="宋体" w:eastAsia="宋体" w:cs="宋体"/>
                <w:color w:val="auto"/>
                <w:sz w:val="22"/>
                <w:szCs w:val="22"/>
                <w:highlight w:val="none"/>
                <w:lang w:val="en-US" w:eastAsia="zh-CN"/>
              </w:rPr>
              <w:t>总体实力</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58128F65">
            <w:pPr>
              <w:pStyle w:val="49"/>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A档：5分；B档：4分；C档：2分；D档：1分。未提供本项的不得分。</w:t>
            </w:r>
          </w:p>
        </w:tc>
      </w:tr>
      <w:tr w14:paraId="713D1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1" w:hRule="atLeast"/>
        </w:trPr>
        <w:tc>
          <w:tcPr>
            <w:tcW w:w="309" w:type="pct"/>
            <w:noWrap w:val="0"/>
            <w:vAlign w:val="center"/>
          </w:tcPr>
          <w:p w14:paraId="3A730889">
            <w:pPr>
              <w:snapToGrid w:val="0"/>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w:t>
            </w:r>
          </w:p>
        </w:tc>
        <w:tc>
          <w:tcPr>
            <w:tcW w:w="1242" w:type="pct"/>
            <w:tcBorders>
              <w:right w:val="single" w:color="auto" w:sz="4" w:space="0"/>
            </w:tcBorders>
            <w:noWrap w:val="0"/>
            <w:vAlign w:val="center"/>
          </w:tcPr>
          <w:p w14:paraId="28CA55B6">
            <w:pPr>
              <w:pStyle w:val="23"/>
              <w:snapToGrid w:val="0"/>
              <w:spacing w:line="300" w:lineRule="auto"/>
              <w:jc w:val="center"/>
              <w:rPr>
                <w:rFonts w:hint="eastAsia" w:ascii="宋体" w:hAnsi="宋体" w:eastAsia="宋体" w:cs="宋体"/>
                <w:b w:val="0"/>
                <w:bCs w:val="0"/>
                <w:color w:val="auto"/>
                <w:sz w:val="22"/>
                <w:szCs w:val="22"/>
                <w:highlight w:val="none"/>
              </w:rPr>
            </w:pPr>
            <w:r>
              <w:rPr>
                <w:rFonts w:hAnsi="宋体" w:cs="Arial"/>
                <w:color w:val="auto"/>
                <w:sz w:val="22"/>
                <w:szCs w:val="22"/>
                <w:highlight w:val="none"/>
              </w:rPr>
              <w:t>同类项目业绩</w:t>
            </w:r>
          </w:p>
        </w:tc>
        <w:tc>
          <w:tcPr>
            <w:tcW w:w="420" w:type="pct"/>
            <w:tcBorders>
              <w:left w:val="single" w:color="auto" w:sz="4" w:space="0"/>
            </w:tcBorders>
            <w:noWrap w:val="0"/>
            <w:vAlign w:val="center"/>
          </w:tcPr>
          <w:p w14:paraId="7B863F39">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2</w:t>
            </w:r>
          </w:p>
        </w:tc>
        <w:tc>
          <w:tcPr>
            <w:tcW w:w="3027" w:type="pct"/>
            <w:noWrap w:val="0"/>
            <w:vAlign w:val="center"/>
          </w:tcPr>
          <w:p w14:paraId="58596DB2">
            <w:pPr>
              <w:snapToGrid w:val="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2021年至今，具有地级市及以上同类项目运营业绩，每个得1分，最高得2分。</w:t>
            </w:r>
          </w:p>
        </w:tc>
      </w:tr>
    </w:tbl>
    <w:p w14:paraId="536CB937">
      <w:pPr>
        <w:spacing w:line="440" w:lineRule="exact"/>
        <w:rPr>
          <w:rFonts w:ascii="宋体" w:hAnsi="宋体" w:cs="宋体"/>
          <w:b/>
          <w:bCs/>
          <w:color w:val="auto"/>
          <w:sz w:val="22"/>
          <w:szCs w:val="22"/>
          <w:highlight w:val="none"/>
        </w:rPr>
      </w:pPr>
      <w:r>
        <w:rPr>
          <w:rFonts w:hint="eastAsia" w:ascii="宋体" w:hAnsi="宋体" w:cs="宋体"/>
          <w:b/>
          <w:bCs/>
          <w:color w:val="auto"/>
          <w:sz w:val="22"/>
          <w:szCs w:val="22"/>
          <w:highlight w:val="none"/>
          <w:lang w:val="en-US" w:eastAsia="zh-CN"/>
        </w:rPr>
        <w:t>注：</w:t>
      </w:r>
      <w:r>
        <w:rPr>
          <w:rFonts w:hint="eastAsia" w:ascii="新宋体" w:hAnsi="新宋体" w:eastAsia="新宋体"/>
          <w:color w:val="auto"/>
          <w:sz w:val="22"/>
          <w:szCs w:val="22"/>
          <w:highlight w:val="none"/>
        </w:rPr>
        <w:t>以上评分标准中，A档一般以该分项方案/措施的表述详尽、科学、操作性强、可信度高等</w:t>
      </w:r>
      <w:r>
        <w:rPr>
          <w:rFonts w:hint="eastAsia" w:ascii="新宋体" w:hAnsi="新宋体" w:eastAsia="新宋体"/>
          <w:color w:val="auto"/>
          <w:sz w:val="22"/>
          <w:szCs w:val="22"/>
          <w:highlight w:val="none"/>
          <w:lang w:val="en-US" w:eastAsia="zh-CN"/>
        </w:rPr>
        <w:t>或人员岗位配备齐全，综合素质高</w:t>
      </w:r>
      <w:r>
        <w:rPr>
          <w:rFonts w:hint="eastAsia" w:ascii="新宋体" w:hAnsi="新宋体" w:eastAsia="新宋体"/>
          <w:color w:val="auto"/>
          <w:sz w:val="22"/>
          <w:szCs w:val="22"/>
          <w:highlight w:val="none"/>
        </w:rPr>
        <w:t>为划分标准；B档一般以该分项方案/措施的表述细致度、可操作性、科学性等方面基本满足采购需求</w:t>
      </w:r>
      <w:r>
        <w:rPr>
          <w:rFonts w:hint="eastAsia" w:ascii="新宋体" w:hAnsi="新宋体" w:eastAsia="新宋体"/>
          <w:color w:val="auto"/>
          <w:sz w:val="22"/>
          <w:szCs w:val="22"/>
          <w:highlight w:val="none"/>
          <w:lang w:val="en-US" w:eastAsia="zh-CN"/>
        </w:rPr>
        <w:t>或人员岗位配备、综合素质</w:t>
      </w:r>
      <w:r>
        <w:rPr>
          <w:rFonts w:hint="eastAsia" w:ascii="新宋体" w:hAnsi="新宋体" w:eastAsia="新宋体"/>
          <w:color w:val="auto"/>
          <w:sz w:val="22"/>
          <w:szCs w:val="22"/>
          <w:highlight w:val="none"/>
        </w:rPr>
        <w:t>基本满足采购需求为划分标准；C档一般以该分项方案/措施的表述细致度、可操作性、科学性等方面</w:t>
      </w:r>
      <w:r>
        <w:rPr>
          <w:rFonts w:hint="eastAsia" w:ascii="新宋体" w:hAnsi="新宋体" w:eastAsia="新宋体"/>
          <w:color w:val="auto"/>
          <w:sz w:val="22"/>
          <w:szCs w:val="22"/>
          <w:highlight w:val="none"/>
          <w:lang w:val="en-US" w:eastAsia="zh-CN"/>
        </w:rPr>
        <w:t>部分满足</w:t>
      </w:r>
      <w:r>
        <w:rPr>
          <w:rFonts w:hint="eastAsia" w:ascii="新宋体" w:hAnsi="新宋体" w:eastAsia="新宋体"/>
          <w:color w:val="auto"/>
          <w:sz w:val="22"/>
          <w:szCs w:val="22"/>
          <w:highlight w:val="none"/>
        </w:rPr>
        <w:t>采购需求</w:t>
      </w:r>
      <w:r>
        <w:rPr>
          <w:rFonts w:hint="eastAsia" w:ascii="新宋体" w:hAnsi="新宋体" w:eastAsia="新宋体"/>
          <w:color w:val="auto"/>
          <w:sz w:val="22"/>
          <w:szCs w:val="22"/>
          <w:highlight w:val="none"/>
          <w:lang w:val="en-US" w:eastAsia="zh-CN"/>
        </w:rPr>
        <w:t>或人员岗位配备、综合素质部分满足</w:t>
      </w:r>
      <w:r>
        <w:rPr>
          <w:rFonts w:hint="eastAsia" w:ascii="新宋体" w:hAnsi="新宋体" w:eastAsia="新宋体"/>
          <w:color w:val="auto"/>
          <w:sz w:val="22"/>
          <w:szCs w:val="22"/>
          <w:highlight w:val="none"/>
        </w:rPr>
        <w:t>采购需求为划分标准；</w:t>
      </w:r>
      <w:r>
        <w:rPr>
          <w:rFonts w:hint="eastAsia" w:ascii="新宋体" w:hAnsi="新宋体" w:eastAsia="新宋体"/>
          <w:color w:val="auto"/>
          <w:sz w:val="22"/>
          <w:szCs w:val="22"/>
          <w:highlight w:val="none"/>
          <w:lang w:val="en-US" w:eastAsia="zh-CN"/>
        </w:rPr>
        <w:t>D</w:t>
      </w:r>
      <w:r>
        <w:rPr>
          <w:rFonts w:hint="eastAsia" w:ascii="新宋体" w:hAnsi="新宋体" w:eastAsia="新宋体"/>
          <w:color w:val="auto"/>
          <w:sz w:val="22"/>
          <w:szCs w:val="22"/>
          <w:highlight w:val="none"/>
        </w:rPr>
        <w:t>档一般以该分项方案/措施的表述细致度、可操作性、科学性等方面差</w:t>
      </w:r>
      <w:r>
        <w:rPr>
          <w:rFonts w:hint="eastAsia" w:ascii="新宋体" w:hAnsi="新宋体" w:eastAsia="新宋体"/>
          <w:color w:val="auto"/>
          <w:sz w:val="22"/>
          <w:szCs w:val="22"/>
          <w:highlight w:val="none"/>
          <w:lang w:val="en-US" w:eastAsia="zh-CN"/>
        </w:rPr>
        <w:t>或人员岗位配备较少，综合素质差</w:t>
      </w:r>
      <w:r>
        <w:rPr>
          <w:rFonts w:hint="eastAsia" w:ascii="新宋体" w:hAnsi="新宋体" w:eastAsia="新宋体"/>
          <w:color w:val="auto"/>
          <w:sz w:val="22"/>
          <w:szCs w:val="22"/>
          <w:highlight w:val="none"/>
        </w:rPr>
        <w:t>为划分标准。</w:t>
      </w:r>
    </w:p>
    <w:p w14:paraId="69700FDE">
      <w:pPr>
        <w:spacing w:line="440" w:lineRule="exact"/>
        <w:rPr>
          <w:rFonts w:ascii="宋体" w:hAnsi="宋体" w:cs="宋体"/>
          <w:color w:val="auto"/>
          <w:sz w:val="22"/>
          <w:szCs w:val="22"/>
          <w:highlight w:val="none"/>
        </w:rPr>
      </w:pPr>
      <w:r>
        <w:rPr>
          <w:rFonts w:hint="eastAsia" w:ascii="宋体" w:hAnsi="宋体" w:cs="宋体"/>
          <w:color w:val="auto"/>
          <w:kern w:val="0"/>
          <w:sz w:val="22"/>
          <w:szCs w:val="22"/>
          <w:highlight w:val="none"/>
        </w:rPr>
        <w:t>2、</w:t>
      </w:r>
      <w:r>
        <w:rPr>
          <w:rFonts w:hint="eastAsia" w:ascii="宋体" w:hAnsi="宋体" w:cs="宋体"/>
          <w:b/>
          <w:bCs/>
          <w:color w:val="auto"/>
          <w:kern w:val="0"/>
          <w:sz w:val="22"/>
          <w:szCs w:val="22"/>
          <w:highlight w:val="none"/>
        </w:rPr>
        <w:t>磋商报价得分</w:t>
      </w:r>
      <w:r>
        <w:rPr>
          <w:rFonts w:hint="eastAsia" w:ascii="宋体" w:hAnsi="宋体" w:cs="宋体"/>
          <w:b/>
          <w:bCs/>
          <w:color w:val="auto"/>
          <w:kern w:val="0"/>
          <w:sz w:val="22"/>
          <w:szCs w:val="22"/>
          <w:highlight w:val="none"/>
          <w:lang w:val="en-US" w:eastAsia="zh-CN"/>
        </w:rPr>
        <w:t>30</w:t>
      </w:r>
      <w:r>
        <w:rPr>
          <w:rFonts w:hint="eastAsia" w:ascii="宋体" w:hAnsi="宋体" w:cs="宋体"/>
          <w:b/>
          <w:bCs/>
          <w:color w:val="auto"/>
          <w:kern w:val="0"/>
          <w:sz w:val="22"/>
          <w:szCs w:val="22"/>
          <w:highlight w:val="none"/>
        </w:rPr>
        <w:t>分</w:t>
      </w:r>
    </w:p>
    <w:p w14:paraId="3A547C2A">
      <w:pPr>
        <w:spacing w:line="440" w:lineRule="exact"/>
        <w:ind w:left="328" w:leftChars="156"/>
        <w:rPr>
          <w:rFonts w:ascii="宋体" w:hAnsi="宋体" w:cs="宋体"/>
          <w:color w:val="auto"/>
          <w:sz w:val="22"/>
          <w:highlight w:val="none"/>
        </w:rPr>
      </w:pPr>
      <w:r>
        <w:rPr>
          <w:rFonts w:hint="eastAsia" w:ascii="宋体" w:hAnsi="宋体" w:cs="宋体"/>
          <w:color w:val="auto"/>
          <w:sz w:val="22"/>
          <w:highlight w:val="none"/>
        </w:rPr>
        <w:t>满足磋商文件要求且价格最低的最后磋商报价为磋商基准价。</w:t>
      </w:r>
    </w:p>
    <w:p w14:paraId="68940F68">
      <w:pPr>
        <w:spacing w:line="440" w:lineRule="exact"/>
        <w:ind w:firstLine="330" w:firstLineChars="150"/>
        <w:rPr>
          <w:rFonts w:ascii="宋体" w:hAnsi="宋体" w:cs="宋体"/>
          <w:color w:val="auto"/>
          <w:sz w:val="22"/>
          <w:highlight w:val="none"/>
        </w:rPr>
      </w:pPr>
      <w:r>
        <w:rPr>
          <w:rFonts w:hint="eastAsia" w:ascii="宋体" w:hAnsi="宋体" w:cs="宋体"/>
          <w:color w:val="auto"/>
          <w:sz w:val="22"/>
          <w:highlight w:val="none"/>
        </w:rPr>
        <w:t>1）有效供应商的最后磋商报价等于磋商基准价时其商务分为满分</w:t>
      </w:r>
      <w:r>
        <w:rPr>
          <w:rFonts w:hint="eastAsia" w:ascii="宋体" w:hAnsi="宋体" w:cs="宋体"/>
          <w:color w:val="auto"/>
          <w:sz w:val="22"/>
          <w:highlight w:val="none"/>
          <w:lang w:val="en-US" w:eastAsia="zh-CN"/>
        </w:rPr>
        <w:t>30</w:t>
      </w:r>
      <w:r>
        <w:rPr>
          <w:rFonts w:hint="eastAsia" w:ascii="宋体" w:hAnsi="宋体" w:cs="宋体"/>
          <w:color w:val="auto"/>
          <w:sz w:val="22"/>
          <w:highlight w:val="none"/>
        </w:rPr>
        <w:t>分；</w:t>
      </w:r>
    </w:p>
    <w:p w14:paraId="211E4454">
      <w:pPr>
        <w:spacing w:line="440" w:lineRule="exact"/>
        <w:ind w:firstLine="330" w:firstLineChars="150"/>
        <w:rPr>
          <w:rFonts w:ascii="宋体" w:hAnsi="宋体" w:cs="宋体"/>
          <w:color w:val="auto"/>
          <w:sz w:val="22"/>
          <w:highlight w:val="none"/>
        </w:rPr>
      </w:pPr>
      <w:r>
        <w:rPr>
          <w:rFonts w:hint="eastAsia" w:ascii="宋体" w:hAnsi="宋体" w:cs="宋体"/>
          <w:color w:val="auto"/>
          <w:sz w:val="22"/>
          <w:highlight w:val="none"/>
        </w:rPr>
        <w:t>2）其他供应商的价格分按以下公式计算：</w:t>
      </w:r>
    </w:p>
    <w:p w14:paraId="59F327EB">
      <w:pPr>
        <w:spacing w:line="440" w:lineRule="exact"/>
        <w:ind w:left="657" w:leftChars="313"/>
        <w:rPr>
          <w:rFonts w:ascii="宋体" w:hAnsi="宋体" w:cs="宋体"/>
          <w:color w:val="auto"/>
          <w:sz w:val="22"/>
          <w:highlight w:val="none"/>
        </w:rPr>
      </w:pPr>
      <w:r>
        <w:rPr>
          <w:rFonts w:hint="eastAsia" w:ascii="宋体" w:hAnsi="宋体" w:cs="宋体"/>
          <w:color w:val="auto"/>
          <w:sz w:val="22"/>
          <w:highlight w:val="none"/>
        </w:rPr>
        <w:t>商务分得分=（磋商基准价/供应商最后磋商报价）×</w:t>
      </w:r>
      <w:r>
        <w:rPr>
          <w:rFonts w:hint="eastAsia" w:ascii="宋体" w:hAnsi="宋体" w:cs="宋体"/>
          <w:color w:val="auto"/>
          <w:sz w:val="22"/>
          <w:highlight w:val="none"/>
          <w:lang w:val="en-US" w:eastAsia="zh-CN"/>
        </w:rPr>
        <w:t>30</w:t>
      </w:r>
      <w:r>
        <w:rPr>
          <w:rFonts w:hint="eastAsia" w:ascii="宋体" w:hAnsi="宋体" w:cs="宋体"/>
          <w:color w:val="auto"/>
          <w:sz w:val="22"/>
          <w:highlight w:val="none"/>
        </w:rPr>
        <w:t>% ×100（四舍五入后保留小数2位）</w:t>
      </w:r>
    </w:p>
    <w:p w14:paraId="561B6FEC">
      <w:pPr>
        <w:spacing w:line="400" w:lineRule="exact"/>
        <w:ind w:firstLine="221" w:firstLineChars="100"/>
        <w:rPr>
          <w:rFonts w:ascii="宋体" w:hAnsi="宋体" w:cs="宋体"/>
          <w:b/>
          <w:color w:val="auto"/>
          <w:sz w:val="22"/>
          <w:szCs w:val="22"/>
          <w:highlight w:val="none"/>
        </w:rPr>
      </w:pPr>
      <w:r>
        <w:rPr>
          <w:rFonts w:hint="eastAsia" w:ascii="宋体" w:hAnsi="宋体" w:cs="宋体"/>
          <w:b/>
          <w:color w:val="auto"/>
          <w:sz w:val="22"/>
          <w:szCs w:val="22"/>
          <w:highlight w:val="none"/>
        </w:rPr>
        <w:t>3）本项目为对应的中小企业划分标准所属行业：</w:t>
      </w:r>
      <w:r>
        <w:rPr>
          <w:rFonts w:hint="eastAsia" w:ascii="宋体" w:hAnsi="宋体" w:cs="宋体"/>
          <w:b/>
          <w:color w:val="auto"/>
          <w:sz w:val="22"/>
          <w:szCs w:val="22"/>
          <w:highlight w:val="none"/>
          <w:u w:val="single"/>
        </w:rPr>
        <w:t xml:space="preserve"> </w:t>
      </w:r>
      <w:r>
        <w:rPr>
          <w:rFonts w:hint="eastAsia" w:ascii="宋体" w:hAnsi="宋体" w:cs="宋体"/>
          <w:b/>
          <w:color w:val="auto"/>
          <w:sz w:val="22"/>
          <w:szCs w:val="22"/>
          <w:highlight w:val="none"/>
          <w:u w:val="single"/>
          <w:lang w:val="en-US" w:eastAsia="zh-CN"/>
        </w:rPr>
        <w:t>其他未列明行业</w:t>
      </w:r>
      <w:r>
        <w:rPr>
          <w:rFonts w:hint="eastAsia" w:ascii="宋体" w:hAnsi="宋体" w:cs="宋体"/>
          <w:b/>
          <w:color w:val="auto"/>
          <w:sz w:val="22"/>
          <w:szCs w:val="22"/>
          <w:highlight w:val="none"/>
        </w:rPr>
        <w:t>。</w:t>
      </w:r>
    </w:p>
    <w:p w14:paraId="57851EA4">
      <w:pPr>
        <w:spacing w:line="400" w:lineRule="exact"/>
        <w:ind w:firstLine="220" w:firstLineChars="100"/>
        <w:rPr>
          <w:rFonts w:hint="eastAsia" w:ascii="宋体" w:hAnsi="宋体" w:eastAsia="宋体" w:cs="宋体"/>
          <w:color w:val="auto"/>
          <w:sz w:val="22"/>
          <w:highlight w:val="none"/>
        </w:rPr>
      </w:pPr>
      <w:r>
        <w:rPr>
          <w:rFonts w:hint="eastAsia" w:ascii="宋体" w:hAnsi="宋体" w:cs="宋体"/>
          <w:color w:val="auto"/>
          <w:sz w:val="22"/>
          <w:highlight w:val="none"/>
        </w:rPr>
        <w:t>4）</w:t>
      </w:r>
      <w:r>
        <w:rPr>
          <w:rFonts w:hint="eastAsia" w:ascii="宋体" w:hAnsi="宋体" w:cs="宋体"/>
          <w:b/>
          <w:color w:val="auto"/>
          <w:sz w:val="22"/>
          <w:szCs w:val="22"/>
          <w:highlight w:val="none"/>
          <w:u w:val="single"/>
        </w:rPr>
        <w:t>▲本项目采购预算为692000元</w:t>
      </w:r>
      <w:r>
        <w:rPr>
          <w:rFonts w:hint="eastAsia" w:ascii="宋体" w:hAnsi="宋体" w:cs="宋体"/>
          <w:b/>
          <w:bCs/>
          <w:color w:val="auto"/>
          <w:kern w:val="0"/>
          <w:sz w:val="22"/>
          <w:szCs w:val="22"/>
          <w:highlight w:val="none"/>
          <w:u w:val="single"/>
          <w:lang w:eastAsia="zh-CN"/>
        </w:rPr>
        <w:t>。</w:t>
      </w:r>
      <w:r>
        <w:rPr>
          <w:rFonts w:hint="eastAsia" w:ascii="宋体" w:hAnsi="宋体" w:eastAsia="宋体" w:cs="宋体"/>
          <w:b/>
          <w:bCs/>
          <w:color w:val="auto"/>
          <w:kern w:val="0"/>
          <w:sz w:val="22"/>
          <w:szCs w:val="22"/>
          <w:highlight w:val="none"/>
          <w:u w:val="single"/>
        </w:rPr>
        <w:t>如投标人报价超过采购预算，其投标文件作无效标处理</w:t>
      </w:r>
      <w:r>
        <w:rPr>
          <w:rFonts w:hint="eastAsia" w:ascii="宋体" w:hAnsi="宋体" w:eastAsia="宋体" w:cs="宋体"/>
          <w:color w:val="auto"/>
          <w:sz w:val="22"/>
          <w:highlight w:val="none"/>
        </w:rPr>
        <w:t>。</w:t>
      </w:r>
    </w:p>
    <w:p w14:paraId="29DEDABF">
      <w:pPr>
        <w:spacing w:line="400" w:lineRule="exact"/>
        <w:ind w:firstLine="330" w:firstLineChars="150"/>
        <w:rPr>
          <w:rFonts w:ascii="宋体" w:hAnsi="宋体" w:cs="宋体"/>
          <w:color w:val="auto"/>
          <w:sz w:val="22"/>
          <w:highlight w:val="none"/>
        </w:rPr>
      </w:pPr>
      <w:r>
        <w:rPr>
          <w:rFonts w:hint="eastAsia" w:ascii="宋体" w:hAnsi="宋体" w:cs="宋体"/>
          <w:color w:val="auto"/>
          <w:sz w:val="22"/>
          <w:highlight w:val="none"/>
          <w:lang w:val="en-US" w:eastAsia="zh-CN"/>
        </w:rPr>
        <w:t>5</w:t>
      </w:r>
      <w:r>
        <w:rPr>
          <w:rFonts w:hint="eastAsia" w:ascii="宋体" w:hAnsi="宋体" w:cs="宋体"/>
          <w:color w:val="auto"/>
          <w:sz w:val="22"/>
          <w:highlight w:val="none"/>
        </w:rPr>
        <w:t>）</w:t>
      </w:r>
      <w:r>
        <w:rPr>
          <w:rFonts w:hint="eastAsia" w:ascii="宋体" w:hAnsi="宋体" w:cs="宋体"/>
          <w:color w:val="auto"/>
          <w:sz w:val="22"/>
          <w:szCs w:val="22"/>
          <w:highlight w:val="none"/>
        </w:rPr>
        <w:t>所有供应商商务报价均超采购预算，采购人无法支付的,重新组织</w:t>
      </w:r>
      <w:r>
        <w:rPr>
          <w:rFonts w:hint="eastAsia" w:ascii="宋体" w:hAnsi="宋体" w:cs="宋体"/>
          <w:color w:val="auto"/>
          <w:sz w:val="22"/>
          <w:szCs w:val="22"/>
          <w:highlight w:val="none"/>
          <w:lang w:val="en-US" w:eastAsia="zh-CN"/>
        </w:rPr>
        <w:t>采购</w:t>
      </w:r>
      <w:r>
        <w:rPr>
          <w:rFonts w:hint="eastAsia" w:ascii="宋体" w:hAnsi="宋体" w:cs="宋体"/>
          <w:color w:val="auto"/>
          <w:sz w:val="22"/>
          <w:highlight w:val="none"/>
        </w:rPr>
        <w:t>。</w:t>
      </w:r>
    </w:p>
    <w:p w14:paraId="0E1BF9F6">
      <w:pPr>
        <w:spacing w:line="440" w:lineRule="exact"/>
        <w:rPr>
          <w:rFonts w:ascii="宋体" w:hAnsi="宋体" w:cs="宋体"/>
          <w:color w:val="auto"/>
          <w:highlight w:val="none"/>
        </w:rPr>
      </w:pPr>
      <w:r>
        <w:rPr>
          <w:rFonts w:hint="eastAsia" w:ascii="宋体" w:hAnsi="宋体" w:cs="宋体"/>
          <w:color w:val="auto"/>
          <w:sz w:val="22"/>
          <w:szCs w:val="22"/>
          <w:highlight w:val="none"/>
        </w:rPr>
        <w:t>3、有效供应商的综合得分为商务技术得分和最后磋商报价得分的总和。</w:t>
      </w:r>
    </w:p>
    <w:p w14:paraId="44441F55">
      <w:pPr>
        <w:rPr>
          <w:rFonts w:ascii="宋体" w:hAnsi="宋体" w:cs="宋体"/>
          <w:color w:val="auto"/>
          <w:sz w:val="36"/>
          <w:szCs w:val="36"/>
          <w:highlight w:val="none"/>
        </w:rPr>
      </w:pPr>
      <w:bookmarkStart w:id="186" w:name="_Toc239145360"/>
      <w:bookmarkStart w:id="187" w:name="_Toc241404208"/>
      <w:bookmarkStart w:id="188" w:name="_Toc221374632"/>
      <w:bookmarkStart w:id="189" w:name="_Toc223716004"/>
      <w:bookmarkStart w:id="190" w:name="_Toc222114885"/>
      <w:bookmarkStart w:id="191" w:name="_Toc262049425"/>
      <w:bookmarkStart w:id="192" w:name="_Toc221356957"/>
      <w:bookmarkStart w:id="193" w:name="_Toc245191320"/>
      <w:bookmarkStart w:id="194" w:name="_Toc221423625"/>
      <w:bookmarkStart w:id="195" w:name="_Toc262105510"/>
      <w:bookmarkStart w:id="196" w:name="_Toc221356894"/>
      <w:bookmarkStart w:id="197" w:name="_Toc249758871"/>
      <w:bookmarkStart w:id="198" w:name="_Toc249758721"/>
      <w:bookmarkStart w:id="199" w:name="_Toc246261271"/>
      <w:bookmarkStart w:id="200" w:name="_Toc245722287"/>
      <w:r>
        <w:rPr>
          <w:rFonts w:hint="eastAsia" w:ascii="宋体" w:hAnsi="宋体" w:cs="宋体"/>
          <w:color w:val="auto"/>
          <w:sz w:val="36"/>
          <w:szCs w:val="36"/>
          <w:highlight w:val="none"/>
        </w:rPr>
        <w:br w:type="page"/>
      </w:r>
    </w:p>
    <w:p w14:paraId="2437BEDB">
      <w:pPr>
        <w:pStyle w:val="2"/>
        <w:spacing w:line="440" w:lineRule="exact"/>
        <w:rPr>
          <w:rFonts w:ascii="宋体" w:hAnsi="宋体" w:eastAsia="宋体" w:cs="宋体"/>
          <w:color w:val="auto"/>
          <w:sz w:val="36"/>
          <w:szCs w:val="36"/>
          <w:highlight w:val="none"/>
        </w:rPr>
      </w:pPr>
      <w:bookmarkStart w:id="201" w:name="_Toc17123"/>
      <w:r>
        <w:rPr>
          <w:rFonts w:hint="eastAsia" w:ascii="宋体" w:hAnsi="宋体" w:eastAsia="宋体" w:cs="宋体"/>
          <w:color w:val="auto"/>
          <w:sz w:val="36"/>
          <w:szCs w:val="36"/>
          <w:highlight w:val="none"/>
        </w:rPr>
        <w:t xml:space="preserve">第四部分   </w:t>
      </w:r>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Start w:id="202" w:name="_Toc221374633"/>
      <w:bookmarkStart w:id="203" w:name="_Toc221356897"/>
      <w:bookmarkStart w:id="204" w:name="_Toc246261272"/>
      <w:bookmarkStart w:id="205" w:name="_Toc262049426"/>
      <w:bookmarkStart w:id="206" w:name="_Toc221356960"/>
      <w:bookmarkStart w:id="207" w:name="_Toc249758722"/>
      <w:bookmarkStart w:id="208" w:name="_Toc245722288"/>
      <w:bookmarkStart w:id="209" w:name="_Toc262105511"/>
      <w:bookmarkStart w:id="210" w:name="_Toc221423626"/>
      <w:bookmarkStart w:id="211" w:name="_Toc249758872"/>
      <w:bookmarkStart w:id="212" w:name="_Toc241404209"/>
      <w:bookmarkStart w:id="213" w:name="_Toc222114886"/>
      <w:bookmarkStart w:id="214" w:name="_Toc239145361"/>
      <w:bookmarkStart w:id="215" w:name="_Toc223716005"/>
      <w:bookmarkStart w:id="216" w:name="_Toc245191321"/>
      <w:r>
        <w:rPr>
          <w:rFonts w:hint="eastAsia" w:ascii="宋体" w:hAnsi="宋体" w:eastAsia="宋体" w:cs="宋体"/>
          <w:color w:val="auto"/>
          <w:sz w:val="36"/>
          <w:szCs w:val="36"/>
          <w:highlight w:val="none"/>
        </w:rPr>
        <w:t>合同格式</w:t>
      </w:r>
      <w:bookmarkEnd w:id="201"/>
    </w:p>
    <w:p w14:paraId="21F4722E">
      <w:pPr>
        <w:spacing w:line="440" w:lineRule="exact"/>
        <w:ind w:firstLine="440" w:firstLineChars="200"/>
        <w:rPr>
          <w:rFonts w:ascii="宋体" w:hAnsi="宋体" w:cs="宋体"/>
          <w:color w:val="auto"/>
          <w:sz w:val="22"/>
          <w:szCs w:val="22"/>
          <w:highlight w:val="none"/>
        </w:rPr>
      </w:pPr>
      <w:bookmarkStart w:id="217" w:name="_Toc525719521"/>
      <w:r>
        <w:rPr>
          <w:rFonts w:hint="eastAsia" w:ascii="宋体" w:hAnsi="宋体" w:cs="宋体"/>
          <w:color w:val="auto"/>
          <w:sz w:val="22"/>
          <w:szCs w:val="22"/>
          <w:highlight w:val="none"/>
        </w:rPr>
        <w:t>说明：如甲、乙双方同意，合同格式也可以按照其他形式。但合同条款的基本内容应与本合同要求的内容相一致。</w:t>
      </w:r>
    </w:p>
    <w:p w14:paraId="0959376F">
      <w:pPr>
        <w:spacing w:line="360" w:lineRule="auto"/>
        <w:ind w:firstLine="440" w:firstLineChars="200"/>
        <w:rPr>
          <w:rFonts w:ascii="宋体" w:hAnsi="宋体" w:cs="宋体"/>
          <w:color w:val="auto"/>
          <w:sz w:val="22"/>
          <w:szCs w:val="22"/>
          <w:highlight w:val="none"/>
        </w:rPr>
      </w:pPr>
      <w:bookmarkStart w:id="218" w:name="_Toc246261269"/>
      <w:bookmarkStart w:id="219" w:name="_Toc221356955"/>
      <w:bookmarkStart w:id="220" w:name="_Toc245191318"/>
      <w:bookmarkStart w:id="221" w:name="_Toc222114883"/>
      <w:bookmarkStart w:id="222" w:name="_Toc245722285"/>
      <w:bookmarkStart w:id="223" w:name="_Toc221374630"/>
      <w:bookmarkStart w:id="224" w:name="_Toc262049422"/>
      <w:bookmarkStart w:id="225" w:name="_Toc221356891"/>
      <w:bookmarkStart w:id="226" w:name="_Toc239145358"/>
      <w:bookmarkStart w:id="227" w:name="_Toc262105507"/>
      <w:bookmarkStart w:id="228" w:name="_Toc249758716"/>
      <w:bookmarkStart w:id="229" w:name="_Toc221423623"/>
      <w:bookmarkStart w:id="230" w:name="_Toc223716002"/>
      <w:bookmarkStart w:id="231" w:name="_Toc241404206"/>
      <w:bookmarkStart w:id="232" w:name="_Toc249758868"/>
    </w:p>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p w14:paraId="75C32F55">
      <w:pPr>
        <w:spacing w:line="360" w:lineRule="auto"/>
        <w:ind w:firstLine="440" w:firstLineChars="200"/>
        <w:rPr>
          <w:rFonts w:hint="eastAsia" w:ascii="宋体" w:hAnsi="宋体"/>
          <w:color w:val="auto"/>
          <w:sz w:val="22"/>
          <w:szCs w:val="22"/>
          <w:highlight w:val="none"/>
          <w:lang w:val="en-US" w:eastAsia="zh-CN"/>
        </w:rPr>
      </w:pPr>
      <w:r>
        <w:rPr>
          <w:rFonts w:hint="eastAsia" w:ascii="宋体" w:hAnsi="宋体"/>
          <w:color w:val="auto"/>
          <w:sz w:val="22"/>
          <w:szCs w:val="22"/>
          <w:highlight w:val="none"/>
          <w:lang w:val="en-US" w:eastAsia="zh-CN"/>
        </w:rPr>
        <w:t>甲方：</w:t>
      </w:r>
    </w:p>
    <w:p w14:paraId="14AD0E43">
      <w:pPr>
        <w:spacing w:line="360" w:lineRule="auto"/>
        <w:ind w:firstLine="440" w:firstLineChars="200"/>
        <w:rPr>
          <w:rFonts w:hint="default" w:ascii="宋体" w:hAnsi="宋体"/>
          <w:color w:val="auto"/>
          <w:sz w:val="22"/>
          <w:szCs w:val="22"/>
          <w:highlight w:val="none"/>
          <w:lang w:val="en-US" w:eastAsia="zh-CN"/>
        </w:rPr>
      </w:pPr>
      <w:r>
        <w:rPr>
          <w:rFonts w:hint="eastAsia" w:ascii="宋体" w:hAnsi="宋体"/>
          <w:color w:val="auto"/>
          <w:sz w:val="22"/>
          <w:szCs w:val="22"/>
          <w:highlight w:val="none"/>
          <w:lang w:val="en-US" w:eastAsia="zh-CN"/>
        </w:rPr>
        <w:t>乙方:</w:t>
      </w:r>
    </w:p>
    <w:p w14:paraId="4AD282D8">
      <w:pPr>
        <w:spacing w:line="360" w:lineRule="auto"/>
        <w:ind w:firstLine="440" w:firstLineChars="200"/>
        <w:rPr>
          <w:rFonts w:hint="eastAsia" w:ascii="宋体" w:hAnsi="宋体"/>
          <w:color w:val="auto"/>
          <w:sz w:val="22"/>
          <w:szCs w:val="22"/>
          <w:highlight w:val="none"/>
          <w:lang w:val="en-US" w:eastAsia="zh-CN"/>
        </w:rPr>
      </w:pPr>
    </w:p>
    <w:p w14:paraId="67C7276E">
      <w:pPr>
        <w:spacing w:line="360" w:lineRule="auto"/>
        <w:ind w:firstLine="440" w:firstLineChars="200"/>
        <w:rPr>
          <w:rFonts w:ascii="宋体" w:hAnsi="宋体"/>
          <w:b/>
          <w:bCs/>
          <w:color w:val="auto"/>
          <w:sz w:val="22"/>
          <w:szCs w:val="22"/>
          <w:highlight w:val="none"/>
        </w:rPr>
      </w:pPr>
      <w:r>
        <w:rPr>
          <w:rFonts w:hint="eastAsia" w:ascii="宋体" w:hAnsi="宋体"/>
          <w:color w:val="auto"/>
          <w:sz w:val="22"/>
          <w:szCs w:val="22"/>
          <w:highlight w:val="none"/>
        </w:rPr>
        <w:t>为</w:t>
      </w:r>
      <w:r>
        <w:rPr>
          <w:rFonts w:hint="eastAsia" w:ascii="宋体" w:hAnsi="宋体"/>
          <w:bCs/>
          <w:color w:val="auto"/>
          <w:szCs w:val="21"/>
          <w:highlight w:val="none"/>
        </w:rPr>
        <w:t>检验瓯海区中小学校（</w:t>
      </w:r>
      <w:r>
        <w:rPr>
          <w:rFonts w:hint="eastAsia" w:ascii="宋体" w:hAnsi="宋体"/>
          <w:bCs/>
          <w:color w:val="auto"/>
          <w:szCs w:val="21"/>
          <w:highlight w:val="none"/>
          <w:lang w:eastAsia="zh-CN"/>
        </w:rPr>
        <w:t>幼儿</w:t>
      </w:r>
      <w:r>
        <w:rPr>
          <w:rFonts w:hint="eastAsia" w:ascii="宋体" w:hAnsi="宋体"/>
          <w:bCs/>
          <w:color w:val="auto"/>
          <w:szCs w:val="21"/>
          <w:highlight w:val="none"/>
        </w:rPr>
        <w:t>）整体运动水平的大平台，是选拔优秀体育苗子，促进瓯海区青少年竞技运动水平</w:t>
      </w:r>
      <w:r>
        <w:rPr>
          <w:rFonts w:hint="eastAsia" w:ascii="宋体" w:hAnsi="宋体"/>
          <w:color w:val="auto"/>
          <w:sz w:val="22"/>
          <w:szCs w:val="22"/>
          <w:highlight w:val="none"/>
        </w:rPr>
        <w:t>，就甲方授权乙方承办 “</w:t>
      </w:r>
      <w:r>
        <w:rPr>
          <w:rFonts w:hint="eastAsia" w:ascii="宋体" w:hAnsi="宋体"/>
          <w:color w:val="auto"/>
          <w:sz w:val="22"/>
          <w:szCs w:val="22"/>
          <w:highlight w:val="none"/>
          <w:lang w:val="en-US" w:eastAsia="zh-CN"/>
        </w:rPr>
        <w:t xml:space="preserve">            </w:t>
      </w:r>
      <w:r>
        <w:rPr>
          <w:rFonts w:hint="eastAsia" w:ascii="宋体" w:hAnsi="宋体"/>
          <w:color w:val="auto"/>
          <w:sz w:val="22"/>
          <w:szCs w:val="22"/>
          <w:highlight w:val="none"/>
        </w:rPr>
        <w:t>”赛事合作事宜达成如下协议条款，以期双方共同遵守。</w:t>
      </w:r>
    </w:p>
    <w:p w14:paraId="5237EF91">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第一条 合作内容</w:t>
      </w:r>
    </w:p>
    <w:p w14:paraId="26CB8285">
      <w:pPr>
        <w:numPr>
          <w:ilvl w:val="0"/>
          <w:numId w:val="36"/>
        </w:numPr>
        <w:spacing w:line="360" w:lineRule="auto"/>
        <w:rPr>
          <w:rFonts w:ascii="宋体" w:hAnsi="宋体"/>
          <w:color w:val="auto"/>
          <w:sz w:val="22"/>
          <w:szCs w:val="22"/>
          <w:highlight w:val="none"/>
        </w:rPr>
      </w:pPr>
      <w:r>
        <w:rPr>
          <w:rFonts w:hint="eastAsia" w:ascii="宋体" w:hAnsi="宋体"/>
          <w:color w:val="auto"/>
          <w:sz w:val="22"/>
          <w:szCs w:val="22"/>
          <w:highlight w:val="none"/>
        </w:rPr>
        <w:t>甲方授权乙方于</w:t>
      </w:r>
      <w:r>
        <w:rPr>
          <w:rFonts w:hint="eastAsia" w:ascii="宋体" w:hAnsi="宋体"/>
          <w:color w:val="auto"/>
          <w:sz w:val="22"/>
          <w:szCs w:val="22"/>
          <w:highlight w:val="none"/>
          <w:lang w:val="en-US" w:eastAsia="zh-CN"/>
        </w:rPr>
        <w:t xml:space="preserve">   </w:t>
      </w:r>
      <w:r>
        <w:rPr>
          <w:rFonts w:hint="eastAsia" w:ascii="宋体" w:hAnsi="宋体"/>
          <w:color w:val="auto"/>
          <w:sz w:val="22"/>
          <w:szCs w:val="22"/>
          <w:highlight w:val="none"/>
        </w:rPr>
        <w:t>年  月  日承办“     ”赛事（下称“赛事”）及相关工作。</w:t>
      </w:r>
    </w:p>
    <w:p w14:paraId="6B1718AB">
      <w:pPr>
        <w:spacing w:line="360" w:lineRule="auto"/>
        <w:ind w:left="440" w:hanging="440" w:hangingChars="200"/>
        <w:rPr>
          <w:rFonts w:ascii="宋体" w:hAnsi="宋体"/>
          <w:color w:val="auto"/>
          <w:sz w:val="22"/>
          <w:szCs w:val="22"/>
          <w:highlight w:val="none"/>
        </w:rPr>
      </w:pPr>
      <w:r>
        <w:rPr>
          <w:rFonts w:hint="eastAsia" w:ascii="宋体" w:hAnsi="宋体"/>
          <w:color w:val="auto"/>
          <w:sz w:val="22"/>
          <w:szCs w:val="22"/>
          <w:highlight w:val="none"/>
        </w:rPr>
        <w:t>2. “赛事”共有  支代表队、   人参与比赛（含领队、教练员、运动员）。比赛地点在       。</w:t>
      </w:r>
    </w:p>
    <w:p w14:paraId="2A6ECCC0">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第二条 合作期限</w:t>
      </w:r>
    </w:p>
    <w:p w14:paraId="718BB3BE">
      <w:pPr>
        <w:spacing w:line="360" w:lineRule="auto"/>
        <w:ind w:left="420"/>
        <w:rPr>
          <w:rFonts w:ascii="宋体" w:hAnsi="宋体"/>
          <w:color w:val="auto"/>
          <w:sz w:val="22"/>
          <w:szCs w:val="22"/>
          <w:highlight w:val="none"/>
        </w:rPr>
      </w:pPr>
      <w:r>
        <w:rPr>
          <w:rFonts w:hint="eastAsia" w:ascii="宋体" w:hAnsi="宋体"/>
          <w:color w:val="auto"/>
          <w:sz w:val="22"/>
          <w:szCs w:val="22"/>
          <w:highlight w:val="none"/>
        </w:rPr>
        <w:t>双方同意合作期限为：自本协议签署生效之日起至 “赛事”全部工作结束或双方履行完各自全部义务止；但根据本协议约定提前解除或终止的除外。</w:t>
      </w:r>
    </w:p>
    <w:p w14:paraId="4F10FD96">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第三条 甲方权利和义务</w:t>
      </w:r>
    </w:p>
    <w:p w14:paraId="68FB2012">
      <w:pPr>
        <w:numPr>
          <w:ilvl w:val="0"/>
          <w:numId w:val="37"/>
        </w:numPr>
        <w:spacing w:line="360" w:lineRule="auto"/>
        <w:rPr>
          <w:rFonts w:ascii="宋体" w:hAnsi="宋体"/>
          <w:color w:val="auto"/>
          <w:sz w:val="22"/>
          <w:szCs w:val="22"/>
          <w:highlight w:val="none"/>
        </w:rPr>
      </w:pPr>
      <w:r>
        <w:rPr>
          <w:rFonts w:hint="eastAsia" w:ascii="宋体" w:hAnsi="宋体"/>
          <w:color w:val="auto"/>
          <w:sz w:val="22"/>
          <w:szCs w:val="22"/>
          <w:highlight w:val="none"/>
        </w:rPr>
        <w:t>甲方负责“赛事”的运营管理，并审定“赛事”的场地和制定赛制；</w:t>
      </w:r>
    </w:p>
    <w:p w14:paraId="3FAEA436">
      <w:pPr>
        <w:numPr>
          <w:ilvl w:val="0"/>
          <w:numId w:val="37"/>
        </w:num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甲方将在“赛事”前3日成立大赛组委会（乙方需提供建议名单），并协调组织各方领导在组委会中的任职安排；</w:t>
      </w:r>
    </w:p>
    <w:p w14:paraId="7A8929FD">
      <w:pPr>
        <w:numPr>
          <w:ilvl w:val="0"/>
          <w:numId w:val="37"/>
        </w:numPr>
        <w:snapToGrid w:val="0"/>
        <w:spacing w:line="360" w:lineRule="auto"/>
        <w:jc w:val="left"/>
        <w:rPr>
          <w:rFonts w:ascii="宋体" w:hAnsi="宋体"/>
          <w:color w:val="auto"/>
          <w:sz w:val="22"/>
          <w:szCs w:val="22"/>
          <w:highlight w:val="none"/>
        </w:rPr>
      </w:pPr>
      <w:r>
        <w:rPr>
          <w:rFonts w:hint="eastAsia" w:ascii="宋体" w:hAnsi="宋体"/>
          <w:color w:val="auto"/>
          <w:sz w:val="22"/>
          <w:szCs w:val="22"/>
          <w:highlight w:val="none"/>
        </w:rPr>
        <w:t>甲方与乙方共同商定比赛筹备及工作实施方案，包括“赛事”开幕式与颁奖仪式；</w:t>
      </w:r>
    </w:p>
    <w:p w14:paraId="28646004">
      <w:pPr>
        <w:numPr>
          <w:ilvl w:val="0"/>
          <w:numId w:val="37"/>
        </w:numPr>
        <w:snapToGrid w:val="0"/>
        <w:spacing w:line="360" w:lineRule="auto"/>
        <w:jc w:val="left"/>
        <w:rPr>
          <w:rFonts w:ascii="宋体" w:hAnsi="宋体"/>
          <w:color w:val="auto"/>
          <w:sz w:val="22"/>
          <w:szCs w:val="22"/>
          <w:highlight w:val="none"/>
        </w:rPr>
      </w:pPr>
      <w:r>
        <w:rPr>
          <w:rFonts w:hint="eastAsia" w:ascii="宋体" w:hAnsi="宋体"/>
          <w:color w:val="auto"/>
          <w:sz w:val="22"/>
          <w:szCs w:val="22"/>
          <w:highlight w:val="none"/>
        </w:rPr>
        <w:t>甲方将选派工作人员协助乙方承办“赛事”各项工作，并由乙方承担相应的费用；</w:t>
      </w:r>
    </w:p>
    <w:p w14:paraId="6299DA0A">
      <w:pPr>
        <w:numPr>
          <w:ilvl w:val="0"/>
          <w:numId w:val="37"/>
        </w:numPr>
        <w:snapToGrid w:val="0"/>
        <w:spacing w:line="360" w:lineRule="auto"/>
        <w:jc w:val="left"/>
        <w:rPr>
          <w:rFonts w:ascii="宋体" w:hAnsi="宋体"/>
          <w:color w:val="auto"/>
          <w:sz w:val="22"/>
          <w:szCs w:val="22"/>
          <w:highlight w:val="none"/>
        </w:rPr>
      </w:pPr>
      <w:r>
        <w:rPr>
          <w:rFonts w:hint="eastAsia" w:ascii="宋体" w:hAnsi="宋体"/>
          <w:color w:val="auto"/>
          <w:sz w:val="22"/>
          <w:szCs w:val="22"/>
          <w:highlight w:val="none"/>
        </w:rPr>
        <w:t>甲方负责“赛事”的运动员资格审查、裁判人员选派、赛事监督、赛事申诉等工作。</w:t>
      </w:r>
    </w:p>
    <w:p w14:paraId="1B2916BA">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第四条 乙方权利和义务</w:t>
      </w:r>
    </w:p>
    <w:p w14:paraId="3A80A9E8">
      <w:pPr>
        <w:spacing w:line="360" w:lineRule="auto"/>
        <w:rPr>
          <w:rFonts w:ascii="宋体" w:hAnsi="宋体"/>
          <w:color w:val="auto"/>
          <w:sz w:val="22"/>
          <w:szCs w:val="22"/>
          <w:highlight w:val="none"/>
        </w:rPr>
      </w:pPr>
      <w:r>
        <w:rPr>
          <w:rFonts w:hint="eastAsia" w:ascii="宋体" w:hAnsi="宋体"/>
          <w:color w:val="auto"/>
          <w:sz w:val="22"/>
          <w:szCs w:val="22"/>
          <w:highlight w:val="none"/>
        </w:rPr>
        <w:t>1.乙方拥有经甲方授权的“赛事”承办权及“赛事”场地现场的部分广告权；</w:t>
      </w:r>
    </w:p>
    <w:p w14:paraId="506E36BD">
      <w:pPr>
        <w:spacing w:line="360" w:lineRule="auto"/>
        <w:rPr>
          <w:rFonts w:ascii="宋体" w:hAnsi="宋体"/>
          <w:color w:val="auto"/>
          <w:sz w:val="22"/>
          <w:szCs w:val="22"/>
          <w:highlight w:val="none"/>
        </w:rPr>
      </w:pPr>
      <w:r>
        <w:rPr>
          <w:rFonts w:hint="eastAsia" w:ascii="宋体" w:hAnsi="宋体"/>
          <w:color w:val="auto"/>
          <w:sz w:val="22"/>
          <w:szCs w:val="22"/>
          <w:highlight w:val="none"/>
        </w:rPr>
        <w:t>2.乙方拥有的“赛事”比赛场地广告所有内容需符合《中华人民共和国广告法》及相关法律、法规规定；</w:t>
      </w:r>
    </w:p>
    <w:p w14:paraId="52C10DAA">
      <w:pPr>
        <w:spacing w:line="360" w:lineRule="auto"/>
        <w:rPr>
          <w:rFonts w:ascii="宋体" w:hAnsi="宋体"/>
          <w:color w:val="auto"/>
          <w:sz w:val="22"/>
          <w:szCs w:val="22"/>
          <w:highlight w:val="none"/>
        </w:rPr>
      </w:pPr>
      <w:r>
        <w:rPr>
          <w:rFonts w:hint="eastAsia" w:ascii="宋体" w:hAnsi="宋体"/>
          <w:color w:val="auto"/>
          <w:sz w:val="22"/>
          <w:szCs w:val="22"/>
          <w:highlight w:val="none"/>
        </w:rPr>
        <w:t>3.根据“赛事”需要，乙方负责协调“赛事”承办地的相关管理部门，保障“赛事”圆满成功举办；</w:t>
      </w:r>
    </w:p>
    <w:p w14:paraId="222489A2">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 xml:space="preserve">4.乙方负责提供 “赛事”所需比赛场地、训练场地及配套设施（包括主席台、竞赛编排处、媒体中心、运动员休息区等）； </w:t>
      </w:r>
    </w:p>
    <w:p w14:paraId="121F3D3C">
      <w:pPr>
        <w:spacing w:line="360" w:lineRule="auto"/>
        <w:rPr>
          <w:rFonts w:ascii="宋体" w:hAnsi="宋体"/>
          <w:color w:val="auto"/>
          <w:sz w:val="22"/>
          <w:szCs w:val="22"/>
          <w:highlight w:val="none"/>
        </w:rPr>
      </w:pPr>
      <w:r>
        <w:rPr>
          <w:rFonts w:hint="eastAsia" w:ascii="宋体" w:hAnsi="宋体"/>
          <w:color w:val="auto"/>
          <w:sz w:val="22"/>
          <w:szCs w:val="22"/>
          <w:highlight w:val="none"/>
        </w:rPr>
        <w:t>5.乙方承担“赛事”的安全责任（包括但不限于人身、财产、消防责任、观众及其他人员公共安全等），并安排工作人员（包括有偿服务人员和志愿人员）使“赛事”安全有序进行；</w:t>
      </w:r>
    </w:p>
    <w:p w14:paraId="6B49482E">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6.乙方必须提供比赛必需设备、物资及后勤保障，确保赛事顺利进行：</w:t>
      </w:r>
    </w:p>
    <w:p w14:paraId="07678DC9">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7．按甲方要求制作印刷比赛秩序册、成绩册、证件、现场赛事宣传品；</w:t>
      </w:r>
    </w:p>
    <w:p w14:paraId="78CF0222">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8. 负责赛事的报名、编排工作以及整个赛事的裁判工作；</w:t>
      </w:r>
    </w:p>
    <w:p w14:paraId="4E95DB16">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9. 召开 “赛事”领队教练会；</w:t>
      </w:r>
    </w:p>
    <w:p w14:paraId="363F0F15">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10.为甲方工作人员提供必要的办公设备、用品；</w:t>
      </w:r>
    </w:p>
    <w:p w14:paraId="697A286F">
      <w:pPr>
        <w:pStyle w:val="251"/>
        <w:spacing w:line="360" w:lineRule="auto"/>
        <w:ind w:firstLine="0" w:firstLineChars="0"/>
        <w:rPr>
          <w:rFonts w:ascii="宋体" w:hAnsi="宋体" w:eastAsia="宋体"/>
          <w:b w:val="0"/>
          <w:color w:val="auto"/>
          <w:sz w:val="22"/>
          <w:szCs w:val="22"/>
          <w:highlight w:val="none"/>
        </w:rPr>
      </w:pPr>
      <w:r>
        <w:rPr>
          <w:rFonts w:hint="eastAsia" w:ascii="宋体" w:hAnsi="宋体" w:eastAsia="宋体"/>
          <w:b w:val="0"/>
          <w:color w:val="auto"/>
          <w:sz w:val="22"/>
          <w:szCs w:val="22"/>
          <w:highlight w:val="none"/>
        </w:rPr>
        <w:t>11. 乙方负责承担“赛事”的全部费用。</w:t>
      </w:r>
    </w:p>
    <w:p w14:paraId="4FB6879F">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第五条 费用及支付</w:t>
      </w:r>
    </w:p>
    <w:p w14:paraId="217E0258">
      <w:pPr>
        <w:spacing w:line="460" w:lineRule="exact"/>
        <w:rPr>
          <w:rFonts w:ascii="宋体" w:hAnsi="宋体"/>
          <w:color w:val="auto"/>
          <w:sz w:val="22"/>
          <w:szCs w:val="22"/>
          <w:highlight w:val="none"/>
        </w:rPr>
      </w:pPr>
      <w:r>
        <w:rPr>
          <w:rFonts w:hint="eastAsia" w:ascii="宋体" w:hAnsi="宋体"/>
          <w:color w:val="auto"/>
          <w:sz w:val="22"/>
          <w:szCs w:val="22"/>
          <w:highlight w:val="none"/>
        </w:rPr>
        <w:t>1. 本合同总价为（大写）</w:t>
      </w:r>
      <w:r>
        <w:rPr>
          <w:rFonts w:hint="eastAsia" w:ascii="宋体" w:hAnsi="宋体"/>
          <w:color w:val="auto"/>
          <w:sz w:val="22"/>
          <w:szCs w:val="22"/>
          <w:highlight w:val="none"/>
          <w:u w:val="single"/>
        </w:rPr>
        <w:t>：              （</w:t>
      </w:r>
      <w:r>
        <w:rPr>
          <w:rFonts w:hint="eastAsia" w:ascii="宋体" w:hAnsi="宋体" w:cs="宋体"/>
          <w:color w:val="auto"/>
          <w:sz w:val="22"/>
          <w:szCs w:val="22"/>
          <w:highlight w:val="none"/>
          <w:u w:val="single"/>
        </w:rPr>
        <w:t>￥</w:t>
      </w:r>
      <w:r>
        <w:rPr>
          <w:rFonts w:hint="eastAsia" w:ascii="宋体" w:hAnsi="宋体"/>
          <w:color w:val="auto"/>
          <w:sz w:val="22"/>
          <w:szCs w:val="22"/>
          <w:highlight w:val="none"/>
          <w:u w:val="single"/>
        </w:rPr>
        <w:t xml:space="preserve">        ）</w:t>
      </w:r>
      <w:r>
        <w:rPr>
          <w:rFonts w:hint="eastAsia" w:ascii="宋体" w:hAnsi="宋体"/>
          <w:color w:val="auto"/>
          <w:sz w:val="22"/>
          <w:szCs w:val="22"/>
          <w:highlight w:val="none"/>
        </w:rPr>
        <w:t>人民币。</w:t>
      </w:r>
    </w:p>
    <w:p w14:paraId="34421626">
      <w:pPr>
        <w:spacing w:line="460" w:lineRule="exact"/>
        <w:rPr>
          <w:rFonts w:ascii="宋体" w:hAnsi="宋体"/>
          <w:color w:val="auto"/>
          <w:sz w:val="22"/>
          <w:szCs w:val="22"/>
          <w:highlight w:val="none"/>
        </w:rPr>
      </w:pPr>
      <w:r>
        <w:rPr>
          <w:rFonts w:hint="eastAsia" w:ascii="宋体" w:hAnsi="宋体"/>
          <w:color w:val="auto"/>
          <w:sz w:val="22"/>
          <w:szCs w:val="22"/>
          <w:highlight w:val="none"/>
        </w:rPr>
        <w:t>2.付款方式：</w:t>
      </w:r>
    </w:p>
    <w:p w14:paraId="1DE79BB9">
      <w:pPr>
        <w:spacing w:line="460" w:lineRule="exact"/>
        <w:rPr>
          <w:rFonts w:ascii="宋体" w:hAnsi="宋体"/>
          <w:color w:val="auto"/>
          <w:sz w:val="22"/>
          <w:szCs w:val="22"/>
          <w:highlight w:val="none"/>
        </w:rPr>
      </w:pPr>
      <w:r>
        <w:rPr>
          <w:rFonts w:hint="eastAsia" w:ascii="宋体" w:hAnsi="宋体"/>
          <w:color w:val="auto"/>
          <w:sz w:val="22"/>
          <w:szCs w:val="22"/>
          <w:highlight w:val="none"/>
        </w:rPr>
        <w:t>2.1合同签订后</w:t>
      </w:r>
      <w:r>
        <w:rPr>
          <w:rFonts w:hint="eastAsia" w:ascii="宋体" w:hAnsi="宋体"/>
          <w:color w:val="auto"/>
          <w:sz w:val="22"/>
          <w:szCs w:val="22"/>
          <w:highlight w:val="none"/>
          <w:lang w:val="en-US" w:eastAsia="zh-CN"/>
        </w:rPr>
        <w:t>7</w:t>
      </w:r>
      <w:r>
        <w:rPr>
          <w:rFonts w:hint="eastAsia" w:ascii="宋体" w:hAnsi="宋体"/>
          <w:color w:val="auto"/>
          <w:sz w:val="22"/>
          <w:szCs w:val="22"/>
          <w:highlight w:val="none"/>
        </w:rPr>
        <w:t>个工作日内甲方向乙方首付合同价款的</w:t>
      </w:r>
      <w:r>
        <w:rPr>
          <w:rFonts w:hint="eastAsia" w:ascii="宋体" w:hAnsi="宋体"/>
          <w:color w:val="auto"/>
          <w:sz w:val="22"/>
          <w:szCs w:val="22"/>
          <w:highlight w:val="none"/>
          <w:lang w:val="en-US" w:eastAsia="zh-CN"/>
        </w:rPr>
        <w:t>5</w:t>
      </w:r>
      <w:r>
        <w:rPr>
          <w:rFonts w:hint="eastAsia" w:ascii="宋体" w:hAnsi="宋体"/>
          <w:color w:val="auto"/>
          <w:sz w:val="22"/>
          <w:szCs w:val="22"/>
          <w:highlight w:val="none"/>
        </w:rPr>
        <w:t>0% ，乙方应出具正式发票；</w:t>
      </w:r>
    </w:p>
    <w:p w14:paraId="2141DC0C">
      <w:pPr>
        <w:spacing w:line="460" w:lineRule="exact"/>
        <w:rPr>
          <w:rFonts w:hint="eastAsia" w:ascii="宋体" w:hAnsi="宋体"/>
          <w:color w:val="auto"/>
          <w:sz w:val="22"/>
          <w:szCs w:val="22"/>
          <w:highlight w:val="none"/>
        </w:rPr>
      </w:pPr>
      <w:r>
        <w:rPr>
          <w:rFonts w:hint="eastAsia" w:ascii="宋体" w:hAnsi="宋体"/>
          <w:color w:val="auto"/>
          <w:sz w:val="22"/>
          <w:szCs w:val="22"/>
          <w:highlight w:val="none"/>
        </w:rPr>
        <w:t>2.2</w:t>
      </w:r>
      <w:r>
        <w:rPr>
          <w:rFonts w:hint="eastAsia" w:ascii="宋体" w:hAnsi="宋体"/>
          <w:color w:val="auto"/>
          <w:sz w:val="22"/>
          <w:szCs w:val="22"/>
          <w:highlight w:val="none"/>
          <w:lang w:val="en-US" w:eastAsia="zh-CN"/>
        </w:rPr>
        <w:t>赛事</w:t>
      </w:r>
      <w:r>
        <w:rPr>
          <w:rFonts w:hint="eastAsia" w:ascii="宋体" w:hAnsi="宋体"/>
          <w:color w:val="auto"/>
          <w:sz w:val="22"/>
          <w:szCs w:val="22"/>
          <w:highlight w:val="none"/>
        </w:rPr>
        <w:t>结束，乙方向甲方出具正式发票，甲方收到发票</w:t>
      </w:r>
      <w:r>
        <w:rPr>
          <w:rFonts w:hint="eastAsia" w:ascii="宋体" w:hAnsi="宋体"/>
          <w:color w:val="auto"/>
          <w:sz w:val="22"/>
          <w:szCs w:val="22"/>
          <w:highlight w:val="none"/>
          <w:lang w:val="en-US" w:eastAsia="zh-CN"/>
        </w:rPr>
        <w:t>7</w:t>
      </w:r>
      <w:r>
        <w:rPr>
          <w:rFonts w:hint="eastAsia" w:ascii="宋体" w:hAnsi="宋体"/>
          <w:color w:val="auto"/>
          <w:sz w:val="22"/>
          <w:szCs w:val="22"/>
          <w:highlight w:val="none"/>
        </w:rPr>
        <w:t>个工作日内，向乙方支付剩余</w:t>
      </w:r>
      <w:r>
        <w:rPr>
          <w:rFonts w:hint="eastAsia" w:ascii="宋体" w:hAnsi="宋体"/>
          <w:color w:val="auto"/>
          <w:sz w:val="22"/>
          <w:szCs w:val="22"/>
          <w:highlight w:val="none"/>
          <w:lang w:val="en-US" w:eastAsia="zh-CN"/>
        </w:rPr>
        <w:t>的</w:t>
      </w:r>
      <w:r>
        <w:rPr>
          <w:rFonts w:hint="eastAsia" w:ascii="宋体" w:hAnsi="宋体"/>
          <w:color w:val="auto"/>
          <w:sz w:val="22"/>
          <w:szCs w:val="22"/>
          <w:highlight w:val="none"/>
        </w:rPr>
        <w:t>合同款。</w:t>
      </w:r>
    </w:p>
    <w:p w14:paraId="0A27C1FA">
      <w:pPr>
        <w:spacing w:line="460" w:lineRule="exact"/>
        <w:rPr>
          <w:rFonts w:hint="default" w:ascii="宋体" w:hAnsi="宋体"/>
          <w:color w:val="auto"/>
          <w:sz w:val="22"/>
          <w:szCs w:val="22"/>
          <w:highlight w:val="none"/>
          <w:lang w:val="en-US" w:eastAsia="zh-CN"/>
        </w:rPr>
      </w:pPr>
      <w:r>
        <w:rPr>
          <w:rFonts w:hint="eastAsia" w:ascii="宋体" w:hAnsi="宋体"/>
          <w:color w:val="auto"/>
          <w:sz w:val="22"/>
          <w:szCs w:val="22"/>
          <w:highlight w:val="none"/>
          <w:lang w:val="en-US" w:eastAsia="zh-CN"/>
        </w:rPr>
        <w:t>2.3</w:t>
      </w:r>
      <w:r>
        <w:rPr>
          <w:rFonts w:hint="eastAsia" w:ascii="宋体" w:hAnsi="宋体"/>
          <w:color w:val="auto"/>
          <w:sz w:val="22"/>
          <w:szCs w:val="22"/>
          <w:highlight w:val="none"/>
        </w:rPr>
        <w:t>所有工作经甲方组织验收后，</w:t>
      </w:r>
      <w:r>
        <w:rPr>
          <w:rFonts w:hint="eastAsia" w:ascii="宋体" w:hAnsi="宋体"/>
          <w:color w:val="auto"/>
          <w:sz w:val="22"/>
          <w:szCs w:val="22"/>
          <w:highlight w:val="none"/>
          <w:lang w:val="en-US" w:eastAsia="zh-CN"/>
        </w:rPr>
        <w:t>甲方</w:t>
      </w:r>
      <w:r>
        <w:rPr>
          <w:rFonts w:hint="eastAsia" w:ascii="宋体" w:hAnsi="宋体"/>
          <w:color w:val="auto"/>
          <w:sz w:val="22"/>
          <w:szCs w:val="22"/>
          <w:highlight w:val="none"/>
        </w:rPr>
        <w:t>根据</w:t>
      </w:r>
      <w:r>
        <w:rPr>
          <w:rFonts w:hint="eastAsia" w:ascii="宋体" w:hAnsi="宋体"/>
          <w:color w:val="auto"/>
          <w:sz w:val="22"/>
          <w:szCs w:val="22"/>
          <w:highlight w:val="none"/>
          <w:lang w:val="en-US" w:eastAsia="zh-CN"/>
        </w:rPr>
        <w:t>验收</w:t>
      </w:r>
      <w:r>
        <w:rPr>
          <w:rFonts w:hint="eastAsia" w:ascii="宋体" w:hAnsi="宋体"/>
          <w:color w:val="auto"/>
          <w:sz w:val="22"/>
          <w:szCs w:val="22"/>
          <w:highlight w:val="none"/>
        </w:rPr>
        <w:t>情况按比例支付剩余经费，具体</w:t>
      </w:r>
      <w:r>
        <w:rPr>
          <w:rFonts w:hint="eastAsia" w:ascii="宋体" w:hAnsi="宋体"/>
          <w:color w:val="auto"/>
          <w:sz w:val="22"/>
          <w:szCs w:val="22"/>
          <w:highlight w:val="none"/>
          <w:lang w:val="en-US" w:eastAsia="zh-CN"/>
        </w:rPr>
        <w:t>验收</w:t>
      </w:r>
      <w:r>
        <w:rPr>
          <w:rFonts w:hint="eastAsia" w:ascii="宋体" w:hAnsi="宋体"/>
          <w:color w:val="auto"/>
          <w:sz w:val="22"/>
          <w:szCs w:val="22"/>
          <w:highlight w:val="none"/>
        </w:rPr>
        <w:t>情况以</w:t>
      </w:r>
      <w:r>
        <w:rPr>
          <w:rFonts w:hint="eastAsia" w:ascii="宋体" w:hAnsi="宋体"/>
          <w:color w:val="auto"/>
          <w:sz w:val="22"/>
          <w:szCs w:val="22"/>
          <w:highlight w:val="none"/>
          <w:lang w:val="en-US" w:eastAsia="zh-CN"/>
        </w:rPr>
        <w:t>验收</w:t>
      </w:r>
      <w:r>
        <w:rPr>
          <w:rFonts w:hint="eastAsia" w:ascii="宋体" w:hAnsi="宋体"/>
          <w:color w:val="auto"/>
          <w:sz w:val="22"/>
          <w:szCs w:val="22"/>
          <w:highlight w:val="none"/>
        </w:rPr>
        <w:t>小组出具的</w:t>
      </w:r>
      <w:r>
        <w:rPr>
          <w:rFonts w:hint="eastAsia" w:ascii="宋体" w:hAnsi="宋体"/>
          <w:color w:val="auto"/>
          <w:sz w:val="22"/>
          <w:szCs w:val="22"/>
          <w:highlight w:val="none"/>
          <w:lang w:val="en-US" w:eastAsia="zh-CN"/>
        </w:rPr>
        <w:t>验收</w:t>
      </w:r>
      <w:r>
        <w:rPr>
          <w:rFonts w:hint="eastAsia" w:ascii="宋体" w:hAnsi="宋体"/>
          <w:color w:val="auto"/>
          <w:sz w:val="22"/>
          <w:szCs w:val="22"/>
          <w:highlight w:val="none"/>
        </w:rPr>
        <w:t>评估报告为依据；</w:t>
      </w:r>
      <w:r>
        <w:rPr>
          <w:rFonts w:hint="eastAsia" w:ascii="宋体" w:hAnsi="宋体"/>
          <w:color w:val="auto"/>
          <w:sz w:val="22"/>
          <w:szCs w:val="22"/>
          <w:highlight w:val="none"/>
          <w:lang w:val="en-US" w:eastAsia="zh-CN"/>
        </w:rPr>
        <w:t>验收</w:t>
      </w:r>
      <w:r>
        <w:rPr>
          <w:rFonts w:hint="eastAsia" w:ascii="宋体" w:hAnsi="宋体"/>
          <w:color w:val="auto"/>
          <w:sz w:val="22"/>
          <w:szCs w:val="22"/>
          <w:highlight w:val="none"/>
        </w:rPr>
        <w:t>结果合格及以上的采购人全额支付</w:t>
      </w:r>
      <w:r>
        <w:rPr>
          <w:rFonts w:hint="eastAsia" w:ascii="宋体" w:hAnsi="宋体"/>
          <w:color w:val="auto"/>
          <w:sz w:val="22"/>
          <w:szCs w:val="22"/>
          <w:highlight w:val="none"/>
          <w:lang w:val="en-US" w:eastAsia="zh-CN"/>
        </w:rPr>
        <w:t>本项目</w:t>
      </w:r>
      <w:r>
        <w:rPr>
          <w:rFonts w:hint="eastAsia" w:ascii="宋体" w:hAnsi="宋体"/>
          <w:color w:val="auto"/>
          <w:sz w:val="22"/>
          <w:szCs w:val="22"/>
          <w:highlight w:val="none"/>
        </w:rPr>
        <w:t>未付的</w:t>
      </w:r>
      <w:r>
        <w:rPr>
          <w:rFonts w:hint="eastAsia" w:ascii="宋体" w:hAnsi="宋体"/>
          <w:color w:val="auto"/>
          <w:sz w:val="22"/>
          <w:szCs w:val="22"/>
          <w:highlight w:val="none"/>
          <w:lang w:val="en-US" w:eastAsia="zh-CN"/>
        </w:rPr>
        <w:t>合同款</w:t>
      </w:r>
      <w:r>
        <w:rPr>
          <w:rFonts w:hint="eastAsia" w:ascii="宋体" w:hAnsi="宋体"/>
          <w:color w:val="auto"/>
          <w:sz w:val="22"/>
          <w:szCs w:val="22"/>
          <w:highlight w:val="none"/>
        </w:rPr>
        <w:t>，评审结果不合格的采购人视情况支付</w:t>
      </w:r>
      <w:r>
        <w:rPr>
          <w:rFonts w:hint="eastAsia" w:ascii="宋体" w:hAnsi="宋体"/>
          <w:color w:val="auto"/>
          <w:sz w:val="22"/>
          <w:szCs w:val="22"/>
          <w:highlight w:val="none"/>
          <w:lang w:val="en-US" w:eastAsia="zh-CN"/>
        </w:rPr>
        <w:t>本项目</w:t>
      </w:r>
      <w:r>
        <w:rPr>
          <w:rFonts w:hint="eastAsia" w:ascii="宋体" w:hAnsi="宋体"/>
          <w:color w:val="auto"/>
          <w:sz w:val="22"/>
          <w:szCs w:val="22"/>
          <w:highlight w:val="none"/>
        </w:rPr>
        <w:t>未付</w:t>
      </w:r>
      <w:r>
        <w:rPr>
          <w:rFonts w:hint="eastAsia" w:ascii="宋体" w:hAnsi="宋体"/>
          <w:color w:val="auto"/>
          <w:sz w:val="22"/>
          <w:szCs w:val="22"/>
          <w:highlight w:val="none"/>
          <w:lang w:val="en-US" w:eastAsia="zh-CN"/>
        </w:rPr>
        <w:t>合同款</w:t>
      </w:r>
      <w:r>
        <w:rPr>
          <w:rFonts w:hint="eastAsia" w:ascii="宋体" w:hAnsi="宋体"/>
          <w:color w:val="auto"/>
          <w:sz w:val="22"/>
          <w:szCs w:val="22"/>
          <w:highlight w:val="none"/>
        </w:rPr>
        <w:t>的25%或不予支付。</w:t>
      </w:r>
    </w:p>
    <w:p w14:paraId="1AF024ED">
      <w:pPr>
        <w:spacing w:line="460" w:lineRule="exact"/>
        <w:rPr>
          <w:rFonts w:ascii="宋体" w:hAnsi="宋体"/>
          <w:color w:val="auto"/>
          <w:sz w:val="22"/>
          <w:szCs w:val="22"/>
          <w:highlight w:val="none"/>
        </w:rPr>
      </w:pPr>
      <w:r>
        <w:rPr>
          <w:rFonts w:hint="eastAsia" w:ascii="宋体" w:hAnsi="宋体"/>
          <w:color w:val="auto"/>
          <w:sz w:val="22"/>
          <w:szCs w:val="22"/>
          <w:highlight w:val="none"/>
        </w:rPr>
        <w:t>3.乙方收款信息</w:t>
      </w:r>
    </w:p>
    <w:p w14:paraId="6C25F279">
      <w:pPr>
        <w:spacing w:line="460" w:lineRule="exact"/>
        <w:ind w:firstLine="424" w:firstLineChars="193"/>
        <w:rPr>
          <w:rFonts w:ascii="宋体" w:hAnsi="宋体" w:cs="新宋体"/>
          <w:color w:val="auto"/>
          <w:sz w:val="22"/>
          <w:szCs w:val="22"/>
          <w:highlight w:val="none"/>
        </w:rPr>
      </w:pPr>
      <w:r>
        <w:rPr>
          <w:rFonts w:hint="eastAsia" w:ascii="宋体" w:hAnsi="宋体" w:cs="新宋体"/>
          <w:color w:val="auto"/>
          <w:sz w:val="22"/>
          <w:szCs w:val="22"/>
          <w:highlight w:val="none"/>
        </w:rPr>
        <w:t>开户行：</w:t>
      </w:r>
    </w:p>
    <w:p w14:paraId="4AB14BB8">
      <w:pPr>
        <w:spacing w:line="460" w:lineRule="exact"/>
        <w:ind w:firstLine="424" w:firstLineChars="193"/>
        <w:rPr>
          <w:rFonts w:ascii="宋体" w:hAnsi="宋体" w:cs="新宋体"/>
          <w:color w:val="auto"/>
          <w:sz w:val="22"/>
          <w:szCs w:val="22"/>
          <w:highlight w:val="none"/>
        </w:rPr>
      </w:pPr>
      <w:r>
        <w:rPr>
          <w:rFonts w:hint="eastAsia" w:ascii="宋体" w:hAnsi="宋体" w:cs="新宋体"/>
          <w:color w:val="auto"/>
          <w:sz w:val="22"/>
          <w:szCs w:val="22"/>
          <w:highlight w:val="none"/>
        </w:rPr>
        <w:t>户名：</w:t>
      </w:r>
    </w:p>
    <w:p w14:paraId="00341CF9">
      <w:pPr>
        <w:spacing w:line="460" w:lineRule="exact"/>
        <w:ind w:firstLine="424" w:firstLineChars="193"/>
        <w:rPr>
          <w:rFonts w:ascii="宋体" w:hAnsi="宋体" w:cs="新宋体"/>
          <w:color w:val="auto"/>
          <w:sz w:val="22"/>
          <w:szCs w:val="22"/>
          <w:highlight w:val="none"/>
        </w:rPr>
      </w:pPr>
      <w:r>
        <w:rPr>
          <w:rFonts w:hint="eastAsia" w:ascii="宋体" w:hAnsi="宋体" w:cs="新宋体"/>
          <w:color w:val="auto"/>
          <w:sz w:val="22"/>
          <w:szCs w:val="22"/>
          <w:highlight w:val="none"/>
        </w:rPr>
        <w:t>账号：</w:t>
      </w:r>
    </w:p>
    <w:p w14:paraId="3F29F6EF">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第六条 违约责任</w:t>
      </w:r>
    </w:p>
    <w:p w14:paraId="53A7CE36">
      <w:pPr>
        <w:spacing w:line="360" w:lineRule="auto"/>
        <w:rPr>
          <w:rFonts w:ascii="宋体" w:hAnsi="宋体"/>
          <w:color w:val="auto"/>
          <w:sz w:val="22"/>
          <w:szCs w:val="22"/>
          <w:highlight w:val="none"/>
        </w:rPr>
      </w:pPr>
      <w:r>
        <w:rPr>
          <w:rFonts w:hint="eastAsia" w:ascii="宋体" w:hAnsi="宋体"/>
          <w:color w:val="auto"/>
          <w:sz w:val="22"/>
          <w:szCs w:val="22"/>
          <w:highlight w:val="none"/>
        </w:rPr>
        <w:t xml:space="preserve">1.本协议有效期内，甲、乙双方均不得无故变更或提前终止本协议，任何一方违反本协议约定，违约方必须采取补救措施，减少由于违约造成的损失，同时应赔偿对方因此遭受的经济损失。 </w:t>
      </w:r>
    </w:p>
    <w:p w14:paraId="102C087E">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第七条 争议解决</w:t>
      </w:r>
    </w:p>
    <w:p w14:paraId="58257410">
      <w:pPr>
        <w:spacing w:line="360" w:lineRule="auto"/>
        <w:rPr>
          <w:rFonts w:ascii="宋体" w:hAnsi="宋体"/>
          <w:color w:val="auto"/>
          <w:sz w:val="22"/>
          <w:szCs w:val="22"/>
          <w:highlight w:val="none"/>
        </w:rPr>
      </w:pPr>
      <w:r>
        <w:rPr>
          <w:rFonts w:hint="eastAsia" w:ascii="宋体" w:hAnsi="宋体"/>
          <w:color w:val="auto"/>
          <w:sz w:val="22"/>
          <w:szCs w:val="22"/>
          <w:highlight w:val="none"/>
        </w:rPr>
        <w:t>1.本协议的订立、效力、终止、解释、履行、及由此产生的任何争议的解决均受中华人民共和国颁布的法律、法规的管辖。</w:t>
      </w:r>
    </w:p>
    <w:p w14:paraId="4D3CA59F">
      <w:pPr>
        <w:spacing w:line="360" w:lineRule="auto"/>
        <w:rPr>
          <w:rFonts w:ascii="宋体" w:hAnsi="宋体"/>
          <w:color w:val="auto"/>
          <w:sz w:val="22"/>
          <w:szCs w:val="22"/>
          <w:highlight w:val="none"/>
        </w:rPr>
      </w:pPr>
      <w:r>
        <w:rPr>
          <w:rFonts w:hint="eastAsia" w:ascii="宋体" w:hAnsi="宋体"/>
          <w:color w:val="auto"/>
          <w:sz w:val="22"/>
          <w:szCs w:val="22"/>
          <w:highlight w:val="none"/>
        </w:rPr>
        <w:t>2.如因履行本协议或与本协议有关的任何争议，双方应通过友好协商的方式加以解决。如协商不成，任何一方均有权将争议提交当地仲裁委员会依其在提出仲裁时有效的仲裁规则进行仲裁，仲裁地点在温州，仲裁裁决是终局的，对方均具有终局法律约束力。</w:t>
      </w:r>
    </w:p>
    <w:p w14:paraId="4EBA9916">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第八条 不可抗力</w:t>
      </w:r>
    </w:p>
    <w:p w14:paraId="5E6F1FF9">
      <w:pPr>
        <w:spacing w:line="360" w:lineRule="auto"/>
        <w:rPr>
          <w:rFonts w:ascii="宋体" w:hAnsi="宋体"/>
          <w:color w:val="auto"/>
          <w:sz w:val="22"/>
          <w:szCs w:val="22"/>
          <w:highlight w:val="none"/>
        </w:rPr>
      </w:pPr>
      <w:r>
        <w:rPr>
          <w:rFonts w:hint="eastAsia" w:ascii="宋体" w:hAnsi="宋体"/>
          <w:color w:val="auto"/>
          <w:sz w:val="22"/>
          <w:szCs w:val="22"/>
          <w:highlight w:val="none"/>
        </w:rPr>
        <w:t>1. 不可抗力是指不能预见、不能避免并不能克服的客观情况，并且该情况将直接导致任何一方无法履行协议义务。</w:t>
      </w:r>
    </w:p>
    <w:p w14:paraId="27C8C823">
      <w:pPr>
        <w:spacing w:line="360" w:lineRule="auto"/>
        <w:rPr>
          <w:rFonts w:ascii="宋体" w:hAnsi="宋体"/>
          <w:color w:val="auto"/>
          <w:sz w:val="22"/>
          <w:szCs w:val="22"/>
          <w:highlight w:val="none"/>
        </w:rPr>
      </w:pPr>
      <w:r>
        <w:rPr>
          <w:rFonts w:hint="eastAsia" w:ascii="宋体" w:hAnsi="宋体"/>
          <w:color w:val="auto"/>
          <w:sz w:val="22"/>
          <w:szCs w:val="22"/>
          <w:highlight w:val="none"/>
        </w:rPr>
        <w:t>2. 如发生不可抗力，任何一方均不对因不可抗力无法履行或迟延履行本协议义务承担责任；但遭受不可抗力影响的一方有责任在不可抗力事件发生后十日内通知相对方，同时提供当地公证机关出具的有效证明材料，并及时采取适当或必要措施，以减少或消除不可抗力的影响。</w:t>
      </w:r>
    </w:p>
    <w:p w14:paraId="1D80F15B">
      <w:pPr>
        <w:spacing w:line="360" w:lineRule="auto"/>
        <w:rPr>
          <w:rFonts w:ascii="宋体" w:hAnsi="宋体"/>
          <w:color w:val="auto"/>
          <w:sz w:val="22"/>
          <w:szCs w:val="22"/>
          <w:highlight w:val="none"/>
        </w:rPr>
      </w:pPr>
      <w:r>
        <w:rPr>
          <w:rFonts w:hint="eastAsia" w:ascii="宋体" w:hAnsi="宋体"/>
          <w:color w:val="auto"/>
          <w:sz w:val="22"/>
          <w:szCs w:val="22"/>
          <w:highlight w:val="none"/>
        </w:rPr>
        <w:t>3. 本协议双方应根据不可抗力事件对履行本协议的影响，决定是否终止或推迟本协议的履行；或部分或全部免除受不可抗力影响一方在本协议项下的义务。</w:t>
      </w:r>
    </w:p>
    <w:p w14:paraId="2424909A">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第九条 协议变更、终止</w:t>
      </w:r>
    </w:p>
    <w:p w14:paraId="309B5AF8">
      <w:pPr>
        <w:spacing w:line="360" w:lineRule="auto"/>
        <w:rPr>
          <w:rFonts w:ascii="宋体" w:hAnsi="宋体"/>
          <w:color w:val="auto"/>
          <w:sz w:val="22"/>
          <w:szCs w:val="22"/>
          <w:highlight w:val="none"/>
        </w:rPr>
      </w:pPr>
      <w:r>
        <w:rPr>
          <w:rFonts w:hint="eastAsia" w:ascii="宋体" w:hAnsi="宋体"/>
          <w:color w:val="auto"/>
          <w:sz w:val="22"/>
          <w:szCs w:val="22"/>
          <w:highlight w:val="none"/>
        </w:rPr>
        <w:t>1. 本协议正式生效后，对本协议的变更、终止和解除双方不得以口头修改，只能以经双方签署的书面文件修改。</w:t>
      </w:r>
    </w:p>
    <w:p w14:paraId="708B0758">
      <w:pPr>
        <w:spacing w:line="360" w:lineRule="auto"/>
        <w:rPr>
          <w:rFonts w:ascii="宋体" w:hAnsi="宋体"/>
          <w:color w:val="auto"/>
          <w:sz w:val="22"/>
          <w:szCs w:val="22"/>
          <w:highlight w:val="none"/>
        </w:rPr>
      </w:pPr>
      <w:r>
        <w:rPr>
          <w:rFonts w:hint="eastAsia" w:ascii="宋体" w:hAnsi="宋体"/>
          <w:color w:val="auto"/>
          <w:sz w:val="22"/>
          <w:szCs w:val="22"/>
          <w:highlight w:val="none"/>
        </w:rPr>
        <w:t>2. 有下列情况之一的，本协议的权利义务终止：</w:t>
      </w:r>
    </w:p>
    <w:p w14:paraId="6DE0DFA2">
      <w:pPr>
        <w:spacing w:line="360" w:lineRule="auto"/>
        <w:rPr>
          <w:rFonts w:ascii="宋体" w:hAnsi="宋体"/>
          <w:color w:val="auto"/>
          <w:sz w:val="22"/>
          <w:szCs w:val="22"/>
          <w:highlight w:val="none"/>
        </w:rPr>
      </w:pPr>
      <w:r>
        <w:rPr>
          <w:rFonts w:hint="eastAsia" w:ascii="宋体" w:hAnsi="宋体"/>
          <w:color w:val="auto"/>
          <w:sz w:val="22"/>
          <w:szCs w:val="22"/>
          <w:highlight w:val="none"/>
        </w:rPr>
        <w:t>1）因不可抗力致使不能实现协议目的；</w:t>
      </w:r>
    </w:p>
    <w:p w14:paraId="4A56C9B3">
      <w:pPr>
        <w:spacing w:line="360" w:lineRule="auto"/>
        <w:rPr>
          <w:rFonts w:ascii="宋体" w:hAnsi="宋体"/>
          <w:color w:val="auto"/>
          <w:sz w:val="22"/>
          <w:szCs w:val="22"/>
          <w:highlight w:val="none"/>
        </w:rPr>
      </w:pPr>
      <w:r>
        <w:rPr>
          <w:rFonts w:hint="eastAsia" w:ascii="宋体" w:hAnsi="宋体"/>
          <w:color w:val="auto"/>
          <w:sz w:val="22"/>
          <w:szCs w:val="22"/>
          <w:highlight w:val="none"/>
        </w:rPr>
        <w:t>2）一方未按时履行义务超过十日，对方有权终止本协议，由此产生的一切损失由违约方承担。</w:t>
      </w:r>
    </w:p>
    <w:p w14:paraId="12889809">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第十条 保  密</w:t>
      </w:r>
    </w:p>
    <w:p w14:paraId="76ECBE27">
      <w:pPr>
        <w:spacing w:line="360" w:lineRule="auto"/>
        <w:rPr>
          <w:rFonts w:ascii="宋体" w:hAnsi="宋体"/>
          <w:color w:val="auto"/>
          <w:sz w:val="22"/>
          <w:szCs w:val="22"/>
          <w:highlight w:val="none"/>
        </w:rPr>
      </w:pPr>
      <w:r>
        <w:rPr>
          <w:rFonts w:hint="eastAsia" w:ascii="宋体" w:hAnsi="宋体"/>
          <w:color w:val="auto"/>
          <w:sz w:val="22"/>
          <w:szCs w:val="22"/>
          <w:highlight w:val="none"/>
        </w:rPr>
        <w:t>1．甲乙双方对因签署或履约过程中获悉的对方之商业秘密都需为对方严守机密，并采取所有保密措施和制度保护该秘密（包括但不仅限于接受方为保护其自有商业秘密所采用的措施和制度），不得泄露给第三方；</w:t>
      </w:r>
    </w:p>
    <w:p w14:paraId="1C3BFEDE">
      <w:pPr>
        <w:spacing w:line="360" w:lineRule="auto"/>
        <w:rPr>
          <w:rFonts w:ascii="宋体" w:hAnsi="宋体"/>
          <w:color w:val="auto"/>
          <w:sz w:val="22"/>
          <w:szCs w:val="22"/>
          <w:highlight w:val="none"/>
        </w:rPr>
      </w:pPr>
      <w:r>
        <w:rPr>
          <w:rFonts w:hint="eastAsia" w:ascii="宋体" w:hAnsi="宋体"/>
          <w:color w:val="auto"/>
          <w:sz w:val="22"/>
          <w:szCs w:val="22"/>
          <w:highlight w:val="none"/>
        </w:rPr>
        <w:t>2．本协议提及的商业秘密，指属于一方和（或）其相关企业所有，并被该方视为秘密的技术、财务、商业或任何其他方面的信息，其不为公众所知悉，能带来经济效益，具有实用性且采取了保护措施。具体包括但不限于：财务资料、行销计划、定价政策、相关函电等。</w:t>
      </w:r>
    </w:p>
    <w:p w14:paraId="67B47420">
      <w:pPr>
        <w:spacing w:line="360" w:lineRule="auto"/>
        <w:rPr>
          <w:rFonts w:ascii="宋体" w:hAnsi="宋体"/>
          <w:color w:val="auto"/>
          <w:sz w:val="22"/>
          <w:szCs w:val="22"/>
          <w:highlight w:val="none"/>
        </w:rPr>
      </w:pPr>
      <w:r>
        <w:rPr>
          <w:rFonts w:hint="eastAsia" w:ascii="宋体" w:hAnsi="宋体"/>
          <w:color w:val="auto"/>
          <w:sz w:val="22"/>
          <w:szCs w:val="22"/>
          <w:highlight w:val="none"/>
        </w:rPr>
        <w:t>3．本合同履行完毕、终止、解除或无效，均不影响本条约定的保密事项，合同双方应当继续遵守。</w:t>
      </w:r>
    </w:p>
    <w:p w14:paraId="35A01828">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第十一条  不可转让</w:t>
      </w:r>
    </w:p>
    <w:p w14:paraId="5EE7B4A3">
      <w:pPr>
        <w:spacing w:line="360" w:lineRule="auto"/>
        <w:rPr>
          <w:rFonts w:ascii="宋体" w:hAnsi="宋体"/>
          <w:color w:val="auto"/>
          <w:sz w:val="22"/>
          <w:szCs w:val="22"/>
          <w:highlight w:val="none"/>
        </w:rPr>
      </w:pPr>
      <w:r>
        <w:rPr>
          <w:rFonts w:hint="eastAsia" w:ascii="宋体" w:hAnsi="宋体"/>
          <w:color w:val="auto"/>
          <w:sz w:val="22"/>
          <w:szCs w:val="22"/>
          <w:highlight w:val="none"/>
        </w:rPr>
        <w:t>未经对方事先书面认可，任何一方均不可将本协议约定的部分或全部权利及义务转让给第三方。</w:t>
      </w:r>
    </w:p>
    <w:p w14:paraId="7076EBE1">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第十二条  限制条款</w:t>
      </w:r>
    </w:p>
    <w:p w14:paraId="22BE678D">
      <w:pPr>
        <w:spacing w:line="360" w:lineRule="auto"/>
        <w:rPr>
          <w:rFonts w:ascii="宋体" w:hAnsi="宋体"/>
          <w:color w:val="auto"/>
          <w:sz w:val="22"/>
          <w:szCs w:val="22"/>
          <w:highlight w:val="none"/>
        </w:rPr>
      </w:pPr>
      <w:r>
        <w:rPr>
          <w:rFonts w:hint="eastAsia" w:ascii="宋体" w:hAnsi="宋体"/>
          <w:color w:val="auto"/>
          <w:sz w:val="22"/>
          <w:szCs w:val="22"/>
          <w:highlight w:val="none"/>
        </w:rPr>
        <w:t>尽管本协议中有其他规定，任何一方不应就与本协议相关的任何间接损失或损害对另一方承担责任，无论是基于侵权、协议或其他原因。</w:t>
      </w:r>
    </w:p>
    <w:p w14:paraId="2B527777">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第十三条  独立缔约人</w:t>
      </w:r>
    </w:p>
    <w:p w14:paraId="48DE8FEC">
      <w:pPr>
        <w:spacing w:line="360" w:lineRule="auto"/>
        <w:rPr>
          <w:rFonts w:ascii="宋体" w:hAnsi="宋体"/>
          <w:color w:val="auto"/>
          <w:sz w:val="22"/>
          <w:szCs w:val="22"/>
          <w:highlight w:val="none"/>
        </w:rPr>
      </w:pPr>
      <w:r>
        <w:rPr>
          <w:rFonts w:hint="eastAsia" w:ascii="宋体" w:hAnsi="宋体"/>
          <w:color w:val="auto"/>
          <w:sz w:val="22"/>
          <w:szCs w:val="22"/>
          <w:highlight w:val="none"/>
        </w:rPr>
        <w:t>本协议并未在双方之间构成合伙、合营或类似的关系，且任何一方均无权以本协议明确规定以外的任何方式或出于本协议明确规定以外的任何目的责成或约束另一方，亦不得引起针对另一方的责任。本协议双方在所有方面均应以独立缔约人身份行事，但本协议另有规定的除外。</w:t>
      </w:r>
    </w:p>
    <w:p w14:paraId="7F5B9039">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第十四条 其 它</w:t>
      </w:r>
    </w:p>
    <w:p w14:paraId="4054D658">
      <w:pPr>
        <w:spacing w:line="360" w:lineRule="auto"/>
        <w:rPr>
          <w:rFonts w:ascii="宋体" w:hAnsi="宋体"/>
          <w:color w:val="auto"/>
          <w:sz w:val="22"/>
          <w:szCs w:val="22"/>
          <w:highlight w:val="none"/>
        </w:rPr>
      </w:pPr>
      <w:r>
        <w:rPr>
          <w:rFonts w:hint="eastAsia" w:ascii="宋体" w:hAnsi="宋体"/>
          <w:color w:val="auto"/>
          <w:sz w:val="22"/>
          <w:szCs w:val="22"/>
          <w:highlight w:val="none"/>
        </w:rPr>
        <w:t>1.各方应本着善意合作的原则履行本协议，以实现本协议之目的。</w:t>
      </w:r>
    </w:p>
    <w:p w14:paraId="48A72E4C">
      <w:pPr>
        <w:spacing w:line="360" w:lineRule="auto"/>
        <w:rPr>
          <w:rFonts w:ascii="宋体" w:hAnsi="宋体"/>
          <w:color w:val="auto"/>
          <w:sz w:val="22"/>
          <w:szCs w:val="22"/>
          <w:highlight w:val="none"/>
        </w:rPr>
      </w:pPr>
      <w:r>
        <w:rPr>
          <w:rFonts w:hint="eastAsia" w:ascii="宋体" w:hAnsi="宋体"/>
          <w:color w:val="auto"/>
          <w:sz w:val="22"/>
          <w:szCs w:val="22"/>
          <w:highlight w:val="none"/>
        </w:rPr>
        <w:t>2.本协议用中文书写。任何解释应依条款固有的通常意义及该行业术语，根据本协议的目的和宗旨予以解释；解释时应与本协议上下文相一致并应依据诚实信用、公平、平等、自愿的原则，不得曲解，断章取义及作其它歪曲解释。</w:t>
      </w:r>
    </w:p>
    <w:p w14:paraId="148AE776">
      <w:pPr>
        <w:spacing w:line="360" w:lineRule="auto"/>
        <w:rPr>
          <w:rFonts w:ascii="宋体" w:hAnsi="宋体"/>
          <w:color w:val="auto"/>
          <w:sz w:val="22"/>
          <w:szCs w:val="22"/>
          <w:highlight w:val="none"/>
        </w:rPr>
      </w:pPr>
      <w:r>
        <w:rPr>
          <w:rFonts w:hint="eastAsia" w:ascii="宋体" w:hAnsi="宋体"/>
          <w:color w:val="auto"/>
          <w:sz w:val="22"/>
          <w:szCs w:val="22"/>
          <w:highlight w:val="none"/>
        </w:rPr>
        <w:t>3.本协议如有未尽事宜，须由甲、乙双方共同协商做出书面补充规定。该补充规定与本协议具有同等法律效力。</w:t>
      </w:r>
    </w:p>
    <w:p w14:paraId="2D7B579E">
      <w:pPr>
        <w:spacing w:line="360" w:lineRule="auto"/>
        <w:rPr>
          <w:rFonts w:ascii="宋体" w:hAnsi="宋体"/>
          <w:color w:val="auto"/>
          <w:sz w:val="22"/>
          <w:szCs w:val="22"/>
          <w:highlight w:val="none"/>
        </w:rPr>
      </w:pPr>
      <w:r>
        <w:rPr>
          <w:rFonts w:hint="eastAsia" w:ascii="宋体" w:hAnsi="宋体"/>
          <w:color w:val="auto"/>
          <w:sz w:val="22"/>
          <w:szCs w:val="22"/>
          <w:highlight w:val="none"/>
        </w:rPr>
        <w:t>5.本协议一式四份，甲、乙双方各执两份，自甲、乙双方签字盖章之日起正式生效。</w:t>
      </w:r>
    </w:p>
    <w:p w14:paraId="451D1FD9">
      <w:pPr>
        <w:spacing w:line="360" w:lineRule="auto"/>
        <w:rPr>
          <w:rFonts w:ascii="宋体" w:hAnsi="宋体"/>
          <w:b/>
          <w:color w:val="auto"/>
          <w:sz w:val="22"/>
          <w:szCs w:val="22"/>
          <w:highlight w:val="none"/>
        </w:rPr>
      </w:pPr>
      <w:r>
        <w:rPr>
          <w:rFonts w:hint="eastAsia" w:ascii="宋体" w:hAnsi="宋体"/>
          <w:b/>
          <w:color w:val="auto"/>
          <w:sz w:val="22"/>
          <w:szCs w:val="22"/>
          <w:highlight w:val="none"/>
        </w:rPr>
        <w:t>（以下无正文，仅为双方签字、盖章部分。）</w:t>
      </w:r>
    </w:p>
    <w:p w14:paraId="3D6C2E34">
      <w:pPr>
        <w:pStyle w:val="18"/>
        <w:rPr>
          <w:rFonts w:hint="eastAsia" w:ascii="宋体" w:hAnsi="宋体" w:eastAsia="宋体" w:cs="宋体"/>
          <w:color w:val="auto"/>
          <w:highlight w:val="none"/>
        </w:rPr>
      </w:pPr>
    </w:p>
    <w:p w14:paraId="0C99E64C">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4ED8B5D5">
      <w:pPr>
        <w:spacing w:line="400" w:lineRule="exact"/>
        <w:ind w:left="54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下列文件构成本合同的组成部分：</w:t>
      </w:r>
    </w:p>
    <w:p w14:paraId="7952A4AF">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（1）本合同                      </w:t>
      </w:r>
      <w:r>
        <w:rPr>
          <w:rFonts w:hint="eastAsia" w:ascii="宋体" w:hAnsi="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 xml:space="preserve"> （2）</w:t>
      </w:r>
      <w:r>
        <w:rPr>
          <w:rFonts w:hint="eastAsia" w:ascii="宋体" w:hAnsi="宋体" w:cs="宋体"/>
          <w:color w:val="auto"/>
          <w:sz w:val="22"/>
          <w:szCs w:val="22"/>
          <w:highlight w:val="none"/>
          <w:lang w:val="en-US" w:eastAsia="zh-CN"/>
        </w:rPr>
        <w:t>磋商</w:t>
      </w:r>
      <w:r>
        <w:rPr>
          <w:rFonts w:hint="eastAsia" w:ascii="宋体" w:hAnsi="宋体" w:eastAsia="宋体" w:cs="宋体"/>
          <w:color w:val="auto"/>
          <w:sz w:val="22"/>
          <w:szCs w:val="22"/>
          <w:highlight w:val="none"/>
        </w:rPr>
        <w:t>文件</w:t>
      </w:r>
    </w:p>
    <w:p w14:paraId="64A13BD0">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（3）</w:t>
      </w:r>
      <w:r>
        <w:rPr>
          <w:rFonts w:hint="eastAsia" w:ascii="宋体" w:hAnsi="宋体" w:cs="宋体"/>
          <w:color w:val="auto"/>
          <w:sz w:val="22"/>
          <w:szCs w:val="22"/>
          <w:highlight w:val="none"/>
          <w:lang w:val="en-US" w:eastAsia="zh-CN"/>
        </w:rPr>
        <w:t>磋商相应</w:t>
      </w:r>
      <w:r>
        <w:rPr>
          <w:rFonts w:hint="eastAsia" w:ascii="宋体" w:hAnsi="宋体" w:eastAsia="宋体" w:cs="宋体"/>
          <w:color w:val="auto"/>
          <w:sz w:val="22"/>
          <w:szCs w:val="22"/>
          <w:highlight w:val="none"/>
        </w:rPr>
        <w:t>文件                     （4）合同补充条款或说明（如有）</w:t>
      </w:r>
    </w:p>
    <w:p w14:paraId="498B5EF2">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(5) 承诺书（如有）                    </w:t>
      </w:r>
    </w:p>
    <w:p w14:paraId="3637F304">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67B2DBDB">
      <w:pPr>
        <w:spacing w:line="400" w:lineRule="exact"/>
        <w:ind w:firstLine="440" w:firstLineChars="200"/>
        <w:rPr>
          <w:rFonts w:hint="eastAsia" w:ascii="宋体" w:hAnsi="宋体" w:eastAsia="宋体" w:cs="宋体"/>
          <w:color w:val="auto"/>
          <w:sz w:val="22"/>
          <w:szCs w:val="22"/>
          <w:highlight w:val="none"/>
        </w:rPr>
      </w:pPr>
    </w:p>
    <w:p w14:paraId="32CB5AB0">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甲方名称：（盖章）                  乙方名称：（盖章）</w:t>
      </w:r>
    </w:p>
    <w:p w14:paraId="71E58B6F">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代表人（签字）：                    代表人（签字）：</w:t>
      </w:r>
    </w:p>
    <w:p w14:paraId="17C30532">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联系电话：                     </w:t>
      </w:r>
      <w:r>
        <w:rPr>
          <w:rFonts w:hint="eastAsia" w:ascii="宋体" w:hAnsi="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 xml:space="preserve">    联系电话：</w:t>
      </w:r>
    </w:p>
    <w:p w14:paraId="2CED888D">
      <w:pPr>
        <w:spacing w:line="40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color w:val="auto"/>
          <w:sz w:val="22"/>
          <w:szCs w:val="22"/>
          <w:highlight w:val="none"/>
        </w:rPr>
        <w:t>日期：    年    月   日            日期：    年    月   日</w:t>
      </w:r>
    </w:p>
    <w:p w14:paraId="4877A87A">
      <w:pPr>
        <w:spacing w:line="440" w:lineRule="exact"/>
        <w:ind w:left="110"/>
        <w:rPr>
          <w:rFonts w:ascii="宋体" w:hAnsi="宋体" w:cs="宋体"/>
          <w:color w:val="auto"/>
          <w:sz w:val="22"/>
          <w:szCs w:val="22"/>
          <w:highlight w:val="none"/>
        </w:rPr>
      </w:pPr>
    </w:p>
    <w:bookmarkEnd w:id="217"/>
    <w:p w14:paraId="3D82E02E">
      <w:pPr>
        <w:pStyle w:val="2"/>
        <w:rPr>
          <w:rFonts w:ascii="宋体" w:hAnsi="宋体" w:eastAsia="宋体" w:cs="宋体"/>
          <w:color w:val="auto"/>
          <w:sz w:val="36"/>
          <w:szCs w:val="36"/>
          <w:highlight w:val="none"/>
        </w:rPr>
      </w:pPr>
      <w:bookmarkStart w:id="233" w:name="_Toc522173453"/>
      <w:bookmarkEnd w:id="233"/>
      <w:bookmarkStart w:id="234" w:name="_Toc522173452"/>
      <w:bookmarkEnd w:id="234"/>
      <w:bookmarkStart w:id="235" w:name="_Toc522173455"/>
      <w:bookmarkEnd w:id="235"/>
      <w:bookmarkStart w:id="236" w:name="_Toc522173454"/>
      <w:bookmarkEnd w:id="236"/>
      <w:bookmarkStart w:id="237" w:name="_Toc522173456"/>
      <w:bookmarkEnd w:id="237"/>
      <w:r>
        <w:rPr>
          <w:rFonts w:hint="eastAsia" w:ascii="宋体" w:hAnsi="宋体" w:eastAsia="宋体" w:cs="宋体"/>
          <w:color w:val="auto"/>
          <w:sz w:val="36"/>
          <w:szCs w:val="36"/>
          <w:highlight w:val="none"/>
        </w:rPr>
        <w:br w:type="page"/>
      </w:r>
      <w:bookmarkStart w:id="238" w:name="_Toc9846"/>
      <w:r>
        <w:rPr>
          <w:rFonts w:hint="eastAsia" w:ascii="宋体" w:hAnsi="宋体" w:eastAsia="宋体" w:cs="宋体"/>
          <w:color w:val="auto"/>
          <w:sz w:val="36"/>
          <w:szCs w:val="36"/>
          <w:highlight w:val="none"/>
        </w:rPr>
        <w:t>第五部分   附件</w:t>
      </w:r>
      <w:bookmarkEnd w:id="238"/>
    </w:p>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p w14:paraId="5011E282">
      <w:pPr>
        <w:spacing w:line="46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附件一</w:t>
      </w:r>
    </w:p>
    <w:p w14:paraId="1B089546">
      <w:pPr>
        <w:spacing w:line="460" w:lineRule="exact"/>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资格审查料</w:t>
      </w:r>
    </w:p>
    <w:p w14:paraId="6F95F891">
      <w:pPr>
        <w:spacing w:line="460" w:lineRule="exact"/>
        <w:jc w:val="center"/>
        <w:rPr>
          <w:rFonts w:ascii="宋体" w:hAnsi="宋体" w:cs="宋体"/>
          <w:color w:val="auto"/>
          <w:sz w:val="28"/>
          <w:szCs w:val="28"/>
          <w:highlight w:val="none"/>
        </w:rPr>
      </w:pPr>
    </w:p>
    <w:p w14:paraId="6324186B">
      <w:pPr>
        <w:spacing w:line="38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（1-1）法定代表人声明书</w:t>
      </w:r>
    </w:p>
    <w:p w14:paraId="243EB284">
      <w:pPr>
        <w:spacing w:line="400" w:lineRule="exact"/>
        <w:rPr>
          <w:rFonts w:ascii="宋体" w:hAnsi="宋体" w:cs="宋体"/>
          <w:color w:val="auto"/>
          <w:highlight w:val="none"/>
        </w:rPr>
      </w:pPr>
    </w:p>
    <w:p w14:paraId="4A5C3DD9">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lang w:eastAsia="zh-CN"/>
        </w:rPr>
        <w:t>温州市瓯海区教育局、温州市瓯海区体育事业发展中心</w:t>
      </w:r>
      <w:r>
        <w:rPr>
          <w:rFonts w:hint="eastAsia" w:ascii="宋体" w:hAnsi="宋体" w:cs="宋体"/>
          <w:color w:val="auto"/>
          <w:sz w:val="22"/>
          <w:szCs w:val="22"/>
          <w:highlight w:val="none"/>
        </w:rPr>
        <w:t>：</w:t>
      </w:r>
    </w:p>
    <w:p w14:paraId="24F8A0B3">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rPr>
        <w:t>温州元信工程项目管理有限公司：</w:t>
      </w:r>
    </w:p>
    <w:p w14:paraId="4B5FBE33">
      <w:pPr>
        <w:spacing w:line="460" w:lineRule="exact"/>
        <w:rPr>
          <w:rFonts w:ascii="宋体" w:hAnsi="宋体" w:cs="宋体"/>
          <w:color w:val="auto"/>
          <w:sz w:val="22"/>
          <w:szCs w:val="22"/>
          <w:highlight w:val="none"/>
          <w:u w:val="single"/>
        </w:rPr>
      </w:pPr>
    </w:p>
    <w:p w14:paraId="2E8106C5">
      <w:pPr>
        <w:spacing w:line="460" w:lineRule="exact"/>
        <w:ind w:firstLine="220" w:firstLineChars="100"/>
        <w:rPr>
          <w:rFonts w:ascii="宋体" w:hAnsi="宋体" w:cs="宋体"/>
          <w:color w:val="auto"/>
          <w:sz w:val="22"/>
          <w:szCs w:val="22"/>
          <w:highlight w:val="none"/>
        </w:rPr>
      </w:pPr>
      <w:r>
        <w:rPr>
          <w:rFonts w:hint="eastAsia" w:ascii="宋体" w:hAnsi="宋体" w:cs="宋体"/>
          <w:color w:val="auto"/>
          <w:sz w:val="22"/>
          <w:szCs w:val="22"/>
          <w:highlight w:val="none"/>
        </w:rPr>
        <w:t>本人</w:t>
      </w:r>
      <w:r>
        <w:rPr>
          <w:rFonts w:hint="eastAsia" w:ascii="宋体" w:hAnsi="宋体" w:cs="宋体"/>
          <w:color w:val="auto"/>
          <w:sz w:val="22"/>
          <w:szCs w:val="22"/>
          <w:highlight w:val="none"/>
          <w:u w:val="single"/>
        </w:rPr>
        <w:t>（法定代表人姓名）</w:t>
      </w:r>
      <w:r>
        <w:rPr>
          <w:rFonts w:hint="eastAsia" w:ascii="宋体" w:hAnsi="宋体" w:cs="宋体"/>
          <w:color w:val="auto"/>
          <w:sz w:val="22"/>
          <w:szCs w:val="22"/>
          <w:highlight w:val="none"/>
        </w:rPr>
        <w:t>为</w:t>
      </w:r>
      <w:r>
        <w:rPr>
          <w:rFonts w:hint="eastAsia" w:ascii="宋体" w:hAnsi="宋体" w:cs="宋体"/>
          <w:color w:val="auto"/>
          <w:sz w:val="22"/>
          <w:szCs w:val="22"/>
          <w:highlight w:val="none"/>
          <w:u w:val="single"/>
        </w:rPr>
        <w:t>（供应商全称）</w:t>
      </w:r>
      <w:r>
        <w:rPr>
          <w:rFonts w:hint="eastAsia" w:ascii="宋体" w:hAnsi="宋体" w:cs="宋体"/>
          <w:color w:val="auto"/>
          <w:sz w:val="22"/>
          <w:szCs w:val="22"/>
          <w:highlight w:val="none"/>
        </w:rPr>
        <w:t>的法定代表人。我公司参加贵处组织的</w:t>
      </w:r>
      <w:r>
        <w:rPr>
          <w:rFonts w:hint="eastAsia" w:ascii="宋体" w:hAnsi="宋体" w:cs="宋体"/>
          <w:color w:val="auto"/>
          <w:sz w:val="22"/>
          <w:szCs w:val="22"/>
          <w:highlight w:val="none"/>
          <w:u w:val="single"/>
        </w:rPr>
        <w:t>（项目名称、采购编号）</w:t>
      </w:r>
      <w:r>
        <w:rPr>
          <w:rFonts w:hint="eastAsia" w:ascii="宋体" w:hAnsi="宋体" w:cs="宋体"/>
          <w:color w:val="auto"/>
          <w:sz w:val="22"/>
          <w:szCs w:val="22"/>
          <w:highlight w:val="none"/>
        </w:rPr>
        <w:t>的采购活动，由我本人全权代表我方处理采购活动中的一切事宜。联系方式如下：</w:t>
      </w:r>
      <w:r>
        <w:rPr>
          <w:rFonts w:hint="eastAsia" w:ascii="宋体" w:hAnsi="宋体" w:cs="宋体"/>
          <w:color w:val="auto"/>
          <w:sz w:val="22"/>
          <w:szCs w:val="22"/>
          <w:highlight w:val="none"/>
          <w:u w:val="single"/>
        </w:rPr>
        <w:t xml:space="preserve">手机号码：       联系邮箱:         详细通讯地址：             </w:t>
      </w:r>
      <w:r>
        <w:rPr>
          <w:rFonts w:hint="eastAsia" w:ascii="宋体" w:hAnsi="宋体" w:cs="宋体"/>
          <w:color w:val="auto"/>
          <w:sz w:val="22"/>
          <w:szCs w:val="22"/>
          <w:highlight w:val="none"/>
        </w:rPr>
        <w:t xml:space="preserve"> 。  </w:t>
      </w:r>
    </w:p>
    <w:p w14:paraId="6C5CC84D">
      <w:pPr>
        <w:spacing w:line="400" w:lineRule="exact"/>
        <w:rPr>
          <w:rFonts w:ascii="宋体" w:hAnsi="宋体" w:cs="宋体"/>
          <w:color w:val="auto"/>
          <w:highlight w:val="none"/>
        </w:rPr>
      </w:pPr>
    </w:p>
    <w:p w14:paraId="392EF25A">
      <w:pPr>
        <w:spacing w:line="400" w:lineRule="exact"/>
        <w:rPr>
          <w:rFonts w:ascii="宋体" w:hAnsi="宋体" w:cs="宋体"/>
          <w:color w:val="auto"/>
          <w:highlight w:val="none"/>
        </w:rPr>
      </w:pPr>
    </w:p>
    <w:p w14:paraId="751A515F">
      <w:pPr>
        <w:spacing w:line="400" w:lineRule="exact"/>
        <w:rPr>
          <w:rFonts w:ascii="宋体" w:hAnsi="宋体" w:cs="宋体"/>
          <w:color w:val="auto"/>
          <w:highlight w:val="none"/>
        </w:rPr>
      </w:pPr>
    </w:p>
    <w:p w14:paraId="7BB33246">
      <w:pPr>
        <w:spacing w:line="460" w:lineRule="exact"/>
        <w:ind w:firstLine="3971" w:firstLineChars="1805"/>
        <w:rPr>
          <w:rFonts w:ascii="宋体" w:hAnsi="宋体" w:cs="宋体"/>
          <w:color w:val="auto"/>
          <w:sz w:val="22"/>
          <w:szCs w:val="22"/>
          <w:highlight w:val="none"/>
        </w:rPr>
      </w:pPr>
    </w:p>
    <w:p w14:paraId="0E24C73D">
      <w:pPr>
        <w:spacing w:line="460" w:lineRule="exact"/>
        <w:ind w:firstLine="2955"/>
        <w:rPr>
          <w:rFonts w:ascii="宋体" w:hAnsi="宋体" w:cs="宋体"/>
          <w:color w:val="auto"/>
          <w:sz w:val="22"/>
          <w:szCs w:val="22"/>
          <w:highlight w:val="none"/>
        </w:rPr>
      </w:pPr>
      <w:r>
        <w:rPr>
          <w:rFonts w:hint="eastAsia" w:ascii="宋体" w:hAnsi="宋体" w:cs="宋体"/>
          <w:color w:val="auto"/>
          <w:sz w:val="22"/>
          <w:szCs w:val="22"/>
          <w:highlight w:val="none"/>
        </w:rPr>
        <w:t xml:space="preserve">         供应商全称（公章）：</w:t>
      </w:r>
    </w:p>
    <w:p w14:paraId="6CD8F840">
      <w:pPr>
        <w:spacing w:line="460" w:lineRule="exact"/>
        <w:ind w:firstLine="2955"/>
        <w:rPr>
          <w:rFonts w:ascii="宋体" w:hAnsi="宋体" w:cs="宋体"/>
          <w:color w:val="auto"/>
          <w:sz w:val="22"/>
          <w:szCs w:val="22"/>
          <w:highlight w:val="none"/>
        </w:rPr>
      </w:pPr>
      <w:r>
        <w:rPr>
          <w:rFonts w:hint="eastAsia" w:ascii="宋体" w:hAnsi="宋体" w:cs="宋体"/>
          <w:color w:val="auto"/>
          <w:sz w:val="22"/>
          <w:szCs w:val="22"/>
          <w:highlight w:val="none"/>
        </w:rPr>
        <w:t xml:space="preserve">         日期：     年    月   日</w:t>
      </w:r>
    </w:p>
    <w:p w14:paraId="491330D0">
      <w:pPr>
        <w:spacing w:line="460" w:lineRule="exact"/>
        <w:rPr>
          <w:rFonts w:ascii="宋体" w:hAnsi="宋体" w:cs="宋体"/>
          <w:color w:val="auto"/>
          <w:sz w:val="22"/>
          <w:szCs w:val="22"/>
          <w:highlight w:val="none"/>
        </w:rPr>
      </w:pPr>
    </w:p>
    <w:p w14:paraId="0649FEB5">
      <w:pPr>
        <w:widowControl/>
        <w:jc w:val="left"/>
        <w:rPr>
          <w:rFonts w:ascii="宋体" w:hAnsi="宋体" w:cs="宋体"/>
          <w:color w:val="auto"/>
          <w:szCs w:val="21"/>
          <w:highlight w:val="none"/>
        </w:rPr>
      </w:pPr>
    </w:p>
    <w:p w14:paraId="7369078C">
      <w:pPr>
        <w:widowControl/>
        <w:jc w:val="left"/>
        <w:rPr>
          <w:rFonts w:ascii="宋体" w:hAnsi="宋体" w:cs="宋体"/>
          <w:color w:val="auto"/>
          <w:szCs w:val="21"/>
          <w:highlight w:val="none"/>
        </w:rPr>
      </w:pPr>
    </w:p>
    <w:p w14:paraId="508658A6">
      <w:pPr>
        <w:widowControl/>
        <w:jc w:val="left"/>
        <w:rPr>
          <w:rFonts w:ascii="宋体" w:hAnsi="宋体" w:cs="宋体"/>
          <w:color w:val="auto"/>
          <w:szCs w:val="21"/>
          <w:highlight w:val="none"/>
        </w:rPr>
      </w:pPr>
      <w:r>
        <w:rPr>
          <w:rFonts w:hint="eastAsia" w:ascii="宋体" w:hAnsi="宋体" w:cs="宋体"/>
          <w:b/>
          <w:color w:val="auto"/>
          <w:sz w:val="22"/>
          <w:szCs w:val="22"/>
          <w:highlight w:val="none"/>
        </w:rPr>
        <w:t>附：法定代表人身份证正反面复印件</w:t>
      </w:r>
      <w:r>
        <w:rPr>
          <w:rFonts w:hint="eastAsia" w:ascii="宋体" w:hAnsi="宋体" w:cs="宋体"/>
          <w:color w:val="auto"/>
          <w:szCs w:val="21"/>
          <w:highlight w:val="none"/>
        </w:rPr>
        <w:br w:type="page"/>
      </w:r>
    </w:p>
    <w:p w14:paraId="5B013CD1">
      <w:pPr>
        <w:spacing w:line="360" w:lineRule="exact"/>
        <w:rPr>
          <w:rFonts w:ascii="宋体" w:hAnsi="宋体" w:cs="宋体"/>
          <w:color w:val="auto"/>
          <w:szCs w:val="21"/>
          <w:highlight w:val="none"/>
        </w:rPr>
      </w:pPr>
    </w:p>
    <w:p w14:paraId="27863E95">
      <w:pPr>
        <w:spacing w:line="380" w:lineRule="exact"/>
        <w:jc w:val="center"/>
        <w:rPr>
          <w:rFonts w:ascii="宋体" w:hAnsi="宋体" w:cs="宋体"/>
          <w:b/>
          <w:color w:val="auto"/>
          <w:sz w:val="22"/>
          <w:szCs w:val="22"/>
          <w:highlight w:val="none"/>
        </w:rPr>
      </w:pPr>
    </w:p>
    <w:p w14:paraId="287EB5E0">
      <w:pPr>
        <w:spacing w:line="38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（1-2）法定代表人授权书</w:t>
      </w:r>
    </w:p>
    <w:p w14:paraId="0B657053">
      <w:pPr>
        <w:spacing w:line="400" w:lineRule="exact"/>
        <w:jc w:val="center"/>
        <w:rPr>
          <w:rFonts w:ascii="宋体" w:hAnsi="宋体" w:cs="宋体"/>
          <w:b/>
          <w:bCs/>
          <w:color w:val="auto"/>
          <w:sz w:val="28"/>
          <w:szCs w:val="28"/>
          <w:highlight w:val="none"/>
        </w:rPr>
      </w:pPr>
    </w:p>
    <w:p w14:paraId="27E0CA76">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lang w:eastAsia="zh-CN"/>
        </w:rPr>
        <w:t>温州市瓯海区教育局、温州市瓯海区体育事业发展中心</w:t>
      </w:r>
      <w:r>
        <w:rPr>
          <w:rFonts w:hint="eastAsia" w:ascii="宋体" w:hAnsi="宋体" w:cs="宋体"/>
          <w:color w:val="auto"/>
          <w:sz w:val="22"/>
          <w:szCs w:val="22"/>
          <w:highlight w:val="none"/>
        </w:rPr>
        <w:t>：</w:t>
      </w:r>
    </w:p>
    <w:p w14:paraId="3A04C70B">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rPr>
        <w:t>温州元信工程项目管理有限公司：</w:t>
      </w:r>
    </w:p>
    <w:p w14:paraId="1BC98DFA">
      <w:pPr>
        <w:spacing w:line="460" w:lineRule="exact"/>
        <w:rPr>
          <w:rFonts w:ascii="宋体" w:hAnsi="宋体" w:cs="宋体"/>
          <w:color w:val="auto"/>
          <w:sz w:val="22"/>
          <w:szCs w:val="22"/>
          <w:highlight w:val="none"/>
          <w:u w:val="single"/>
        </w:rPr>
      </w:pPr>
    </w:p>
    <w:p w14:paraId="23D0736B">
      <w:pPr>
        <w:spacing w:line="460" w:lineRule="exact"/>
        <w:ind w:firstLine="220" w:firstLineChars="100"/>
        <w:rPr>
          <w:rFonts w:ascii="宋体" w:hAnsi="宋体" w:cs="宋体"/>
          <w:color w:val="auto"/>
          <w:sz w:val="22"/>
          <w:szCs w:val="22"/>
          <w:highlight w:val="none"/>
        </w:rPr>
      </w:pPr>
      <w:r>
        <w:rPr>
          <w:rFonts w:hint="eastAsia" w:ascii="宋体" w:hAnsi="宋体" w:cs="宋体"/>
          <w:color w:val="auto"/>
          <w:sz w:val="22"/>
          <w:szCs w:val="22"/>
          <w:highlight w:val="none"/>
          <w:u w:val="single"/>
        </w:rPr>
        <w:t>（供应商全称）</w:t>
      </w:r>
      <w:r>
        <w:rPr>
          <w:rFonts w:hint="eastAsia" w:ascii="宋体" w:hAnsi="宋体" w:cs="宋体"/>
          <w:color w:val="auto"/>
          <w:sz w:val="22"/>
          <w:szCs w:val="22"/>
          <w:highlight w:val="none"/>
        </w:rPr>
        <w:t xml:space="preserve">法定代表人 </w:t>
      </w:r>
      <w:r>
        <w:rPr>
          <w:rFonts w:hint="eastAsia" w:ascii="宋体" w:hAnsi="宋体" w:cs="宋体"/>
          <w:color w:val="auto"/>
          <w:sz w:val="22"/>
          <w:szCs w:val="22"/>
          <w:highlight w:val="none"/>
          <w:u w:val="single"/>
        </w:rPr>
        <w:t>（法定代表人姓名）</w:t>
      </w:r>
      <w:r>
        <w:rPr>
          <w:rFonts w:hint="eastAsia" w:ascii="宋体" w:hAnsi="宋体" w:cs="宋体"/>
          <w:color w:val="auto"/>
          <w:sz w:val="22"/>
          <w:szCs w:val="22"/>
          <w:highlight w:val="none"/>
        </w:rPr>
        <w:t xml:space="preserve"> 授权</w:t>
      </w:r>
      <w:r>
        <w:rPr>
          <w:rFonts w:hint="eastAsia" w:ascii="宋体" w:hAnsi="宋体" w:cs="宋体"/>
          <w:color w:val="auto"/>
          <w:sz w:val="22"/>
          <w:szCs w:val="22"/>
          <w:highlight w:val="none"/>
          <w:u w:val="single"/>
        </w:rPr>
        <w:t>（全权代表姓名）</w:t>
      </w:r>
      <w:r>
        <w:rPr>
          <w:rFonts w:hint="eastAsia" w:ascii="宋体" w:hAnsi="宋体" w:cs="宋体"/>
          <w:color w:val="auto"/>
          <w:sz w:val="22"/>
          <w:szCs w:val="22"/>
          <w:highlight w:val="none"/>
        </w:rPr>
        <w:t>为本项目全权代表，参加贵处组织的</w:t>
      </w:r>
      <w:r>
        <w:rPr>
          <w:rFonts w:hint="eastAsia" w:ascii="宋体" w:hAnsi="宋体" w:cs="宋体"/>
          <w:color w:val="auto"/>
          <w:sz w:val="22"/>
          <w:szCs w:val="22"/>
          <w:highlight w:val="none"/>
          <w:u w:val="single"/>
        </w:rPr>
        <w:t>（项目名称、采购编号）</w:t>
      </w:r>
      <w:r>
        <w:rPr>
          <w:rFonts w:hint="eastAsia" w:ascii="宋体" w:hAnsi="宋体" w:cs="宋体"/>
          <w:color w:val="auto"/>
          <w:sz w:val="22"/>
          <w:szCs w:val="22"/>
          <w:highlight w:val="none"/>
        </w:rPr>
        <w:t>的采购活动，全权代表我方处理采购活动中的一切事宜。联系方式如下：</w:t>
      </w:r>
      <w:r>
        <w:rPr>
          <w:rFonts w:hint="eastAsia" w:ascii="宋体" w:hAnsi="宋体" w:cs="宋体"/>
          <w:color w:val="auto"/>
          <w:sz w:val="22"/>
          <w:szCs w:val="22"/>
          <w:highlight w:val="none"/>
          <w:u w:val="single"/>
        </w:rPr>
        <w:t xml:space="preserve">手机号码：       联系邮箱:         详细通讯地址：             </w:t>
      </w:r>
      <w:r>
        <w:rPr>
          <w:rFonts w:hint="eastAsia" w:ascii="宋体" w:hAnsi="宋体" w:cs="宋体"/>
          <w:color w:val="auto"/>
          <w:sz w:val="22"/>
          <w:szCs w:val="22"/>
          <w:highlight w:val="none"/>
        </w:rPr>
        <w:t xml:space="preserve"> 。  </w:t>
      </w:r>
    </w:p>
    <w:p w14:paraId="649BE7F4">
      <w:pPr>
        <w:spacing w:line="460" w:lineRule="exact"/>
        <w:ind w:firstLine="220" w:firstLineChars="100"/>
        <w:rPr>
          <w:rFonts w:ascii="宋体" w:hAnsi="宋体" w:cs="宋体"/>
          <w:color w:val="auto"/>
          <w:sz w:val="22"/>
          <w:szCs w:val="22"/>
          <w:highlight w:val="none"/>
        </w:rPr>
      </w:pPr>
    </w:p>
    <w:p w14:paraId="46D33AC6">
      <w:pPr>
        <w:spacing w:line="460" w:lineRule="exact"/>
        <w:ind w:firstLine="550" w:firstLineChars="250"/>
        <w:rPr>
          <w:rFonts w:ascii="宋体" w:hAnsi="宋体" w:cs="宋体"/>
          <w:color w:val="auto"/>
          <w:sz w:val="22"/>
          <w:szCs w:val="22"/>
          <w:highlight w:val="none"/>
        </w:rPr>
      </w:pPr>
    </w:p>
    <w:p w14:paraId="05F8BFD4">
      <w:pPr>
        <w:spacing w:line="460" w:lineRule="exact"/>
        <w:ind w:firstLine="2955"/>
        <w:rPr>
          <w:rFonts w:ascii="宋体" w:hAnsi="宋体" w:cs="宋体"/>
          <w:color w:val="auto"/>
          <w:sz w:val="22"/>
          <w:szCs w:val="22"/>
          <w:highlight w:val="none"/>
        </w:rPr>
      </w:pPr>
    </w:p>
    <w:p w14:paraId="4C05449D">
      <w:pPr>
        <w:spacing w:line="460" w:lineRule="exact"/>
        <w:ind w:firstLine="2955"/>
        <w:rPr>
          <w:rFonts w:ascii="宋体" w:hAnsi="宋体" w:cs="宋体"/>
          <w:color w:val="auto"/>
          <w:sz w:val="22"/>
          <w:szCs w:val="22"/>
          <w:highlight w:val="none"/>
        </w:rPr>
      </w:pPr>
    </w:p>
    <w:p w14:paraId="31CBE187">
      <w:pPr>
        <w:spacing w:line="460" w:lineRule="exact"/>
        <w:ind w:firstLine="3971" w:firstLineChars="1805"/>
        <w:rPr>
          <w:rFonts w:ascii="宋体" w:hAnsi="宋体" w:cs="宋体"/>
          <w:color w:val="auto"/>
          <w:sz w:val="22"/>
          <w:szCs w:val="22"/>
          <w:highlight w:val="none"/>
        </w:rPr>
      </w:pPr>
      <w:r>
        <w:rPr>
          <w:rFonts w:hint="eastAsia" w:ascii="宋体" w:hAnsi="宋体" w:cs="宋体"/>
          <w:color w:val="auto"/>
          <w:sz w:val="22"/>
          <w:szCs w:val="22"/>
          <w:highlight w:val="none"/>
        </w:rPr>
        <w:t>法定代表人 (签字或盖章)：</w:t>
      </w:r>
    </w:p>
    <w:p w14:paraId="327A8178">
      <w:pPr>
        <w:spacing w:line="460" w:lineRule="exact"/>
        <w:ind w:firstLine="2955"/>
        <w:rPr>
          <w:rFonts w:ascii="宋体" w:hAnsi="宋体" w:cs="宋体"/>
          <w:color w:val="auto"/>
          <w:sz w:val="22"/>
          <w:szCs w:val="22"/>
          <w:highlight w:val="none"/>
        </w:rPr>
      </w:pPr>
      <w:r>
        <w:rPr>
          <w:rFonts w:hint="eastAsia" w:ascii="宋体" w:hAnsi="宋体" w:cs="宋体"/>
          <w:color w:val="auto"/>
          <w:sz w:val="22"/>
          <w:szCs w:val="22"/>
          <w:highlight w:val="none"/>
        </w:rPr>
        <w:t xml:space="preserve">         供应商全称（公章）：</w:t>
      </w:r>
    </w:p>
    <w:p w14:paraId="629833D4">
      <w:pPr>
        <w:spacing w:line="460" w:lineRule="exact"/>
        <w:ind w:firstLine="2955"/>
        <w:rPr>
          <w:rFonts w:ascii="宋体" w:hAnsi="宋体" w:cs="宋体"/>
          <w:color w:val="auto"/>
          <w:sz w:val="22"/>
          <w:szCs w:val="22"/>
          <w:highlight w:val="none"/>
        </w:rPr>
      </w:pPr>
      <w:r>
        <w:rPr>
          <w:rFonts w:hint="eastAsia" w:ascii="宋体" w:hAnsi="宋体" w:cs="宋体"/>
          <w:color w:val="auto"/>
          <w:sz w:val="22"/>
          <w:szCs w:val="22"/>
          <w:highlight w:val="none"/>
        </w:rPr>
        <w:t xml:space="preserve">         日期：     年    月   日</w:t>
      </w:r>
    </w:p>
    <w:p w14:paraId="0536E799">
      <w:pPr>
        <w:spacing w:line="460" w:lineRule="exact"/>
        <w:rPr>
          <w:rFonts w:ascii="宋体" w:hAnsi="宋体" w:cs="宋体"/>
          <w:color w:val="auto"/>
          <w:sz w:val="22"/>
          <w:szCs w:val="22"/>
          <w:highlight w:val="none"/>
        </w:rPr>
      </w:pPr>
    </w:p>
    <w:p w14:paraId="2F883AAA">
      <w:pPr>
        <w:spacing w:line="460" w:lineRule="exact"/>
        <w:rPr>
          <w:rFonts w:ascii="宋体" w:hAnsi="宋体" w:cs="宋体"/>
          <w:color w:val="auto"/>
          <w:sz w:val="22"/>
          <w:szCs w:val="22"/>
          <w:highlight w:val="none"/>
        </w:rPr>
      </w:pPr>
    </w:p>
    <w:p w14:paraId="43B5C394">
      <w:pPr>
        <w:spacing w:line="460" w:lineRule="exact"/>
        <w:rPr>
          <w:rFonts w:ascii="宋体" w:hAnsi="宋体" w:cs="宋体"/>
          <w:color w:val="auto"/>
          <w:sz w:val="22"/>
          <w:szCs w:val="22"/>
          <w:highlight w:val="none"/>
        </w:rPr>
      </w:pPr>
      <w:r>
        <w:rPr>
          <w:rFonts w:hint="eastAsia" w:ascii="宋体" w:hAnsi="宋体" w:cs="宋体"/>
          <w:b/>
          <w:color w:val="auto"/>
          <w:sz w:val="22"/>
          <w:szCs w:val="22"/>
          <w:highlight w:val="none"/>
        </w:rPr>
        <w:t>附：法定代表人及授权代表的身份证正反面复印件</w:t>
      </w:r>
    </w:p>
    <w:p w14:paraId="10C4B930">
      <w:pPr>
        <w:widowControl/>
        <w:jc w:val="left"/>
        <w:rPr>
          <w:rFonts w:ascii="宋体" w:hAnsi="宋体" w:cs="宋体"/>
          <w:b/>
          <w:bCs/>
          <w:color w:val="auto"/>
          <w:highlight w:val="none"/>
        </w:rPr>
      </w:pPr>
    </w:p>
    <w:p w14:paraId="7B4E1E46">
      <w:pPr>
        <w:widowControl/>
        <w:jc w:val="left"/>
        <w:rPr>
          <w:rFonts w:ascii="宋体" w:hAnsi="宋体" w:cs="宋体"/>
          <w:b/>
          <w:bCs/>
          <w:color w:val="auto"/>
          <w:highlight w:val="none"/>
        </w:rPr>
      </w:pPr>
    </w:p>
    <w:p w14:paraId="4AE66ACB">
      <w:pPr>
        <w:widowControl/>
        <w:jc w:val="left"/>
        <w:rPr>
          <w:rFonts w:ascii="宋体" w:hAnsi="宋体" w:cs="宋体"/>
          <w:b/>
          <w:bCs/>
          <w:color w:val="auto"/>
          <w:highlight w:val="none"/>
        </w:rPr>
      </w:pPr>
    </w:p>
    <w:p w14:paraId="199D3836">
      <w:pPr>
        <w:widowControl/>
        <w:jc w:val="left"/>
        <w:rPr>
          <w:rFonts w:ascii="宋体" w:hAnsi="宋体" w:cs="宋体"/>
          <w:b/>
          <w:bCs/>
          <w:color w:val="auto"/>
          <w:highlight w:val="none"/>
        </w:rPr>
      </w:pPr>
    </w:p>
    <w:p w14:paraId="5AF7DFDB">
      <w:pPr>
        <w:widowControl/>
        <w:jc w:val="left"/>
        <w:rPr>
          <w:rFonts w:ascii="宋体" w:hAnsi="宋体" w:cs="宋体"/>
          <w:b/>
          <w:bCs/>
          <w:color w:val="auto"/>
          <w:highlight w:val="none"/>
        </w:rPr>
      </w:pPr>
    </w:p>
    <w:p w14:paraId="72482B72">
      <w:pPr>
        <w:widowControl/>
        <w:jc w:val="left"/>
        <w:rPr>
          <w:rFonts w:ascii="宋体" w:hAnsi="宋体" w:cs="宋体"/>
          <w:b/>
          <w:bCs/>
          <w:color w:val="auto"/>
          <w:highlight w:val="none"/>
        </w:rPr>
      </w:pPr>
    </w:p>
    <w:p w14:paraId="6F35458E">
      <w:pPr>
        <w:widowControl/>
        <w:jc w:val="left"/>
        <w:rPr>
          <w:rFonts w:ascii="宋体" w:hAnsi="宋体" w:cs="宋体"/>
          <w:b/>
          <w:bCs/>
          <w:color w:val="auto"/>
          <w:highlight w:val="none"/>
        </w:rPr>
      </w:pPr>
    </w:p>
    <w:p w14:paraId="28C74319">
      <w:pPr>
        <w:widowControl/>
        <w:jc w:val="left"/>
        <w:rPr>
          <w:rFonts w:ascii="宋体" w:hAnsi="宋体" w:cs="宋体"/>
          <w:b/>
          <w:bCs/>
          <w:color w:val="auto"/>
          <w:highlight w:val="none"/>
        </w:rPr>
      </w:pPr>
    </w:p>
    <w:p w14:paraId="5C6C20D0">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说明：</w:t>
      </w:r>
    </w:p>
    <w:p w14:paraId="3D8F3150">
      <w:pPr>
        <w:spacing w:line="460" w:lineRule="exact"/>
        <w:rPr>
          <w:rFonts w:ascii="宋体" w:hAnsi="宋体" w:cs="宋体"/>
          <w:color w:val="auto"/>
          <w:sz w:val="22"/>
          <w:szCs w:val="22"/>
          <w:highlight w:val="none"/>
        </w:rPr>
      </w:pPr>
      <w:r>
        <w:rPr>
          <w:rFonts w:hint="eastAsia" w:ascii="宋体" w:hAnsi="宋体" w:cs="宋体"/>
          <w:b/>
          <w:color w:val="auto"/>
          <w:sz w:val="22"/>
          <w:szCs w:val="22"/>
          <w:highlight w:val="none"/>
        </w:rPr>
        <w:t>1、若供应商代表为法定代表人，应提供声明书（1-1）并提交法定代表人身份证正反面复印件；</w:t>
      </w:r>
    </w:p>
    <w:p w14:paraId="16E17EEC">
      <w:pPr>
        <w:spacing w:line="460" w:lineRule="exact"/>
        <w:rPr>
          <w:rFonts w:ascii="宋体" w:hAnsi="宋体" w:cs="宋体"/>
          <w:color w:val="auto"/>
          <w:sz w:val="22"/>
          <w:szCs w:val="22"/>
          <w:highlight w:val="none"/>
        </w:rPr>
      </w:pPr>
      <w:r>
        <w:rPr>
          <w:rFonts w:hint="eastAsia" w:ascii="宋体" w:hAnsi="宋体" w:cs="宋体"/>
          <w:b/>
          <w:color w:val="auto"/>
          <w:sz w:val="22"/>
          <w:szCs w:val="22"/>
          <w:highlight w:val="none"/>
        </w:rPr>
        <w:t>2、若供应商代表为法定代表人授权的委托代理人，应提供授权书（1-2），并附法定代表人及授权代表的身份证正反面复印件。</w:t>
      </w:r>
    </w:p>
    <w:p w14:paraId="007EE811">
      <w:pPr>
        <w:spacing w:line="460" w:lineRule="exact"/>
        <w:rPr>
          <w:rFonts w:ascii="宋体" w:hAnsi="宋体" w:cs="宋体"/>
          <w:color w:val="auto"/>
          <w:sz w:val="22"/>
          <w:szCs w:val="22"/>
          <w:highlight w:val="none"/>
        </w:rPr>
      </w:pPr>
    </w:p>
    <w:p w14:paraId="1AD5DCD7">
      <w:pPr>
        <w:spacing w:line="380" w:lineRule="exact"/>
        <w:jc w:val="center"/>
        <w:rPr>
          <w:rFonts w:ascii="宋体" w:hAnsi="宋体" w:cs="宋体"/>
          <w:b/>
          <w:bCs/>
          <w:color w:val="auto"/>
          <w:sz w:val="32"/>
          <w:highlight w:val="none"/>
        </w:rPr>
      </w:pPr>
      <w:r>
        <w:rPr>
          <w:rFonts w:hint="eastAsia" w:ascii="宋体" w:hAnsi="宋体" w:cs="宋体"/>
          <w:b/>
          <w:bCs/>
          <w:color w:val="auto"/>
          <w:sz w:val="32"/>
          <w:highlight w:val="none"/>
        </w:rPr>
        <w:br w:type="page"/>
      </w:r>
    </w:p>
    <w:p w14:paraId="328230DC">
      <w:pPr>
        <w:spacing w:line="380" w:lineRule="exact"/>
        <w:jc w:val="center"/>
        <w:rPr>
          <w:rFonts w:ascii="宋体" w:hAnsi="宋体" w:cs="宋体"/>
          <w:b/>
          <w:bCs/>
          <w:color w:val="auto"/>
          <w:sz w:val="32"/>
          <w:highlight w:val="none"/>
        </w:rPr>
      </w:pPr>
    </w:p>
    <w:p w14:paraId="6CF38287">
      <w:pPr>
        <w:widowControl/>
        <w:adjustRightInd w:val="0"/>
        <w:snapToGrid w:val="0"/>
        <w:spacing w:line="360" w:lineRule="auto"/>
        <w:jc w:val="center"/>
        <w:rPr>
          <w:rFonts w:ascii="宋体" w:hAnsi="宋体" w:cs="宋体"/>
          <w:b/>
          <w:color w:val="auto"/>
          <w:sz w:val="22"/>
          <w:szCs w:val="22"/>
          <w:highlight w:val="none"/>
        </w:rPr>
      </w:pPr>
      <w:r>
        <w:rPr>
          <w:rFonts w:hint="eastAsia" w:ascii="宋体" w:hAnsi="宋体" w:cs="宋体"/>
          <w:b/>
          <w:color w:val="auto"/>
          <w:sz w:val="22"/>
          <w:szCs w:val="22"/>
          <w:highlight w:val="none"/>
        </w:rPr>
        <w:t>（2）</w:t>
      </w:r>
      <w:r>
        <w:rPr>
          <w:rFonts w:hint="eastAsia" w:ascii="宋体" w:hAnsi="宋体" w:cs="宋体"/>
          <w:b/>
          <w:color w:val="auto"/>
          <w:sz w:val="22"/>
          <w:szCs w:val="22"/>
          <w:highlight w:val="none"/>
          <w:lang w:eastAsia="zh-CN"/>
        </w:rPr>
        <w:t>供应商</w:t>
      </w:r>
      <w:r>
        <w:rPr>
          <w:rFonts w:hint="eastAsia" w:ascii="宋体" w:hAnsi="宋体" w:cs="宋体"/>
          <w:b/>
          <w:color w:val="auto"/>
          <w:sz w:val="22"/>
          <w:szCs w:val="22"/>
          <w:highlight w:val="none"/>
        </w:rPr>
        <w:t>参与采购活动投标资格声明函</w:t>
      </w:r>
    </w:p>
    <w:p w14:paraId="7C0206D0">
      <w:pPr>
        <w:widowControl/>
        <w:adjustRightInd w:val="0"/>
        <w:snapToGrid w:val="0"/>
        <w:spacing w:line="360" w:lineRule="auto"/>
        <w:jc w:val="left"/>
        <w:rPr>
          <w:rFonts w:ascii="宋体" w:hAnsi="宋体" w:cs="宋体"/>
          <w:color w:val="auto"/>
          <w:kern w:val="0"/>
          <w:sz w:val="22"/>
          <w:szCs w:val="22"/>
          <w:highlight w:val="none"/>
        </w:rPr>
      </w:pPr>
    </w:p>
    <w:p w14:paraId="12340240">
      <w:pPr>
        <w:widowControl/>
        <w:adjustRightInd w:val="0"/>
        <w:snapToGrid w:val="0"/>
        <w:spacing w:line="360" w:lineRule="auto"/>
        <w:jc w:val="left"/>
        <w:rPr>
          <w:rFonts w:ascii="宋体" w:hAnsi="宋体" w:cs="宋体"/>
          <w:color w:val="auto"/>
          <w:kern w:val="0"/>
          <w:sz w:val="22"/>
          <w:szCs w:val="22"/>
          <w:highlight w:val="none"/>
        </w:rPr>
      </w:pPr>
      <w:r>
        <w:rPr>
          <w:rFonts w:hint="eastAsia" w:ascii="宋体" w:hAnsi="宋体" w:cs="宋体"/>
          <w:color w:val="auto"/>
          <w:sz w:val="22"/>
          <w:szCs w:val="22"/>
          <w:highlight w:val="none"/>
          <w:lang w:eastAsia="zh-CN"/>
        </w:rPr>
        <w:t>温州市瓯海区教育局、温州市瓯海区体育事业发展中心</w:t>
      </w:r>
      <w:r>
        <w:rPr>
          <w:rFonts w:hint="eastAsia" w:ascii="宋体" w:hAnsi="宋体" w:cs="宋体"/>
          <w:color w:val="auto"/>
          <w:kern w:val="0"/>
          <w:sz w:val="22"/>
          <w:szCs w:val="22"/>
          <w:highlight w:val="none"/>
        </w:rPr>
        <w:t>：</w:t>
      </w:r>
    </w:p>
    <w:p w14:paraId="7DBAC259">
      <w:pPr>
        <w:widowControl/>
        <w:adjustRightInd w:val="0"/>
        <w:snapToGrid w:val="0"/>
        <w:spacing w:line="360" w:lineRule="auto"/>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温州元信工程项目管理有限公司：</w:t>
      </w:r>
    </w:p>
    <w:p w14:paraId="47724A58">
      <w:pPr>
        <w:widowControl/>
        <w:adjustRightInd w:val="0"/>
        <w:snapToGrid w:val="0"/>
        <w:spacing w:line="360" w:lineRule="auto"/>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我单位参与</w:t>
      </w:r>
      <w:r>
        <w:rPr>
          <w:rFonts w:hint="eastAsia" w:ascii="宋体" w:hAnsi="宋体" w:cs="宋体"/>
          <w:color w:val="auto"/>
          <w:sz w:val="22"/>
          <w:szCs w:val="22"/>
          <w:highlight w:val="none"/>
          <w:u w:val="single"/>
        </w:rPr>
        <w:t xml:space="preserve"> （项目名称） </w:t>
      </w:r>
      <w:r>
        <w:rPr>
          <w:rFonts w:hint="eastAsia" w:ascii="宋体" w:hAnsi="宋体" w:cs="宋体"/>
          <w:color w:val="auto"/>
          <w:kern w:val="0"/>
          <w:sz w:val="22"/>
          <w:szCs w:val="22"/>
          <w:highlight w:val="none"/>
        </w:rPr>
        <w:t>项目的采购活动，现声明如下：</w:t>
      </w:r>
    </w:p>
    <w:p w14:paraId="7573275F">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1、我单位具有独立承担民事责任的能力。</w:t>
      </w:r>
    </w:p>
    <w:p w14:paraId="312940BD">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2、我单位具有良好的商业信誉和健全的财务会计制度。</w:t>
      </w:r>
    </w:p>
    <w:p w14:paraId="7386BAFA">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3、我单位具有依法缴纳税收和社会保障资金的良好记录。</w:t>
      </w:r>
    </w:p>
    <w:p w14:paraId="2B236716">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4、我单位具有履行本项目采购合同所必需的设备和专业技术能力。</w:t>
      </w:r>
    </w:p>
    <w:p w14:paraId="6D8FBEEE">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5、我单位未被列入失信被执行人名单、重大税收违法案件当事人名单、政府采购严重违法失信行为记录名单，参加本次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7336D52D">
      <w:pPr>
        <w:pStyle w:val="16"/>
        <w:spacing w:line="360" w:lineRule="auto"/>
        <w:ind w:left="216" w:leftChars="103" w:firstLine="200" w:firstLineChars="91"/>
        <w:rPr>
          <w:rFonts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6、我单位符合本项目特定资格条件： 的要求，并在磋商响应文件中提供了相应的证明材料（磋商文件没有要求特定资格条件的，本条款空格处可以空白）</w:t>
      </w:r>
    </w:p>
    <w:p w14:paraId="50B794F9">
      <w:pPr>
        <w:widowControl/>
        <w:adjustRightInd w:val="0"/>
        <w:snapToGrid w:val="0"/>
        <w:spacing w:line="360" w:lineRule="auto"/>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以上事项如有虚假，采购人可取消我方任何资格（投标/中标/签订合同），我方对此无任何异议。</w:t>
      </w:r>
    </w:p>
    <w:p w14:paraId="5988EE62">
      <w:pPr>
        <w:widowControl/>
        <w:adjustRightInd w:val="0"/>
        <w:snapToGrid w:val="0"/>
        <w:spacing w:line="360" w:lineRule="auto"/>
        <w:ind w:firstLine="440" w:firstLineChars="200"/>
        <w:jc w:val="left"/>
        <w:rPr>
          <w:rFonts w:ascii="宋体" w:hAnsi="宋体" w:cs="宋体"/>
          <w:color w:val="auto"/>
          <w:kern w:val="0"/>
          <w:sz w:val="22"/>
          <w:szCs w:val="22"/>
          <w:highlight w:val="none"/>
        </w:rPr>
      </w:pPr>
    </w:p>
    <w:p w14:paraId="65F2155C">
      <w:pPr>
        <w:widowControl/>
        <w:adjustRightInd w:val="0"/>
        <w:snapToGrid w:val="0"/>
        <w:spacing w:line="360" w:lineRule="auto"/>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特此承诺！</w:t>
      </w:r>
    </w:p>
    <w:p w14:paraId="6A58A391">
      <w:pPr>
        <w:widowControl/>
        <w:adjustRightInd w:val="0"/>
        <w:snapToGrid w:val="0"/>
        <w:spacing w:line="360" w:lineRule="auto"/>
        <w:ind w:firstLine="440" w:firstLineChars="200"/>
        <w:jc w:val="left"/>
        <w:rPr>
          <w:rFonts w:ascii="宋体" w:hAnsi="宋体" w:cs="宋体"/>
          <w:color w:val="auto"/>
          <w:kern w:val="0"/>
          <w:sz w:val="22"/>
          <w:szCs w:val="22"/>
          <w:highlight w:val="none"/>
        </w:rPr>
      </w:pPr>
    </w:p>
    <w:p w14:paraId="1AAE098F">
      <w:pPr>
        <w:pStyle w:val="16"/>
        <w:rPr>
          <w:rFonts w:ascii="宋体" w:hAnsi="宋体" w:eastAsia="宋体" w:cs="宋体"/>
          <w:color w:val="auto"/>
          <w:highlight w:val="none"/>
        </w:rPr>
      </w:pPr>
    </w:p>
    <w:p w14:paraId="16F1BB1E">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供应商名称（盖章） ：</w:t>
      </w:r>
    </w:p>
    <w:p w14:paraId="2CFBC133">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法定代表人（负责人）或其授权代表（签字或盖章）：</w:t>
      </w:r>
    </w:p>
    <w:p w14:paraId="519058AC">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日期：     年  月  日</w:t>
      </w:r>
    </w:p>
    <w:p w14:paraId="4739A931">
      <w:pPr>
        <w:pStyle w:val="16"/>
        <w:rPr>
          <w:rFonts w:ascii="宋体" w:hAnsi="宋体" w:eastAsia="宋体" w:cs="宋体"/>
          <w:color w:val="auto"/>
          <w:highlight w:val="none"/>
        </w:rPr>
      </w:pPr>
    </w:p>
    <w:p w14:paraId="2C54613B">
      <w:pPr>
        <w:widowControl/>
        <w:adjustRightInd w:val="0"/>
        <w:snapToGrid w:val="0"/>
        <w:spacing w:line="360" w:lineRule="auto"/>
        <w:jc w:val="left"/>
        <w:rPr>
          <w:rFonts w:ascii="宋体" w:hAnsi="宋体" w:cs="宋体"/>
          <w:color w:val="auto"/>
          <w:sz w:val="22"/>
          <w:szCs w:val="22"/>
          <w:highlight w:val="none"/>
        </w:rPr>
      </w:pPr>
      <w:r>
        <w:rPr>
          <w:rFonts w:hint="eastAsia" w:ascii="宋体" w:hAnsi="宋体" w:cs="宋体"/>
          <w:color w:val="auto"/>
          <w:kern w:val="0"/>
          <w:sz w:val="22"/>
          <w:szCs w:val="22"/>
          <w:highlight w:val="none"/>
        </w:rPr>
        <w:br w:type="page"/>
      </w:r>
    </w:p>
    <w:p w14:paraId="452F0B82">
      <w:pPr>
        <w:pStyle w:val="23"/>
        <w:snapToGrid w:val="0"/>
        <w:spacing w:line="324" w:lineRule="auto"/>
        <w:jc w:val="center"/>
        <w:rPr>
          <w:rFonts w:hAnsi="宋体" w:cs="宋体"/>
          <w:b/>
          <w:bCs/>
          <w:color w:val="auto"/>
          <w:sz w:val="22"/>
          <w:szCs w:val="22"/>
          <w:highlight w:val="none"/>
        </w:rPr>
      </w:pPr>
      <w:r>
        <w:rPr>
          <w:rFonts w:hint="eastAsia" w:hAnsi="宋体" w:cs="宋体"/>
          <w:b/>
          <w:bCs/>
          <w:color w:val="auto"/>
          <w:sz w:val="22"/>
          <w:szCs w:val="22"/>
          <w:highlight w:val="none"/>
        </w:rPr>
        <w:t>（3）诚信投标承诺书</w:t>
      </w:r>
    </w:p>
    <w:p w14:paraId="7DCB3627">
      <w:pPr>
        <w:ind w:right="-153" w:rightChars="-73"/>
        <w:jc w:val="center"/>
        <w:rPr>
          <w:rFonts w:ascii="宋体" w:hAnsi="宋体" w:cs="宋体"/>
          <w:color w:val="auto"/>
          <w:sz w:val="22"/>
          <w:szCs w:val="22"/>
          <w:highlight w:val="none"/>
        </w:rPr>
      </w:pPr>
    </w:p>
    <w:p w14:paraId="66ABE9BE">
      <w:pPr>
        <w:spacing w:line="520" w:lineRule="exact"/>
        <w:ind w:right="-153" w:rightChars="-73"/>
        <w:rPr>
          <w:rFonts w:ascii="宋体" w:hAnsi="宋体" w:cs="宋体"/>
          <w:color w:val="auto"/>
          <w:sz w:val="22"/>
          <w:szCs w:val="22"/>
          <w:highlight w:val="none"/>
        </w:rPr>
      </w:pPr>
      <w:r>
        <w:rPr>
          <w:rFonts w:hint="eastAsia" w:ascii="宋体" w:hAnsi="宋体" w:cs="宋体"/>
          <w:color w:val="auto"/>
          <w:sz w:val="22"/>
          <w:szCs w:val="22"/>
          <w:highlight w:val="none"/>
        </w:rPr>
        <w:t>本企业郑重承诺：</w:t>
      </w:r>
    </w:p>
    <w:p w14:paraId="10D60E8D">
      <w:pPr>
        <w:spacing w:line="5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为了积极配合贵公司组织的</w:t>
      </w:r>
      <w:r>
        <w:rPr>
          <w:rFonts w:hint="eastAsia" w:ascii="宋体" w:hAnsi="宋体" w:cs="宋体"/>
          <w:color w:val="auto"/>
          <w:sz w:val="22"/>
          <w:szCs w:val="22"/>
          <w:highlight w:val="none"/>
          <w:u w:val="single"/>
        </w:rPr>
        <w:t xml:space="preserve"> （项目名称） </w:t>
      </w:r>
      <w:r>
        <w:rPr>
          <w:rFonts w:hint="eastAsia" w:ascii="宋体" w:hAnsi="宋体" w:cs="宋体"/>
          <w:color w:val="auto"/>
          <w:sz w:val="22"/>
          <w:szCs w:val="22"/>
          <w:highlight w:val="none"/>
        </w:rPr>
        <w:t>采购工作，有效遏制不公平竞争和违规违纪问题的发生，确保采购工作的公平、公正、公开，我们保证认真贯彻《中华人民共和国政府采购法》、《中华人民共和国政府采购法实施条例》、《政府采购货物和服务招标投标管理办法》和《关于进一步规范政府采购活动的若干意见》等法律及有关法规相关规定以及有关廉洁要求，特承诺如下事项：</w:t>
      </w:r>
    </w:p>
    <w:p w14:paraId="4B093C6D">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自觉遵守国家法律法规及有关廉政建设制度。</w:t>
      </w:r>
    </w:p>
    <w:p w14:paraId="26DCCC82">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主动了解采购人招投标纪律，积极配合采购人执行招投标廉政建设的有关规定。</w:t>
      </w:r>
    </w:p>
    <w:p w14:paraId="49C6EC4A">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不使用不正当手段妨碍、排挤其它供应商或串通投标。</w:t>
      </w:r>
    </w:p>
    <w:p w14:paraId="6860BEFA">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按照本磋商文件规定的方式进行投标，不隐瞒本单位投标资质的真实情况，投标资质符合规定。</w:t>
      </w:r>
    </w:p>
    <w:p w14:paraId="3726F124">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不以任何方式向采购人员赠送礼品、礼金及有价证券；不宴请或邀请采购人的任何人参加高档娱乐消费、旅游、考察、参观等活动；不以任何形式报销采购人的任何人以及亲友的各种票据及费用；不进行可能影响招投标公平、公正的任何活动。</w:t>
      </w:r>
    </w:p>
    <w:p w14:paraId="27EAA3FF">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不向采购人及个人购置或提供通讯工具、交通工具和高档办公用品等。</w:t>
      </w:r>
    </w:p>
    <w:p w14:paraId="1B442E73">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不向采购人涉及采购的人员的配偶、子女分包此次采购项目。</w:t>
      </w:r>
    </w:p>
    <w:p w14:paraId="615D21B3">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不向采购人及个人支付好处费、介绍费。</w:t>
      </w:r>
    </w:p>
    <w:p w14:paraId="0F3B3F66">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一旦发现相关人员在采购过程中的索要财物等不廉洁行为，坚决予以抵制，并及时向有关纪检监察部门举报。</w:t>
      </w:r>
    </w:p>
    <w:p w14:paraId="032DCB92">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我们若违反上述承诺，愿接受取消供应商资格及其他任何形式的处理。</w:t>
      </w:r>
    </w:p>
    <w:p w14:paraId="038C8432">
      <w:pPr>
        <w:snapToGrid w:val="0"/>
        <w:spacing w:line="500" w:lineRule="exact"/>
        <w:ind w:firstLine="385" w:firstLineChars="175"/>
        <w:rPr>
          <w:rFonts w:ascii="宋体" w:hAnsi="宋体" w:cs="宋体"/>
          <w:color w:val="auto"/>
          <w:sz w:val="22"/>
          <w:szCs w:val="22"/>
          <w:highlight w:val="none"/>
        </w:rPr>
      </w:pPr>
    </w:p>
    <w:p w14:paraId="4CBA180C">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供应商名称（盖章） ：</w:t>
      </w:r>
    </w:p>
    <w:p w14:paraId="22050588">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法定代表人（负责人）或其授权代表（签字或盖章）：</w:t>
      </w:r>
    </w:p>
    <w:p w14:paraId="688EBF6E">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日期：     年  月  日</w:t>
      </w:r>
    </w:p>
    <w:p w14:paraId="7A96D7D4">
      <w:pPr>
        <w:rPr>
          <w:rFonts w:ascii="宋体" w:hAnsi="宋体" w:cs="宋体"/>
          <w:b/>
          <w:bCs/>
          <w:color w:val="auto"/>
          <w:sz w:val="22"/>
          <w:szCs w:val="22"/>
          <w:highlight w:val="none"/>
        </w:rPr>
      </w:pPr>
    </w:p>
    <w:p w14:paraId="7F334348">
      <w:pPr>
        <w:rPr>
          <w:rFonts w:ascii="宋体" w:hAnsi="宋体" w:cs="宋体"/>
          <w:color w:val="auto"/>
          <w:highlight w:val="none"/>
        </w:rPr>
      </w:pPr>
      <w:r>
        <w:rPr>
          <w:rFonts w:hint="eastAsia" w:ascii="宋体" w:hAnsi="宋体" w:cs="宋体"/>
          <w:color w:val="auto"/>
          <w:highlight w:val="none"/>
        </w:rPr>
        <w:br w:type="page"/>
      </w:r>
    </w:p>
    <w:p w14:paraId="64A15ED5">
      <w:pPr>
        <w:spacing w:line="440" w:lineRule="atLeast"/>
        <w:jc w:val="center"/>
        <w:rPr>
          <w:rFonts w:ascii="宋体" w:hAnsi="宋体" w:cs="宋体"/>
          <w:b/>
          <w:color w:val="auto"/>
          <w:sz w:val="22"/>
          <w:szCs w:val="22"/>
          <w:highlight w:val="none"/>
        </w:rPr>
      </w:pPr>
      <w:r>
        <w:rPr>
          <w:rFonts w:hint="eastAsia" w:ascii="宋体" w:hAnsi="宋体" w:cs="宋体"/>
          <w:b/>
          <w:color w:val="auto"/>
          <w:sz w:val="22"/>
          <w:szCs w:val="22"/>
          <w:highlight w:val="none"/>
        </w:rPr>
        <w:t>（4）中小企业声明函</w:t>
      </w:r>
    </w:p>
    <w:p w14:paraId="2C84E1E1">
      <w:pPr>
        <w:spacing w:after="120" w:line="44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中小企业声明函（工程、服务）</w:t>
      </w:r>
    </w:p>
    <w:p w14:paraId="438C94E5">
      <w:pPr>
        <w:spacing w:before="5" w:after="120" w:line="440" w:lineRule="exact"/>
        <w:rPr>
          <w:rFonts w:ascii="宋体" w:hAnsi="宋体" w:cs="宋体"/>
          <w:b/>
          <w:color w:val="auto"/>
          <w:sz w:val="22"/>
          <w:szCs w:val="22"/>
          <w:highlight w:val="none"/>
        </w:rPr>
      </w:pPr>
    </w:p>
    <w:p w14:paraId="6D71D198">
      <w:pPr>
        <w:spacing w:after="120" w:line="480" w:lineRule="exact"/>
        <w:ind w:right="-1"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本公司（联合体）郑重声明，根据《政府采购促进中小企业发展管理办法》（财库﹝2020﹞46号）的规定，本公司（联合体）参加</w:t>
      </w:r>
      <w:r>
        <w:rPr>
          <w:rFonts w:hint="eastAsia" w:ascii="宋体" w:hAnsi="宋体" w:cs="宋体"/>
          <w:i/>
          <w:iCs/>
          <w:color w:val="auto"/>
          <w:sz w:val="22"/>
          <w:szCs w:val="22"/>
          <w:highlight w:val="none"/>
          <w:u w:val="single"/>
        </w:rPr>
        <w:t>（单位名称）</w:t>
      </w:r>
      <w:r>
        <w:rPr>
          <w:rFonts w:hint="eastAsia" w:ascii="宋体" w:hAnsi="宋体" w:cs="宋体"/>
          <w:color w:val="auto"/>
          <w:sz w:val="22"/>
          <w:szCs w:val="22"/>
          <w:highlight w:val="none"/>
        </w:rPr>
        <w:t>的</w:t>
      </w:r>
      <w:r>
        <w:rPr>
          <w:rFonts w:hint="eastAsia" w:ascii="宋体" w:hAnsi="宋体" w:cs="宋体"/>
          <w:i/>
          <w:iCs/>
          <w:color w:val="auto"/>
          <w:sz w:val="22"/>
          <w:szCs w:val="22"/>
          <w:highlight w:val="none"/>
          <w:u w:val="single"/>
        </w:rPr>
        <w:t>（项目名称）</w:t>
      </w:r>
      <w:r>
        <w:rPr>
          <w:rFonts w:hint="eastAsia" w:ascii="宋体" w:hAnsi="宋体" w:cs="宋体"/>
          <w:color w:val="auto"/>
          <w:sz w:val="22"/>
          <w:szCs w:val="22"/>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E80184E">
      <w:pPr>
        <w:pStyle w:val="202"/>
        <w:tabs>
          <w:tab w:val="left" w:pos="1025"/>
        </w:tabs>
        <w:spacing w:line="480" w:lineRule="exact"/>
        <w:ind w:firstLine="440"/>
        <w:jc w:val="left"/>
        <w:rPr>
          <w:rFonts w:ascii="宋体" w:hAnsi="宋体" w:cs="宋体"/>
          <w:color w:val="auto"/>
          <w:sz w:val="22"/>
          <w:szCs w:val="22"/>
          <w:highlight w:val="none"/>
        </w:rPr>
      </w:pPr>
      <w:r>
        <w:rPr>
          <w:rFonts w:hint="eastAsia" w:ascii="宋体" w:hAnsi="宋体" w:cs="宋体"/>
          <w:color w:val="auto"/>
          <w:sz w:val="22"/>
          <w:szCs w:val="22"/>
          <w:highlight w:val="none"/>
        </w:rPr>
        <w:t>1.</w:t>
      </w:r>
      <w:r>
        <w:rPr>
          <w:rFonts w:hint="eastAsia" w:ascii="宋体" w:hAnsi="宋体" w:cs="宋体"/>
          <w:i/>
          <w:iCs/>
          <w:color w:val="auto"/>
          <w:sz w:val="22"/>
          <w:szCs w:val="22"/>
          <w:highlight w:val="none"/>
          <w:u w:val="single"/>
        </w:rPr>
        <w:t>（标的名称）</w:t>
      </w:r>
      <w:r>
        <w:rPr>
          <w:rFonts w:hint="eastAsia" w:ascii="宋体" w:hAnsi="宋体" w:cs="宋体"/>
          <w:color w:val="auto"/>
          <w:sz w:val="22"/>
          <w:szCs w:val="22"/>
          <w:highlight w:val="none"/>
        </w:rPr>
        <w:t>，属于</w:t>
      </w:r>
      <w:r>
        <w:rPr>
          <w:rFonts w:hint="eastAsia" w:ascii="宋体" w:hAnsi="宋体" w:cs="宋体"/>
          <w:i/>
          <w:iCs/>
          <w:color w:val="auto"/>
          <w:sz w:val="22"/>
          <w:szCs w:val="22"/>
          <w:highlight w:val="none"/>
          <w:u w:val="single"/>
        </w:rPr>
        <w:t>（</w:t>
      </w:r>
      <w:r>
        <w:rPr>
          <w:rFonts w:hint="eastAsia" w:ascii="宋体" w:hAnsi="宋体" w:cs="宋体"/>
          <w:i/>
          <w:iCs/>
          <w:color w:val="auto"/>
          <w:sz w:val="22"/>
          <w:szCs w:val="22"/>
          <w:highlight w:val="none"/>
          <w:u w:val="single"/>
          <w:lang w:eastAsia="zh-CN"/>
        </w:rPr>
        <w:t>磋商文件</w:t>
      </w:r>
      <w:r>
        <w:rPr>
          <w:rFonts w:hint="eastAsia" w:ascii="宋体" w:hAnsi="宋体" w:cs="宋体"/>
          <w:i/>
          <w:iCs/>
          <w:color w:val="auto"/>
          <w:sz w:val="22"/>
          <w:szCs w:val="22"/>
          <w:highlight w:val="none"/>
          <w:u w:val="single"/>
        </w:rPr>
        <w:t>中明确的所属行业）</w:t>
      </w:r>
      <w:r>
        <w:rPr>
          <w:rFonts w:hint="eastAsia" w:ascii="宋体" w:hAnsi="宋体" w:cs="宋体"/>
          <w:color w:val="auto"/>
          <w:sz w:val="22"/>
          <w:szCs w:val="22"/>
          <w:highlight w:val="none"/>
        </w:rPr>
        <w:t>；承建（承接）企业为</w:t>
      </w:r>
      <w:r>
        <w:rPr>
          <w:rFonts w:hint="eastAsia" w:ascii="宋体" w:hAnsi="宋体" w:cs="宋体"/>
          <w:i/>
          <w:iCs/>
          <w:color w:val="auto"/>
          <w:sz w:val="22"/>
          <w:szCs w:val="22"/>
          <w:highlight w:val="none"/>
          <w:u w:val="single"/>
        </w:rPr>
        <w:t>（企业名称）</w:t>
      </w:r>
      <w:r>
        <w:rPr>
          <w:rFonts w:hint="eastAsia" w:ascii="宋体" w:hAnsi="宋体" w:cs="宋体"/>
          <w:color w:val="auto"/>
          <w:sz w:val="22"/>
          <w:szCs w:val="22"/>
          <w:highlight w:val="none"/>
        </w:rPr>
        <w:t>，从业人员人，营业收入为万元，资产总额为万元，属于</w:t>
      </w:r>
      <w:r>
        <w:rPr>
          <w:rFonts w:hint="eastAsia" w:ascii="宋体" w:hAnsi="宋体" w:cs="宋体"/>
          <w:i/>
          <w:iCs/>
          <w:color w:val="auto"/>
          <w:sz w:val="22"/>
          <w:szCs w:val="22"/>
          <w:highlight w:val="none"/>
          <w:u w:val="single"/>
        </w:rPr>
        <w:t>（中型企业、小型企业、微型企业）</w:t>
      </w:r>
      <w:r>
        <w:rPr>
          <w:rFonts w:hint="eastAsia" w:ascii="宋体" w:hAnsi="宋体" w:cs="宋体"/>
          <w:color w:val="auto"/>
          <w:sz w:val="22"/>
          <w:szCs w:val="22"/>
          <w:highlight w:val="none"/>
        </w:rPr>
        <w:t>；</w:t>
      </w:r>
    </w:p>
    <w:p w14:paraId="6383F490">
      <w:pPr>
        <w:pStyle w:val="202"/>
        <w:tabs>
          <w:tab w:val="left" w:pos="1243"/>
          <w:tab w:val="left" w:pos="1806"/>
          <w:tab w:val="left" w:pos="5005"/>
          <w:tab w:val="left" w:pos="7213"/>
        </w:tabs>
        <w:spacing w:line="480" w:lineRule="exact"/>
        <w:ind w:firstLine="440"/>
        <w:jc w:val="left"/>
        <w:rPr>
          <w:rFonts w:ascii="宋体" w:hAnsi="宋体" w:cs="宋体"/>
          <w:color w:val="auto"/>
          <w:sz w:val="22"/>
          <w:szCs w:val="22"/>
          <w:highlight w:val="none"/>
        </w:rPr>
      </w:pPr>
      <w:r>
        <w:rPr>
          <w:rFonts w:hint="eastAsia" w:ascii="宋体" w:hAnsi="宋体" w:cs="宋体"/>
          <w:color w:val="auto"/>
          <w:sz w:val="22"/>
          <w:szCs w:val="22"/>
          <w:highlight w:val="none"/>
        </w:rPr>
        <w:t>2.</w:t>
      </w:r>
      <w:r>
        <w:rPr>
          <w:rFonts w:hint="eastAsia" w:ascii="宋体" w:hAnsi="宋体" w:cs="宋体"/>
          <w:i/>
          <w:iCs/>
          <w:color w:val="auto"/>
          <w:sz w:val="22"/>
          <w:szCs w:val="22"/>
          <w:highlight w:val="none"/>
          <w:u w:val="single"/>
        </w:rPr>
        <w:t>（标的名称）</w:t>
      </w:r>
      <w:r>
        <w:rPr>
          <w:rFonts w:hint="eastAsia" w:ascii="宋体" w:hAnsi="宋体" w:cs="宋体"/>
          <w:color w:val="auto"/>
          <w:sz w:val="22"/>
          <w:szCs w:val="22"/>
          <w:highlight w:val="none"/>
        </w:rPr>
        <w:t>，属于</w:t>
      </w:r>
      <w:r>
        <w:rPr>
          <w:rFonts w:hint="eastAsia" w:ascii="宋体" w:hAnsi="宋体" w:cs="宋体"/>
          <w:i/>
          <w:iCs/>
          <w:color w:val="auto"/>
          <w:sz w:val="22"/>
          <w:szCs w:val="22"/>
          <w:highlight w:val="none"/>
          <w:u w:val="single"/>
        </w:rPr>
        <w:t>（</w:t>
      </w:r>
      <w:r>
        <w:rPr>
          <w:rFonts w:hint="eastAsia" w:ascii="宋体" w:hAnsi="宋体" w:cs="宋体"/>
          <w:i/>
          <w:iCs/>
          <w:color w:val="auto"/>
          <w:sz w:val="22"/>
          <w:szCs w:val="22"/>
          <w:highlight w:val="none"/>
          <w:u w:val="single"/>
          <w:lang w:eastAsia="zh-CN"/>
        </w:rPr>
        <w:t>磋商文件</w:t>
      </w:r>
      <w:r>
        <w:rPr>
          <w:rFonts w:hint="eastAsia" w:ascii="宋体" w:hAnsi="宋体" w:cs="宋体"/>
          <w:i/>
          <w:iCs/>
          <w:color w:val="auto"/>
          <w:sz w:val="22"/>
          <w:szCs w:val="22"/>
          <w:highlight w:val="none"/>
          <w:u w:val="single"/>
        </w:rPr>
        <w:t>中明确的所属行业）</w:t>
      </w:r>
      <w:r>
        <w:rPr>
          <w:rFonts w:hint="eastAsia" w:ascii="宋体" w:hAnsi="宋体" w:cs="宋体"/>
          <w:color w:val="auto"/>
          <w:sz w:val="22"/>
          <w:szCs w:val="22"/>
          <w:highlight w:val="none"/>
        </w:rPr>
        <w:t>；承建（承接）企业为</w:t>
      </w:r>
      <w:r>
        <w:rPr>
          <w:rFonts w:hint="eastAsia" w:ascii="宋体" w:hAnsi="宋体" w:cs="宋体"/>
          <w:i/>
          <w:iCs/>
          <w:color w:val="auto"/>
          <w:sz w:val="22"/>
          <w:szCs w:val="22"/>
          <w:highlight w:val="none"/>
          <w:u w:val="single"/>
        </w:rPr>
        <w:t>（企业名称）</w:t>
      </w:r>
      <w:r>
        <w:rPr>
          <w:rFonts w:hint="eastAsia" w:ascii="宋体" w:hAnsi="宋体" w:cs="宋体"/>
          <w:color w:val="auto"/>
          <w:sz w:val="22"/>
          <w:szCs w:val="22"/>
          <w:highlight w:val="none"/>
        </w:rPr>
        <w:t>，从业人员人，营业收入为万元，资产总额为万元，属于</w:t>
      </w:r>
      <w:r>
        <w:rPr>
          <w:rFonts w:hint="eastAsia" w:ascii="宋体" w:hAnsi="宋体" w:cs="宋体"/>
          <w:i/>
          <w:iCs/>
          <w:color w:val="auto"/>
          <w:sz w:val="22"/>
          <w:szCs w:val="22"/>
          <w:highlight w:val="none"/>
          <w:u w:val="single"/>
        </w:rPr>
        <w:t>（中型企业、小型企业、微型企业）</w:t>
      </w:r>
      <w:r>
        <w:rPr>
          <w:rFonts w:hint="eastAsia" w:ascii="宋体" w:hAnsi="宋体" w:cs="宋体"/>
          <w:color w:val="auto"/>
          <w:sz w:val="22"/>
          <w:szCs w:val="22"/>
          <w:highlight w:val="none"/>
        </w:rPr>
        <w:t>；</w:t>
      </w:r>
    </w:p>
    <w:p w14:paraId="1AD3AA8A">
      <w:pPr>
        <w:spacing w:before="11" w:after="120" w:line="480" w:lineRule="exact"/>
        <w:ind w:left="860"/>
        <w:jc w:val="left"/>
        <w:rPr>
          <w:rFonts w:ascii="宋体" w:hAnsi="宋体" w:cs="宋体"/>
          <w:color w:val="auto"/>
          <w:sz w:val="22"/>
          <w:szCs w:val="22"/>
          <w:highlight w:val="none"/>
        </w:rPr>
      </w:pPr>
      <w:r>
        <w:rPr>
          <w:rFonts w:hint="eastAsia" w:ascii="宋体" w:hAnsi="宋体" w:cs="宋体"/>
          <w:color w:val="auto"/>
          <w:sz w:val="22"/>
          <w:szCs w:val="22"/>
          <w:highlight w:val="none"/>
        </w:rPr>
        <w:t>……</w:t>
      </w:r>
    </w:p>
    <w:p w14:paraId="06AA9B9C">
      <w:pPr>
        <w:spacing w:before="108" w:after="120" w:line="480" w:lineRule="exact"/>
        <w:ind w:right="417" w:firstLine="645"/>
        <w:jc w:val="left"/>
        <w:rPr>
          <w:rFonts w:ascii="宋体" w:hAnsi="宋体" w:cs="宋体"/>
          <w:color w:val="auto"/>
          <w:sz w:val="22"/>
          <w:szCs w:val="22"/>
          <w:highlight w:val="none"/>
        </w:rPr>
      </w:pPr>
      <w:r>
        <w:rPr>
          <w:rFonts w:hint="eastAsia" w:ascii="宋体" w:hAnsi="宋体" w:cs="宋体"/>
          <w:color w:val="auto"/>
          <w:sz w:val="22"/>
          <w:szCs w:val="22"/>
          <w:highlight w:val="none"/>
        </w:rPr>
        <w:t>以上企业，不属于大企业的分支机构，不存在控股股东为大企业的情形，也不存在与大企业的负责人为同一人的情形。</w:t>
      </w:r>
    </w:p>
    <w:p w14:paraId="7A5B8996">
      <w:pPr>
        <w:spacing w:after="120" w:line="480" w:lineRule="exact"/>
        <w:ind w:right="375" w:firstLine="860"/>
        <w:jc w:val="left"/>
        <w:rPr>
          <w:rFonts w:ascii="宋体" w:hAnsi="宋体" w:cs="宋体"/>
          <w:color w:val="auto"/>
          <w:sz w:val="22"/>
          <w:szCs w:val="22"/>
          <w:highlight w:val="none"/>
        </w:rPr>
      </w:pPr>
      <w:r>
        <w:rPr>
          <w:rFonts w:hint="eastAsia" w:ascii="宋体" w:hAnsi="宋体" w:cs="宋体"/>
          <w:color w:val="auto"/>
          <w:sz w:val="22"/>
          <w:szCs w:val="22"/>
          <w:highlight w:val="none"/>
        </w:rPr>
        <w:t>本企业对上述声明内容的真实性负责。如有虚假，将依法承担相应责任。</w:t>
      </w:r>
    </w:p>
    <w:p w14:paraId="2E2C4A4D">
      <w:pPr>
        <w:spacing w:before="29" w:after="120" w:line="480" w:lineRule="exact"/>
        <w:ind w:left="4060" w:right="2166"/>
        <w:jc w:val="left"/>
        <w:rPr>
          <w:rFonts w:ascii="宋体" w:hAnsi="宋体" w:cs="宋体"/>
          <w:color w:val="auto"/>
          <w:sz w:val="22"/>
          <w:szCs w:val="22"/>
          <w:highlight w:val="none"/>
        </w:rPr>
      </w:pPr>
    </w:p>
    <w:p w14:paraId="69917F6F">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供应商名称（盖章）：</w:t>
      </w:r>
    </w:p>
    <w:p w14:paraId="4F5AEF5D">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日期：      年    月     日</w:t>
      </w:r>
    </w:p>
    <w:p w14:paraId="70E12AA5">
      <w:pPr>
        <w:pStyle w:val="221"/>
        <w:spacing w:before="60" w:after="60"/>
        <w:ind w:firstLine="46"/>
        <w:rPr>
          <w:rFonts w:ascii="宋体" w:hAnsi="宋体" w:eastAsia="宋体" w:cs="宋体"/>
          <w:color w:val="auto"/>
          <w:sz w:val="22"/>
          <w:szCs w:val="22"/>
          <w:highlight w:val="none"/>
        </w:rPr>
      </w:pPr>
    </w:p>
    <w:p w14:paraId="2CB01712">
      <w:pPr>
        <w:spacing w:line="440" w:lineRule="exact"/>
        <w:rPr>
          <w:rFonts w:ascii="宋体" w:hAnsi="宋体" w:cs="宋体"/>
          <w:b/>
          <w:color w:val="auto"/>
          <w:sz w:val="22"/>
          <w:szCs w:val="22"/>
          <w:highlight w:val="none"/>
        </w:rPr>
      </w:pPr>
      <w:r>
        <w:rPr>
          <w:rFonts w:hint="eastAsia" w:ascii="宋体" w:hAnsi="宋体" w:cs="宋体"/>
          <w:b/>
          <w:color w:val="auto"/>
          <w:sz w:val="22"/>
          <w:szCs w:val="22"/>
          <w:highlight w:val="none"/>
        </w:rPr>
        <w:t>说明：</w:t>
      </w:r>
    </w:p>
    <w:p w14:paraId="5207050E">
      <w:pPr>
        <w:numPr>
          <w:ilvl w:val="0"/>
          <w:numId w:val="39"/>
        </w:numPr>
        <w:tabs>
          <w:tab w:val="left" w:pos="420"/>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本项目为对应的中小企业划分标准所属行业：</w:t>
      </w:r>
      <w:r>
        <w:rPr>
          <w:rFonts w:hint="eastAsia" w:ascii="宋体" w:hAnsi="宋体" w:cs="宋体"/>
          <w:b/>
          <w:color w:val="auto"/>
          <w:sz w:val="22"/>
          <w:szCs w:val="22"/>
          <w:highlight w:val="none"/>
          <w:lang w:val="en-US" w:eastAsia="zh-CN"/>
        </w:rPr>
        <w:t>其他未列明行业</w:t>
      </w:r>
      <w:r>
        <w:rPr>
          <w:rFonts w:hint="eastAsia" w:ascii="宋体" w:hAnsi="宋体" w:cs="宋体"/>
          <w:b/>
          <w:color w:val="auto"/>
          <w:sz w:val="22"/>
          <w:szCs w:val="22"/>
          <w:highlight w:val="none"/>
        </w:rPr>
        <w:t>。</w:t>
      </w:r>
    </w:p>
    <w:p w14:paraId="71BEDADA">
      <w:pPr>
        <w:numPr>
          <w:ilvl w:val="0"/>
          <w:numId w:val="39"/>
        </w:numPr>
        <w:tabs>
          <w:tab w:val="left" w:pos="420"/>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从业人员、营业收入、资产总额填报上一年度数据，无上一年度数据的新成立企业可不填报。</w:t>
      </w:r>
    </w:p>
    <w:p w14:paraId="313CDE57">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14:paraId="322D8C37">
      <w:pPr>
        <w:spacing w:beforeLines="100" w:line="440" w:lineRule="atLeast"/>
        <w:ind w:firstLine="440" w:firstLineChars="200"/>
        <w:jc w:val="right"/>
        <w:rPr>
          <w:rFonts w:ascii="宋体" w:hAnsi="宋体" w:cs="宋体"/>
          <w:color w:val="auto"/>
          <w:sz w:val="22"/>
          <w:szCs w:val="22"/>
          <w:highlight w:val="none"/>
        </w:rPr>
      </w:pPr>
      <w:r>
        <w:rPr>
          <w:rFonts w:hint="eastAsia" w:ascii="宋体" w:hAnsi="宋体" w:cs="宋体"/>
          <w:color w:val="auto"/>
          <w:sz w:val="22"/>
          <w:szCs w:val="22"/>
          <w:highlight w:val="none"/>
        </w:rPr>
        <w:t>               　　　　　</w:t>
      </w:r>
    </w:p>
    <w:p w14:paraId="336678E9">
      <w:pPr>
        <w:spacing w:line="440" w:lineRule="atLeast"/>
        <w:rPr>
          <w:rFonts w:ascii="宋体" w:hAnsi="宋体" w:cs="宋体"/>
          <w:color w:val="auto"/>
          <w:sz w:val="22"/>
          <w:szCs w:val="22"/>
          <w:highlight w:val="none"/>
        </w:rPr>
      </w:pPr>
    </w:p>
    <w:p w14:paraId="423AB305">
      <w:pPr>
        <w:spacing w:line="440" w:lineRule="atLeast"/>
        <w:jc w:val="center"/>
        <w:rPr>
          <w:rFonts w:ascii="宋体" w:hAnsi="宋体" w:cs="宋体"/>
          <w:color w:val="auto"/>
          <w:spacing w:val="6"/>
          <w:sz w:val="22"/>
          <w:szCs w:val="22"/>
          <w:highlight w:val="none"/>
        </w:rPr>
      </w:pPr>
      <w:r>
        <w:rPr>
          <w:rFonts w:hint="eastAsia" w:ascii="宋体" w:hAnsi="宋体" w:cs="宋体"/>
          <w:b/>
          <w:color w:val="auto"/>
          <w:sz w:val="22"/>
          <w:szCs w:val="22"/>
          <w:highlight w:val="none"/>
        </w:rPr>
        <w:t>（5）</w:t>
      </w:r>
      <w:r>
        <w:rPr>
          <w:rFonts w:hint="eastAsia" w:ascii="宋体" w:hAnsi="宋体" w:cs="宋体"/>
          <w:b/>
          <w:color w:val="auto"/>
          <w:spacing w:val="6"/>
          <w:sz w:val="22"/>
          <w:szCs w:val="22"/>
          <w:highlight w:val="none"/>
        </w:rPr>
        <w:t>残疾人福利性单位声明函</w:t>
      </w:r>
    </w:p>
    <w:p w14:paraId="5584BF0A">
      <w:pPr>
        <w:widowControl/>
        <w:adjustRightInd w:val="0"/>
        <w:snapToGrid w:val="0"/>
        <w:spacing w:line="324" w:lineRule="auto"/>
        <w:ind w:firstLine="440" w:firstLineChars="20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【不属于残疾人福利性单位的无需填写、递交】</w:t>
      </w:r>
    </w:p>
    <w:p w14:paraId="341BDADC">
      <w:pPr>
        <w:snapToGrid w:val="0"/>
        <w:spacing w:line="300" w:lineRule="auto"/>
        <w:jc w:val="center"/>
        <w:rPr>
          <w:rFonts w:ascii="宋体" w:hAnsi="宋体" w:cs="宋体"/>
          <w:b/>
          <w:bCs/>
          <w:color w:val="auto"/>
          <w:sz w:val="22"/>
          <w:szCs w:val="22"/>
          <w:highlight w:val="none"/>
        </w:rPr>
      </w:pPr>
    </w:p>
    <w:p w14:paraId="3B9493A8">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本单位郑重声明，根据《财政部民政部中国残疾人联合会关于促进残疾人就业政府采购政策的通知》（财库</w:t>
      </w:r>
      <w:r>
        <w:rPr>
          <w:rFonts w:hint="eastAsia" w:ascii="宋体" w:hAnsi="宋体" w:cs="宋体"/>
          <w:color w:val="auto"/>
          <w:sz w:val="22"/>
          <w:szCs w:val="22"/>
          <w:highlight w:val="none"/>
        </w:rPr>
        <w:t>〔2017〕141</w:t>
      </w:r>
      <w:r>
        <w:rPr>
          <w:rFonts w:hint="eastAsia" w:ascii="宋体" w:hAnsi="宋体" w:cs="宋体"/>
          <w:color w:val="auto"/>
          <w:spacing w:val="6"/>
          <w:sz w:val="22"/>
          <w:szCs w:val="22"/>
          <w:highlight w:val="none"/>
        </w:rPr>
        <w:t>号）的规定，本单位为符合条件的残疾人福利性单位，且本单位参加</w:t>
      </w:r>
      <w:r>
        <w:rPr>
          <w:rFonts w:hint="eastAsia" w:ascii="宋体" w:hAnsi="宋体" w:cs="宋体"/>
          <w:color w:val="auto"/>
          <w:spacing w:val="6"/>
          <w:sz w:val="22"/>
          <w:szCs w:val="22"/>
          <w:highlight w:val="none"/>
          <w:u w:val="single"/>
        </w:rPr>
        <w:t>（采购人名称）</w:t>
      </w:r>
      <w:r>
        <w:rPr>
          <w:rFonts w:hint="eastAsia" w:ascii="宋体" w:hAnsi="宋体" w:cs="宋体"/>
          <w:color w:val="auto"/>
          <w:spacing w:val="6"/>
          <w:sz w:val="22"/>
          <w:szCs w:val="22"/>
          <w:highlight w:val="none"/>
        </w:rPr>
        <w:t>单位的</w:t>
      </w:r>
      <w:r>
        <w:rPr>
          <w:rFonts w:hint="eastAsia" w:ascii="宋体" w:hAnsi="宋体" w:cs="宋体"/>
          <w:color w:val="auto"/>
          <w:spacing w:val="6"/>
          <w:sz w:val="22"/>
          <w:szCs w:val="22"/>
          <w:highlight w:val="none"/>
          <w:u w:val="single"/>
        </w:rPr>
        <w:t>（项目名称）</w:t>
      </w:r>
      <w:r>
        <w:rPr>
          <w:rFonts w:hint="eastAsia" w:ascii="宋体" w:hAnsi="宋体" w:cs="宋体"/>
          <w:color w:val="auto"/>
          <w:spacing w:val="6"/>
          <w:sz w:val="22"/>
          <w:szCs w:val="22"/>
          <w:highlight w:val="none"/>
        </w:rPr>
        <w:t>项目采购活动提供本单位制造的货物（由本单位承担工程/提供服务），或者提供其他残疾人福利性单位制造的货物（不包括使用非残疾人福利性单位注册商标的货物）。</w:t>
      </w:r>
    </w:p>
    <w:p w14:paraId="77018C5A">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本单位对上述声明的真实性负责。如有虚假，将依法承担相应责任。</w:t>
      </w:r>
    </w:p>
    <w:p w14:paraId="576B2A7A">
      <w:pPr>
        <w:snapToGrid w:val="0"/>
        <w:spacing w:line="300" w:lineRule="auto"/>
        <w:ind w:firstLine="464" w:firstLineChars="200"/>
        <w:rPr>
          <w:rFonts w:ascii="宋体" w:hAnsi="宋体" w:cs="宋体"/>
          <w:color w:val="auto"/>
          <w:spacing w:val="6"/>
          <w:sz w:val="22"/>
          <w:szCs w:val="22"/>
          <w:highlight w:val="none"/>
        </w:rPr>
      </w:pPr>
    </w:p>
    <w:p w14:paraId="5F58722D">
      <w:pPr>
        <w:snapToGrid w:val="0"/>
        <w:spacing w:line="300" w:lineRule="auto"/>
        <w:ind w:firstLine="464" w:firstLineChars="200"/>
        <w:rPr>
          <w:rFonts w:ascii="宋体" w:hAnsi="宋体" w:cs="宋体"/>
          <w:color w:val="auto"/>
          <w:spacing w:val="6"/>
          <w:sz w:val="22"/>
          <w:szCs w:val="22"/>
          <w:highlight w:val="none"/>
        </w:rPr>
      </w:pPr>
    </w:p>
    <w:p w14:paraId="314C8167">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供应商名称（盖章）：</w:t>
      </w:r>
    </w:p>
    <w:p w14:paraId="3C7D58DC">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日期：      年    月     日</w:t>
      </w:r>
    </w:p>
    <w:p w14:paraId="0F1F806F">
      <w:pPr>
        <w:adjustRightInd w:val="0"/>
        <w:snapToGrid w:val="0"/>
        <w:spacing w:line="300" w:lineRule="auto"/>
        <w:ind w:firstLine="440" w:firstLineChars="200"/>
        <w:rPr>
          <w:rFonts w:ascii="宋体" w:hAnsi="宋体" w:cs="宋体"/>
          <w:color w:val="auto"/>
          <w:kern w:val="0"/>
          <w:sz w:val="22"/>
          <w:szCs w:val="22"/>
          <w:highlight w:val="none"/>
        </w:rPr>
      </w:pPr>
    </w:p>
    <w:p w14:paraId="4474A15F">
      <w:pPr>
        <w:pStyle w:val="27"/>
        <w:rPr>
          <w:rFonts w:ascii="宋体" w:hAnsi="宋体" w:eastAsia="宋体" w:cs="宋体"/>
          <w:color w:val="auto"/>
          <w:highlight w:val="none"/>
        </w:rPr>
      </w:pPr>
    </w:p>
    <w:p w14:paraId="5FBA889D">
      <w:pPr>
        <w:adjustRightInd w:val="0"/>
        <w:snapToGrid w:val="0"/>
        <w:spacing w:line="300" w:lineRule="auto"/>
        <w:ind w:firstLine="440" w:firstLineChars="200"/>
        <w:rPr>
          <w:rFonts w:ascii="宋体" w:hAnsi="宋体" w:cs="宋体"/>
          <w:color w:val="auto"/>
          <w:kern w:val="0"/>
          <w:sz w:val="22"/>
          <w:szCs w:val="22"/>
          <w:highlight w:val="none"/>
        </w:rPr>
      </w:pPr>
    </w:p>
    <w:p w14:paraId="2B1834AD">
      <w:pPr>
        <w:spacing w:line="440" w:lineRule="atLeast"/>
        <w:rPr>
          <w:rFonts w:ascii="宋体" w:hAnsi="宋体" w:cs="宋体"/>
          <w:color w:val="auto"/>
          <w:sz w:val="22"/>
          <w:szCs w:val="22"/>
          <w:highlight w:val="none"/>
        </w:rPr>
      </w:pPr>
    </w:p>
    <w:p w14:paraId="6056F426">
      <w:pPr>
        <w:adjustRightInd w:val="0"/>
        <w:snapToGrid w:val="0"/>
        <w:spacing w:line="300" w:lineRule="auto"/>
        <w:jc w:val="center"/>
        <w:rPr>
          <w:rFonts w:ascii="宋体" w:hAnsi="宋体" w:cs="宋体"/>
          <w:color w:val="auto"/>
          <w:kern w:val="0"/>
          <w:sz w:val="22"/>
          <w:szCs w:val="22"/>
          <w:highlight w:val="none"/>
        </w:rPr>
      </w:pPr>
      <w:r>
        <w:rPr>
          <w:rFonts w:hint="eastAsia" w:ascii="宋体" w:hAnsi="宋体" w:cs="宋体"/>
          <w:b/>
          <w:color w:val="auto"/>
          <w:sz w:val="22"/>
          <w:szCs w:val="22"/>
          <w:highlight w:val="none"/>
        </w:rPr>
        <w:t>（6）</w:t>
      </w:r>
      <w:r>
        <w:rPr>
          <w:rFonts w:hint="eastAsia" w:ascii="宋体" w:hAnsi="宋体" w:cs="宋体"/>
          <w:b/>
          <w:color w:val="auto"/>
          <w:spacing w:val="6"/>
          <w:sz w:val="22"/>
          <w:szCs w:val="22"/>
          <w:highlight w:val="none"/>
        </w:rPr>
        <w:t>监狱企业声明函</w:t>
      </w:r>
    </w:p>
    <w:p w14:paraId="6EA2FF77">
      <w:pPr>
        <w:snapToGrid w:val="0"/>
        <w:spacing w:line="300" w:lineRule="auto"/>
        <w:ind w:firstLine="464" w:firstLineChars="200"/>
        <w:jc w:val="center"/>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【非监狱企业不用提供】</w:t>
      </w:r>
    </w:p>
    <w:p w14:paraId="2A70D733">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 xml:space="preserve">本企业郑重声明，根据《关于政府采购支持监狱企业发展有关问题的通知》（财库[2014]68号）的规定，本企业为监狱企业。 </w:t>
      </w:r>
    </w:p>
    <w:p w14:paraId="28E1ECF2">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 xml:space="preserve">根据上述标准，我企业属于监狱企业的理由为：。 </w:t>
      </w:r>
    </w:p>
    <w:p w14:paraId="22D77201">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本企业为参加（项目名称</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）（项目编号</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 xml:space="preserve">）采购活动并承担本工程。 </w:t>
      </w:r>
    </w:p>
    <w:p w14:paraId="0D555794">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 xml:space="preserve">本企业对上述声明的真实性负责。如有虚假，将依法承担相应责任。 </w:t>
      </w:r>
    </w:p>
    <w:p w14:paraId="1FDD4D68">
      <w:pPr>
        <w:tabs>
          <w:tab w:val="left" w:pos="4860"/>
        </w:tabs>
        <w:spacing w:line="588" w:lineRule="exact"/>
        <w:ind w:right="1560" w:firstLine="464" w:firstLineChars="200"/>
        <w:jc w:val="center"/>
        <w:rPr>
          <w:rFonts w:ascii="宋体" w:hAnsi="宋体" w:cs="宋体"/>
          <w:color w:val="auto"/>
          <w:spacing w:val="6"/>
          <w:sz w:val="22"/>
          <w:szCs w:val="22"/>
          <w:highlight w:val="none"/>
        </w:rPr>
      </w:pPr>
    </w:p>
    <w:p w14:paraId="18BBDE2B">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供应商名称（盖章）：</w:t>
      </w:r>
    </w:p>
    <w:p w14:paraId="1BFC918E">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日期：      年    月     日</w:t>
      </w:r>
    </w:p>
    <w:p w14:paraId="5B1502EE">
      <w:pPr>
        <w:pStyle w:val="50"/>
        <w:rPr>
          <w:rFonts w:ascii="宋体" w:hAnsi="宋体" w:cs="宋体"/>
          <w:color w:val="auto"/>
          <w:sz w:val="22"/>
          <w:szCs w:val="22"/>
          <w:highlight w:val="none"/>
        </w:rPr>
      </w:pPr>
    </w:p>
    <w:p w14:paraId="06BFC7D7">
      <w:pPr>
        <w:pStyle w:val="50"/>
        <w:rPr>
          <w:rFonts w:ascii="宋体" w:hAnsi="宋体" w:cs="宋体"/>
          <w:color w:val="auto"/>
          <w:sz w:val="22"/>
          <w:szCs w:val="22"/>
          <w:highlight w:val="none"/>
        </w:rPr>
      </w:pPr>
    </w:p>
    <w:p w14:paraId="2E8EC5F1">
      <w:pPr>
        <w:pStyle w:val="23"/>
        <w:snapToGrid w:val="0"/>
        <w:spacing w:line="324" w:lineRule="auto"/>
        <w:jc w:val="center"/>
        <w:rPr>
          <w:rFonts w:hint="eastAsia" w:hAnsi="宋体" w:cs="宋体"/>
          <w:b/>
          <w:bCs/>
          <w:color w:val="auto"/>
          <w:sz w:val="22"/>
          <w:szCs w:val="22"/>
          <w:highlight w:val="none"/>
        </w:rPr>
      </w:pPr>
      <w:r>
        <w:rPr>
          <w:rFonts w:hint="eastAsia" w:ascii="宋体" w:hAnsi="宋体" w:cs="宋体"/>
          <w:color w:val="auto"/>
          <w:sz w:val="22"/>
          <w:szCs w:val="22"/>
          <w:highlight w:val="none"/>
        </w:rPr>
        <w:br w:type="page"/>
      </w:r>
    </w:p>
    <w:p w14:paraId="48B1AF82">
      <w:pPr>
        <w:pStyle w:val="23"/>
        <w:snapToGrid w:val="0"/>
        <w:spacing w:line="324" w:lineRule="auto"/>
        <w:jc w:val="center"/>
        <w:rPr>
          <w:rFonts w:hAnsi="宋体" w:cs="宋体"/>
          <w:b/>
          <w:bCs/>
          <w:color w:val="auto"/>
          <w:sz w:val="22"/>
          <w:szCs w:val="22"/>
          <w:highlight w:val="none"/>
        </w:rPr>
      </w:pPr>
      <w:r>
        <w:rPr>
          <w:rFonts w:hint="eastAsia"/>
          <w:color w:val="auto"/>
          <w:highlight w:val="none"/>
          <w:lang w:eastAsia="zh-CN"/>
        </w:rPr>
        <w:t>（</w:t>
      </w:r>
      <w:r>
        <w:rPr>
          <w:rFonts w:hint="eastAsia" w:hAnsi="宋体"/>
          <w:b/>
          <w:bCs/>
          <w:color w:val="auto"/>
          <w:sz w:val="22"/>
          <w:szCs w:val="22"/>
          <w:highlight w:val="none"/>
          <w:lang w:val="en-US" w:eastAsia="zh-CN"/>
        </w:rPr>
        <w:t>7</w:t>
      </w:r>
      <w:r>
        <w:rPr>
          <w:rFonts w:hint="eastAsia" w:hAnsi="宋体"/>
          <w:b/>
          <w:bCs/>
          <w:color w:val="auto"/>
          <w:sz w:val="22"/>
          <w:szCs w:val="22"/>
          <w:highlight w:val="none"/>
        </w:rPr>
        <w:t>）</w:t>
      </w:r>
      <w:r>
        <w:rPr>
          <w:rFonts w:hint="eastAsia" w:hAnsi="宋体" w:cs="宋体"/>
          <w:b/>
          <w:bCs/>
          <w:color w:val="auto"/>
          <w:sz w:val="22"/>
          <w:szCs w:val="22"/>
          <w:highlight w:val="none"/>
        </w:rPr>
        <w:t>联合体协议书</w:t>
      </w:r>
    </w:p>
    <w:p w14:paraId="1754BCC2">
      <w:pPr>
        <w:pStyle w:val="16"/>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（适用于联合体）</w:t>
      </w:r>
    </w:p>
    <w:p w14:paraId="48D746FD">
      <w:pPr>
        <w:pStyle w:val="17"/>
        <w:ind w:firstLine="220"/>
        <w:rPr>
          <w:rFonts w:ascii="宋体" w:hAnsi="宋体" w:cs="宋体"/>
          <w:color w:val="auto"/>
          <w:sz w:val="22"/>
          <w:szCs w:val="22"/>
          <w:highlight w:val="none"/>
        </w:rPr>
      </w:pPr>
    </w:p>
    <w:p w14:paraId="42BB2C58">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 xml:space="preserve">     （所有联合体成员名称）    </w:t>
      </w:r>
      <w:r>
        <w:rPr>
          <w:rFonts w:hint="eastAsia" w:ascii="宋体" w:hAnsi="宋体" w:cs="宋体"/>
          <w:color w:val="auto"/>
          <w:sz w:val="22"/>
          <w:szCs w:val="22"/>
          <w:highlight w:val="none"/>
        </w:rPr>
        <w:t>自愿组成联合体，参加</w:t>
      </w:r>
      <w:r>
        <w:rPr>
          <w:rFonts w:hint="eastAsia" w:ascii="宋体" w:hAnsi="宋体" w:cs="宋体"/>
          <w:color w:val="auto"/>
          <w:sz w:val="22"/>
          <w:szCs w:val="22"/>
          <w:highlight w:val="none"/>
          <w:u w:val="single"/>
        </w:rPr>
        <w:t xml:space="preserve">      （项目名称）</w:t>
      </w:r>
      <w:r>
        <w:rPr>
          <w:rFonts w:hint="eastAsia" w:ascii="宋体" w:hAnsi="宋体" w:cs="宋体"/>
          <w:color w:val="auto"/>
          <w:sz w:val="22"/>
          <w:szCs w:val="22"/>
          <w:highlight w:val="none"/>
        </w:rPr>
        <w:t>投标。现就有关事宜订立协议如下：</w:t>
      </w:r>
      <w:r>
        <w:rPr>
          <w:rFonts w:hint="eastAsia" w:ascii="宋体" w:hAnsi="宋体" w:cs="宋体"/>
          <w:color w:val="auto"/>
          <w:sz w:val="22"/>
          <w:szCs w:val="22"/>
          <w:highlight w:val="none"/>
        </w:rPr>
        <w:br w:type="textWrapping"/>
      </w:r>
      <w:r>
        <w:rPr>
          <w:rFonts w:hint="eastAsia" w:ascii="宋体" w:hAnsi="宋体" w:cs="宋体"/>
          <w:color w:val="auto"/>
          <w:sz w:val="22"/>
          <w:szCs w:val="22"/>
          <w:highlight w:val="none"/>
        </w:rPr>
        <w:t xml:space="preserve">    1．</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u w:val="single"/>
          <w:lang w:eastAsia="zh-CN"/>
        </w:rPr>
        <w:t>（</w:t>
      </w:r>
      <w:r>
        <w:rPr>
          <w:rFonts w:hint="eastAsia" w:ascii="宋体" w:hAnsi="宋体" w:cs="宋体"/>
          <w:color w:val="auto"/>
          <w:sz w:val="22"/>
          <w:szCs w:val="22"/>
          <w:highlight w:val="none"/>
          <w:u w:val="single"/>
        </w:rPr>
        <w:t xml:space="preserve">联合体成员）   </w:t>
      </w:r>
      <w:r>
        <w:rPr>
          <w:rFonts w:hint="eastAsia" w:ascii="宋体" w:hAnsi="宋体" w:cs="宋体"/>
          <w:color w:val="auto"/>
          <w:sz w:val="22"/>
          <w:szCs w:val="22"/>
          <w:highlight w:val="none"/>
        </w:rPr>
        <w:t>为联合体牵头人，</w:t>
      </w:r>
      <w:r>
        <w:rPr>
          <w:rFonts w:hint="eastAsia" w:ascii="宋体" w:hAnsi="宋体" w:cs="宋体"/>
          <w:color w:val="auto"/>
          <w:sz w:val="22"/>
          <w:szCs w:val="22"/>
          <w:highlight w:val="none"/>
          <w:lang w:val="zh-CN" w:bidi="zh-CN"/>
        </w:rPr>
        <w:t>属于</w:t>
      </w:r>
      <w:r>
        <w:rPr>
          <w:rFonts w:hint="eastAsia" w:ascii="宋体" w:hAnsi="宋体" w:cs="宋体"/>
          <w:color w:val="auto"/>
          <w:sz w:val="22"/>
          <w:szCs w:val="22"/>
          <w:highlight w:val="none"/>
          <w:u w:val="single"/>
          <w:lang w:val="zh-CN" w:bidi="zh-CN"/>
        </w:rPr>
        <w:t>（</w:t>
      </w:r>
      <w:r>
        <w:rPr>
          <w:rFonts w:hint="eastAsia" w:ascii="宋体" w:hAnsi="宋体" w:cs="宋体"/>
          <w:color w:val="auto"/>
          <w:sz w:val="22"/>
          <w:szCs w:val="22"/>
          <w:highlight w:val="none"/>
          <w:u w:val="single"/>
          <w:lang w:bidi="zh-CN"/>
        </w:rPr>
        <w:t>大</w:t>
      </w:r>
      <w:r>
        <w:rPr>
          <w:rFonts w:hint="eastAsia" w:ascii="宋体" w:hAnsi="宋体" w:cs="宋体"/>
          <w:color w:val="auto"/>
          <w:sz w:val="22"/>
          <w:szCs w:val="22"/>
          <w:highlight w:val="none"/>
          <w:u w:val="single"/>
          <w:lang w:val="zh-CN" w:bidi="zh-CN"/>
        </w:rPr>
        <w:t>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中型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小型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微型）</w:t>
      </w:r>
      <w:r>
        <w:rPr>
          <w:rFonts w:hint="eastAsia" w:ascii="宋体" w:hAnsi="宋体" w:cs="宋体"/>
          <w:color w:val="auto"/>
          <w:sz w:val="22"/>
          <w:szCs w:val="22"/>
          <w:highlight w:val="none"/>
          <w:u w:val="none"/>
          <w:lang w:val="zh-CN" w:bidi="zh-CN"/>
        </w:rPr>
        <w:t>企业</w:t>
      </w:r>
      <w:r>
        <w:rPr>
          <w:rFonts w:hint="eastAsia" w:ascii="宋体" w:hAnsi="宋体" w:cs="宋体"/>
          <w:color w:val="auto"/>
          <w:sz w:val="22"/>
          <w:szCs w:val="22"/>
          <w:highlight w:val="none"/>
          <w:lang w:val="zh-CN" w:bidi="zh-CN"/>
        </w:rPr>
        <w:t>；</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u w:val="single"/>
          <w:lang w:eastAsia="zh-CN"/>
        </w:rPr>
        <w:t>（</w:t>
      </w:r>
      <w:r>
        <w:rPr>
          <w:rFonts w:hint="eastAsia" w:ascii="宋体" w:hAnsi="宋体" w:cs="宋体"/>
          <w:color w:val="auto"/>
          <w:sz w:val="22"/>
          <w:szCs w:val="22"/>
          <w:highlight w:val="none"/>
          <w:u w:val="single"/>
        </w:rPr>
        <w:t xml:space="preserve">联合体成员）    </w:t>
      </w:r>
      <w:r>
        <w:rPr>
          <w:rFonts w:hint="eastAsia" w:ascii="宋体" w:hAnsi="宋体" w:cs="宋体"/>
          <w:color w:val="auto"/>
          <w:sz w:val="22"/>
          <w:szCs w:val="22"/>
          <w:highlight w:val="none"/>
        </w:rPr>
        <w:t>为联合体成员，</w:t>
      </w:r>
      <w:r>
        <w:rPr>
          <w:rFonts w:hint="eastAsia" w:ascii="宋体" w:hAnsi="宋体" w:cs="宋体"/>
          <w:color w:val="auto"/>
          <w:sz w:val="22"/>
          <w:szCs w:val="22"/>
          <w:highlight w:val="none"/>
          <w:lang w:val="zh-CN" w:bidi="zh-CN"/>
        </w:rPr>
        <w:t>属于</w:t>
      </w:r>
      <w:r>
        <w:rPr>
          <w:rFonts w:hint="eastAsia" w:ascii="宋体" w:hAnsi="宋体" w:cs="宋体"/>
          <w:color w:val="auto"/>
          <w:sz w:val="22"/>
          <w:szCs w:val="22"/>
          <w:highlight w:val="none"/>
          <w:u w:val="single"/>
          <w:lang w:val="zh-CN" w:bidi="zh-CN"/>
        </w:rPr>
        <w:t>（</w:t>
      </w:r>
      <w:r>
        <w:rPr>
          <w:rFonts w:hint="eastAsia" w:ascii="宋体" w:hAnsi="宋体" w:cs="宋体"/>
          <w:color w:val="auto"/>
          <w:sz w:val="22"/>
          <w:szCs w:val="22"/>
          <w:highlight w:val="none"/>
          <w:u w:val="single"/>
          <w:lang w:bidi="zh-CN"/>
        </w:rPr>
        <w:t>大</w:t>
      </w:r>
      <w:r>
        <w:rPr>
          <w:rFonts w:hint="eastAsia" w:ascii="宋体" w:hAnsi="宋体" w:cs="宋体"/>
          <w:color w:val="auto"/>
          <w:sz w:val="22"/>
          <w:szCs w:val="22"/>
          <w:highlight w:val="none"/>
          <w:u w:val="single"/>
          <w:lang w:val="zh-CN" w:bidi="zh-CN"/>
        </w:rPr>
        <w:t>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中型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小型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微型）</w:t>
      </w:r>
      <w:r>
        <w:rPr>
          <w:rFonts w:hint="eastAsia" w:ascii="宋体" w:hAnsi="宋体" w:cs="宋体"/>
          <w:color w:val="auto"/>
          <w:sz w:val="22"/>
          <w:szCs w:val="22"/>
          <w:highlight w:val="none"/>
          <w:u w:val="none"/>
          <w:lang w:val="zh-CN" w:bidi="zh-CN"/>
        </w:rPr>
        <w:t>企业</w:t>
      </w:r>
      <w:r>
        <w:rPr>
          <w:rFonts w:hint="eastAsia" w:ascii="宋体" w:hAnsi="宋体" w:cs="宋体"/>
          <w:color w:val="auto"/>
          <w:sz w:val="22"/>
          <w:szCs w:val="22"/>
          <w:highlight w:val="none"/>
        </w:rPr>
        <w:t>；</w:t>
      </w:r>
    </w:p>
    <w:p w14:paraId="58DBDD39">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2．联合体内部有关事项规定如下：</w:t>
      </w:r>
    </w:p>
    <w:p w14:paraId="5341FF76">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（1）联合体由牵头人负责与业主联系；</w:t>
      </w:r>
    </w:p>
    <w:p w14:paraId="38B74D90">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（2）投标工作由联合体牵头人负责，由双方组成的投标小组具体实施；联合体牵头人负责对投标文件进行签字或盖章；</w:t>
      </w:r>
    </w:p>
    <w:p w14:paraId="09826E9F">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（3）联合体将严格按照招标文件的各项要求，递交投标文件，切实执行一切合同文件，共同承担合同规定的一切义务和责任，同时按照内部职责的划分，承担自身所负的责任和风险；</w:t>
      </w:r>
    </w:p>
    <w:p w14:paraId="757D9EE3">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u w:val="single"/>
        </w:rPr>
      </w:pPr>
      <w:r>
        <w:rPr>
          <w:rFonts w:hint="eastAsia" w:ascii="宋体" w:hAnsi="宋体" w:cs="宋体"/>
          <w:color w:val="auto"/>
          <w:sz w:val="22"/>
          <w:szCs w:val="22"/>
          <w:highlight w:val="none"/>
        </w:rPr>
        <w:t>（4）联合体各成员单位内部的职责分工如下：</w:t>
      </w:r>
      <w:r>
        <w:rPr>
          <w:rFonts w:hint="eastAsia" w:ascii="宋体" w:hAnsi="宋体" w:cs="宋体"/>
          <w:color w:val="auto"/>
          <w:sz w:val="22"/>
          <w:szCs w:val="22"/>
          <w:highlight w:val="none"/>
          <w:u w:val="single"/>
        </w:rPr>
        <w:t xml:space="preserve">                                    </w:t>
      </w:r>
    </w:p>
    <w:p w14:paraId="0D8D7952">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（5）联合体各成员约定</w:t>
      </w:r>
      <w:r>
        <w:rPr>
          <w:rFonts w:hint="eastAsia" w:ascii="宋体" w:hAnsi="宋体" w:cs="宋体"/>
          <w:color w:val="auto"/>
          <w:sz w:val="22"/>
          <w:szCs w:val="22"/>
          <w:highlight w:val="none"/>
          <w:u w:val="single"/>
        </w:rPr>
        <w:t xml:space="preserve">     （联合体成员）      </w:t>
      </w:r>
      <w:r>
        <w:rPr>
          <w:rFonts w:hint="eastAsia" w:ascii="宋体" w:hAnsi="宋体" w:cs="宋体"/>
          <w:color w:val="auto"/>
          <w:sz w:val="22"/>
          <w:szCs w:val="22"/>
          <w:highlight w:val="none"/>
        </w:rPr>
        <w:t>的</w:t>
      </w:r>
      <w:r>
        <w:rPr>
          <w:rFonts w:hint="eastAsia" w:ascii="宋体" w:hAnsi="宋体" w:cs="宋体"/>
          <w:color w:val="auto"/>
          <w:sz w:val="22"/>
          <w:szCs w:val="22"/>
          <w:highlight w:val="none"/>
          <w:lang w:val="zh-CN"/>
        </w:rPr>
        <w:t>合同份额占到合同总金额</w:t>
      </w:r>
      <w:r>
        <w:rPr>
          <w:rFonts w:hint="eastAsia" w:ascii="宋体" w:hAnsi="宋体" w:cs="宋体"/>
          <w:color w:val="auto"/>
          <w:sz w:val="22"/>
          <w:szCs w:val="22"/>
          <w:highlight w:val="none"/>
        </w:rPr>
        <w:t>的</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lang w:val="zh-CN"/>
        </w:rPr>
        <w:t>%；</w:t>
      </w:r>
    </w:p>
    <w:p w14:paraId="4A92273B">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u w:val="single"/>
        </w:rPr>
      </w:pPr>
      <w:r>
        <w:rPr>
          <w:rFonts w:hint="eastAsia" w:ascii="宋体" w:hAnsi="宋体" w:cs="宋体"/>
          <w:color w:val="auto"/>
          <w:sz w:val="22"/>
          <w:szCs w:val="22"/>
          <w:highlight w:val="none"/>
        </w:rPr>
        <w:t>（6）投标工作和联合体在</w:t>
      </w:r>
      <w:r>
        <w:rPr>
          <w:rFonts w:hint="eastAsia" w:ascii="宋体" w:hAnsi="宋体" w:cs="宋体"/>
          <w:color w:val="auto"/>
          <w:sz w:val="22"/>
          <w:szCs w:val="22"/>
          <w:highlight w:val="none"/>
          <w:lang w:eastAsia="zh-CN"/>
        </w:rPr>
        <w:t>中标（成交）</w:t>
      </w:r>
      <w:r>
        <w:rPr>
          <w:rFonts w:hint="eastAsia" w:ascii="宋体" w:hAnsi="宋体" w:cs="宋体"/>
          <w:color w:val="auto"/>
          <w:sz w:val="22"/>
          <w:szCs w:val="22"/>
          <w:highlight w:val="none"/>
        </w:rPr>
        <w:t>后</w:t>
      </w:r>
      <w:r>
        <w:rPr>
          <w:rFonts w:hint="eastAsia" w:ascii="宋体" w:hAnsi="宋体" w:cs="宋体"/>
          <w:color w:val="auto"/>
          <w:sz w:val="22"/>
          <w:szCs w:val="22"/>
          <w:highlight w:val="none"/>
          <w:lang w:val="en-US" w:eastAsia="zh-CN"/>
        </w:rPr>
        <w:t>项目</w:t>
      </w:r>
      <w:r>
        <w:rPr>
          <w:rFonts w:hint="eastAsia" w:ascii="宋体" w:hAnsi="宋体" w:cs="宋体"/>
          <w:color w:val="auto"/>
          <w:sz w:val="22"/>
          <w:szCs w:val="22"/>
          <w:highlight w:val="none"/>
        </w:rPr>
        <w:t>实施过程中的有关费用按各自承担的工作量分摊。</w:t>
      </w:r>
    </w:p>
    <w:p w14:paraId="233427D8">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3．本协议书自签署之日起生效，合同履行完毕后自动失效。</w:t>
      </w:r>
    </w:p>
    <w:p w14:paraId="715CC4C9">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p>
    <w:p w14:paraId="25A6D559">
      <w:pPr>
        <w:widowControl/>
        <w:tabs>
          <w:tab w:val="left" w:pos="482"/>
          <w:tab w:val="left" w:pos="2183"/>
          <w:tab w:val="left" w:pos="3884"/>
          <w:tab w:val="left" w:pos="5585"/>
        </w:tabs>
        <w:spacing w:before="100" w:beforeAutospacing="1" w:after="100" w:afterAutospacing="1" w:line="400" w:lineRule="exact"/>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 xml:space="preserve">联合体牵头人名称（盖章）：       </w:t>
      </w:r>
    </w:p>
    <w:p w14:paraId="7A0946A0">
      <w:pPr>
        <w:widowControl/>
        <w:tabs>
          <w:tab w:val="left" w:pos="482"/>
          <w:tab w:val="left" w:pos="2183"/>
          <w:tab w:val="left" w:pos="3884"/>
          <w:tab w:val="left" w:pos="5585"/>
        </w:tabs>
        <w:spacing w:before="100" w:beforeAutospacing="1" w:after="100" w:afterAutospacing="1" w:line="400" w:lineRule="exact"/>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法定代表人（签字或盖章）</w:t>
      </w:r>
    </w:p>
    <w:p w14:paraId="0EE58DD6">
      <w:pPr>
        <w:widowControl/>
        <w:tabs>
          <w:tab w:val="left" w:pos="482"/>
          <w:tab w:val="left" w:pos="2183"/>
          <w:tab w:val="left" w:pos="3884"/>
          <w:tab w:val="left" w:pos="5585"/>
        </w:tabs>
        <w:spacing w:before="100" w:beforeAutospacing="1" w:after="100" w:afterAutospacing="1" w:line="400" w:lineRule="exact"/>
        <w:jc w:val="left"/>
        <w:rPr>
          <w:rFonts w:ascii="宋体" w:hAnsi="宋体" w:cs="宋体"/>
          <w:color w:val="auto"/>
          <w:sz w:val="22"/>
          <w:szCs w:val="22"/>
          <w:highlight w:val="none"/>
        </w:rPr>
      </w:pPr>
    </w:p>
    <w:p w14:paraId="6C753778">
      <w:pPr>
        <w:tabs>
          <w:tab w:val="left" w:pos="482"/>
          <w:tab w:val="left" w:pos="2183"/>
          <w:tab w:val="left" w:pos="3884"/>
          <w:tab w:val="left" w:pos="5585"/>
        </w:tabs>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联合体成员名称（盖章）：</w:t>
      </w:r>
    </w:p>
    <w:p w14:paraId="530E3192">
      <w:pPr>
        <w:tabs>
          <w:tab w:val="left" w:pos="482"/>
          <w:tab w:val="left" w:pos="2183"/>
          <w:tab w:val="left" w:pos="3884"/>
          <w:tab w:val="left" w:pos="5585"/>
        </w:tabs>
        <w:ind w:firstLine="440" w:firstLineChars="200"/>
        <w:jc w:val="left"/>
        <w:rPr>
          <w:rFonts w:ascii="宋体" w:hAnsi="宋体" w:cs="宋体"/>
          <w:color w:val="auto"/>
          <w:sz w:val="22"/>
          <w:szCs w:val="22"/>
          <w:highlight w:val="none"/>
        </w:rPr>
      </w:pPr>
    </w:p>
    <w:p w14:paraId="60BA88A1">
      <w:pPr>
        <w:tabs>
          <w:tab w:val="left" w:pos="482"/>
          <w:tab w:val="left" w:pos="2183"/>
          <w:tab w:val="left" w:pos="3884"/>
          <w:tab w:val="left" w:pos="5585"/>
        </w:tabs>
        <w:jc w:val="left"/>
        <w:rPr>
          <w:rFonts w:ascii="宋体" w:hAnsi="宋体" w:cs="宋体"/>
          <w:color w:val="auto"/>
          <w:sz w:val="22"/>
          <w:szCs w:val="22"/>
          <w:highlight w:val="none"/>
        </w:rPr>
      </w:pPr>
      <w:r>
        <w:rPr>
          <w:rFonts w:hint="eastAsia" w:ascii="宋体" w:hAnsi="宋体" w:cs="宋体"/>
          <w:color w:val="auto"/>
          <w:sz w:val="22"/>
          <w:szCs w:val="22"/>
          <w:highlight w:val="none"/>
        </w:rPr>
        <w:t xml:space="preserve">    法定代表人（签字或盖章）</w:t>
      </w:r>
    </w:p>
    <w:p w14:paraId="0516A058">
      <w:pPr>
        <w:tabs>
          <w:tab w:val="left" w:pos="482"/>
          <w:tab w:val="left" w:pos="2183"/>
          <w:tab w:val="left" w:pos="3884"/>
          <w:tab w:val="left" w:pos="5585"/>
        </w:tabs>
        <w:jc w:val="left"/>
        <w:rPr>
          <w:rFonts w:ascii="宋体" w:hAnsi="宋体" w:cs="宋体"/>
          <w:color w:val="auto"/>
          <w:sz w:val="22"/>
          <w:szCs w:val="22"/>
          <w:highlight w:val="none"/>
        </w:rPr>
      </w:pPr>
    </w:p>
    <w:p w14:paraId="73F25AF7">
      <w:pPr>
        <w:widowControl/>
        <w:tabs>
          <w:tab w:val="left" w:pos="482"/>
          <w:tab w:val="left" w:pos="2183"/>
          <w:tab w:val="left" w:pos="3884"/>
          <w:tab w:val="left" w:pos="5585"/>
        </w:tabs>
        <w:wordWrap w:val="0"/>
        <w:autoSpaceDE w:val="0"/>
        <w:autoSpaceDN w:val="0"/>
        <w:ind w:left="262"/>
        <w:jc w:val="right"/>
        <w:rPr>
          <w:rFonts w:ascii="宋体" w:hAnsi="宋体" w:cs="宋体"/>
          <w:color w:val="auto"/>
          <w:sz w:val="22"/>
          <w:szCs w:val="22"/>
          <w:highlight w:val="none"/>
        </w:rPr>
      </w:pPr>
    </w:p>
    <w:p w14:paraId="29D0A5AF">
      <w:pPr>
        <w:widowControl/>
        <w:tabs>
          <w:tab w:val="left" w:pos="482"/>
          <w:tab w:val="left" w:pos="2183"/>
          <w:tab w:val="left" w:pos="3884"/>
          <w:tab w:val="left" w:pos="5585"/>
        </w:tabs>
        <w:wordWrap w:val="0"/>
        <w:autoSpaceDE w:val="0"/>
        <w:autoSpaceDN w:val="0"/>
        <w:ind w:left="262"/>
        <w:jc w:val="right"/>
        <w:rPr>
          <w:rFonts w:ascii="宋体" w:hAnsi="宋体" w:cs="宋体"/>
          <w:color w:val="auto"/>
          <w:sz w:val="22"/>
          <w:szCs w:val="22"/>
          <w:highlight w:val="none"/>
        </w:rPr>
      </w:pPr>
      <w:r>
        <w:rPr>
          <w:rFonts w:hint="eastAsia" w:ascii="宋体" w:hAnsi="宋体" w:cs="宋体"/>
          <w:color w:val="auto"/>
          <w:sz w:val="22"/>
          <w:szCs w:val="22"/>
          <w:highlight w:val="none"/>
        </w:rPr>
        <w:t>年    月    日</w:t>
      </w:r>
    </w:p>
    <w:p w14:paraId="71CC11BF">
      <w:pPr>
        <w:pStyle w:val="50"/>
        <w:rPr>
          <w:rFonts w:ascii="宋体" w:hAnsi="宋体" w:cs="宋体"/>
          <w:color w:val="auto"/>
          <w:sz w:val="22"/>
          <w:szCs w:val="22"/>
          <w:highlight w:val="none"/>
        </w:rPr>
      </w:pPr>
    </w:p>
    <w:p w14:paraId="3B1D6132">
      <w:pPr>
        <w:rPr>
          <w:rFonts w:hint="eastAsia" w:ascii="宋体" w:hAnsi="宋体" w:cs="宋体"/>
          <w:color w:val="auto"/>
          <w:sz w:val="22"/>
          <w:szCs w:val="22"/>
          <w:highlight w:val="none"/>
        </w:rPr>
      </w:pPr>
    </w:p>
    <w:p w14:paraId="3D9E00D5">
      <w:pPr>
        <w:pStyle w:val="16"/>
        <w:rPr>
          <w:color w:val="auto"/>
          <w:highlight w:val="none"/>
        </w:rPr>
      </w:pPr>
    </w:p>
    <w:p w14:paraId="66A69A78">
      <w:pPr>
        <w:rPr>
          <w:rFonts w:ascii="宋体" w:hAnsi="宋体" w:eastAsia="宋体" w:cs="宋体"/>
          <w:color w:val="auto"/>
          <w:highlight w:val="none"/>
        </w:rPr>
      </w:pPr>
      <w:r>
        <w:rPr>
          <w:rFonts w:ascii="宋体" w:hAnsi="宋体" w:eastAsia="宋体" w:cs="宋体"/>
          <w:color w:val="auto"/>
          <w:highlight w:val="none"/>
        </w:rPr>
        <w:br w:type="page"/>
      </w:r>
    </w:p>
    <w:p w14:paraId="3DFC20FB">
      <w:pPr>
        <w:pStyle w:val="27"/>
        <w:rPr>
          <w:rFonts w:ascii="宋体" w:hAnsi="宋体" w:eastAsia="宋体" w:cs="宋体"/>
          <w:color w:val="auto"/>
          <w:highlight w:val="none"/>
        </w:rPr>
      </w:pPr>
    </w:p>
    <w:p w14:paraId="62DAD4BD">
      <w:pPr>
        <w:rPr>
          <w:rFonts w:ascii="宋体" w:hAnsi="宋体" w:cs="宋体"/>
          <w:color w:val="auto"/>
          <w:spacing w:val="6"/>
          <w:sz w:val="22"/>
          <w:szCs w:val="22"/>
          <w:highlight w:val="none"/>
        </w:rPr>
      </w:pPr>
    </w:p>
    <w:p w14:paraId="0BE745A6">
      <w:pPr>
        <w:spacing w:line="38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 xml:space="preserve">附件二 </w:t>
      </w:r>
    </w:p>
    <w:p w14:paraId="1966BA37">
      <w:pPr>
        <w:spacing w:line="460" w:lineRule="exact"/>
        <w:jc w:val="center"/>
        <w:rPr>
          <w:rFonts w:ascii="宋体" w:hAnsi="宋体"/>
          <w:b/>
          <w:bCs/>
          <w:color w:val="auto"/>
          <w:sz w:val="28"/>
          <w:szCs w:val="28"/>
          <w:highlight w:val="none"/>
        </w:rPr>
      </w:pPr>
      <w:r>
        <w:rPr>
          <w:rFonts w:hint="eastAsia" w:ascii="宋体" w:hAnsi="宋体"/>
          <w:b/>
          <w:color w:val="auto"/>
          <w:sz w:val="22"/>
          <w:szCs w:val="22"/>
          <w:highlight w:val="none"/>
        </w:rPr>
        <w:t>（1）</w:t>
      </w:r>
      <w:r>
        <w:rPr>
          <w:rFonts w:hint="eastAsia" w:ascii="宋体" w:hAnsi="宋体"/>
          <w:b/>
          <w:bCs/>
          <w:color w:val="auto"/>
          <w:sz w:val="28"/>
          <w:szCs w:val="28"/>
          <w:highlight w:val="none"/>
        </w:rPr>
        <w:t>报价一览表</w:t>
      </w:r>
    </w:p>
    <w:p w14:paraId="792D70F9">
      <w:pPr>
        <w:spacing w:line="380" w:lineRule="exact"/>
        <w:jc w:val="center"/>
        <w:rPr>
          <w:rFonts w:ascii="宋体" w:hAnsi="宋体"/>
          <w:b/>
          <w:bCs/>
          <w:color w:val="auto"/>
          <w:sz w:val="28"/>
          <w:highlight w:val="none"/>
        </w:rPr>
      </w:pPr>
    </w:p>
    <w:p w14:paraId="3F2E8B90">
      <w:pPr>
        <w:spacing w:line="380" w:lineRule="exact"/>
        <w:jc w:val="center"/>
        <w:rPr>
          <w:rFonts w:ascii="宋体" w:hAnsi="宋体" w:cs="宋体"/>
          <w:b/>
          <w:bCs/>
          <w:color w:val="auto"/>
          <w:sz w:val="22"/>
          <w:szCs w:val="22"/>
          <w:highlight w:val="none"/>
        </w:rPr>
      </w:pPr>
      <w:r>
        <w:rPr>
          <w:rFonts w:hint="eastAsia" w:ascii="宋体" w:hAnsi="宋体"/>
          <w:b/>
          <w:color w:val="auto"/>
          <w:sz w:val="22"/>
          <w:highlight w:val="none"/>
        </w:rPr>
        <w:t xml:space="preserve">          </w:t>
      </w:r>
    </w:p>
    <w:p w14:paraId="29E77325">
      <w:pPr>
        <w:spacing w:line="380" w:lineRule="exact"/>
        <w:ind w:right="349" w:rightChars="166"/>
        <w:rPr>
          <w:rFonts w:ascii="宋体" w:hAnsi="宋体" w:cs="宋体"/>
          <w:b/>
          <w:color w:val="auto"/>
          <w:sz w:val="22"/>
          <w:szCs w:val="22"/>
          <w:highlight w:val="none"/>
        </w:rPr>
      </w:pPr>
      <w:r>
        <w:rPr>
          <w:rFonts w:hint="eastAsia" w:ascii="宋体" w:hAnsi="宋体" w:cs="宋体"/>
          <w:b/>
          <w:color w:val="auto"/>
          <w:sz w:val="22"/>
          <w:szCs w:val="22"/>
          <w:highlight w:val="none"/>
        </w:rPr>
        <w:t xml:space="preserve">                                     </w:t>
      </w:r>
      <w:r>
        <w:rPr>
          <w:rFonts w:hint="eastAsia" w:ascii="宋体" w:hAnsi="宋体" w:cs="宋体"/>
          <w:b/>
          <w:color w:val="auto"/>
          <w:sz w:val="22"/>
          <w:szCs w:val="22"/>
          <w:highlight w:val="none"/>
          <w:lang w:val="en-US" w:eastAsia="zh-CN"/>
        </w:rPr>
        <w:t xml:space="preserve">     </w:t>
      </w:r>
      <w:r>
        <w:rPr>
          <w:rFonts w:hint="eastAsia" w:ascii="宋体" w:hAnsi="宋体" w:cs="宋体"/>
          <w:b/>
          <w:color w:val="auto"/>
          <w:sz w:val="22"/>
          <w:szCs w:val="22"/>
          <w:highlight w:val="none"/>
        </w:rPr>
        <w:t xml:space="preserve">  单位：人民币元</w:t>
      </w:r>
    </w:p>
    <w:tbl>
      <w:tblPr>
        <w:tblStyle w:val="38"/>
        <w:tblW w:w="4992"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391"/>
        <w:gridCol w:w="897"/>
        <w:gridCol w:w="4550"/>
      </w:tblGrid>
      <w:tr w14:paraId="5B5C38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10" w:hRule="exact"/>
        </w:trPr>
        <w:tc>
          <w:tcPr>
            <w:tcW w:w="2687" w:type="pct"/>
            <w:gridSpan w:val="2"/>
            <w:vAlign w:val="center"/>
          </w:tcPr>
          <w:p w14:paraId="3552E495">
            <w:pPr>
              <w:spacing w:line="460" w:lineRule="exact"/>
              <w:jc w:val="center"/>
              <w:rPr>
                <w:rFonts w:hint="default" w:ascii="宋体" w:hAnsi="宋体" w:eastAsia="宋体" w:cs="宋体"/>
                <w:b/>
                <w:snapToGrid w:val="0"/>
                <w:color w:val="auto"/>
                <w:kern w:val="0"/>
                <w:sz w:val="22"/>
                <w:szCs w:val="22"/>
                <w:highlight w:val="none"/>
                <w:lang w:val="en-US" w:eastAsia="zh-CN"/>
              </w:rPr>
            </w:pPr>
            <w:r>
              <w:rPr>
                <w:rFonts w:hint="eastAsia" w:ascii="宋体" w:hAnsi="宋体" w:cs="宋体"/>
                <w:b/>
                <w:snapToGrid w:val="0"/>
                <w:color w:val="auto"/>
                <w:kern w:val="0"/>
                <w:sz w:val="22"/>
                <w:szCs w:val="22"/>
                <w:highlight w:val="none"/>
                <w:lang w:val="en-US" w:eastAsia="zh-CN"/>
              </w:rPr>
              <w:t>项目名称</w:t>
            </w:r>
          </w:p>
        </w:tc>
        <w:tc>
          <w:tcPr>
            <w:tcW w:w="2312" w:type="pct"/>
            <w:vAlign w:val="center"/>
          </w:tcPr>
          <w:p w14:paraId="4A29E7DE">
            <w:pPr>
              <w:spacing w:line="460" w:lineRule="exact"/>
              <w:jc w:val="center"/>
              <w:rPr>
                <w:rFonts w:hint="default" w:ascii="宋体" w:hAnsi="宋体" w:eastAsia="宋体" w:cs="宋体"/>
                <w:b/>
                <w:snapToGrid w:val="0"/>
                <w:color w:val="auto"/>
                <w:kern w:val="0"/>
                <w:sz w:val="22"/>
                <w:szCs w:val="22"/>
                <w:highlight w:val="none"/>
                <w:lang w:val="en-US" w:eastAsia="zh-CN"/>
              </w:rPr>
            </w:pPr>
            <w:r>
              <w:rPr>
                <w:rFonts w:hint="eastAsia" w:ascii="宋体" w:hAnsi="宋体" w:cs="宋体"/>
                <w:b/>
                <w:snapToGrid w:val="0"/>
                <w:color w:val="auto"/>
                <w:kern w:val="0"/>
                <w:sz w:val="22"/>
                <w:szCs w:val="22"/>
                <w:highlight w:val="none"/>
                <w:lang w:val="en-US" w:eastAsia="zh-CN"/>
              </w:rPr>
              <w:t>项目负责人</w:t>
            </w:r>
          </w:p>
        </w:tc>
      </w:tr>
      <w:tr w14:paraId="029AD3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29" w:hRule="atLeast"/>
        </w:trPr>
        <w:tc>
          <w:tcPr>
            <w:tcW w:w="2687" w:type="pct"/>
            <w:gridSpan w:val="2"/>
            <w:vAlign w:val="center"/>
          </w:tcPr>
          <w:p w14:paraId="2F813211">
            <w:pPr>
              <w:jc w:val="center"/>
              <w:rPr>
                <w:rFonts w:ascii="宋体" w:hAnsi="宋体" w:cs="宋体"/>
                <w:b/>
                <w:snapToGrid w:val="0"/>
                <w:color w:val="auto"/>
                <w:kern w:val="0"/>
                <w:sz w:val="22"/>
                <w:szCs w:val="22"/>
                <w:highlight w:val="none"/>
              </w:rPr>
            </w:pPr>
          </w:p>
        </w:tc>
        <w:tc>
          <w:tcPr>
            <w:tcW w:w="2312" w:type="pct"/>
            <w:vAlign w:val="center"/>
          </w:tcPr>
          <w:p w14:paraId="43C0DE46">
            <w:pPr>
              <w:jc w:val="center"/>
              <w:rPr>
                <w:rFonts w:hint="eastAsia" w:ascii="宋体" w:hAnsi="宋体" w:eastAsia="宋体"/>
                <w:color w:val="auto"/>
                <w:sz w:val="22"/>
                <w:szCs w:val="22"/>
                <w:highlight w:val="none"/>
              </w:rPr>
            </w:pPr>
          </w:p>
        </w:tc>
      </w:tr>
      <w:tr w14:paraId="6704AB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2231" w:type="pct"/>
            <w:vAlign w:val="center"/>
          </w:tcPr>
          <w:p w14:paraId="364580B1">
            <w:pPr>
              <w:pStyle w:val="23"/>
              <w:snapToGrid w:val="0"/>
              <w:spacing w:line="460" w:lineRule="atLeast"/>
              <w:jc w:val="center"/>
              <w:rPr>
                <w:rFonts w:hint="eastAsia" w:hAnsi="宋体" w:eastAsia="宋体"/>
                <w:b/>
                <w:color w:val="auto"/>
                <w:sz w:val="22"/>
                <w:szCs w:val="22"/>
                <w:highlight w:val="none"/>
                <w:lang w:val="en-US" w:eastAsia="zh-CN"/>
              </w:rPr>
            </w:pPr>
            <w:r>
              <w:rPr>
                <w:rFonts w:hint="eastAsia" w:hAnsi="宋体"/>
                <w:b/>
                <w:color w:val="auto"/>
                <w:sz w:val="22"/>
                <w:szCs w:val="22"/>
                <w:highlight w:val="none"/>
              </w:rPr>
              <w:t>投标</w:t>
            </w:r>
            <w:r>
              <w:rPr>
                <w:rFonts w:hint="eastAsia" w:hAnsi="宋体" w:cs="新宋体"/>
                <w:b/>
                <w:color w:val="auto"/>
                <w:sz w:val="22"/>
                <w:highlight w:val="none"/>
              </w:rPr>
              <w:t>报价</w:t>
            </w:r>
          </w:p>
        </w:tc>
        <w:tc>
          <w:tcPr>
            <w:tcW w:w="2768" w:type="pct"/>
            <w:gridSpan w:val="2"/>
            <w:vAlign w:val="center"/>
          </w:tcPr>
          <w:p w14:paraId="172C34B4">
            <w:pPr>
              <w:pStyle w:val="23"/>
              <w:rPr>
                <w:rFonts w:hint="default" w:hAnsi="宋体" w:eastAsia="宋体"/>
                <w:b/>
                <w:color w:val="auto"/>
                <w:sz w:val="22"/>
                <w:szCs w:val="22"/>
                <w:highlight w:val="none"/>
                <w:lang w:val="en-US" w:eastAsia="zh-CN"/>
              </w:rPr>
            </w:pPr>
            <w:r>
              <w:rPr>
                <w:rFonts w:hint="eastAsia" w:hAnsi="宋体"/>
                <w:b/>
                <w:color w:val="auto"/>
                <w:sz w:val="22"/>
                <w:szCs w:val="22"/>
                <w:highlight w:val="none"/>
              </w:rPr>
              <w:t>大写：</w:t>
            </w:r>
          </w:p>
          <w:p w14:paraId="642C3A5D">
            <w:pPr>
              <w:spacing w:line="460" w:lineRule="exact"/>
              <w:rPr>
                <w:rFonts w:hint="default" w:hAnsi="宋体" w:eastAsia="宋体"/>
                <w:b/>
                <w:color w:val="auto"/>
                <w:sz w:val="22"/>
                <w:szCs w:val="22"/>
                <w:highlight w:val="none"/>
                <w:lang w:val="en-US" w:eastAsia="zh-CN"/>
              </w:rPr>
            </w:pPr>
            <w:r>
              <w:rPr>
                <w:rFonts w:hint="eastAsia" w:hAnsi="宋体"/>
                <w:b/>
                <w:color w:val="auto"/>
                <w:sz w:val="22"/>
                <w:szCs w:val="22"/>
                <w:highlight w:val="none"/>
              </w:rPr>
              <w:t>小写：</w:t>
            </w:r>
          </w:p>
        </w:tc>
      </w:tr>
    </w:tbl>
    <w:p w14:paraId="68D91FD4">
      <w:pPr>
        <w:spacing w:line="460" w:lineRule="exact"/>
        <w:rPr>
          <w:rFonts w:ascii="宋体" w:hAnsi="宋体" w:cs="宋体"/>
          <w:color w:val="auto"/>
          <w:sz w:val="22"/>
          <w:szCs w:val="22"/>
          <w:highlight w:val="none"/>
        </w:rPr>
      </w:pPr>
    </w:p>
    <w:p w14:paraId="1D7DAA6F">
      <w:pPr>
        <w:spacing w:line="380" w:lineRule="exact"/>
        <w:ind w:right="349" w:rightChars="166" w:firstLine="331" w:firstLineChars="150"/>
        <w:rPr>
          <w:rFonts w:ascii="宋体" w:hAnsi="宋体" w:cs="宋体"/>
          <w:b/>
          <w:color w:val="auto"/>
          <w:sz w:val="22"/>
          <w:szCs w:val="22"/>
          <w:highlight w:val="none"/>
        </w:rPr>
      </w:pPr>
    </w:p>
    <w:p w14:paraId="52415C55">
      <w:pPr>
        <w:spacing w:line="380" w:lineRule="exact"/>
        <w:ind w:left="532" w:leftChars="-66" w:hanging="671" w:hangingChars="304"/>
        <w:rPr>
          <w:rFonts w:hint="eastAsia" w:ascii="宋体" w:hAnsi="宋体" w:cs="宋体"/>
          <w:b/>
          <w:color w:val="auto"/>
          <w:sz w:val="22"/>
          <w:szCs w:val="22"/>
          <w:highlight w:val="none"/>
        </w:rPr>
      </w:pPr>
      <w:r>
        <w:rPr>
          <w:rFonts w:hint="eastAsia" w:ascii="宋体" w:hAnsi="宋体" w:cs="宋体"/>
          <w:b/>
          <w:color w:val="auto"/>
          <w:sz w:val="22"/>
          <w:szCs w:val="22"/>
          <w:highlight w:val="none"/>
        </w:rPr>
        <w:t>说明：</w:t>
      </w:r>
    </w:p>
    <w:p w14:paraId="1AE77B35">
      <w:pPr>
        <w:numPr>
          <w:ilvl w:val="0"/>
          <w:numId w:val="40"/>
        </w:numPr>
        <w:spacing w:line="380" w:lineRule="exact"/>
        <w:ind w:left="528" w:leftChars="38" w:hanging="448" w:hangingChars="203"/>
        <w:rPr>
          <w:rFonts w:hint="eastAsia" w:ascii="宋体" w:hAnsi="宋体" w:eastAsia="宋体" w:cs="宋体"/>
          <w:b/>
          <w:color w:val="auto"/>
          <w:sz w:val="22"/>
          <w:szCs w:val="22"/>
          <w:highlight w:val="none"/>
          <w:u w:val="single"/>
        </w:rPr>
      </w:pPr>
      <w:r>
        <w:rPr>
          <w:rFonts w:hint="eastAsia" w:ascii="宋体" w:hAnsi="宋体" w:eastAsia="宋体" w:cs="宋体"/>
          <w:b/>
          <w:color w:val="auto"/>
          <w:sz w:val="22"/>
          <w:szCs w:val="22"/>
          <w:highlight w:val="none"/>
          <w:u w:val="single"/>
        </w:rPr>
        <w:t>▲不按要求提供开标一览表的投标文件将被视为未实质性响应招标文件。</w:t>
      </w:r>
    </w:p>
    <w:p w14:paraId="2FC2789A">
      <w:pPr>
        <w:spacing w:line="380" w:lineRule="exact"/>
        <w:ind w:firstLine="660" w:firstLineChars="300"/>
        <w:rPr>
          <w:rFonts w:ascii="宋体" w:hAnsi="宋体" w:cs="宋体"/>
          <w:color w:val="auto"/>
          <w:sz w:val="22"/>
          <w:szCs w:val="22"/>
          <w:highlight w:val="none"/>
        </w:rPr>
      </w:pPr>
    </w:p>
    <w:p w14:paraId="5BA88A7B">
      <w:pPr>
        <w:spacing w:line="380" w:lineRule="exact"/>
        <w:rPr>
          <w:rFonts w:ascii="宋体" w:hAnsi="宋体" w:cs="宋体"/>
          <w:color w:val="auto"/>
          <w:sz w:val="22"/>
          <w:szCs w:val="22"/>
          <w:highlight w:val="none"/>
        </w:rPr>
      </w:pPr>
      <w:r>
        <w:rPr>
          <w:rFonts w:hint="eastAsia" w:ascii="宋体" w:hAnsi="宋体" w:cs="宋体"/>
          <w:color w:val="auto"/>
          <w:sz w:val="22"/>
          <w:szCs w:val="22"/>
          <w:highlight w:val="none"/>
        </w:rPr>
        <w:t>投标人全称（盖章）：</w:t>
      </w:r>
    </w:p>
    <w:p w14:paraId="129D7D9E">
      <w:pPr>
        <w:spacing w:line="380" w:lineRule="exact"/>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14:paraId="10B99021">
      <w:pPr>
        <w:spacing w:line="380" w:lineRule="exact"/>
        <w:rPr>
          <w:rFonts w:ascii="宋体" w:hAnsi="宋体" w:cs="宋体"/>
          <w:color w:val="auto"/>
          <w:sz w:val="22"/>
          <w:szCs w:val="22"/>
          <w:highlight w:val="none"/>
        </w:rPr>
      </w:pPr>
      <w:r>
        <w:rPr>
          <w:rFonts w:hint="eastAsia" w:ascii="宋体" w:hAnsi="宋体" w:cs="宋体"/>
          <w:color w:val="auto"/>
          <w:sz w:val="22"/>
          <w:szCs w:val="22"/>
          <w:highlight w:val="none"/>
        </w:rPr>
        <w:t>日 期：  年  月  日</w:t>
      </w:r>
    </w:p>
    <w:p w14:paraId="1DB85F47">
      <w:pPr>
        <w:spacing w:line="460" w:lineRule="exact"/>
        <w:jc w:val="center"/>
        <w:rPr>
          <w:rFonts w:hint="eastAsia" w:ascii="宋体" w:hAnsi="宋体"/>
          <w:b/>
          <w:bCs/>
          <w:color w:val="auto"/>
          <w:sz w:val="28"/>
          <w:szCs w:val="28"/>
          <w:highlight w:val="none"/>
        </w:rPr>
      </w:pPr>
      <w:r>
        <w:rPr>
          <w:rFonts w:hint="eastAsia" w:ascii="宋体" w:hAnsi="宋体" w:cs="宋体"/>
          <w:color w:val="auto"/>
          <w:sz w:val="22"/>
          <w:szCs w:val="22"/>
          <w:highlight w:val="none"/>
        </w:rPr>
        <w:br w:type="page"/>
      </w:r>
      <w:r>
        <w:rPr>
          <w:rFonts w:hint="eastAsia" w:ascii="宋体" w:hAnsi="宋体"/>
          <w:b/>
          <w:bCs/>
          <w:color w:val="auto"/>
          <w:sz w:val="28"/>
          <w:szCs w:val="28"/>
          <w:highlight w:val="none"/>
        </w:rPr>
        <w:t>（2）</w:t>
      </w:r>
      <w:r>
        <w:rPr>
          <w:rFonts w:ascii="宋体" w:hAnsi="宋体"/>
          <w:b/>
          <w:bCs/>
          <w:color w:val="auto"/>
          <w:sz w:val="28"/>
          <w:szCs w:val="28"/>
          <w:highlight w:val="none"/>
        </w:rPr>
        <w:t>分项报价表</w:t>
      </w:r>
    </w:p>
    <w:p w14:paraId="452BF684">
      <w:pPr>
        <w:pStyle w:val="37"/>
        <w:rPr>
          <w:color w:val="auto"/>
          <w:highlight w:val="none"/>
        </w:rPr>
      </w:pPr>
    </w:p>
    <w:tbl>
      <w:tblPr>
        <w:tblStyle w:val="38"/>
        <w:tblW w:w="498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7"/>
        <w:gridCol w:w="3381"/>
        <w:gridCol w:w="2001"/>
        <w:gridCol w:w="1997"/>
        <w:gridCol w:w="2001"/>
      </w:tblGrid>
      <w:tr w14:paraId="31DB6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222" w:type="pct"/>
            <w:vAlign w:val="center"/>
          </w:tcPr>
          <w:p w14:paraId="429D09FC">
            <w:pPr>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序号</w:t>
            </w:r>
          </w:p>
        </w:tc>
        <w:tc>
          <w:tcPr>
            <w:tcW w:w="1722" w:type="pct"/>
            <w:vAlign w:val="center"/>
          </w:tcPr>
          <w:p w14:paraId="1D94CED5">
            <w:pPr>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项目内容</w:t>
            </w:r>
          </w:p>
        </w:tc>
        <w:tc>
          <w:tcPr>
            <w:tcW w:w="1019" w:type="pct"/>
            <w:vAlign w:val="center"/>
          </w:tcPr>
          <w:p w14:paraId="70CF8363">
            <w:pPr>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数量</w:t>
            </w:r>
          </w:p>
        </w:tc>
        <w:tc>
          <w:tcPr>
            <w:tcW w:w="1017" w:type="pct"/>
            <w:vAlign w:val="center"/>
          </w:tcPr>
          <w:p w14:paraId="63F06E24">
            <w:pPr>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单价（元）</w:t>
            </w:r>
          </w:p>
        </w:tc>
        <w:tc>
          <w:tcPr>
            <w:tcW w:w="1019" w:type="pct"/>
            <w:vAlign w:val="center"/>
          </w:tcPr>
          <w:p w14:paraId="19BE3A9D">
            <w:pPr>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报价（ 元）</w:t>
            </w:r>
          </w:p>
        </w:tc>
      </w:tr>
      <w:tr w14:paraId="0A065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487A0813">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w:t>
            </w:r>
          </w:p>
        </w:tc>
        <w:tc>
          <w:tcPr>
            <w:tcW w:w="1722" w:type="pct"/>
            <w:vAlign w:val="center"/>
          </w:tcPr>
          <w:p w14:paraId="0C94AB9B">
            <w:pPr>
              <w:jc w:val="center"/>
              <w:rPr>
                <w:rFonts w:hint="eastAsia" w:ascii="宋体" w:hAnsi="宋体" w:cs="宋体"/>
                <w:color w:val="auto"/>
                <w:sz w:val="22"/>
                <w:szCs w:val="22"/>
                <w:highlight w:val="none"/>
                <w:lang w:val="en-GB"/>
              </w:rPr>
            </w:pPr>
          </w:p>
        </w:tc>
        <w:tc>
          <w:tcPr>
            <w:tcW w:w="1019" w:type="pct"/>
            <w:vAlign w:val="center"/>
          </w:tcPr>
          <w:p w14:paraId="3E87FF99">
            <w:pPr>
              <w:jc w:val="center"/>
              <w:rPr>
                <w:rFonts w:hint="eastAsia" w:ascii="宋体" w:hAnsi="宋体" w:cs="宋体"/>
                <w:color w:val="auto"/>
                <w:sz w:val="22"/>
                <w:szCs w:val="22"/>
                <w:highlight w:val="none"/>
              </w:rPr>
            </w:pPr>
          </w:p>
        </w:tc>
        <w:tc>
          <w:tcPr>
            <w:tcW w:w="1017" w:type="pct"/>
            <w:vAlign w:val="center"/>
          </w:tcPr>
          <w:p w14:paraId="02656375">
            <w:pPr>
              <w:jc w:val="center"/>
              <w:rPr>
                <w:rFonts w:hint="eastAsia" w:ascii="宋体" w:hAnsi="宋体" w:cs="宋体"/>
                <w:color w:val="auto"/>
                <w:sz w:val="22"/>
                <w:szCs w:val="22"/>
                <w:highlight w:val="none"/>
              </w:rPr>
            </w:pPr>
          </w:p>
        </w:tc>
        <w:tc>
          <w:tcPr>
            <w:tcW w:w="1019" w:type="pct"/>
            <w:vAlign w:val="center"/>
          </w:tcPr>
          <w:p w14:paraId="06A52EF0">
            <w:pPr>
              <w:jc w:val="center"/>
              <w:rPr>
                <w:rFonts w:hint="eastAsia" w:ascii="宋体" w:hAnsi="宋体" w:cs="宋体"/>
                <w:color w:val="auto"/>
                <w:sz w:val="22"/>
                <w:szCs w:val="22"/>
                <w:highlight w:val="none"/>
              </w:rPr>
            </w:pPr>
          </w:p>
        </w:tc>
      </w:tr>
      <w:tr w14:paraId="35695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3197A3D9">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2</w:t>
            </w:r>
          </w:p>
        </w:tc>
        <w:tc>
          <w:tcPr>
            <w:tcW w:w="1722" w:type="pct"/>
            <w:vAlign w:val="center"/>
          </w:tcPr>
          <w:p w14:paraId="217583DE">
            <w:pPr>
              <w:jc w:val="center"/>
              <w:rPr>
                <w:rFonts w:hint="eastAsia" w:ascii="宋体" w:hAnsi="宋体" w:cs="宋体"/>
                <w:color w:val="auto"/>
                <w:sz w:val="22"/>
                <w:szCs w:val="22"/>
                <w:highlight w:val="none"/>
                <w:lang w:val="en-GB"/>
              </w:rPr>
            </w:pPr>
          </w:p>
        </w:tc>
        <w:tc>
          <w:tcPr>
            <w:tcW w:w="1019" w:type="pct"/>
            <w:vAlign w:val="center"/>
          </w:tcPr>
          <w:p w14:paraId="3450ABE6">
            <w:pPr>
              <w:jc w:val="center"/>
              <w:rPr>
                <w:rFonts w:hint="eastAsia" w:ascii="宋体" w:hAnsi="宋体" w:cs="宋体"/>
                <w:color w:val="auto"/>
                <w:sz w:val="22"/>
                <w:szCs w:val="22"/>
                <w:highlight w:val="none"/>
              </w:rPr>
            </w:pPr>
          </w:p>
        </w:tc>
        <w:tc>
          <w:tcPr>
            <w:tcW w:w="1017" w:type="pct"/>
            <w:vAlign w:val="center"/>
          </w:tcPr>
          <w:p w14:paraId="15DF5EA3">
            <w:pPr>
              <w:jc w:val="center"/>
              <w:rPr>
                <w:rFonts w:hint="eastAsia" w:ascii="宋体" w:hAnsi="宋体" w:cs="宋体"/>
                <w:color w:val="auto"/>
                <w:sz w:val="22"/>
                <w:szCs w:val="22"/>
                <w:highlight w:val="none"/>
              </w:rPr>
            </w:pPr>
          </w:p>
        </w:tc>
        <w:tc>
          <w:tcPr>
            <w:tcW w:w="1019" w:type="pct"/>
            <w:vAlign w:val="center"/>
          </w:tcPr>
          <w:p w14:paraId="353E6304">
            <w:pPr>
              <w:jc w:val="center"/>
              <w:rPr>
                <w:rFonts w:hint="eastAsia" w:ascii="宋体" w:hAnsi="宋体" w:cs="宋体"/>
                <w:color w:val="auto"/>
                <w:sz w:val="22"/>
                <w:szCs w:val="22"/>
                <w:highlight w:val="none"/>
              </w:rPr>
            </w:pPr>
          </w:p>
        </w:tc>
      </w:tr>
      <w:tr w14:paraId="64C85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24F21585">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3</w:t>
            </w:r>
          </w:p>
        </w:tc>
        <w:tc>
          <w:tcPr>
            <w:tcW w:w="1722" w:type="pct"/>
            <w:vAlign w:val="center"/>
          </w:tcPr>
          <w:p w14:paraId="763051B3">
            <w:pPr>
              <w:jc w:val="center"/>
              <w:rPr>
                <w:rFonts w:hint="eastAsia" w:ascii="宋体" w:hAnsi="宋体" w:cs="宋体"/>
                <w:color w:val="auto"/>
                <w:sz w:val="22"/>
                <w:szCs w:val="22"/>
                <w:highlight w:val="none"/>
                <w:lang w:val="en-GB"/>
              </w:rPr>
            </w:pPr>
          </w:p>
        </w:tc>
        <w:tc>
          <w:tcPr>
            <w:tcW w:w="1019" w:type="pct"/>
            <w:vAlign w:val="center"/>
          </w:tcPr>
          <w:p w14:paraId="36BB3DAF">
            <w:pPr>
              <w:jc w:val="center"/>
              <w:rPr>
                <w:rFonts w:hint="eastAsia" w:ascii="宋体" w:hAnsi="宋体" w:cs="宋体"/>
                <w:color w:val="auto"/>
                <w:sz w:val="22"/>
                <w:szCs w:val="22"/>
                <w:highlight w:val="none"/>
              </w:rPr>
            </w:pPr>
          </w:p>
        </w:tc>
        <w:tc>
          <w:tcPr>
            <w:tcW w:w="1017" w:type="pct"/>
            <w:vAlign w:val="center"/>
          </w:tcPr>
          <w:p w14:paraId="483A2D94">
            <w:pPr>
              <w:jc w:val="center"/>
              <w:rPr>
                <w:rFonts w:hint="eastAsia" w:ascii="宋体" w:hAnsi="宋体" w:cs="宋体"/>
                <w:color w:val="auto"/>
                <w:sz w:val="22"/>
                <w:szCs w:val="22"/>
                <w:highlight w:val="none"/>
              </w:rPr>
            </w:pPr>
          </w:p>
        </w:tc>
        <w:tc>
          <w:tcPr>
            <w:tcW w:w="1019" w:type="pct"/>
            <w:vAlign w:val="center"/>
          </w:tcPr>
          <w:p w14:paraId="7AF359C8">
            <w:pPr>
              <w:jc w:val="center"/>
              <w:rPr>
                <w:rFonts w:hint="eastAsia" w:ascii="宋体" w:hAnsi="宋体" w:cs="宋体"/>
                <w:color w:val="auto"/>
                <w:sz w:val="22"/>
                <w:szCs w:val="22"/>
                <w:highlight w:val="none"/>
              </w:rPr>
            </w:pPr>
          </w:p>
        </w:tc>
      </w:tr>
      <w:tr w14:paraId="4BA35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74DB3198">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4</w:t>
            </w:r>
          </w:p>
        </w:tc>
        <w:tc>
          <w:tcPr>
            <w:tcW w:w="1722" w:type="pct"/>
            <w:vAlign w:val="center"/>
          </w:tcPr>
          <w:p w14:paraId="180A940D">
            <w:pPr>
              <w:jc w:val="center"/>
              <w:rPr>
                <w:rFonts w:hint="eastAsia" w:ascii="宋体" w:hAnsi="宋体" w:cs="宋体"/>
                <w:color w:val="auto"/>
                <w:sz w:val="22"/>
                <w:szCs w:val="22"/>
                <w:highlight w:val="none"/>
                <w:lang w:val="en-GB"/>
              </w:rPr>
            </w:pPr>
          </w:p>
        </w:tc>
        <w:tc>
          <w:tcPr>
            <w:tcW w:w="1019" w:type="pct"/>
            <w:vAlign w:val="center"/>
          </w:tcPr>
          <w:p w14:paraId="68DE65B3">
            <w:pPr>
              <w:jc w:val="center"/>
              <w:rPr>
                <w:rFonts w:hint="eastAsia" w:ascii="宋体" w:hAnsi="宋体" w:cs="宋体"/>
                <w:color w:val="auto"/>
                <w:sz w:val="22"/>
                <w:szCs w:val="22"/>
                <w:highlight w:val="none"/>
              </w:rPr>
            </w:pPr>
          </w:p>
        </w:tc>
        <w:tc>
          <w:tcPr>
            <w:tcW w:w="1017" w:type="pct"/>
            <w:vAlign w:val="center"/>
          </w:tcPr>
          <w:p w14:paraId="36F07FF6">
            <w:pPr>
              <w:jc w:val="center"/>
              <w:rPr>
                <w:rFonts w:hint="eastAsia" w:ascii="宋体" w:hAnsi="宋体" w:cs="宋体"/>
                <w:color w:val="auto"/>
                <w:sz w:val="22"/>
                <w:szCs w:val="22"/>
                <w:highlight w:val="none"/>
              </w:rPr>
            </w:pPr>
          </w:p>
        </w:tc>
        <w:tc>
          <w:tcPr>
            <w:tcW w:w="1019" w:type="pct"/>
            <w:vAlign w:val="center"/>
          </w:tcPr>
          <w:p w14:paraId="4369C47A">
            <w:pPr>
              <w:jc w:val="center"/>
              <w:rPr>
                <w:rFonts w:hint="eastAsia" w:ascii="宋体" w:hAnsi="宋体" w:cs="宋体"/>
                <w:color w:val="auto"/>
                <w:sz w:val="22"/>
                <w:szCs w:val="22"/>
                <w:highlight w:val="none"/>
              </w:rPr>
            </w:pPr>
          </w:p>
        </w:tc>
      </w:tr>
      <w:tr w14:paraId="09F9F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54D10D32">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5</w:t>
            </w:r>
          </w:p>
        </w:tc>
        <w:tc>
          <w:tcPr>
            <w:tcW w:w="1722" w:type="pct"/>
            <w:vAlign w:val="center"/>
          </w:tcPr>
          <w:p w14:paraId="72F40BD5">
            <w:pPr>
              <w:jc w:val="center"/>
              <w:rPr>
                <w:rFonts w:hint="eastAsia" w:ascii="宋体" w:hAnsi="宋体" w:cs="宋体"/>
                <w:color w:val="auto"/>
                <w:sz w:val="22"/>
                <w:szCs w:val="22"/>
                <w:highlight w:val="none"/>
                <w:lang w:val="en-GB"/>
              </w:rPr>
            </w:pPr>
          </w:p>
        </w:tc>
        <w:tc>
          <w:tcPr>
            <w:tcW w:w="1019" w:type="pct"/>
            <w:vAlign w:val="center"/>
          </w:tcPr>
          <w:p w14:paraId="1776CDF6">
            <w:pPr>
              <w:jc w:val="center"/>
              <w:rPr>
                <w:rFonts w:hint="eastAsia" w:ascii="宋体" w:hAnsi="宋体" w:cs="宋体"/>
                <w:color w:val="auto"/>
                <w:sz w:val="22"/>
                <w:szCs w:val="22"/>
                <w:highlight w:val="none"/>
              </w:rPr>
            </w:pPr>
          </w:p>
        </w:tc>
        <w:tc>
          <w:tcPr>
            <w:tcW w:w="1017" w:type="pct"/>
            <w:vAlign w:val="center"/>
          </w:tcPr>
          <w:p w14:paraId="43C81947">
            <w:pPr>
              <w:jc w:val="center"/>
              <w:rPr>
                <w:rFonts w:hint="eastAsia" w:ascii="宋体" w:hAnsi="宋体" w:cs="宋体"/>
                <w:color w:val="auto"/>
                <w:sz w:val="22"/>
                <w:szCs w:val="22"/>
                <w:highlight w:val="none"/>
              </w:rPr>
            </w:pPr>
          </w:p>
        </w:tc>
        <w:tc>
          <w:tcPr>
            <w:tcW w:w="1019" w:type="pct"/>
            <w:vAlign w:val="center"/>
          </w:tcPr>
          <w:p w14:paraId="6E7E9A7F">
            <w:pPr>
              <w:jc w:val="center"/>
              <w:rPr>
                <w:rFonts w:hint="eastAsia" w:ascii="宋体" w:hAnsi="宋体" w:cs="宋体"/>
                <w:color w:val="auto"/>
                <w:sz w:val="22"/>
                <w:szCs w:val="22"/>
                <w:highlight w:val="none"/>
              </w:rPr>
            </w:pPr>
          </w:p>
        </w:tc>
      </w:tr>
      <w:tr w14:paraId="4E666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5536B6AA">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6</w:t>
            </w:r>
          </w:p>
        </w:tc>
        <w:tc>
          <w:tcPr>
            <w:tcW w:w="1722" w:type="pct"/>
            <w:vAlign w:val="center"/>
          </w:tcPr>
          <w:p w14:paraId="2F0A6DED">
            <w:pPr>
              <w:jc w:val="center"/>
              <w:rPr>
                <w:rFonts w:hint="eastAsia" w:ascii="宋体" w:hAnsi="宋体" w:cs="宋体"/>
                <w:color w:val="auto"/>
                <w:sz w:val="22"/>
                <w:szCs w:val="22"/>
                <w:highlight w:val="none"/>
                <w:lang w:val="en-GB"/>
              </w:rPr>
            </w:pPr>
          </w:p>
        </w:tc>
        <w:tc>
          <w:tcPr>
            <w:tcW w:w="1019" w:type="pct"/>
            <w:vAlign w:val="center"/>
          </w:tcPr>
          <w:p w14:paraId="3E27F297">
            <w:pPr>
              <w:jc w:val="center"/>
              <w:rPr>
                <w:rFonts w:hint="eastAsia" w:ascii="宋体" w:hAnsi="宋体" w:cs="宋体"/>
                <w:color w:val="auto"/>
                <w:sz w:val="22"/>
                <w:szCs w:val="22"/>
                <w:highlight w:val="none"/>
              </w:rPr>
            </w:pPr>
          </w:p>
        </w:tc>
        <w:tc>
          <w:tcPr>
            <w:tcW w:w="1017" w:type="pct"/>
            <w:vAlign w:val="center"/>
          </w:tcPr>
          <w:p w14:paraId="1D926E5D">
            <w:pPr>
              <w:jc w:val="center"/>
              <w:rPr>
                <w:rFonts w:hint="eastAsia" w:ascii="宋体" w:hAnsi="宋体" w:cs="宋体"/>
                <w:color w:val="auto"/>
                <w:sz w:val="22"/>
                <w:szCs w:val="22"/>
                <w:highlight w:val="none"/>
              </w:rPr>
            </w:pPr>
          </w:p>
        </w:tc>
        <w:tc>
          <w:tcPr>
            <w:tcW w:w="1019" w:type="pct"/>
            <w:vAlign w:val="center"/>
          </w:tcPr>
          <w:p w14:paraId="15A0A1A8">
            <w:pPr>
              <w:jc w:val="center"/>
              <w:rPr>
                <w:rFonts w:hint="eastAsia" w:ascii="宋体" w:hAnsi="宋体" w:cs="宋体"/>
                <w:color w:val="auto"/>
                <w:sz w:val="22"/>
                <w:szCs w:val="22"/>
                <w:highlight w:val="none"/>
              </w:rPr>
            </w:pPr>
          </w:p>
        </w:tc>
      </w:tr>
      <w:tr w14:paraId="62C41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48DEAD3C">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7</w:t>
            </w:r>
          </w:p>
        </w:tc>
        <w:tc>
          <w:tcPr>
            <w:tcW w:w="1722" w:type="pct"/>
            <w:vAlign w:val="center"/>
          </w:tcPr>
          <w:p w14:paraId="21A8A89F">
            <w:pPr>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w:t>
            </w:r>
          </w:p>
        </w:tc>
        <w:tc>
          <w:tcPr>
            <w:tcW w:w="1019" w:type="pct"/>
            <w:vAlign w:val="center"/>
          </w:tcPr>
          <w:p w14:paraId="5E599CB9">
            <w:pPr>
              <w:jc w:val="center"/>
              <w:rPr>
                <w:rFonts w:hint="eastAsia" w:ascii="宋体" w:hAnsi="宋体" w:cs="宋体"/>
                <w:color w:val="auto"/>
                <w:sz w:val="22"/>
                <w:szCs w:val="22"/>
                <w:highlight w:val="none"/>
              </w:rPr>
            </w:pPr>
          </w:p>
        </w:tc>
        <w:tc>
          <w:tcPr>
            <w:tcW w:w="1017" w:type="pct"/>
            <w:vAlign w:val="center"/>
          </w:tcPr>
          <w:p w14:paraId="2EDE518E">
            <w:pPr>
              <w:jc w:val="center"/>
              <w:rPr>
                <w:rFonts w:hint="eastAsia" w:ascii="宋体" w:hAnsi="宋体" w:cs="宋体"/>
                <w:color w:val="auto"/>
                <w:sz w:val="22"/>
                <w:szCs w:val="22"/>
                <w:highlight w:val="none"/>
              </w:rPr>
            </w:pPr>
          </w:p>
        </w:tc>
        <w:tc>
          <w:tcPr>
            <w:tcW w:w="1019" w:type="pct"/>
            <w:vAlign w:val="center"/>
          </w:tcPr>
          <w:p w14:paraId="21EB8117">
            <w:pPr>
              <w:jc w:val="center"/>
              <w:rPr>
                <w:rFonts w:hint="eastAsia" w:ascii="宋体" w:hAnsi="宋体" w:cs="宋体"/>
                <w:color w:val="auto"/>
                <w:sz w:val="22"/>
                <w:szCs w:val="22"/>
                <w:highlight w:val="none"/>
              </w:rPr>
            </w:pPr>
          </w:p>
        </w:tc>
      </w:tr>
      <w:tr w14:paraId="383BB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2963" w:type="pct"/>
            <w:gridSpan w:val="3"/>
            <w:vAlign w:val="center"/>
          </w:tcPr>
          <w:p w14:paraId="174B38EC">
            <w:pPr>
              <w:jc w:val="center"/>
              <w:rPr>
                <w:rFonts w:hint="eastAsia" w:ascii="宋体" w:hAnsi="宋体" w:cs="宋体"/>
                <w:color w:val="auto"/>
                <w:sz w:val="22"/>
                <w:szCs w:val="22"/>
                <w:highlight w:val="none"/>
              </w:rPr>
            </w:pPr>
            <w:r>
              <w:rPr>
                <w:rFonts w:hint="eastAsia" w:ascii="宋体" w:hAnsi="宋体" w:cs="宋体"/>
                <w:b/>
                <w:bCs/>
                <w:color w:val="auto"/>
                <w:highlight w:val="none"/>
              </w:rPr>
              <w:t>总</w:t>
            </w:r>
            <w:r>
              <w:rPr>
                <w:rFonts w:hint="eastAsia" w:ascii="宋体" w:hAnsi="宋体"/>
                <w:b/>
                <w:color w:val="auto"/>
                <w:sz w:val="22"/>
                <w:szCs w:val="22"/>
                <w:highlight w:val="none"/>
              </w:rPr>
              <w:t>计</w:t>
            </w:r>
            <w:r>
              <w:rPr>
                <w:rFonts w:hint="eastAsia" w:ascii="宋体" w:hAnsi="宋体" w:cs="宋体"/>
                <w:b/>
                <w:bCs/>
                <w:color w:val="auto"/>
                <w:highlight w:val="none"/>
              </w:rPr>
              <w:t>价</w:t>
            </w:r>
          </w:p>
        </w:tc>
        <w:tc>
          <w:tcPr>
            <w:tcW w:w="2036" w:type="pct"/>
            <w:gridSpan w:val="2"/>
          </w:tcPr>
          <w:p w14:paraId="3BD367A3">
            <w:pPr>
              <w:spacing w:line="360" w:lineRule="auto"/>
              <w:jc w:val="left"/>
              <w:rPr>
                <w:rFonts w:hint="eastAsia" w:ascii="宋体" w:hAnsi="宋体" w:cs="宋体"/>
                <w:color w:val="auto"/>
                <w:sz w:val="22"/>
                <w:szCs w:val="22"/>
                <w:highlight w:val="none"/>
              </w:rPr>
            </w:pPr>
          </w:p>
        </w:tc>
      </w:tr>
    </w:tbl>
    <w:p w14:paraId="65025691">
      <w:pPr>
        <w:pStyle w:val="17"/>
        <w:ind w:firstLine="210"/>
        <w:rPr>
          <w:color w:val="auto"/>
          <w:highlight w:val="none"/>
        </w:rPr>
      </w:pPr>
    </w:p>
    <w:p w14:paraId="25BFE566">
      <w:pPr>
        <w:spacing w:line="360" w:lineRule="exact"/>
        <w:rPr>
          <w:rFonts w:hint="eastAsia" w:ascii="宋体" w:hAnsi="宋体"/>
          <w:b/>
          <w:bCs/>
          <w:color w:val="auto"/>
          <w:sz w:val="22"/>
          <w:szCs w:val="22"/>
          <w:highlight w:val="none"/>
        </w:rPr>
      </w:pPr>
      <w:r>
        <w:rPr>
          <w:rFonts w:hint="eastAsia" w:ascii="宋体" w:hAnsi="宋体"/>
          <w:b/>
          <w:bCs/>
          <w:color w:val="auto"/>
          <w:sz w:val="22"/>
          <w:szCs w:val="22"/>
          <w:highlight w:val="none"/>
        </w:rPr>
        <w:t>说明：</w:t>
      </w:r>
    </w:p>
    <w:p w14:paraId="4DD04309">
      <w:pPr>
        <w:spacing w:line="360" w:lineRule="exact"/>
        <w:rPr>
          <w:rFonts w:hint="eastAsia" w:ascii="宋体" w:hAnsi="宋体"/>
          <w:b/>
          <w:color w:val="auto"/>
          <w:sz w:val="22"/>
          <w:szCs w:val="22"/>
          <w:highlight w:val="none"/>
        </w:rPr>
      </w:pPr>
      <w:r>
        <w:rPr>
          <w:rFonts w:hint="eastAsia" w:ascii="宋体" w:hAnsi="宋体"/>
          <w:b/>
          <w:color w:val="auto"/>
          <w:sz w:val="22"/>
          <w:szCs w:val="22"/>
          <w:highlight w:val="none"/>
        </w:rPr>
        <w:t>1、此表内总计价应与</w:t>
      </w:r>
      <w:r>
        <w:rPr>
          <w:rFonts w:hint="eastAsia" w:ascii="宋体" w:hAnsi="宋体" w:cs="Arial"/>
          <w:b/>
          <w:bCs/>
          <w:color w:val="auto"/>
          <w:sz w:val="22"/>
          <w:szCs w:val="22"/>
          <w:highlight w:val="none"/>
        </w:rPr>
        <w:t>《</w:t>
      </w:r>
      <w:r>
        <w:rPr>
          <w:rFonts w:hint="eastAsia" w:ascii="宋体" w:hAnsi="宋体" w:cs="Arial"/>
          <w:b/>
          <w:bCs/>
          <w:color w:val="auto"/>
          <w:sz w:val="22"/>
          <w:szCs w:val="22"/>
          <w:highlight w:val="none"/>
          <w:lang w:val="en-US" w:eastAsia="zh-CN"/>
        </w:rPr>
        <w:t>报价</w:t>
      </w:r>
      <w:r>
        <w:rPr>
          <w:rFonts w:hint="eastAsia" w:ascii="宋体" w:hAnsi="宋体" w:cs="Arial"/>
          <w:b/>
          <w:bCs/>
          <w:color w:val="auto"/>
          <w:sz w:val="22"/>
          <w:szCs w:val="22"/>
          <w:highlight w:val="none"/>
        </w:rPr>
        <w:t>一览表》</w:t>
      </w:r>
      <w:r>
        <w:rPr>
          <w:rFonts w:hint="eastAsia" w:ascii="宋体" w:hAnsi="宋体" w:cs="Arial"/>
          <w:b/>
          <w:bCs/>
          <w:color w:val="auto"/>
          <w:sz w:val="22"/>
          <w:szCs w:val="22"/>
          <w:highlight w:val="none"/>
          <w:lang w:val="en-US" w:eastAsia="zh-CN"/>
        </w:rPr>
        <w:t>投标</w:t>
      </w:r>
      <w:r>
        <w:rPr>
          <w:rFonts w:hint="eastAsia" w:ascii="宋体" w:hAnsi="宋体"/>
          <w:b/>
          <w:color w:val="auto"/>
          <w:sz w:val="22"/>
          <w:szCs w:val="22"/>
          <w:highlight w:val="none"/>
        </w:rPr>
        <w:t>报价相一致。</w:t>
      </w:r>
    </w:p>
    <w:p w14:paraId="49A886F6">
      <w:pPr>
        <w:spacing w:line="360" w:lineRule="exact"/>
        <w:rPr>
          <w:rFonts w:hint="eastAsia" w:ascii="宋体" w:hAnsi="宋体"/>
          <w:b/>
          <w:color w:val="auto"/>
          <w:sz w:val="22"/>
          <w:szCs w:val="22"/>
          <w:highlight w:val="none"/>
        </w:rPr>
      </w:pPr>
      <w:r>
        <w:rPr>
          <w:rFonts w:hint="eastAsia" w:ascii="宋体" w:hAnsi="宋体"/>
          <w:b/>
          <w:color w:val="auto"/>
          <w:sz w:val="22"/>
          <w:szCs w:val="22"/>
          <w:highlight w:val="none"/>
        </w:rPr>
        <w:t>2、</w:t>
      </w:r>
      <w:r>
        <w:rPr>
          <w:rFonts w:hint="eastAsia" w:ascii="宋体" w:hAnsi="宋体" w:cs="Arial"/>
          <w:b/>
          <w:bCs/>
          <w:color w:val="auto"/>
          <w:sz w:val="22"/>
          <w:szCs w:val="22"/>
          <w:highlight w:val="none"/>
        </w:rPr>
        <w:t>▲</w:t>
      </w:r>
      <w:r>
        <w:rPr>
          <w:rFonts w:hint="eastAsia" w:ascii="宋体" w:hAnsi="宋体"/>
          <w:b/>
          <w:color w:val="auto"/>
          <w:sz w:val="22"/>
          <w:szCs w:val="22"/>
          <w:highlight w:val="none"/>
          <w:u w:val="single"/>
        </w:rPr>
        <w:t>不提供《分项报价表》的报价，视为没有实质性响应</w:t>
      </w:r>
      <w:r>
        <w:rPr>
          <w:rFonts w:hint="eastAsia" w:ascii="宋体" w:hAnsi="宋体"/>
          <w:b/>
          <w:color w:val="auto"/>
          <w:sz w:val="22"/>
          <w:szCs w:val="22"/>
          <w:highlight w:val="none"/>
          <w:u w:val="single"/>
          <w:lang w:val="en-US" w:eastAsia="zh-CN"/>
        </w:rPr>
        <w:t>招标</w:t>
      </w:r>
      <w:r>
        <w:rPr>
          <w:rFonts w:hint="eastAsia" w:ascii="宋体" w:hAnsi="宋体"/>
          <w:b/>
          <w:color w:val="auto"/>
          <w:sz w:val="22"/>
          <w:szCs w:val="22"/>
          <w:highlight w:val="none"/>
          <w:u w:val="single"/>
        </w:rPr>
        <w:t>文件要求。</w:t>
      </w:r>
    </w:p>
    <w:p w14:paraId="18764974">
      <w:pPr>
        <w:pStyle w:val="50"/>
        <w:rPr>
          <w:color w:val="auto"/>
          <w:highlight w:val="none"/>
        </w:rPr>
      </w:pPr>
    </w:p>
    <w:p w14:paraId="0CECA5A2">
      <w:pPr>
        <w:pStyle w:val="50"/>
        <w:rPr>
          <w:color w:val="auto"/>
          <w:highlight w:val="none"/>
        </w:rPr>
      </w:pPr>
    </w:p>
    <w:p w14:paraId="6D9AFE0F">
      <w:pPr>
        <w:spacing w:line="380" w:lineRule="exact"/>
        <w:rPr>
          <w:rFonts w:hint="eastAsia" w:ascii="宋体" w:hAnsi="宋体" w:cs="宋体"/>
          <w:color w:val="auto"/>
          <w:sz w:val="22"/>
          <w:szCs w:val="22"/>
          <w:highlight w:val="none"/>
        </w:rPr>
      </w:pPr>
      <w:r>
        <w:rPr>
          <w:rFonts w:hint="eastAsia" w:ascii="宋体" w:hAnsi="宋体" w:cs="宋体"/>
          <w:color w:val="auto"/>
          <w:kern w:val="0"/>
          <w:sz w:val="22"/>
          <w:szCs w:val="22"/>
          <w:highlight w:val="none"/>
        </w:rPr>
        <w:t>供应商</w:t>
      </w:r>
      <w:r>
        <w:rPr>
          <w:rFonts w:hint="eastAsia" w:ascii="宋体" w:hAnsi="宋体" w:cs="宋体"/>
          <w:color w:val="auto"/>
          <w:sz w:val="22"/>
          <w:szCs w:val="22"/>
          <w:highlight w:val="none"/>
        </w:rPr>
        <w:t>全称（盖章）：</w:t>
      </w:r>
    </w:p>
    <w:p w14:paraId="6E1166DA">
      <w:pPr>
        <w:spacing w:line="38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14:paraId="2CA3BE7F">
      <w:pPr>
        <w:spacing w:line="38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日 期：  年  月  日</w:t>
      </w:r>
    </w:p>
    <w:p w14:paraId="20CFC702">
      <w:pPr>
        <w:rPr>
          <w:color w:val="auto"/>
          <w:highlight w:val="none"/>
        </w:rPr>
      </w:pPr>
    </w:p>
    <w:p w14:paraId="1D121233">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br w:type="page"/>
      </w:r>
    </w:p>
    <w:p w14:paraId="10EF14FD">
      <w:pPr>
        <w:spacing w:line="380" w:lineRule="exact"/>
        <w:rPr>
          <w:rFonts w:ascii="宋体" w:hAnsi="宋体"/>
          <w:color w:val="auto"/>
          <w:sz w:val="22"/>
          <w:szCs w:val="22"/>
          <w:highlight w:val="none"/>
        </w:rPr>
      </w:pPr>
    </w:p>
    <w:p w14:paraId="5CE3EDB1">
      <w:pPr>
        <w:spacing w:line="46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附件三</w:t>
      </w:r>
    </w:p>
    <w:p w14:paraId="1B3436C7">
      <w:pPr>
        <w:spacing w:line="460" w:lineRule="exact"/>
        <w:rPr>
          <w:rFonts w:ascii="宋体" w:hAnsi="宋体" w:cs="宋体"/>
          <w:b/>
          <w:bCs/>
          <w:color w:val="auto"/>
          <w:highlight w:val="none"/>
        </w:rPr>
      </w:pPr>
    </w:p>
    <w:p w14:paraId="3D9B00E3">
      <w:pPr>
        <w:spacing w:line="460" w:lineRule="exact"/>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磋商函</w:t>
      </w:r>
    </w:p>
    <w:p w14:paraId="4944DC9A">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lang w:eastAsia="zh-CN"/>
        </w:rPr>
        <w:t>温州市瓯海区教育局、温州市瓯海区体育事业发展中心</w:t>
      </w:r>
      <w:r>
        <w:rPr>
          <w:rFonts w:hint="eastAsia" w:ascii="宋体" w:hAnsi="宋体" w:cs="宋体"/>
          <w:color w:val="auto"/>
          <w:sz w:val="22"/>
          <w:szCs w:val="22"/>
          <w:highlight w:val="none"/>
        </w:rPr>
        <w:t>：</w:t>
      </w:r>
    </w:p>
    <w:p w14:paraId="0C6B7CC5">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rPr>
        <w:t>温州元信工程项目管理有限公司：</w:t>
      </w:r>
    </w:p>
    <w:p w14:paraId="2EF47A35">
      <w:pPr>
        <w:spacing w:line="42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根据贵方为项目（采购编号：）的磋商邀请，我方</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（供应商名称）作为供应商正式授权</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（授权代表全名，职务）代表我方处理有关本磋商的一切事宜。</w:t>
      </w:r>
    </w:p>
    <w:p w14:paraId="2129D39E">
      <w:pPr>
        <w:pStyle w:val="8"/>
        <w:spacing w:line="360" w:lineRule="exact"/>
        <w:ind w:firstLine="440" w:firstLineChars="200"/>
        <w:rPr>
          <w:rFonts w:ascii="宋体" w:hAnsi="宋体" w:cs="宋体"/>
          <w:color w:val="auto"/>
          <w:sz w:val="22"/>
          <w:highlight w:val="none"/>
        </w:rPr>
      </w:pPr>
      <w:r>
        <w:rPr>
          <w:rFonts w:hint="eastAsia" w:ascii="宋体" w:hAnsi="宋体" w:cs="宋体"/>
          <w:color w:val="auto"/>
          <w:sz w:val="22"/>
          <w:szCs w:val="22"/>
          <w:highlight w:val="none"/>
        </w:rPr>
        <w:t>在此提交的磋商响应文件中，包括如下内</w:t>
      </w:r>
      <w:r>
        <w:rPr>
          <w:rFonts w:hint="eastAsia" w:ascii="宋体" w:hAnsi="宋体" w:cs="宋体"/>
          <w:color w:val="auto"/>
          <w:sz w:val="22"/>
          <w:highlight w:val="none"/>
        </w:rPr>
        <w:t>容：</w:t>
      </w:r>
    </w:p>
    <w:p w14:paraId="0B91B216">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1、按“供应商须知”要求编制的磋商响应文件资格文件；</w:t>
      </w:r>
    </w:p>
    <w:p w14:paraId="6D5083A9">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2、按“供应商须知”要求编制的磋商响应文件商务技术文件；</w:t>
      </w:r>
    </w:p>
    <w:p w14:paraId="717427B1">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3、按“供应商须知”要求编制的磋商响应文件报价文件；</w:t>
      </w:r>
    </w:p>
    <w:p w14:paraId="525F0D5C">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我方己完全明白磋商文件的所有条款要求，并重申以下几点：</w:t>
      </w:r>
    </w:p>
    <w:p w14:paraId="396B4D15">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本磋商响应文件的有效期自磋商截止日起  90 天内有效，如中标，有效期将延至合同终止日为止；</w:t>
      </w:r>
    </w:p>
    <w:p w14:paraId="227FAD7B">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我方已详细研究了磋商文件的所有内容包括修改书（如有）和所有已提供的参考资料以及有关附件，我方完全理解并同意放弃在此方面提出含糊意见或误解的一切权力；</w:t>
      </w:r>
    </w:p>
    <w:p w14:paraId="64E6BA39">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我方郑重承诺所提供的“信用中国网站”、“中国政府采购网”信用查询证明文件真实有效；</w:t>
      </w:r>
    </w:p>
    <w:p w14:paraId="42695434">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我方在参加本项目前三年内</w:t>
      </w:r>
      <w:r>
        <w:rPr>
          <w:rFonts w:hint="eastAsia" w:ascii="宋体" w:hAnsi="宋体" w:cs="宋体"/>
          <w:color w:val="auto"/>
          <w:sz w:val="22"/>
          <w:highlight w:val="none"/>
          <w:u w:val="single"/>
        </w:rPr>
        <w:t>（有因违法经营受到刑事处罚或者责令停产停业、吊销许可证或者执照、较大数额罚款等行政处罚或处罚）</w:t>
      </w:r>
      <w:r>
        <w:rPr>
          <w:rFonts w:hint="eastAsia" w:ascii="宋体" w:hAnsi="宋体" w:cs="宋体"/>
          <w:color w:val="auto"/>
          <w:sz w:val="22"/>
          <w:highlight w:val="none"/>
        </w:rPr>
        <w:t>或（</w:t>
      </w:r>
      <w:r>
        <w:rPr>
          <w:rFonts w:hint="eastAsia" w:ascii="宋体" w:hAnsi="宋体" w:cs="宋体"/>
          <w:color w:val="auto"/>
          <w:sz w:val="22"/>
          <w:highlight w:val="none"/>
          <w:u w:val="single"/>
        </w:rPr>
        <w:t>没有因违法经营受到刑事处罚或者责令停产停业、吊销许可证或者执照、较大数额罚款等行政处罚或处罚）</w:t>
      </w:r>
      <w:r>
        <w:rPr>
          <w:rFonts w:hint="eastAsia" w:ascii="宋体" w:hAnsi="宋体" w:cs="宋体"/>
          <w:color w:val="auto"/>
          <w:sz w:val="22"/>
          <w:highlight w:val="none"/>
        </w:rPr>
        <w:t>或</w:t>
      </w:r>
      <w:r>
        <w:rPr>
          <w:rFonts w:hint="eastAsia" w:ascii="宋体" w:hAnsi="宋体" w:cs="宋体"/>
          <w:color w:val="auto"/>
          <w:sz w:val="22"/>
          <w:highlight w:val="none"/>
          <w:u w:val="single"/>
        </w:rPr>
        <w:t>（在  至  期间禁止参加政府采购活动但是期限届满，须附相关证明文件）</w:t>
      </w:r>
      <w:r>
        <w:rPr>
          <w:rFonts w:hint="eastAsia" w:ascii="宋体" w:hAnsi="宋体" w:cs="宋体"/>
          <w:color w:val="auto"/>
          <w:sz w:val="22"/>
          <w:highlight w:val="none"/>
        </w:rPr>
        <w:t>；</w:t>
      </w:r>
    </w:p>
    <w:p w14:paraId="0378B9D1">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我方同意提供按照贵方可能要求的与磋商有关的一切数据或资料；</w:t>
      </w:r>
    </w:p>
    <w:p w14:paraId="1E59158B">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我方理解贵方不一定接受最低报价。</w:t>
      </w:r>
      <w:r>
        <w:rPr>
          <w:rFonts w:hint="eastAsia" w:ascii="宋体" w:hAnsi="宋体" w:cs="宋体"/>
          <w:color w:val="auto"/>
          <w:sz w:val="22"/>
          <w:highlight w:val="none"/>
        </w:rPr>
        <w:tab/>
      </w:r>
    </w:p>
    <w:p w14:paraId="5D9AF8A3">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我方如果中标，将保证履行磋商文件以及磋商文件修改书（如有）中的全部责任和义务，按质、按量、按期完成《合同书》中的全部任务。</w:t>
      </w:r>
    </w:p>
    <w:p w14:paraId="7C4B6639">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所有与本磋商有关的函件请发往下列地址：</w:t>
      </w:r>
    </w:p>
    <w:p w14:paraId="225CE33C">
      <w:pPr>
        <w:spacing w:line="360" w:lineRule="exact"/>
        <w:ind w:firstLine="435"/>
        <w:rPr>
          <w:rFonts w:ascii="宋体" w:hAnsi="宋体" w:cs="宋体"/>
          <w:color w:val="auto"/>
          <w:sz w:val="22"/>
          <w:szCs w:val="22"/>
          <w:highlight w:val="none"/>
        </w:rPr>
      </w:pPr>
      <w:r>
        <w:rPr>
          <w:rFonts w:hint="eastAsia" w:ascii="宋体" w:hAnsi="宋体" w:cs="宋体"/>
          <w:color w:val="auto"/>
          <w:sz w:val="22"/>
          <w:szCs w:val="22"/>
          <w:highlight w:val="none"/>
        </w:rPr>
        <w:t xml:space="preserve">   地址</w:t>
      </w:r>
    </w:p>
    <w:p w14:paraId="6BA0C0B7">
      <w:pPr>
        <w:spacing w:line="360" w:lineRule="exact"/>
        <w:ind w:firstLine="435"/>
        <w:rPr>
          <w:rFonts w:ascii="宋体" w:hAnsi="宋体" w:cs="宋体"/>
          <w:color w:val="auto"/>
          <w:sz w:val="22"/>
          <w:szCs w:val="22"/>
          <w:highlight w:val="none"/>
        </w:rPr>
      </w:pPr>
      <w:r>
        <w:rPr>
          <w:rFonts w:hint="eastAsia" w:ascii="宋体" w:hAnsi="宋体" w:cs="宋体"/>
          <w:color w:val="auto"/>
          <w:sz w:val="22"/>
          <w:szCs w:val="22"/>
          <w:highlight w:val="none"/>
        </w:rPr>
        <w:t xml:space="preserve">   电话</w:t>
      </w:r>
    </w:p>
    <w:p w14:paraId="463E1C32">
      <w:pPr>
        <w:spacing w:line="360" w:lineRule="exact"/>
        <w:ind w:firstLine="435"/>
        <w:rPr>
          <w:rFonts w:ascii="宋体" w:hAnsi="宋体" w:cs="宋体"/>
          <w:color w:val="auto"/>
          <w:sz w:val="22"/>
          <w:szCs w:val="22"/>
          <w:highlight w:val="none"/>
          <w:u w:val="single"/>
        </w:rPr>
      </w:pPr>
      <w:r>
        <w:rPr>
          <w:rFonts w:hint="eastAsia" w:ascii="宋体" w:hAnsi="宋体" w:cs="宋体"/>
          <w:color w:val="auto"/>
          <w:sz w:val="22"/>
          <w:szCs w:val="22"/>
          <w:highlight w:val="none"/>
        </w:rPr>
        <w:t xml:space="preserve">   传真</w:t>
      </w:r>
    </w:p>
    <w:p w14:paraId="30CCB1FF">
      <w:pPr>
        <w:spacing w:line="360" w:lineRule="exact"/>
        <w:ind w:firstLine="770" w:firstLineChars="350"/>
        <w:rPr>
          <w:rFonts w:ascii="宋体" w:hAnsi="宋体" w:cs="宋体"/>
          <w:color w:val="auto"/>
          <w:sz w:val="22"/>
          <w:szCs w:val="22"/>
          <w:highlight w:val="none"/>
          <w:u w:val="single"/>
        </w:rPr>
      </w:pPr>
      <w:r>
        <w:rPr>
          <w:rFonts w:hint="eastAsia" w:ascii="宋体" w:hAnsi="宋体" w:cs="宋体"/>
          <w:color w:val="auto"/>
          <w:sz w:val="22"/>
          <w:szCs w:val="22"/>
          <w:highlight w:val="none"/>
        </w:rPr>
        <w:t>电子邮件</w:t>
      </w:r>
    </w:p>
    <w:p w14:paraId="6E940047">
      <w:pPr>
        <w:spacing w:line="420" w:lineRule="exact"/>
        <w:ind w:firstLine="435"/>
        <w:rPr>
          <w:rFonts w:ascii="宋体" w:hAnsi="宋体" w:cs="宋体"/>
          <w:color w:val="auto"/>
          <w:sz w:val="22"/>
          <w:szCs w:val="22"/>
          <w:highlight w:val="none"/>
        </w:rPr>
      </w:pPr>
    </w:p>
    <w:p w14:paraId="64EA3EF8">
      <w:pPr>
        <w:spacing w:line="420" w:lineRule="exact"/>
        <w:ind w:firstLine="435"/>
        <w:rPr>
          <w:rFonts w:ascii="宋体" w:hAnsi="宋体" w:cs="宋体"/>
          <w:color w:val="auto"/>
          <w:sz w:val="22"/>
          <w:szCs w:val="22"/>
          <w:highlight w:val="none"/>
        </w:rPr>
      </w:pPr>
      <w:r>
        <w:rPr>
          <w:rFonts w:hint="eastAsia" w:ascii="宋体" w:hAnsi="宋体" w:cs="宋体"/>
          <w:color w:val="auto"/>
          <w:sz w:val="22"/>
          <w:szCs w:val="22"/>
          <w:highlight w:val="none"/>
        </w:rPr>
        <w:t xml:space="preserve">                                   供应商名称（盖章）</w:t>
      </w:r>
    </w:p>
    <w:p w14:paraId="7E033E0F">
      <w:pPr>
        <w:spacing w:line="420" w:lineRule="exact"/>
        <w:ind w:firstLine="435"/>
        <w:rPr>
          <w:rFonts w:ascii="宋体" w:hAnsi="宋体" w:cs="宋体"/>
          <w:color w:val="auto"/>
          <w:sz w:val="22"/>
          <w:szCs w:val="22"/>
          <w:highlight w:val="none"/>
        </w:rPr>
      </w:pPr>
      <w:r>
        <w:rPr>
          <w:rFonts w:hint="eastAsia" w:ascii="宋体" w:hAnsi="宋体" w:cs="宋体"/>
          <w:color w:val="auto"/>
          <w:sz w:val="22"/>
          <w:szCs w:val="22"/>
          <w:highlight w:val="none"/>
        </w:rPr>
        <w:t xml:space="preserve">                                   供应商代表（签字或盖章）</w:t>
      </w:r>
    </w:p>
    <w:p w14:paraId="4219C767">
      <w:pPr>
        <w:spacing w:line="460" w:lineRule="exact"/>
        <w:ind w:firstLine="435"/>
        <w:rPr>
          <w:rFonts w:ascii="宋体" w:hAnsi="宋体" w:cs="宋体"/>
          <w:color w:val="auto"/>
          <w:sz w:val="22"/>
          <w:szCs w:val="22"/>
          <w:highlight w:val="none"/>
          <w:u w:val="single"/>
        </w:rPr>
        <w:sectPr>
          <w:footerReference r:id="rId11" w:type="first"/>
          <w:headerReference r:id="rId8" w:type="default"/>
          <w:footerReference r:id="rId9" w:type="default"/>
          <w:footerReference r:id="rId10" w:type="even"/>
          <w:pgSz w:w="11906" w:h="16838"/>
          <w:pgMar w:top="1134" w:right="1134" w:bottom="1134" w:left="1134" w:header="851" w:footer="851"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color w:val="auto"/>
          <w:sz w:val="22"/>
          <w:szCs w:val="22"/>
          <w:highlight w:val="none"/>
        </w:rPr>
        <w:t xml:space="preserve">                                   日    期</w:t>
      </w:r>
    </w:p>
    <w:p w14:paraId="0B7B8114">
      <w:pPr>
        <w:spacing w:line="460" w:lineRule="exact"/>
        <w:rPr>
          <w:rFonts w:ascii="宋体" w:hAnsi="宋体" w:cs="宋体"/>
          <w:color w:val="auto"/>
          <w:highlight w:val="none"/>
        </w:rPr>
      </w:pPr>
      <w:r>
        <w:rPr>
          <w:rFonts w:hint="eastAsia" w:ascii="宋体" w:hAnsi="宋体" w:cs="宋体"/>
          <w:b/>
          <w:bCs/>
          <w:color w:val="auto"/>
          <w:sz w:val="22"/>
          <w:szCs w:val="22"/>
          <w:highlight w:val="none"/>
        </w:rPr>
        <w:t>附件四</w:t>
      </w:r>
    </w:p>
    <w:p w14:paraId="0466A21F">
      <w:pPr>
        <w:spacing w:line="460" w:lineRule="exact"/>
        <w:ind w:firstLine="437"/>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技术规格、商务条款偏离表</w:t>
      </w:r>
    </w:p>
    <w:p w14:paraId="40AA2F27">
      <w:pPr>
        <w:spacing w:line="38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供应商名称：                                          采购编号：</w:t>
      </w:r>
    </w:p>
    <w:tbl>
      <w:tblPr>
        <w:tblStyle w:val="38"/>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364"/>
        <w:gridCol w:w="2097"/>
        <w:gridCol w:w="1992"/>
        <w:gridCol w:w="1866"/>
        <w:gridCol w:w="1592"/>
      </w:tblGrid>
      <w:tr w14:paraId="6D195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943" w:type="dxa"/>
          </w:tcPr>
          <w:p w14:paraId="1667C04D">
            <w:pPr>
              <w:spacing w:line="380" w:lineRule="exact"/>
              <w:jc w:val="center"/>
              <w:rPr>
                <w:rFonts w:ascii="宋体" w:hAnsi="宋体" w:cs="宋体"/>
                <w:color w:val="auto"/>
                <w:sz w:val="22"/>
                <w:szCs w:val="22"/>
                <w:highlight w:val="none"/>
              </w:rPr>
            </w:pPr>
          </w:p>
        </w:tc>
        <w:tc>
          <w:tcPr>
            <w:tcW w:w="1364" w:type="dxa"/>
            <w:vAlign w:val="center"/>
          </w:tcPr>
          <w:p w14:paraId="33879478">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序号</w:t>
            </w:r>
          </w:p>
        </w:tc>
        <w:tc>
          <w:tcPr>
            <w:tcW w:w="2097" w:type="dxa"/>
            <w:vAlign w:val="center"/>
          </w:tcPr>
          <w:p w14:paraId="39861334">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磋商文件</w:t>
            </w:r>
          </w:p>
          <w:p w14:paraId="3374EA9E">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条目号</w:t>
            </w:r>
          </w:p>
        </w:tc>
        <w:tc>
          <w:tcPr>
            <w:tcW w:w="1992" w:type="dxa"/>
            <w:vAlign w:val="center"/>
          </w:tcPr>
          <w:p w14:paraId="74A92409">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磋商文件</w:t>
            </w:r>
          </w:p>
          <w:p w14:paraId="3029CA1F">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规范要求</w:t>
            </w:r>
          </w:p>
        </w:tc>
        <w:tc>
          <w:tcPr>
            <w:tcW w:w="1866" w:type="dxa"/>
            <w:vAlign w:val="center"/>
          </w:tcPr>
          <w:p w14:paraId="56D3D6FE">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磋商响应文件</w:t>
            </w:r>
          </w:p>
          <w:p w14:paraId="1A94613B">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对应规范</w:t>
            </w:r>
          </w:p>
        </w:tc>
        <w:tc>
          <w:tcPr>
            <w:tcW w:w="1592" w:type="dxa"/>
            <w:vAlign w:val="center"/>
          </w:tcPr>
          <w:p w14:paraId="2035B8FD">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说明</w:t>
            </w:r>
          </w:p>
        </w:tc>
      </w:tr>
      <w:tr w14:paraId="2531B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943" w:type="dxa"/>
            <w:vMerge w:val="restart"/>
            <w:vAlign w:val="center"/>
          </w:tcPr>
          <w:p w14:paraId="6BC9F156">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技</w:t>
            </w:r>
          </w:p>
          <w:p w14:paraId="5AD92D9D">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术</w:t>
            </w:r>
          </w:p>
          <w:p w14:paraId="15C0A0B8">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规</w:t>
            </w:r>
          </w:p>
          <w:p w14:paraId="09A900F6">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格</w:t>
            </w:r>
          </w:p>
        </w:tc>
        <w:tc>
          <w:tcPr>
            <w:tcW w:w="1364" w:type="dxa"/>
            <w:vAlign w:val="center"/>
          </w:tcPr>
          <w:p w14:paraId="75019358">
            <w:pPr>
              <w:spacing w:line="380" w:lineRule="exact"/>
              <w:jc w:val="center"/>
              <w:rPr>
                <w:rFonts w:ascii="宋体" w:hAnsi="宋体" w:cs="宋体"/>
                <w:color w:val="auto"/>
                <w:sz w:val="22"/>
                <w:szCs w:val="22"/>
                <w:highlight w:val="none"/>
              </w:rPr>
            </w:pPr>
          </w:p>
        </w:tc>
        <w:tc>
          <w:tcPr>
            <w:tcW w:w="2097" w:type="dxa"/>
            <w:vAlign w:val="center"/>
          </w:tcPr>
          <w:p w14:paraId="16C27F84">
            <w:pPr>
              <w:spacing w:line="380" w:lineRule="exact"/>
              <w:jc w:val="center"/>
              <w:rPr>
                <w:rFonts w:ascii="宋体" w:hAnsi="宋体" w:cs="宋体"/>
                <w:color w:val="auto"/>
                <w:sz w:val="22"/>
                <w:szCs w:val="22"/>
                <w:highlight w:val="none"/>
              </w:rPr>
            </w:pPr>
          </w:p>
        </w:tc>
        <w:tc>
          <w:tcPr>
            <w:tcW w:w="1992" w:type="dxa"/>
            <w:vAlign w:val="center"/>
          </w:tcPr>
          <w:p w14:paraId="31A3AB49">
            <w:pPr>
              <w:spacing w:line="380" w:lineRule="exact"/>
              <w:jc w:val="center"/>
              <w:rPr>
                <w:rFonts w:ascii="宋体" w:hAnsi="宋体" w:cs="宋体"/>
                <w:color w:val="auto"/>
                <w:sz w:val="22"/>
                <w:szCs w:val="22"/>
                <w:highlight w:val="none"/>
              </w:rPr>
            </w:pPr>
          </w:p>
        </w:tc>
        <w:tc>
          <w:tcPr>
            <w:tcW w:w="1866" w:type="dxa"/>
            <w:vAlign w:val="center"/>
          </w:tcPr>
          <w:p w14:paraId="6A488D4B">
            <w:pPr>
              <w:spacing w:line="380" w:lineRule="exact"/>
              <w:jc w:val="center"/>
              <w:rPr>
                <w:rFonts w:ascii="宋体" w:hAnsi="宋体" w:cs="宋体"/>
                <w:color w:val="auto"/>
                <w:sz w:val="22"/>
                <w:szCs w:val="22"/>
                <w:highlight w:val="none"/>
              </w:rPr>
            </w:pPr>
          </w:p>
        </w:tc>
        <w:tc>
          <w:tcPr>
            <w:tcW w:w="1592" w:type="dxa"/>
            <w:vAlign w:val="center"/>
          </w:tcPr>
          <w:p w14:paraId="1D06DA59">
            <w:pPr>
              <w:spacing w:line="380" w:lineRule="exact"/>
              <w:jc w:val="center"/>
              <w:rPr>
                <w:rFonts w:ascii="宋体" w:hAnsi="宋体" w:cs="宋体"/>
                <w:color w:val="auto"/>
                <w:sz w:val="22"/>
                <w:szCs w:val="22"/>
                <w:highlight w:val="none"/>
              </w:rPr>
            </w:pPr>
          </w:p>
        </w:tc>
      </w:tr>
      <w:tr w14:paraId="5BF45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205FEA38">
            <w:pPr>
              <w:spacing w:line="380" w:lineRule="exact"/>
              <w:ind w:firstLine="220" w:firstLineChars="100"/>
              <w:rPr>
                <w:rFonts w:ascii="宋体" w:hAnsi="宋体" w:cs="宋体"/>
                <w:color w:val="auto"/>
                <w:sz w:val="22"/>
                <w:szCs w:val="22"/>
                <w:highlight w:val="none"/>
              </w:rPr>
            </w:pPr>
          </w:p>
        </w:tc>
        <w:tc>
          <w:tcPr>
            <w:tcW w:w="1364" w:type="dxa"/>
            <w:vAlign w:val="center"/>
          </w:tcPr>
          <w:p w14:paraId="36251A4E">
            <w:pPr>
              <w:spacing w:line="380" w:lineRule="exact"/>
              <w:jc w:val="center"/>
              <w:rPr>
                <w:rFonts w:ascii="宋体" w:hAnsi="宋体" w:cs="宋体"/>
                <w:color w:val="auto"/>
                <w:sz w:val="22"/>
                <w:szCs w:val="22"/>
                <w:highlight w:val="none"/>
              </w:rPr>
            </w:pPr>
          </w:p>
        </w:tc>
        <w:tc>
          <w:tcPr>
            <w:tcW w:w="2097" w:type="dxa"/>
            <w:vAlign w:val="center"/>
          </w:tcPr>
          <w:p w14:paraId="22D9B125">
            <w:pPr>
              <w:spacing w:line="380" w:lineRule="exact"/>
              <w:jc w:val="center"/>
              <w:rPr>
                <w:rFonts w:ascii="宋体" w:hAnsi="宋体" w:cs="宋体"/>
                <w:color w:val="auto"/>
                <w:sz w:val="22"/>
                <w:szCs w:val="22"/>
                <w:highlight w:val="none"/>
              </w:rPr>
            </w:pPr>
          </w:p>
        </w:tc>
        <w:tc>
          <w:tcPr>
            <w:tcW w:w="1992" w:type="dxa"/>
            <w:vAlign w:val="center"/>
          </w:tcPr>
          <w:p w14:paraId="0C833E07">
            <w:pPr>
              <w:spacing w:line="380" w:lineRule="exact"/>
              <w:jc w:val="center"/>
              <w:rPr>
                <w:rFonts w:ascii="宋体" w:hAnsi="宋体" w:cs="宋体"/>
                <w:color w:val="auto"/>
                <w:sz w:val="22"/>
                <w:szCs w:val="22"/>
                <w:highlight w:val="none"/>
              </w:rPr>
            </w:pPr>
          </w:p>
        </w:tc>
        <w:tc>
          <w:tcPr>
            <w:tcW w:w="1866" w:type="dxa"/>
            <w:vAlign w:val="center"/>
          </w:tcPr>
          <w:p w14:paraId="3B19E782">
            <w:pPr>
              <w:spacing w:line="380" w:lineRule="exact"/>
              <w:jc w:val="center"/>
              <w:rPr>
                <w:rFonts w:ascii="宋体" w:hAnsi="宋体" w:cs="宋体"/>
                <w:color w:val="auto"/>
                <w:sz w:val="22"/>
                <w:szCs w:val="22"/>
                <w:highlight w:val="none"/>
              </w:rPr>
            </w:pPr>
          </w:p>
        </w:tc>
        <w:tc>
          <w:tcPr>
            <w:tcW w:w="1592" w:type="dxa"/>
            <w:vAlign w:val="center"/>
          </w:tcPr>
          <w:p w14:paraId="4227F524">
            <w:pPr>
              <w:spacing w:line="380" w:lineRule="exact"/>
              <w:jc w:val="center"/>
              <w:rPr>
                <w:rFonts w:ascii="宋体" w:hAnsi="宋体" w:cs="宋体"/>
                <w:color w:val="auto"/>
                <w:sz w:val="22"/>
                <w:szCs w:val="22"/>
                <w:highlight w:val="none"/>
              </w:rPr>
            </w:pPr>
          </w:p>
        </w:tc>
      </w:tr>
      <w:tr w14:paraId="18E12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2D9D2ABA">
            <w:pPr>
              <w:spacing w:line="380" w:lineRule="exact"/>
              <w:jc w:val="center"/>
              <w:rPr>
                <w:rFonts w:ascii="宋体" w:hAnsi="宋体" w:cs="宋体"/>
                <w:color w:val="auto"/>
                <w:sz w:val="22"/>
                <w:szCs w:val="22"/>
                <w:highlight w:val="none"/>
              </w:rPr>
            </w:pPr>
          </w:p>
        </w:tc>
        <w:tc>
          <w:tcPr>
            <w:tcW w:w="1364" w:type="dxa"/>
            <w:vAlign w:val="center"/>
          </w:tcPr>
          <w:p w14:paraId="7628737B">
            <w:pPr>
              <w:spacing w:line="380" w:lineRule="exact"/>
              <w:jc w:val="center"/>
              <w:rPr>
                <w:rFonts w:ascii="宋体" w:hAnsi="宋体" w:cs="宋体"/>
                <w:color w:val="auto"/>
                <w:sz w:val="22"/>
                <w:szCs w:val="22"/>
                <w:highlight w:val="none"/>
              </w:rPr>
            </w:pPr>
          </w:p>
        </w:tc>
        <w:tc>
          <w:tcPr>
            <w:tcW w:w="2097" w:type="dxa"/>
            <w:vAlign w:val="center"/>
          </w:tcPr>
          <w:p w14:paraId="0F590388">
            <w:pPr>
              <w:spacing w:line="380" w:lineRule="exact"/>
              <w:jc w:val="center"/>
              <w:rPr>
                <w:rFonts w:ascii="宋体" w:hAnsi="宋体" w:cs="宋体"/>
                <w:color w:val="auto"/>
                <w:sz w:val="22"/>
                <w:szCs w:val="22"/>
                <w:highlight w:val="none"/>
              </w:rPr>
            </w:pPr>
          </w:p>
        </w:tc>
        <w:tc>
          <w:tcPr>
            <w:tcW w:w="1992" w:type="dxa"/>
            <w:vAlign w:val="center"/>
          </w:tcPr>
          <w:p w14:paraId="72658213">
            <w:pPr>
              <w:spacing w:line="380" w:lineRule="exact"/>
              <w:jc w:val="center"/>
              <w:rPr>
                <w:rFonts w:ascii="宋体" w:hAnsi="宋体" w:cs="宋体"/>
                <w:color w:val="auto"/>
                <w:sz w:val="22"/>
                <w:szCs w:val="22"/>
                <w:highlight w:val="none"/>
              </w:rPr>
            </w:pPr>
          </w:p>
        </w:tc>
        <w:tc>
          <w:tcPr>
            <w:tcW w:w="1866" w:type="dxa"/>
            <w:vAlign w:val="center"/>
          </w:tcPr>
          <w:p w14:paraId="44F1ECFE">
            <w:pPr>
              <w:spacing w:line="380" w:lineRule="exact"/>
              <w:jc w:val="center"/>
              <w:rPr>
                <w:rFonts w:ascii="宋体" w:hAnsi="宋体" w:cs="宋体"/>
                <w:color w:val="auto"/>
                <w:sz w:val="22"/>
                <w:szCs w:val="22"/>
                <w:highlight w:val="none"/>
              </w:rPr>
            </w:pPr>
          </w:p>
        </w:tc>
        <w:tc>
          <w:tcPr>
            <w:tcW w:w="1592" w:type="dxa"/>
            <w:vAlign w:val="center"/>
          </w:tcPr>
          <w:p w14:paraId="1355874A">
            <w:pPr>
              <w:spacing w:line="380" w:lineRule="exact"/>
              <w:jc w:val="center"/>
              <w:rPr>
                <w:rFonts w:ascii="宋体" w:hAnsi="宋体" w:cs="宋体"/>
                <w:color w:val="auto"/>
                <w:sz w:val="22"/>
                <w:szCs w:val="22"/>
                <w:highlight w:val="none"/>
              </w:rPr>
            </w:pPr>
          </w:p>
        </w:tc>
      </w:tr>
      <w:tr w14:paraId="1E26F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3F40CAF1">
            <w:pPr>
              <w:spacing w:line="380" w:lineRule="exact"/>
              <w:jc w:val="center"/>
              <w:rPr>
                <w:rFonts w:ascii="宋体" w:hAnsi="宋体" w:cs="宋体"/>
                <w:color w:val="auto"/>
                <w:sz w:val="22"/>
                <w:szCs w:val="22"/>
                <w:highlight w:val="none"/>
              </w:rPr>
            </w:pPr>
          </w:p>
        </w:tc>
        <w:tc>
          <w:tcPr>
            <w:tcW w:w="1364" w:type="dxa"/>
            <w:vAlign w:val="center"/>
          </w:tcPr>
          <w:p w14:paraId="40859538">
            <w:pPr>
              <w:spacing w:line="380" w:lineRule="exact"/>
              <w:jc w:val="center"/>
              <w:rPr>
                <w:rFonts w:ascii="宋体" w:hAnsi="宋体" w:cs="宋体"/>
                <w:color w:val="auto"/>
                <w:sz w:val="22"/>
                <w:szCs w:val="22"/>
                <w:highlight w:val="none"/>
              </w:rPr>
            </w:pPr>
          </w:p>
        </w:tc>
        <w:tc>
          <w:tcPr>
            <w:tcW w:w="2097" w:type="dxa"/>
            <w:vAlign w:val="center"/>
          </w:tcPr>
          <w:p w14:paraId="0BA0BB6F">
            <w:pPr>
              <w:spacing w:line="380" w:lineRule="exact"/>
              <w:jc w:val="center"/>
              <w:rPr>
                <w:rFonts w:ascii="宋体" w:hAnsi="宋体" w:cs="宋体"/>
                <w:color w:val="auto"/>
                <w:sz w:val="22"/>
                <w:szCs w:val="22"/>
                <w:highlight w:val="none"/>
              </w:rPr>
            </w:pPr>
          </w:p>
        </w:tc>
        <w:tc>
          <w:tcPr>
            <w:tcW w:w="1992" w:type="dxa"/>
            <w:vAlign w:val="center"/>
          </w:tcPr>
          <w:p w14:paraId="6A45F706">
            <w:pPr>
              <w:spacing w:line="380" w:lineRule="exact"/>
              <w:jc w:val="center"/>
              <w:rPr>
                <w:rFonts w:ascii="宋体" w:hAnsi="宋体" w:cs="宋体"/>
                <w:color w:val="auto"/>
                <w:sz w:val="22"/>
                <w:szCs w:val="22"/>
                <w:highlight w:val="none"/>
              </w:rPr>
            </w:pPr>
          </w:p>
        </w:tc>
        <w:tc>
          <w:tcPr>
            <w:tcW w:w="1866" w:type="dxa"/>
            <w:vAlign w:val="center"/>
          </w:tcPr>
          <w:p w14:paraId="62F9E754">
            <w:pPr>
              <w:spacing w:line="380" w:lineRule="exact"/>
              <w:jc w:val="center"/>
              <w:rPr>
                <w:rFonts w:ascii="宋体" w:hAnsi="宋体" w:cs="宋体"/>
                <w:color w:val="auto"/>
                <w:sz w:val="22"/>
                <w:szCs w:val="22"/>
                <w:highlight w:val="none"/>
              </w:rPr>
            </w:pPr>
          </w:p>
        </w:tc>
        <w:tc>
          <w:tcPr>
            <w:tcW w:w="1592" w:type="dxa"/>
            <w:vAlign w:val="center"/>
          </w:tcPr>
          <w:p w14:paraId="2637AA1E">
            <w:pPr>
              <w:spacing w:line="380" w:lineRule="exact"/>
              <w:jc w:val="center"/>
              <w:rPr>
                <w:rFonts w:ascii="宋体" w:hAnsi="宋体" w:cs="宋体"/>
                <w:color w:val="auto"/>
                <w:sz w:val="22"/>
                <w:szCs w:val="22"/>
                <w:highlight w:val="none"/>
              </w:rPr>
            </w:pPr>
          </w:p>
        </w:tc>
      </w:tr>
      <w:tr w14:paraId="15C71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632786DF">
            <w:pPr>
              <w:spacing w:line="380" w:lineRule="exact"/>
              <w:jc w:val="center"/>
              <w:rPr>
                <w:rFonts w:ascii="宋体" w:hAnsi="宋体" w:cs="宋体"/>
                <w:color w:val="auto"/>
                <w:sz w:val="22"/>
                <w:szCs w:val="22"/>
                <w:highlight w:val="none"/>
              </w:rPr>
            </w:pPr>
          </w:p>
        </w:tc>
        <w:tc>
          <w:tcPr>
            <w:tcW w:w="1364" w:type="dxa"/>
            <w:vAlign w:val="center"/>
          </w:tcPr>
          <w:p w14:paraId="03112CC8">
            <w:pPr>
              <w:spacing w:line="380" w:lineRule="exact"/>
              <w:jc w:val="center"/>
              <w:rPr>
                <w:rFonts w:ascii="宋体" w:hAnsi="宋体" w:cs="宋体"/>
                <w:color w:val="auto"/>
                <w:sz w:val="22"/>
                <w:szCs w:val="22"/>
                <w:highlight w:val="none"/>
              </w:rPr>
            </w:pPr>
          </w:p>
        </w:tc>
        <w:tc>
          <w:tcPr>
            <w:tcW w:w="2097" w:type="dxa"/>
            <w:vAlign w:val="center"/>
          </w:tcPr>
          <w:p w14:paraId="3182A2C6">
            <w:pPr>
              <w:spacing w:line="380" w:lineRule="exact"/>
              <w:jc w:val="center"/>
              <w:rPr>
                <w:rFonts w:ascii="宋体" w:hAnsi="宋体" w:cs="宋体"/>
                <w:color w:val="auto"/>
                <w:sz w:val="22"/>
                <w:szCs w:val="22"/>
                <w:highlight w:val="none"/>
              </w:rPr>
            </w:pPr>
          </w:p>
        </w:tc>
        <w:tc>
          <w:tcPr>
            <w:tcW w:w="1992" w:type="dxa"/>
            <w:vAlign w:val="center"/>
          </w:tcPr>
          <w:p w14:paraId="57C6C17A">
            <w:pPr>
              <w:spacing w:line="380" w:lineRule="exact"/>
              <w:jc w:val="center"/>
              <w:rPr>
                <w:rFonts w:ascii="宋体" w:hAnsi="宋体" w:cs="宋体"/>
                <w:color w:val="auto"/>
                <w:sz w:val="22"/>
                <w:szCs w:val="22"/>
                <w:highlight w:val="none"/>
              </w:rPr>
            </w:pPr>
          </w:p>
        </w:tc>
        <w:tc>
          <w:tcPr>
            <w:tcW w:w="1866" w:type="dxa"/>
            <w:vAlign w:val="center"/>
          </w:tcPr>
          <w:p w14:paraId="2596C638">
            <w:pPr>
              <w:spacing w:line="380" w:lineRule="exact"/>
              <w:jc w:val="center"/>
              <w:rPr>
                <w:rFonts w:ascii="宋体" w:hAnsi="宋体" w:cs="宋体"/>
                <w:color w:val="auto"/>
                <w:sz w:val="22"/>
                <w:szCs w:val="22"/>
                <w:highlight w:val="none"/>
              </w:rPr>
            </w:pPr>
          </w:p>
        </w:tc>
        <w:tc>
          <w:tcPr>
            <w:tcW w:w="1592" w:type="dxa"/>
            <w:vAlign w:val="center"/>
          </w:tcPr>
          <w:p w14:paraId="4FB6A92C">
            <w:pPr>
              <w:spacing w:line="380" w:lineRule="exact"/>
              <w:jc w:val="center"/>
              <w:rPr>
                <w:rFonts w:ascii="宋体" w:hAnsi="宋体" w:cs="宋体"/>
                <w:color w:val="auto"/>
                <w:sz w:val="22"/>
                <w:szCs w:val="22"/>
                <w:highlight w:val="none"/>
              </w:rPr>
            </w:pPr>
          </w:p>
        </w:tc>
      </w:tr>
      <w:tr w14:paraId="71726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943" w:type="dxa"/>
            <w:vMerge w:val="restart"/>
            <w:vAlign w:val="center"/>
          </w:tcPr>
          <w:p w14:paraId="57AD2AEC">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商</w:t>
            </w:r>
          </w:p>
          <w:p w14:paraId="588A1E5C">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务</w:t>
            </w:r>
          </w:p>
          <w:p w14:paraId="0BF129E9">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条</w:t>
            </w:r>
          </w:p>
          <w:p w14:paraId="010B92FA">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款</w:t>
            </w:r>
          </w:p>
        </w:tc>
        <w:tc>
          <w:tcPr>
            <w:tcW w:w="1364" w:type="dxa"/>
            <w:vAlign w:val="center"/>
          </w:tcPr>
          <w:p w14:paraId="1D1E401D">
            <w:pPr>
              <w:spacing w:line="380" w:lineRule="exact"/>
              <w:jc w:val="center"/>
              <w:rPr>
                <w:rFonts w:ascii="宋体" w:hAnsi="宋体" w:cs="宋体"/>
                <w:color w:val="auto"/>
                <w:sz w:val="22"/>
                <w:szCs w:val="22"/>
                <w:highlight w:val="none"/>
              </w:rPr>
            </w:pPr>
          </w:p>
        </w:tc>
        <w:tc>
          <w:tcPr>
            <w:tcW w:w="2097" w:type="dxa"/>
            <w:vAlign w:val="center"/>
          </w:tcPr>
          <w:p w14:paraId="76E7B9DD">
            <w:pPr>
              <w:spacing w:line="380" w:lineRule="exact"/>
              <w:jc w:val="center"/>
              <w:rPr>
                <w:rFonts w:ascii="宋体" w:hAnsi="宋体" w:cs="宋体"/>
                <w:color w:val="auto"/>
                <w:sz w:val="22"/>
                <w:szCs w:val="22"/>
                <w:highlight w:val="none"/>
              </w:rPr>
            </w:pPr>
          </w:p>
        </w:tc>
        <w:tc>
          <w:tcPr>
            <w:tcW w:w="1992" w:type="dxa"/>
            <w:vAlign w:val="center"/>
          </w:tcPr>
          <w:p w14:paraId="77157A57">
            <w:pPr>
              <w:spacing w:line="380" w:lineRule="exact"/>
              <w:jc w:val="center"/>
              <w:rPr>
                <w:rFonts w:ascii="宋体" w:hAnsi="宋体" w:cs="宋体"/>
                <w:color w:val="auto"/>
                <w:sz w:val="22"/>
                <w:szCs w:val="22"/>
                <w:highlight w:val="none"/>
              </w:rPr>
            </w:pPr>
          </w:p>
        </w:tc>
        <w:tc>
          <w:tcPr>
            <w:tcW w:w="1866" w:type="dxa"/>
            <w:vAlign w:val="center"/>
          </w:tcPr>
          <w:p w14:paraId="5D51F0CB">
            <w:pPr>
              <w:spacing w:line="380" w:lineRule="exact"/>
              <w:jc w:val="center"/>
              <w:rPr>
                <w:rFonts w:ascii="宋体" w:hAnsi="宋体" w:cs="宋体"/>
                <w:color w:val="auto"/>
                <w:sz w:val="22"/>
                <w:szCs w:val="22"/>
                <w:highlight w:val="none"/>
              </w:rPr>
            </w:pPr>
          </w:p>
        </w:tc>
        <w:tc>
          <w:tcPr>
            <w:tcW w:w="1592" w:type="dxa"/>
            <w:vAlign w:val="center"/>
          </w:tcPr>
          <w:p w14:paraId="4A7AC92C">
            <w:pPr>
              <w:spacing w:line="380" w:lineRule="exact"/>
              <w:jc w:val="center"/>
              <w:rPr>
                <w:rFonts w:ascii="宋体" w:hAnsi="宋体" w:cs="宋体"/>
                <w:color w:val="auto"/>
                <w:sz w:val="22"/>
                <w:szCs w:val="22"/>
                <w:highlight w:val="none"/>
              </w:rPr>
            </w:pPr>
          </w:p>
        </w:tc>
      </w:tr>
      <w:tr w14:paraId="697C0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57360118">
            <w:pPr>
              <w:spacing w:line="380" w:lineRule="exact"/>
              <w:jc w:val="center"/>
              <w:rPr>
                <w:rFonts w:ascii="宋体" w:hAnsi="宋体" w:cs="宋体"/>
                <w:color w:val="auto"/>
                <w:sz w:val="22"/>
                <w:szCs w:val="22"/>
                <w:highlight w:val="none"/>
              </w:rPr>
            </w:pPr>
          </w:p>
        </w:tc>
        <w:tc>
          <w:tcPr>
            <w:tcW w:w="1364" w:type="dxa"/>
            <w:vAlign w:val="center"/>
          </w:tcPr>
          <w:p w14:paraId="46FDB947">
            <w:pPr>
              <w:spacing w:line="380" w:lineRule="exact"/>
              <w:jc w:val="center"/>
              <w:rPr>
                <w:rFonts w:ascii="宋体" w:hAnsi="宋体" w:cs="宋体"/>
                <w:color w:val="auto"/>
                <w:sz w:val="22"/>
                <w:szCs w:val="22"/>
                <w:highlight w:val="none"/>
              </w:rPr>
            </w:pPr>
          </w:p>
        </w:tc>
        <w:tc>
          <w:tcPr>
            <w:tcW w:w="2097" w:type="dxa"/>
            <w:vAlign w:val="center"/>
          </w:tcPr>
          <w:p w14:paraId="0C7E5A12">
            <w:pPr>
              <w:spacing w:line="380" w:lineRule="exact"/>
              <w:jc w:val="center"/>
              <w:rPr>
                <w:rFonts w:ascii="宋体" w:hAnsi="宋体" w:cs="宋体"/>
                <w:color w:val="auto"/>
                <w:sz w:val="22"/>
                <w:szCs w:val="22"/>
                <w:highlight w:val="none"/>
              </w:rPr>
            </w:pPr>
          </w:p>
        </w:tc>
        <w:tc>
          <w:tcPr>
            <w:tcW w:w="1992" w:type="dxa"/>
            <w:vAlign w:val="center"/>
          </w:tcPr>
          <w:p w14:paraId="2E4EA69B">
            <w:pPr>
              <w:spacing w:line="380" w:lineRule="exact"/>
              <w:jc w:val="center"/>
              <w:rPr>
                <w:rFonts w:ascii="宋体" w:hAnsi="宋体" w:cs="宋体"/>
                <w:color w:val="auto"/>
                <w:sz w:val="22"/>
                <w:szCs w:val="22"/>
                <w:highlight w:val="none"/>
              </w:rPr>
            </w:pPr>
          </w:p>
        </w:tc>
        <w:tc>
          <w:tcPr>
            <w:tcW w:w="1866" w:type="dxa"/>
            <w:vAlign w:val="center"/>
          </w:tcPr>
          <w:p w14:paraId="45E27C01">
            <w:pPr>
              <w:spacing w:line="380" w:lineRule="exact"/>
              <w:jc w:val="center"/>
              <w:rPr>
                <w:rFonts w:ascii="宋体" w:hAnsi="宋体" w:cs="宋体"/>
                <w:color w:val="auto"/>
                <w:sz w:val="22"/>
                <w:szCs w:val="22"/>
                <w:highlight w:val="none"/>
              </w:rPr>
            </w:pPr>
          </w:p>
        </w:tc>
        <w:tc>
          <w:tcPr>
            <w:tcW w:w="1592" w:type="dxa"/>
            <w:vAlign w:val="center"/>
          </w:tcPr>
          <w:p w14:paraId="4AD878E6">
            <w:pPr>
              <w:spacing w:line="380" w:lineRule="exact"/>
              <w:jc w:val="center"/>
              <w:rPr>
                <w:rFonts w:ascii="宋体" w:hAnsi="宋体" w:cs="宋体"/>
                <w:color w:val="auto"/>
                <w:sz w:val="22"/>
                <w:szCs w:val="22"/>
                <w:highlight w:val="none"/>
              </w:rPr>
            </w:pPr>
          </w:p>
        </w:tc>
      </w:tr>
      <w:tr w14:paraId="4E40A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5AA8AC3C">
            <w:pPr>
              <w:spacing w:line="380" w:lineRule="exact"/>
              <w:jc w:val="center"/>
              <w:rPr>
                <w:rFonts w:ascii="宋体" w:hAnsi="宋体" w:cs="宋体"/>
                <w:color w:val="auto"/>
                <w:sz w:val="22"/>
                <w:szCs w:val="22"/>
                <w:highlight w:val="none"/>
              </w:rPr>
            </w:pPr>
          </w:p>
        </w:tc>
        <w:tc>
          <w:tcPr>
            <w:tcW w:w="1364" w:type="dxa"/>
            <w:vAlign w:val="center"/>
          </w:tcPr>
          <w:p w14:paraId="1A42776D">
            <w:pPr>
              <w:spacing w:line="380" w:lineRule="exact"/>
              <w:jc w:val="center"/>
              <w:rPr>
                <w:rFonts w:ascii="宋体" w:hAnsi="宋体" w:cs="宋体"/>
                <w:color w:val="auto"/>
                <w:sz w:val="22"/>
                <w:szCs w:val="22"/>
                <w:highlight w:val="none"/>
              </w:rPr>
            </w:pPr>
          </w:p>
        </w:tc>
        <w:tc>
          <w:tcPr>
            <w:tcW w:w="2097" w:type="dxa"/>
            <w:vAlign w:val="center"/>
          </w:tcPr>
          <w:p w14:paraId="3EF12470">
            <w:pPr>
              <w:spacing w:line="380" w:lineRule="exact"/>
              <w:jc w:val="center"/>
              <w:rPr>
                <w:rFonts w:ascii="宋体" w:hAnsi="宋体" w:cs="宋体"/>
                <w:color w:val="auto"/>
                <w:sz w:val="22"/>
                <w:szCs w:val="22"/>
                <w:highlight w:val="none"/>
              </w:rPr>
            </w:pPr>
          </w:p>
        </w:tc>
        <w:tc>
          <w:tcPr>
            <w:tcW w:w="1992" w:type="dxa"/>
            <w:vAlign w:val="center"/>
          </w:tcPr>
          <w:p w14:paraId="0586A357">
            <w:pPr>
              <w:spacing w:line="380" w:lineRule="exact"/>
              <w:jc w:val="center"/>
              <w:rPr>
                <w:rFonts w:ascii="宋体" w:hAnsi="宋体" w:cs="宋体"/>
                <w:color w:val="auto"/>
                <w:sz w:val="22"/>
                <w:szCs w:val="22"/>
                <w:highlight w:val="none"/>
              </w:rPr>
            </w:pPr>
          </w:p>
        </w:tc>
        <w:tc>
          <w:tcPr>
            <w:tcW w:w="1866" w:type="dxa"/>
            <w:vAlign w:val="center"/>
          </w:tcPr>
          <w:p w14:paraId="78BA438B">
            <w:pPr>
              <w:spacing w:line="380" w:lineRule="exact"/>
              <w:jc w:val="center"/>
              <w:rPr>
                <w:rFonts w:ascii="宋体" w:hAnsi="宋体" w:cs="宋体"/>
                <w:color w:val="auto"/>
                <w:sz w:val="22"/>
                <w:szCs w:val="22"/>
                <w:highlight w:val="none"/>
              </w:rPr>
            </w:pPr>
          </w:p>
        </w:tc>
        <w:tc>
          <w:tcPr>
            <w:tcW w:w="1592" w:type="dxa"/>
            <w:vAlign w:val="center"/>
          </w:tcPr>
          <w:p w14:paraId="0B89EA8F">
            <w:pPr>
              <w:spacing w:line="380" w:lineRule="exact"/>
              <w:jc w:val="center"/>
              <w:rPr>
                <w:rFonts w:ascii="宋体" w:hAnsi="宋体" w:cs="宋体"/>
                <w:color w:val="auto"/>
                <w:sz w:val="22"/>
                <w:szCs w:val="22"/>
                <w:highlight w:val="none"/>
              </w:rPr>
            </w:pPr>
          </w:p>
        </w:tc>
      </w:tr>
      <w:tr w14:paraId="24010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3FC3363D">
            <w:pPr>
              <w:spacing w:line="380" w:lineRule="exact"/>
              <w:jc w:val="center"/>
              <w:rPr>
                <w:rFonts w:ascii="宋体" w:hAnsi="宋体" w:cs="宋体"/>
                <w:color w:val="auto"/>
                <w:sz w:val="22"/>
                <w:szCs w:val="22"/>
                <w:highlight w:val="none"/>
              </w:rPr>
            </w:pPr>
          </w:p>
        </w:tc>
        <w:tc>
          <w:tcPr>
            <w:tcW w:w="1364" w:type="dxa"/>
            <w:vAlign w:val="center"/>
          </w:tcPr>
          <w:p w14:paraId="3297C000">
            <w:pPr>
              <w:spacing w:line="380" w:lineRule="exact"/>
              <w:jc w:val="center"/>
              <w:rPr>
                <w:rFonts w:ascii="宋体" w:hAnsi="宋体" w:cs="宋体"/>
                <w:color w:val="auto"/>
                <w:sz w:val="22"/>
                <w:szCs w:val="22"/>
                <w:highlight w:val="none"/>
              </w:rPr>
            </w:pPr>
          </w:p>
        </w:tc>
        <w:tc>
          <w:tcPr>
            <w:tcW w:w="2097" w:type="dxa"/>
            <w:vAlign w:val="center"/>
          </w:tcPr>
          <w:p w14:paraId="1C181084">
            <w:pPr>
              <w:spacing w:line="380" w:lineRule="exact"/>
              <w:jc w:val="center"/>
              <w:rPr>
                <w:rFonts w:ascii="宋体" w:hAnsi="宋体" w:cs="宋体"/>
                <w:color w:val="auto"/>
                <w:sz w:val="22"/>
                <w:szCs w:val="22"/>
                <w:highlight w:val="none"/>
              </w:rPr>
            </w:pPr>
          </w:p>
        </w:tc>
        <w:tc>
          <w:tcPr>
            <w:tcW w:w="1992" w:type="dxa"/>
            <w:vAlign w:val="center"/>
          </w:tcPr>
          <w:p w14:paraId="405A0E0E">
            <w:pPr>
              <w:spacing w:line="380" w:lineRule="exact"/>
              <w:jc w:val="center"/>
              <w:rPr>
                <w:rFonts w:ascii="宋体" w:hAnsi="宋体" w:cs="宋体"/>
                <w:color w:val="auto"/>
                <w:sz w:val="22"/>
                <w:szCs w:val="22"/>
                <w:highlight w:val="none"/>
              </w:rPr>
            </w:pPr>
          </w:p>
        </w:tc>
        <w:tc>
          <w:tcPr>
            <w:tcW w:w="1866" w:type="dxa"/>
            <w:vAlign w:val="center"/>
          </w:tcPr>
          <w:p w14:paraId="051BB9ED">
            <w:pPr>
              <w:spacing w:line="380" w:lineRule="exact"/>
              <w:jc w:val="center"/>
              <w:rPr>
                <w:rFonts w:ascii="宋体" w:hAnsi="宋体" w:cs="宋体"/>
                <w:color w:val="auto"/>
                <w:sz w:val="22"/>
                <w:szCs w:val="22"/>
                <w:highlight w:val="none"/>
              </w:rPr>
            </w:pPr>
          </w:p>
        </w:tc>
        <w:tc>
          <w:tcPr>
            <w:tcW w:w="1592" w:type="dxa"/>
            <w:vAlign w:val="center"/>
          </w:tcPr>
          <w:p w14:paraId="2334BE35">
            <w:pPr>
              <w:spacing w:line="380" w:lineRule="exact"/>
              <w:jc w:val="center"/>
              <w:rPr>
                <w:rFonts w:ascii="宋体" w:hAnsi="宋体" w:cs="宋体"/>
                <w:color w:val="auto"/>
                <w:sz w:val="22"/>
                <w:szCs w:val="22"/>
                <w:highlight w:val="none"/>
              </w:rPr>
            </w:pPr>
          </w:p>
        </w:tc>
      </w:tr>
      <w:tr w14:paraId="19A4F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6E641D7E">
            <w:pPr>
              <w:spacing w:line="380" w:lineRule="exact"/>
              <w:jc w:val="center"/>
              <w:rPr>
                <w:rFonts w:ascii="宋体" w:hAnsi="宋体" w:cs="宋体"/>
                <w:color w:val="auto"/>
                <w:sz w:val="22"/>
                <w:szCs w:val="22"/>
                <w:highlight w:val="none"/>
              </w:rPr>
            </w:pPr>
          </w:p>
        </w:tc>
        <w:tc>
          <w:tcPr>
            <w:tcW w:w="1364" w:type="dxa"/>
            <w:vAlign w:val="center"/>
          </w:tcPr>
          <w:p w14:paraId="5AD91EA7">
            <w:pPr>
              <w:spacing w:line="380" w:lineRule="exact"/>
              <w:jc w:val="center"/>
              <w:rPr>
                <w:rFonts w:ascii="宋体" w:hAnsi="宋体" w:cs="宋体"/>
                <w:color w:val="auto"/>
                <w:sz w:val="22"/>
                <w:szCs w:val="22"/>
                <w:highlight w:val="none"/>
              </w:rPr>
            </w:pPr>
          </w:p>
        </w:tc>
        <w:tc>
          <w:tcPr>
            <w:tcW w:w="2097" w:type="dxa"/>
            <w:vAlign w:val="center"/>
          </w:tcPr>
          <w:p w14:paraId="43DBC4C0">
            <w:pPr>
              <w:spacing w:line="380" w:lineRule="exact"/>
              <w:jc w:val="center"/>
              <w:rPr>
                <w:rFonts w:ascii="宋体" w:hAnsi="宋体" w:cs="宋体"/>
                <w:color w:val="auto"/>
                <w:sz w:val="22"/>
                <w:szCs w:val="22"/>
                <w:highlight w:val="none"/>
              </w:rPr>
            </w:pPr>
          </w:p>
        </w:tc>
        <w:tc>
          <w:tcPr>
            <w:tcW w:w="1992" w:type="dxa"/>
            <w:vAlign w:val="center"/>
          </w:tcPr>
          <w:p w14:paraId="14E034E3">
            <w:pPr>
              <w:spacing w:line="380" w:lineRule="exact"/>
              <w:jc w:val="center"/>
              <w:rPr>
                <w:rFonts w:ascii="宋体" w:hAnsi="宋体" w:cs="宋体"/>
                <w:color w:val="auto"/>
                <w:sz w:val="22"/>
                <w:szCs w:val="22"/>
                <w:highlight w:val="none"/>
              </w:rPr>
            </w:pPr>
          </w:p>
        </w:tc>
        <w:tc>
          <w:tcPr>
            <w:tcW w:w="1866" w:type="dxa"/>
            <w:vAlign w:val="center"/>
          </w:tcPr>
          <w:p w14:paraId="5B893CEA">
            <w:pPr>
              <w:spacing w:line="380" w:lineRule="exact"/>
              <w:jc w:val="center"/>
              <w:rPr>
                <w:rFonts w:ascii="宋体" w:hAnsi="宋体" w:cs="宋体"/>
                <w:color w:val="auto"/>
                <w:sz w:val="22"/>
                <w:szCs w:val="22"/>
                <w:highlight w:val="none"/>
              </w:rPr>
            </w:pPr>
          </w:p>
        </w:tc>
        <w:tc>
          <w:tcPr>
            <w:tcW w:w="1592" w:type="dxa"/>
            <w:vAlign w:val="center"/>
          </w:tcPr>
          <w:p w14:paraId="09B6C000">
            <w:pPr>
              <w:spacing w:line="380" w:lineRule="exact"/>
              <w:jc w:val="center"/>
              <w:rPr>
                <w:rFonts w:ascii="宋体" w:hAnsi="宋体" w:cs="宋体"/>
                <w:color w:val="auto"/>
                <w:sz w:val="22"/>
                <w:szCs w:val="22"/>
                <w:highlight w:val="none"/>
              </w:rPr>
            </w:pPr>
          </w:p>
        </w:tc>
      </w:tr>
    </w:tbl>
    <w:p w14:paraId="431CC04F">
      <w:pPr>
        <w:spacing w:line="380" w:lineRule="exact"/>
        <w:rPr>
          <w:rFonts w:ascii="宋体" w:hAnsi="宋体" w:cs="宋体"/>
          <w:b/>
          <w:color w:val="auto"/>
          <w:sz w:val="22"/>
          <w:szCs w:val="22"/>
          <w:highlight w:val="none"/>
        </w:rPr>
      </w:pPr>
      <w:r>
        <w:rPr>
          <w:rFonts w:hint="eastAsia" w:ascii="宋体" w:hAnsi="宋体" w:cs="宋体"/>
          <w:b/>
          <w:color w:val="auto"/>
          <w:sz w:val="22"/>
          <w:szCs w:val="22"/>
          <w:highlight w:val="none"/>
        </w:rPr>
        <w:t>注：</w:t>
      </w:r>
      <w:r>
        <w:rPr>
          <w:rFonts w:hint="eastAsia" w:ascii="宋体" w:hAnsi="宋体" w:cs="宋体"/>
          <w:b/>
          <w:color w:val="auto"/>
          <w:highlight w:val="none"/>
        </w:rPr>
        <w:t>不填写此表视为完全响应磋商文件内容。</w:t>
      </w:r>
    </w:p>
    <w:p w14:paraId="11011993">
      <w:pPr>
        <w:spacing w:line="380" w:lineRule="exact"/>
        <w:ind w:firstLine="4417" w:firstLineChars="2000"/>
        <w:rPr>
          <w:rFonts w:ascii="宋体" w:hAnsi="宋体" w:cs="宋体"/>
          <w:b/>
          <w:color w:val="auto"/>
          <w:sz w:val="22"/>
          <w:szCs w:val="22"/>
          <w:highlight w:val="none"/>
        </w:rPr>
      </w:pPr>
    </w:p>
    <w:p w14:paraId="6822E8F1">
      <w:pPr>
        <w:spacing w:line="38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供应商全称（盖章）：</w:t>
      </w:r>
    </w:p>
    <w:p w14:paraId="1B5F6BDF">
      <w:pPr>
        <w:spacing w:line="38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14:paraId="5F2193B9">
      <w:pPr>
        <w:spacing w:line="38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日期：  年   月  日</w:t>
      </w:r>
    </w:p>
    <w:p w14:paraId="6809EF05">
      <w:pPr>
        <w:spacing w:line="460" w:lineRule="exact"/>
        <w:rPr>
          <w:rFonts w:ascii="宋体" w:hAnsi="宋体" w:cs="宋体"/>
          <w:b/>
          <w:color w:val="auto"/>
          <w:sz w:val="22"/>
          <w:szCs w:val="22"/>
          <w:highlight w:val="none"/>
        </w:rPr>
      </w:pPr>
      <w:r>
        <w:rPr>
          <w:rFonts w:hint="eastAsia" w:ascii="宋体" w:hAnsi="宋体" w:cs="宋体"/>
          <w:color w:val="auto"/>
          <w:highlight w:val="none"/>
        </w:rPr>
        <w:br w:type="page"/>
      </w:r>
    </w:p>
    <w:p w14:paraId="76FEBA67">
      <w:pPr>
        <w:spacing w:line="38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附件五</w:t>
      </w:r>
    </w:p>
    <w:p w14:paraId="58D5A80D">
      <w:pPr>
        <w:pStyle w:val="50"/>
        <w:rPr>
          <w:rFonts w:ascii="宋体" w:hAnsi="宋体" w:cs="宋体"/>
          <w:color w:val="auto"/>
          <w:highlight w:val="none"/>
        </w:rPr>
      </w:pPr>
    </w:p>
    <w:p w14:paraId="0D5FA831">
      <w:pPr>
        <w:pStyle w:val="50"/>
        <w:rPr>
          <w:rFonts w:ascii="宋体" w:hAnsi="宋体" w:cs="宋体"/>
          <w:color w:val="auto"/>
          <w:highlight w:val="none"/>
        </w:rPr>
      </w:pPr>
      <w:r>
        <w:rPr>
          <w:color w:val="auto"/>
          <w:highlight w:val="none"/>
        </w:rPr>
        <w:fldChar w:fldCharType="begin"/>
      </w:r>
      <w:r>
        <w:rPr>
          <w:color w:val="auto"/>
          <w:highlight w:val="none"/>
        </w:rPr>
        <w:instrText xml:space="preserve"> HYPERLINK "mailto:（开评标阶段填写，并邮件发送至Yxgcxmgl@126.com邮箱）" </w:instrText>
      </w:r>
      <w:r>
        <w:rPr>
          <w:color w:val="auto"/>
          <w:highlight w:val="none"/>
        </w:rPr>
        <w:fldChar w:fldCharType="separate"/>
      </w:r>
      <w:r>
        <w:rPr>
          <w:rStyle w:val="46"/>
          <w:rFonts w:hint="eastAsia" w:ascii="宋体" w:hAnsi="宋体" w:cs="宋体"/>
          <w:color w:val="auto"/>
          <w:highlight w:val="none"/>
        </w:rPr>
        <w:t>（开评标阶段填写，并邮件发送至Yxgc666@126.com邮箱）</w:t>
      </w:r>
      <w:r>
        <w:rPr>
          <w:rStyle w:val="46"/>
          <w:rFonts w:hint="eastAsia" w:ascii="宋体" w:hAnsi="宋体" w:cs="宋体"/>
          <w:color w:val="auto"/>
          <w:highlight w:val="none"/>
        </w:rPr>
        <w:fldChar w:fldCharType="end"/>
      </w:r>
    </w:p>
    <w:p w14:paraId="72015E79">
      <w:pPr>
        <w:pStyle w:val="50"/>
        <w:rPr>
          <w:rFonts w:ascii="宋体" w:hAnsi="宋体" w:cs="宋体"/>
          <w:color w:val="auto"/>
          <w:highlight w:val="none"/>
        </w:rPr>
      </w:pPr>
    </w:p>
    <w:p w14:paraId="02DAA510">
      <w:pPr>
        <w:jc w:val="center"/>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采购活动现场确认声明书</w:t>
      </w:r>
    </w:p>
    <w:p w14:paraId="167655F4">
      <w:pPr>
        <w:tabs>
          <w:tab w:val="left" w:pos="795"/>
          <w:tab w:val="center" w:pos="4873"/>
        </w:tabs>
        <w:overflowPunct w:val="0"/>
        <w:spacing w:line="460" w:lineRule="exact"/>
        <w:ind w:firstLine="118" w:firstLineChars="49"/>
        <w:jc w:val="left"/>
        <w:rPr>
          <w:rFonts w:ascii="宋体" w:hAnsi="宋体" w:cs="宋体"/>
          <w:b/>
          <w:bCs/>
          <w:color w:val="auto"/>
          <w:sz w:val="24"/>
          <w:highlight w:val="none"/>
        </w:rPr>
      </w:pPr>
    </w:p>
    <w:p w14:paraId="10286555">
      <w:pPr>
        <w:pStyle w:val="207"/>
        <w:widowControl w:val="0"/>
        <w:snapToGrid w:val="0"/>
        <w:spacing w:line="440" w:lineRule="exact"/>
        <w:jc w:val="both"/>
        <w:rPr>
          <w:rFonts w:hAnsi="宋体" w:cs="宋体"/>
          <w:b/>
          <w:color w:val="auto"/>
          <w:spacing w:val="6"/>
          <w:sz w:val="22"/>
          <w:szCs w:val="22"/>
          <w:highlight w:val="none"/>
          <w:u w:val="single"/>
        </w:rPr>
      </w:pPr>
      <w:r>
        <w:rPr>
          <w:rFonts w:hint="eastAsia" w:hAnsi="宋体" w:cs="宋体"/>
          <w:b/>
          <w:color w:val="auto"/>
          <w:spacing w:val="6"/>
          <w:sz w:val="22"/>
          <w:szCs w:val="22"/>
          <w:highlight w:val="none"/>
          <w:u w:val="single"/>
          <w:lang w:eastAsia="zh-CN"/>
        </w:rPr>
        <w:t>温州市瓯海区教育局、温州市瓯海区体育事业发展中心</w:t>
      </w:r>
      <w:r>
        <w:rPr>
          <w:rFonts w:hint="eastAsia" w:hAnsi="宋体" w:cs="宋体"/>
          <w:b/>
          <w:color w:val="auto"/>
          <w:spacing w:val="6"/>
          <w:sz w:val="22"/>
          <w:szCs w:val="22"/>
          <w:highlight w:val="none"/>
        </w:rPr>
        <w:t>：</w:t>
      </w:r>
    </w:p>
    <w:p w14:paraId="3F8E9169">
      <w:pPr>
        <w:pStyle w:val="207"/>
        <w:widowControl w:val="0"/>
        <w:snapToGrid w:val="0"/>
        <w:spacing w:line="440" w:lineRule="exact"/>
        <w:jc w:val="both"/>
        <w:rPr>
          <w:rFonts w:hAnsi="宋体" w:cs="宋体"/>
          <w:b/>
          <w:color w:val="auto"/>
          <w:spacing w:val="6"/>
          <w:sz w:val="22"/>
          <w:szCs w:val="22"/>
          <w:highlight w:val="none"/>
          <w:u w:val="single"/>
        </w:rPr>
      </w:pPr>
      <w:r>
        <w:rPr>
          <w:rFonts w:hint="eastAsia" w:hAnsi="宋体" w:cs="宋体"/>
          <w:b/>
          <w:color w:val="auto"/>
          <w:spacing w:val="6"/>
          <w:sz w:val="22"/>
          <w:szCs w:val="22"/>
          <w:highlight w:val="none"/>
          <w:u w:val="single"/>
        </w:rPr>
        <w:t>温州元信工程项目管理有限公司</w:t>
      </w:r>
      <w:r>
        <w:rPr>
          <w:rFonts w:hint="eastAsia" w:hAnsi="宋体" w:cs="宋体"/>
          <w:b/>
          <w:color w:val="auto"/>
          <w:kern w:val="0"/>
          <w:sz w:val="22"/>
          <w:szCs w:val="22"/>
          <w:highlight w:val="none"/>
        </w:rPr>
        <w:t>：</w:t>
      </w:r>
    </w:p>
    <w:p w14:paraId="79A0D34F">
      <w:pPr>
        <w:pStyle w:val="207"/>
        <w:widowControl w:val="0"/>
        <w:snapToGrid w:val="0"/>
        <w:spacing w:line="440" w:lineRule="exact"/>
        <w:ind w:firstLine="464" w:firstLineChars="200"/>
        <w:jc w:val="both"/>
        <w:rPr>
          <w:rFonts w:hAnsi="宋体" w:cs="宋体"/>
          <w:color w:val="auto"/>
          <w:spacing w:val="6"/>
          <w:sz w:val="22"/>
          <w:szCs w:val="22"/>
          <w:highlight w:val="none"/>
        </w:rPr>
      </w:pPr>
      <w:r>
        <w:rPr>
          <w:rFonts w:hint="eastAsia" w:hAnsi="宋体" w:cs="宋体"/>
          <w:color w:val="auto"/>
          <w:spacing w:val="6"/>
          <w:sz w:val="22"/>
          <w:szCs w:val="22"/>
          <w:highlight w:val="none"/>
        </w:rPr>
        <w:t>本人经由</w:t>
      </w:r>
      <w:r>
        <w:rPr>
          <w:rFonts w:hint="eastAsia" w:hAnsi="宋体" w:cs="宋体"/>
          <w:color w:val="auto"/>
          <w:spacing w:val="6"/>
          <w:sz w:val="22"/>
          <w:szCs w:val="22"/>
          <w:highlight w:val="none"/>
          <w:u w:val="single"/>
        </w:rPr>
        <w:t xml:space="preserve">                       （单位）</w:t>
      </w:r>
      <w:r>
        <w:rPr>
          <w:rFonts w:hint="eastAsia" w:hAnsi="宋体" w:cs="宋体"/>
          <w:color w:val="auto"/>
          <w:spacing w:val="6"/>
          <w:sz w:val="22"/>
          <w:szCs w:val="22"/>
          <w:highlight w:val="none"/>
        </w:rPr>
        <w:t>负责人</w:t>
      </w:r>
      <w:r>
        <w:rPr>
          <w:rFonts w:hint="eastAsia" w:hAnsi="宋体" w:cs="宋体"/>
          <w:color w:val="auto"/>
          <w:spacing w:val="6"/>
          <w:sz w:val="22"/>
          <w:szCs w:val="22"/>
          <w:highlight w:val="none"/>
          <w:u w:val="single"/>
        </w:rPr>
        <w:t xml:space="preserve">          （姓名）</w:t>
      </w:r>
      <w:r>
        <w:rPr>
          <w:rFonts w:hint="eastAsia" w:hAnsi="宋体" w:cs="宋体"/>
          <w:color w:val="auto"/>
          <w:spacing w:val="6"/>
          <w:sz w:val="22"/>
          <w:szCs w:val="22"/>
          <w:highlight w:val="none"/>
        </w:rPr>
        <w:t>合法授权</w:t>
      </w:r>
      <w:r>
        <w:rPr>
          <w:rFonts w:hint="eastAsia" w:hAnsi="宋体" w:cs="宋体"/>
          <w:color w:val="auto"/>
          <w:sz w:val="22"/>
          <w:szCs w:val="22"/>
          <w:highlight w:val="none"/>
          <w:u w:val="single"/>
        </w:rPr>
        <w:t xml:space="preserve"> （项目名称） </w:t>
      </w:r>
      <w:r>
        <w:rPr>
          <w:rFonts w:hint="eastAsia" w:hAnsi="宋体" w:cs="宋体"/>
          <w:color w:val="auto"/>
          <w:spacing w:val="6"/>
          <w:sz w:val="22"/>
          <w:szCs w:val="22"/>
          <w:highlight w:val="none"/>
        </w:rPr>
        <w:t xml:space="preserve">项目（编号：）采购活动，经与本单位法人代表（负责人）联系确认，现就有关公平竞争事项郑重声明如下： </w:t>
      </w:r>
    </w:p>
    <w:p w14:paraId="6662E0E0">
      <w:pPr>
        <w:pStyle w:val="157"/>
        <w:widowControl/>
        <w:numPr>
          <w:ilvl w:val="0"/>
          <w:numId w:val="42"/>
        </w:numPr>
        <w:snapToGrid w:val="0"/>
        <w:spacing w:line="440" w:lineRule="exact"/>
        <w:ind w:firstLine="415" w:firstLineChars="189"/>
        <w:rPr>
          <w:rFonts w:ascii="宋体" w:hAnsi="宋体" w:cs="宋体"/>
          <w:color w:val="auto"/>
          <w:kern w:val="0"/>
          <w:sz w:val="22"/>
          <w:szCs w:val="22"/>
          <w:highlight w:val="none"/>
        </w:rPr>
      </w:pPr>
      <w:r>
        <w:rPr>
          <w:rFonts w:hint="eastAsia" w:ascii="宋体" w:hAnsi="宋体" w:cs="宋体"/>
          <w:color w:val="auto"/>
          <w:kern w:val="0"/>
          <w:sz w:val="22"/>
          <w:szCs w:val="22"/>
          <w:highlight w:val="none"/>
        </w:rPr>
        <w:t>本单位与采购人之间 □不存在利害关系 □存在下列利害关系：</w:t>
      </w:r>
    </w:p>
    <w:p w14:paraId="4D595BF7">
      <w:pPr>
        <w:pStyle w:val="157"/>
        <w:widowControl/>
        <w:snapToGrid w:val="0"/>
        <w:spacing w:line="44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A.投资关系    B.行政隶属关系    C.业务指导关系</w:t>
      </w:r>
    </w:p>
    <w:p w14:paraId="75ECE219">
      <w:pPr>
        <w:pStyle w:val="157"/>
        <w:widowControl/>
        <w:snapToGrid w:val="0"/>
        <w:spacing w:line="44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D.其他可能</w:t>
      </w:r>
      <w:r>
        <w:rPr>
          <w:rFonts w:hint="eastAsia" w:ascii="宋体" w:hAnsi="宋体" w:cs="宋体"/>
          <w:color w:val="auto"/>
          <w:sz w:val="22"/>
          <w:szCs w:val="22"/>
          <w:highlight w:val="none"/>
        </w:rPr>
        <w:t>影响采购公正的</w:t>
      </w:r>
      <w:r>
        <w:rPr>
          <w:rFonts w:hint="eastAsia" w:ascii="宋体" w:hAnsi="宋体" w:cs="宋体"/>
          <w:color w:val="auto"/>
          <w:kern w:val="0"/>
          <w:sz w:val="22"/>
          <w:szCs w:val="22"/>
          <w:highlight w:val="none"/>
        </w:rPr>
        <w:t>利害关系</w:t>
      </w:r>
      <w:r>
        <w:rPr>
          <w:rFonts w:hint="eastAsia" w:ascii="宋体" w:hAnsi="宋体" w:cs="宋体"/>
          <w:color w:val="auto"/>
          <w:kern w:val="0"/>
          <w:sz w:val="22"/>
          <w:szCs w:val="22"/>
          <w:highlight w:val="none"/>
          <w:u w:val="single"/>
        </w:rPr>
        <w:t xml:space="preserve">（如有，请如实说明）                 </w:t>
      </w:r>
      <w:r>
        <w:rPr>
          <w:rFonts w:hint="eastAsia" w:ascii="宋体" w:hAnsi="宋体" w:cs="宋体"/>
          <w:color w:val="auto"/>
          <w:kern w:val="0"/>
          <w:sz w:val="22"/>
          <w:szCs w:val="22"/>
          <w:highlight w:val="none"/>
        </w:rPr>
        <w:t>。</w:t>
      </w:r>
    </w:p>
    <w:p w14:paraId="3AB29C89">
      <w:pPr>
        <w:pStyle w:val="157"/>
        <w:widowControl/>
        <w:snapToGrid w:val="0"/>
        <w:spacing w:line="440" w:lineRule="exact"/>
        <w:rPr>
          <w:rFonts w:ascii="宋体" w:hAnsi="宋体" w:cs="宋体"/>
          <w:color w:val="auto"/>
          <w:kern w:val="0"/>
          <w:sz w:val="22"/>
          <w:szCs w:val="22"/>
          <w:highlight w:val="none"/>
        </w:rPr>
      </w:pPr>
      <w:r>
        <w:rPr>
          <w:rFonts w:hint="eastAsia" w:ascii="宋体" w:hAnsi="宋体" w:cs="宋体"/>
          <w:color w:val="auto"/>
          <w:spacing w:val="6"/>
          <w:sz w:val="22"/>
          <w:szCs w:val="22"/>
          <w:highlight w:val="none"/>
        </w:rPr>
        <w:t xml:space="preserve">  二、</w:t>
      </w:r>
      <w:r>
        <w:rPr>
          <w:rFonts w:hint="eastAsia" w:ascii="宋体" w:hAnsi="宋体" w:cs="宋体"/>
          <w:color w:val="auto"/>
          <w:kern w:val="0"/>
          <w:sz w:val="22"/>
          <w:szCs w:val="22"/>
          <w:highlight w:val="none"/>
        </w:rPr>
        <w:t>现已清楚知道参加本项目采购活动的其他所有供应商名称，本单位 □与其他所有供应商之间均不存在利害关系 □与</w:t>
      </w:r>
      <w:r>
        <w:rPr>
          <w:rFonts w:hint="eastAsia" w:ascii="宋体" w:hAnsi="宋体" w:cs="宋体"/>
          <w:color w:val="auto"/>
          <w:kern w:val="0"/>
          <w:sz w:val="22"/>
          <w:szCs w:val="22"/>
          <w:highlight w:val="none"/>
          <w:u w:val="single"/>
        </w:rPr>
        <w:t xml:space="preserve">           （供应商名称）</w:t>
      </w:r>
      <w:r>
        <w:rPr>
          <w:rFonts w:hint="eastAsia" w:ascii="宋体" w:hAnsi="宋体" w:cs="宋体"/>
          <w:color w:val="auto"/>
          <w:kern w:val="0"/>
          <w:sz w:val="22"/>
          <w:szCs w:val="22"/>
          <w:highlight w:val="none"/>
        </w:rPr>
        <w:t>之间存在下列利害关系：</w:t>
      </w:r>
    </w:p>
    <w:p w14:paraId="6B871254">
      <w:pPr>
        <w:pStyle w:val="207"/>
        <w:widowControl w:val="0"/>
        <w:snapToGrid w:val="0"/>
        <w:spacing w:line="440" w:lineRule="exact"/>
        <w:jc w:val="both"/>
        <w:rPr>
          <w:rFonts w:hAnsi="宋体" w:cs="宋体"/>
          <w:color w:val="auto"/>
          <w:kern w:val="0"/>
          <w:sz w:val="22"/>
          <w:szCs w:val="22"/>
          <w:highlight w:val="none"/>
        </w:rPr>
      </w:pPr>
      <w:r>
        <w:rPr>
          <w:rFonts w:hint="eastAsia" w:hAnsi="宋体" w:cs="宋体"/>
          <w:color w:val="auto"/>
          <w:kern w:val="0"/>
          <w:sz w:val="22"/>
          <w:szCs w:val="22"/>
          <w:highlight w:val="none"/>
        </w:rPr>
        <w:t xml:space="preserve">  A.法定代表人或负责人或实际控制人是同一人</w:t>
      </w:r>
    </w:p>
    <w:p w14:paraId="06E6785E">
      <w:pPr>
        <w:pStyle w:val="207"/>
        <w:widowControl w:val="0"/>
        <w:snapToGrid w:val="0"/>
        <w:spacing w:line="440" w:lineRule="exact"/>
        <w:jc w:val="both"/>
        <w:rPr>
          <w:rFonts w:hAnsi="宋体" w:cs="宋体"/>
          <w:color w:val="auto"/>
          <w:spacing w:val="6"/>
          <w:sz w:val="22"/>
          <w:szCs w:val="22"/>
          <w:highlight w:val="none"/>
        </w:rPr>
      </w:pPr>
      <w:r>
        <w:rPr>
          <w:rFonts w:hint="eastAsia" w:hAnsi="宋体" w:cs="宋体"/>
          <w:color w:val="auto"/>
          <w:kern w:val="0"/>
          <w:sz w:val="22"/>
          <w:szCs w:val="22"/>
          <w:highlight w:val="none"/>
        </w:rPr>
        <w:t xml:space="preserve">  B.法定代表人或负责人或实际控制人是夫妻关系</w:t>
      </w:r>
    </w:p>
    <w:p w14:paraId="09DA123E">
      <w:pPr>
        <w:pStyle w:val="207"/>
        <w:widowControl w:val="0"/>
        <w:snapToGrid w:val="0"/>
        <w:spacing w:line="440" w:lineRule="exact"/>
        <w:jc w:val="both"/>
        <w:rPr>
          <w:rFonts w:hAnsi="宋体" w:cs="宋体"/>
          <w:color w:val="auto"/>
          <w:spacing w:val="6"/>
          <w:sz w:val="22"/>
          <w:szCs w:val="22"/>
          <w:highlight w:val="none"/>
        </w:rPr>
      </w:pPr>
      <w:r>
        <w:rPr>
          <w:rFonts w:hint="eastAsia" w:hAnsi="宋体" w:cs="宋体"/>
          <w:color w:val="auto"/>
          <w:kern w:val="0"/>
          <w:sz w:val="22"/>
          <w:szCs w:val="22"/>
          <w:highlight w:val="none"/>
        </w:rPr>
        <w:t xml:space="preserve">  C.法定代表人或负责人或实际控制人是直系血亲关系</w:t>
      </w:r>
    </w:p>
    <w:p w14:paraId="7D14E590">
      <w:pPr>
        <w:pStyle w:val="207"/>
        <w:widowControl w:val="0"/>
        <w:snapToGrid w:val="0"/>
        <w:spacing w:line="440" w:lineRule="exact"/>
        <w:jc w:val="both"/>
        <w:rPr>
          <w:rFonts w:hAnsi="宋体" w:cs="宋体"/>
          <w:color w:val="auto"/>
          <w:spacing w:val="6"/>
          <w:sz w:val="22"/>
          <w:szCs w:val="22"/>
          <w:highlight w:val="none"/>
        </w:rPr>
      </w:pPr>
      <w:r>
        <w:rPr>
          <w:rFonts w:hint="eastAsia" w:hAnsi="宋体" w:cs="宋体"/>
          <w:color w:val="auto"/>
          <w:kern w:val="0"/>
          <w:sz w:val="22"/>
          <w:szCs w:val="22"/>
          <w:highlight w:val="none"/>
        </w:rPr>
        <w:t xml:space="preserve">  D.法定代表人或负责人或实际控制人存在三代以内旁系血亲关系</w:t>
      </w:r>
    </w:p>
    <w:p w14:paraId="6105BCA8">
      <w:pPr>
        <w:pStyle w:val="207"/>
        <w:widowControl w:val="0"/>
        <w:snapToGrid w:val="0"/>
        <w:spacing w:line="440" w:lineRule="exact"/>
        <w:jc w:val="both"/>
        <w:rPr>
          <w:rFonts w:hAnsi="宋体" w:cs="宋体"/>
          <w:color w:val="auto"/>
          <w:kern w:val="0"/>
          <w:sz w:val="22"/>
          <w:szCs w:val="22"/>
          <w:highlight w:val="none"/>
        </w:rPr>
      </w:pPr>
      <w:r>
        <w:rPr>
          <w:rFonts w:hint="eastAsia" w:hAnsi="宋体" w:cs="宋体"/>
          <w:color w:val="auto"/>
          <w:kern w:val="0"/>
          <w:sz w:val="22"/>
          <w:szCs w:val="22"/>
          <w:highlight w:val="none"/>
        </w:rPr>
        <w:t xml:space="preserve">  E.法定代表人或负责人或实际控制人存在近姻亲关系</w:t>
      </w:r>
    </w:p>
    <w:p w14:paraId="7F6831EE">
      <w:pPr>
        <w:pStyle w:val="207"/>
        <w:widowControl w:val="0"/>
        <w:snapToGrid w:val="0"/>
        <w:spacing w:line="440" w:lineRule="exact"/>
        <w:jc w:val="both"/>
        <w:rPr>
          <w:rFonts w:hAnsi="宋体" w:cs="宋体"/>
          <w:color w:val="auto"/>
          <w:kern w:val="0"/>
          <w:sz w:val="22"/>
          <w:szCs w:val="22"/>
          <w:highlight w:val="none"/>
        </w:rPr>
      </w:pPr>
      <w:r>
        <w:rPr>
          <w:rFonts w:hint="eastAsia" w:hAnsi="宋体" w:cs="宋体"/>
          <w:color w:val="auto"/>
          <w:kern w:val="0"/>
          <w:sz w:val="22"/>
          <w:szCs w:val="22"/>
          <w:highlight w:val="none"/>
        </w:rPr>
        <w:t xml:space="preserve">  F.法定代表人或负责人或实际控制人存在股份控制或实际控制关系</w:t>
      </w:r>
    </w:p>
    <w:p w14:paraId="25253E42">
      <w:pPr>
        <w:pStyle w:val="207"/>
        <w:widowControl w:val="0"/>
        <w:snapToGrid w:val="0"/>
        <w:spacing w:line="440" w:lineRule="exact"/>
        <w:jc w:val="both"/>
        <w:outlineLvl w:val="0"/>
        <w:rPr>
          <w:rFonts w:hAnsi="宋体" w:cs="宋体"/>
          <w:color w:val="auto"/>
          <w:kern w:val="0"/>
          <w:sz w:val="22"/>
          <w:szCs w:val="22"/>
          <w:highlight w:val="none"/>
        </w:rPr>
      </w:pPr>
      <w:bookmarkStart w:id="239" w:name="_Toc19090"/>
      <w:bookmarkStart w:id="240" w:name="_Toc17819"/>
      <w:bookmarkStart w:id="241" w:name="_Toc63"/>
      <w:r>
        <w:rPr>
          <w:rFonts w:hint="eastAsia" w:hAnsi="宋体" w:cs="宋体"/>
          <w:color w:val="auto"/>
          <w:kern w:val="0"/>
          <w:sz w:val="22"/>
          <w:szCs w:val="22"/>
          <w:highlight w:val="none"/>
        </w:rPr>
        <w:t>G.存在共同直接或间接投资设立子公司、联营企业和合营企业情况</w:t>
      </w:r>
      <w:bookmarkEnd w:id="239"/>
      <w:bookmarkEnd w:id="240"/>
      <w:bookmarkEnd w:id="241"/>
    </w:p>
    <w:p w14:paraId="575E12D5">
      <w:pPr>
        <w:pStyle w:val="207"/>
        <w:widowControl w:val="0"/>
        <w:snapToGrid w:val="0"/>
        <w:spacing w:line="440" w:lineRule="exact"/>
        <w:jc w:val="both"/>
        <w:rPr>
          <w:rFonts w:hAnsi="宋体" w:cs="宋体"/>
          <w:color w:val="auto"/>
          <w:sz w:val="22"/>
          <w:szCs w:val="22"/>
          <w:highlight w:val="none"/>
        </w:rPr>
      </w:pPr>
      <w:r>
        <w:rPr>
          <w:rFonts w:hint="eastAsia" w:hAnsi="宋体" w:cs="宋体"/>
          <w:color w:val="auto"/>
          <w:kern w:val="0"/>
          <w:sz w:val="22"/>
          <w:szCs w:val="22"/>
          <w:highlight w:val="none"/>
        </w:rPr>
        <w:t xml:space="preserve">  H.存在分级代理或代销关系、同一生产制造商关系、</w:t>
      </w:r>
      <w:r>
        <w:rPr>
          <w:rFonts w:hint="eastAsia" w:hAnsi="宋体" w:cs="宋体"/>
          <w:color w:val="auto"/>
          <w:sz w:val="22"/>
          <w:szCs w:val="22"/>
          <w:highlight w:val="none"/>
        </w:rPr>
        <w:t>管理关系、重要业务（占主营业务收入50%以上）或重要财务往来关系（如融资）等其他实质性控制关系</w:t>
      </w:r>
    </w:p>
    <w:p w14:paraId="2F2E2669">
      <w:pPr>
        <w:pStyle w:val="207"/>
        <w:widowControl w:val="0"/>
        <w:snapToGrid w:val="0"/>
        <w:spacing w:line="440" w:lineRule="exact"/>
        <w:jc w:val="both"/>
        <w:rPr>
          <w:rFonts w:hAnsi="宋体" w:cs="宋体"/>
          <w:color w:val="auto"/>
          <w:spacing w:val="6"/>
          <w:sz w:val="22"/>
          <w:szCs w:val="22"/>
          <w:highlight w:val="none"/>
        </w:rPr>
      </w:pPr>
      <w:r>
        <w:rPr>
          <w:rFonts w:hint="eastAsia" w:hAnsi="宋体" w:cs="宋体"/>
          <w:color w:val="auto"/>
          <w:sz w:val="22"/>
          <w:szCs w:val="22"/>
          <w:highlight w:val="none"/>
        </w:rPr>
        <w:t xml:space="preserve">  I</w:t>
      </w:r>
      <w:r>
        <w:rPr>
          <w:rFonts w:hint="eastAsia" w:hAnsi="宋体" w:cs="宋体"/>
          <w:color w:val="auto"/>
          <w:kern w:val="0"/>
          <w:sz w:val="22"/>
          <w:szCs w:val="22"/>
          <w:highlight w:val="none"/>
        </w:rPr>
        <w:t>.</w:t>
      </w:r>
      <w:r>
        <w:rPr>
          <w:rFonts w:hint="eastAsia" w:hAnsi="宋体" w:cs="宋体"/>
          <w:color w:val="auto"/>
          <w:sz w:val="22"/>
          <w:szCs w:val="22"/>
          <w:highlight w:val="none"/>
        </w:rPr>
        <w:t>其他利害关系情况</w:t>
      </w:r>
      <w:r>
        <w:rPr>
          <w:rFonts w:hint="eastAsia" w:hAnsi="宋体" w:cs="宋体"/>
          <w:color w:val="auto"/>
          <w:kern w:val="0"/>
          <w:sz w:val="22"/>
          <w:szCs w:val="22"/>
          <w:highlight w:val="none"/>
        </w:rPr>
        <w:t>。</w:t>
      </w:r>
    </w:p>
    <w:p w14:paraId="10DDAB74">
      <w:pPr>
        <w:pStyle w:val="157"/>
        <w:widowControl/>
        <w:numPr>
          <w:ilvl w:val="0"/>
          <w:numId w:val="43"/>
        </w:numPr>
        <w:snapToGrid w:val="0"/>
        <w:spacing w:line="440" w:lineRule="exact"/>
        <w:ind w:firstLine="415" w:firstLineChars="189"/>
        <w:rPr>
          <w:rFonts w:ascii="宋体" w:hAnsi="宋体" w:cs="宋体"/>
          <w:color w:val="auto"/>
          <w:kern w:val="0"/>
          <w:sz w:val="22"/>
          <w:szCs w:val="22"/>
          <w:highlight w:val="none"/>
        </w:rPr>
      </w:pPr>
      <w:r>
        <w:rPr>
          <w:rFonts w:hint="eastAsia" w:ascii="宋体" w:hAnsi="宋体" w:cs="宋体"/>
          <w:color w:val="auto"/>
          <w:sz w:val="22"/>
          <w:szCs w:val="22"/>
          <w:highlight w:val="none"/>
        </w:rPr>
        <w:t>现已清楚知道并</w:t>
      </w:r>
      <w:r>
        <w:rPr>
          <w:rFonts w:hint="eastAsia" w:ascii="宋体" w:hAnsi="宋体" w:cs="宋体"/>
          <w:color w:val="auto"/>
          <w:kern w:val="0"/>
          <w:sz w:val="22"/>
          <w:szCs w:val="22"/>
          <w:highlight w:val="none"/>
        </w:rPr>
        <w:t>严格遵守采购法律法规和现场纪律。</w:t>
      </w:r>
    </w:p>
    <w:p w14:paraId="05061A80">
      <w:pPr>
        <w:pStyle w:val="157"/>
        <w:widowControl/>
        <w:numPr>
          <w:ilvl w:val="0"/>
          <w:numId w:val="43"/>
        </w:numPr>
        <w:snapToGrid w:val="0"/>
        <w:spacing w:line="440" w:lineRule="exact"/>
        <w:ind w:firstLine="415" w:firstLineChars="189"/>
        <w:rPr>
          <w:rFonts w:ascii="宋体" w:hAnsi="宋体" w:cs="宋体"/>
          <w:color w:val="auto"/>
          <w:kern w:val="0"/>
          <w:sz w:val="22"/>
          <w:szCs w:val="22"/>
          <w:highlight w:val="none"/>
        </w:rPr>
      </w:pPr>
      <w:r>
        <w:rPr>
          <w:rFonts w:hint="eastAsia" w:ascii="宋体" w:hAnsi="宋体" w:cs="宋体"/>
          <w:color w:val="auto"/>
          <w:kern w:val="0"/>
          <w:sz w:val="22"/>
          <w:szCs w:val="22"/>
          <w:highlight w:val="none"/>
        </w:rPr>
        <w:t>我发现供应商之间存在或可能存在上述第二条第项利害关系。</w:t>
      </w:r>
    </w:p>
    <w:p w14:paraId="1D10F6E6">
      <w:pPr>
        <w:pStyle w:val="207"/>
        <w:widowControl w:val="0"/>
        <w:snapToGrid w:val="0"/>
        <w:spacing w:line="440" w:lineRule="exact"/>
        <w:ind w:firstLine="440" w:firstLineChars="200"/>
        <w:jc w:val="both"/>
        <w:rPr>
          <w:rFonts w:hAnsi="宋体" w:cs="宋体"/>
          <w:color w:val="auto"/>
          <w:sz w:val="22"/>
          <w:szCs w:val="22"/>
          <w:highlight w:val="none"/>
        </w:rPr>
      </w:pPr>
    </w:p>
    <w:p w14:paraId="217C5E17">
      <w:pPr>
        <w:pStyle w:val="207"/>
        <w:widowControl w:val="0"/>
        <w:snapToGrid w:val="0"/>
        <w:spacing w:line="440" w:lineRule="exact"/>
        <w:ind w:firstLine="440" w:firstLineChars="200"/>
        <w:jc w:val="both"/>
        <w:rPr>
          <w:rFonts w:hAnsi="宋体" w:cs="宋体"/>
          <w:color w:val="auto"/>
          <w:sz w:val="22"/>
          <w:szCs w:val="22"/>
          <w:highlight w:val="none"/>
        </w:rPr>
      </w:pPr>
      <w:r>
        <w:rPr>
          <w:rFonts w:hint="eastAsia" w:hAnsi="宋体" w:cs="宋体"/>
          <w:color w:val="auto"/>
          <w:sz w:val="22"/>
          <w:szCs w:val="22"/>
          <w:highlight w:val="none"/>
        </w:rPr>
        <w:t xml:space="preserve">                                供应商代表签名：</w:t>
      </w:r>
    </w:p>
    <w:p w14:paraId="79B83DF6">
      <w:pPr>
        <w:pStyle w:val="207"/>
        <w:widowControl w:val="0"/>
        <w:snapToGrid w:val="0"/>
        <w:spacing w:line="440" w:lineRule="exact"/>
        <w:ind w:firstLine="440" w:firstLineChars="200"/>
        <w:jc w:val="both"/>
        <w:rPr>
          <w:rFonts w:hAnsi="宋体" w:cs="宋体"/>
          <w:color w:val="auto"/>
          <w:sz w:val="22"/>
          <w:szCs w:val="22"/>
          <w:highlight w:val="none"/>
        </w:rPr>
      </w:pPr>
      <w:r>
        <w:rPr>
          <w:rFonts w:hint="eastAsia" w:hAnsi="宋体" w:cs="宋体"/>
          <w:color w:val="auto"/>
          <w:sz w:val="22"/>
          <w:szCs w:val="22"/>
          <w:highlight w:val="none"/>
        </w:rPr>
        <w:t xml:space="preserve">                                    年   月   日</w:t>
      </w:r>
    </w:p>
    <w:p w14:paraId="6D7F6B0F">
      <w:pPr>
        <w:spacing w:line="440" w:lineRule="exact"/>
        <w:ind w:left="439" w:leftChars="209"/>
        <w:rPr>
          <w:rFonts w:ascii="宋体" w:hAnsi="宋体" w:cs="宋体"/>
          <w:color w:val="auto"/>
          <w:sz w:val="22"/>
          <w:szCs w:val="22"/>
          <w:highlight w:val="none"/>
        </w:rPr>
      </w:pPr>
    </w:p>
    <w:sectPr>
      <w:headerReference r:id="rId12" w:type="default"/>
      <w:footerReference r:id="rId13" w:type="default"/>
      <w:pgSz w:w="11906" w:h="16838"/>
      <w:pgMar w:top="1134" w:right="1134" w:bottom="1134" w:left="1134"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DFKai-SB">
    <w:altName w:val="Microsoft JhengHei Light"/>
    <w:panose1 w:val="00000000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新宋体">
    <w:panose1 w:val="02010609030101010101"/>
    <w:charset w:val="86"/>
    <w:family w:val="modern"/>
    <w:pitch w:val="default"/>
    <w:sig w:usb0="00000203" w:usb1="288F0000" w:usb2="0000000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方正黑体简体">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MingLiUfalt">
    <w:altName w:val="MingLiU-ExtB"/>
    <w:panose1 w:val="00000000000000000000"/>
    <w:charset w:val="88"/>
    <w:family w:val="modern"/>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Calibri Light">
    <w:panose1 w:val="020F0302020204030204"/>
    <w:charset w:val="00"/>
    <w:family w:val="swiss"/>
    <w:pitch w:val="default"/>
    <w:sig w:usb0="E4002EFF" w:usb1="C200247B" w:usb2="00000009" w:usb3="00000000" w:csb0="200001FF" w:csb1="00000000"/>
  </w:font>
  <w:font w:name="华文仿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0A9F4">
    <w:pPr>
      <w:pStyle w:val="27"/>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C23B288">
                          <w:pPr>
                            <w:pStyle w:val="27"/>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szod7SAQAAn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VXKoD1jRwftwB1OGFCa5Qws2fUkIG7Kr56uraohM0uZyvVqvSzJcUm1OCKd4uB4A4zvlLUtB&#10;zYGeLbspTh8wjkfnI6mbcWl1/lYbM1bTTpFojsRSFIf9MLHd++ZMKmnoCbzz8JWznp685o4mnDPz&#10;3pGjaTrmAOZgPwfCSbpY88jZMYA+dHmSEg0Mb4+RqGSeqfHYbeJDz5aVTiOW5uLvPJ96+K22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WzOh3tIBAACeAwAADgAAAAAAAAABACAAAAAfAQAA&#10;ZHJzL2Uyb0RvYy54bWxQSwUGAAAAAAYABgBZAQAAYwUAAAAA&#10;">
              <v:fill on="f" focussize="0,0"/>
              <v:stroke on="f"/>
              <v:imagedata o:title=""/>
              <o:lock v:ext="edit" aspectratio="f"/>
              <v:textbox inset="0mm,0mm,0mm,0mm" style="mso-fit-shape-to-text:t;">
                <w:txbxContent>
                  <w:p w14:paraId="7C23B288">
                    <w:pPr>
                      <w:pStyle w:val="27"/>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B816E">
    <w:pPr>
      <w:pStyle w:val="2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F9477">
    <w:pPr>
      <w:pStyle w:val="27"/>
      <w:tabs>
        <w:tab w:val="clear" w:pos="4153"/>
      </w:tabs>
      <w:jc w:val="both"/>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B16741A">
                          <w:pPr>
                            <w:pStyle w:val="27"/>
                          </w:pPr>
                        </w:p>
                      </w:txbxContent>
                    </wps:txbx>
                    <wps:bodyPr vert="horz" wrap="none" lIns="0" tIns="0" rIns="0" bIns="0" anchor="t" upright="0">
                      <a:spAutoFit/>
                    </wps:bodyPr>
                  </wps:wsp>
                </a:graphicData>
              </a:graphic>
            </wp:anchor>
          </w:drawing>
        </mc:Choice>
        <mc:Fallback>
          <w:pict>
            <v:rect id="文本框 1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yl9Z/9IBAACfAwAADgAAAAAAAAABACAAAAAfAQAA&#10;ZHJzL2Uyb0RvYy54bWxQSwUGAAAAAAYABgBZAQAAYwUAAAAA&#10;">
              <v:fill on="f" focussize="0,0"/>
              <v:stroke on="f"/>
              <v:imagedata o:title=""/>
              <o:lock v:ext="edit" aspectratio="f"/>
              <v:textbox inset="0mm,0mm,0mm,0mm" style="mso-fit-shape-to-text:t;">
                <w:txbxContent>
                  <w:p w14:paraId="2B16741A">
                    <w:pPr>
                      <w:pStyle w:val="27"/>
                    </w:pPr>
                  </w:p>
                </w:txbxContent>
              </v:textbox>
            </v:rect>
          </w:pict>
        </mc:Fallback>
      </mc:AlternateContent>
    </w: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7DB1072">
                          <w:pPr>
                            <w:pStyle w:val="27"/>
                          </w:pPr>
                        </w:p>
                      </w:txbxContent>
                    </wps:txbx>
                    <wps:bodyPr vert="horz" wrap="none" lIns="0" tIns="0" rIns="0" bIns="0" anchor="t" upright="0">
                      <a:spAutoFit/>
                    </wps:bodyPr>
                  </wps:wsp>
                </a:graphicData>
              </a:graphic>
            </wp:anchor>
          </w:drawing>
        </mc:Choice>
        <mc:Fallback>
          <w:pict>
            <v:rect id="文本框 4"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BwqfrfTAQAAngMAAA4AAAAAAAAAAQAgAAAAHwEA&#10;AGRycy9lMm9Eb2MueG1sUEsFBgAAAAAGAAYAWQEAAGQFAAAAAA==&#10;">
              <v:fill on="f" focussize="0,0"/>
              <v:stroke on="f"/>
              <v:imagedata o:title=""/>
              <o:lock v:ext="edit" aspectratio="f"/>
              <v:textbox inset="0mm,0mm,0mm,0mm" style="mso-fit-shape-to-text:t;">
                <w:txbxContent>
                  <w:p w14:paraId="77DB1072">
                    <w:pPr>
                      <w:pStyle w:val="27"/>
                    </w:pP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F2F6E">
    <w:pPr>
      <w:jc w:val="cente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8FC9AFB">
                          <w:pPr>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lang w:val="zh-CN"/>
                            </w:rPr>
                            <w:t>21</w:t>
                          </w:r>
                          <w:r>
                            <w:rPr>
                              <w:sz w:val="18"/>
                              <w:szCs w:val="18"/>
                              <w:lang w:val="zh-CN"/>
                            </w:rPr>
                            <w:fldChar w:fldCharType="end"/>
                          </w:r>
                        </w:p>
                      </w:txbxContent>
                    </wps:txbx>
                    <wps:bodyPr vert="horz" wrap="none" lIns="0" tIns="0" rIns="0" bIns="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XW5UtAAAAAFAQAADwAAAAAAAAABACAAAAAiAAAAZHJzL2Rv&#10;d25yZXYueG1sUEsBAhQAFAAAAAgAh07iQObMa/fQAQAAngMAAA4AAAAAAAAAAQAgAAAAHwEAAGRy&#10;cy9lMm9Eb2MueG1sUEsFBgAAAAAGAAYAWQEAAGEFAAAAAA==&#10;">
              <v:fill on="f" focussize="0,0"/>
              <v:stroke on="f"/>
              <v:imagedata o:title=""/>
              <o:lock v:ext="edit" aspectratio="f"/>
              <v:textbox inset="0mm,0mm,0mm,0mm" style="mso-fit-shape-to-text:t;">
                <w:txbxContent>
                  <w:p w14:paraId="18FC9AFB">
                    <w:pPr>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lang w:val="zh-CN"/>
                      </w:rPr>
                      <w:t>21</w:t>
                    </w:r>
                    <w:r>
                      <w:rPr>
                        <w:sz w:val="18"/>
                        <w:szCs w:val="18"/>
                        <w:lang w:val="zh-CN"/>
                      </w:rP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04E48">
    <w:pPr>
      <w:pStyle w:val="27"/>
      <w:framePr w:wrap="around" w:vAnchor="text" w:hAnchor="margin" w:xAlign="center" w:y="1"/>
      <w:pBdr>
        <w:bottom w:val="single" w:color="auto" w:sz="6" w:space="3"/>
      </w:pBdr>
      <w:rPr>
        <w:rStyle w:val="43"/>
      </w:rPr>
    </w:pPr>
    <w:r>
      <w:rPr>
        <w:rStyle w:val="43"/>
      </w:rPr>
      <w:fldChar w:fldCharType="begin"/>
    </w:r>
    <w:r>
      <w:rPr>
        <w:rStyle w:val="43"/>
      </w:rPr>
      <w:instrText xml:space="preserve">PAGE  </w:instrText>
    </w:r>
    <w:r>
      <w:rPr>
        <w:rStyle w:val="43"/>
      </w:rPr>
      <w:fldChar w:fldCharType="end"/>
    </w:r>
  </w:p>
  <w:p w14:paraId="05F453C7">
    <w:pPr>
      <w:pStyle w:val="27"/>
      <w:pBdr>
        <w:bottom w:val="single" w:color="auto" w:sz="6" w:space="3"/>
      </w:pBdr>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013A6">
    <w:pPr>
      <w:pStyle w:val="27"/>
      <w:tabs>
        <w:tab w:val="clear" w:pos="4153"/>
      </w:tabs>
      <w:jc w:val="both"/>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1" name="文本框 2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3424665">
                          <w:pPr>
                            <w:pStyle w:val="27"/>
                          </w:pPr>
                          <w:r>
                            <w:fldChar w:fldCharType="begin"/>
                          </w:r>
                          <w:r>
                            <w:instrText xml:space="preserve"> PAGE  \* MERGEFORMAT </w:instrText>
                          </w:r>
                          <w:r>
                            <w:fldChar w:fldCharType="separate"/>
                          </w:r>
                          <w:r>
                            <w:t>2</w:t>
                          </w:r>
                          <w:r>
                            <w:fldChar w:fldCharType="end"/>
                          </w:r>
                        </w:p>
                      </w:txbxContent>
                    </wps:txbx>
                    <wps:bodyPr vert="horz" wrap="none" lIns="0" tIns="0" rIns="0" bIns="0" anchor="t" upright="0">
                      <a:spAutoFit/>
                    </wps:bodyPr>
                  </wps:wsp>
                </a:graphicData>
              </a:graphic>
            </wp:anchor>
          </w:drawing>
        </mc:Choice>
        <mc:Fallback>
          <w:pict>
            <v:rect id="文本框 2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rDaXINIBAACfAwAADgAAAAAAAAABACAAAAAfAQAA&#10;ZHJzL2Uyb0RvYy54bWxQSwUGAAAAAAYABgBZAQAAYwUAAAAA&#10;">
              <v:fill on="f" focussize="0,0"/>
              <v:stroke on="f"/>
              <v:imagedata o:title=""/>
              <o:lock v:ext="edit" aspectratio="f"/>
              <v:textbox inset="0mm,0mm,0mm,0mm" style="mso-fit-shape-to-text:t;">
                <w:txbxContent>
                  <w:p w14:paraId="43424665">
                    <w:pPr>
                      <w:pStyle w:val="27"/>
                    </w:pPr>
                    <w:r>
                      <w:fldChar w:fldCharType="begin"/>
                    </w:r>
                    <w:r>
                      <w:instrText xml:space="preserve"> PAGE  \* MERGEFORMAT </w:instrText>
                    </w:r>
                    <w:r>
                      <w:fldChar w:fldCharType="separate"/>
                    </w:r>
                    <w:r>
                      <w:t>2</w:t>
                    </w:r>
                    <w:r>
                      <w:fldChar w:fldCharType="end"/>
                    </w:r>
                  </w:p>
                </w:txbxContent>
              </v:textbox>
            </v:rect>
          </w:pict>
        </mc:Fallback>
      </mc:AlternateContent>
    </w: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1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92C5817">
                          <w:pPr>
                            <w:pStyle w:val="27"/>
                          </w:pPr>
                        </w:p>
                      </w:txbxContent>
                    </wps:txbx>
                    <wps:bodyPr vert="horz" wrap="none" lIns="0" tIns="0" rIns="0" bIns="0" anchor="t" upright="0">
                      <a:spAutoFit/>
                    </wps:bodyPr>
                  </wps:wsp>
                </a:graphicData>
              </a:graphic>
            </wp:anchor>
          </w:drawing>
        </mc:Choice>
        <mc:Fallback>
          <w:pict>
            <v:rect id="文本框 1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qcPXU9IBAACfAwAADgAAAAAAAAABACAAAAAfAQAA&#10;ZHJzL2Uyb0RvYy54bWxQSwUGAAAAAAYABgBZAQAAYwUAAAAA&#10;">
              <v:fill on="f" focussize="0,0"/>
              <v:stroke on="f"/>
              <v:imagedata o:title=""/>
              <o:lock v:ext="edit" aspectratio="f"/>
              <v:textbox inset="0mm,0mm,0mm,0mm" style="mso-fit-shape-to-text:t;">
                <w:txbxContent>
                  <w:p w14:paraId="192C5817">
                    <w:pPr>
                      <w:pStyle w:val="27"/>
                    </w:pP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FDCFC">
    <w:pPr>
      <w:pStyle w:val="27"/>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3" name="文本框 1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3FB7C0A">
                          <w:pPr>
                            <w:pStyle w:val="27"/>
                          </w:pPr>
                          <w:r>
                            <w:fldChar w:fldCharType="begin"/>
                          </w:r>
                          <w:r>
                            <w:instrText xml:space="preserve"> PAGE  \* MERGEFORMAT </w:instrText>
                          </w:r>
                          <w:r>
                            <w:fldChar w:fldCharType="separate"/>
                          </w:r>
                          <w:r>
                            <w:t>40</w:t>
                          </w:r>
                          <w:r>
                            <w:fldChar w:fldCharType="end"/>
                          </w:r>
                        </w:p>
                      </w:txbxContent>
                    </wps:txbx>
                    <wps:bodyPr vert="horz" wrap="none" lIns="0" tIns="0" rIns="0" bIns="0" anchor="t" upright="0">
                      <a:spAutoFit/>
                    </wps:bodyPr>
                  </wps:wsp>
                </a:graphicData>
              </a:graphic>
            </wp:anchor>
          </w:drawing>
        </mc:Choice>
        <mc:Fallback>
          <w:pict>
            <v:rect id="文本框 1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bxSy4dIBAACfAwAADgAAAAAAAAABACAAAAAfAQAA&#10;ZHJzL2Uyb0RvYy54bWxQSwUGAAAAAAYABgBZAQAAYwUAAAAA&#10;">
              <v:fill on="f" focussize="0,0"/>
              <v:stroke on="f"/>
              <v:imagedata o:title=""/>
              <o:lock v:ext="edit" aspectratio="f"/>
              <v:textbox inset="0mm,0mm,0mm,0mm" style="mso-fit-shape-to-text:t;">
                <w:txbxContent>
                  <w:p w14:paraId="53FB7C0A">
                    <w:pPr>
                      <w:pStyle w:val="27"/>
                    </w:pPr>
                    <w:r>
                      <w:fldChar w:fldCharType="begin"/>
                    </w:r>
                    <w:r>
                      <w:instrText xml:space="preserve"> PAGE  \* MERGEFORMAT </w:instrText>
                    </w:r>
                    <w:r>
                      <w:fldChar w:fldCharType="separate"/>
                    </w:r>
                    <w:r>
                      <w:t>40</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E5324">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C65A2">
    <w:pPr>
      <w:pStyle w:val="2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CF4E4">
    <w:r>
      <w:tab/>
    </w:r>
    <w: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50D5F">
    <w:pP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FA4B95"/>
    <w:multiLevelType w:val="singleLevel"/>
    <w:tmpl w:val="84FA4B95"/>
    <w:lvl w:ilvl="0" w:tentative="0">
      <w:start w:val="1"/>
      <w:numFmt w:val="decimal"/>
      <w:suff w:val="space"/>
      <w:lvlText w:val="%1."/>
      <w:lvlJc w:val="left"/>
    </w:lvl>
  </w:abstractNum>
  <w:abstractNum w:abstractNumId="1">
    <w:nsid w:val="00000000"/>
    <w:multiLevelType w:val="singleLevel"/>
    <w:tmpl w:val="00000000"/>
    <w:lvl w:ilvl="0" w:tentative="0">
      <w:start w:val="1"/>
      <w:numFmt w:val="decimal"/>
      <w:lvlText w:val="(%1)"/>
      <w:lvlJc w:val="left"/>
      <w:pPr>
        <w:ind w:left="425" w:hanging="425"/>
      </w:pPr>
      <w:rPr>
        <w:rFonts w:hint="default" w:cs="Times New Roman"/>
      </w:rPr>
    </w:lvl>
  </w:abstractNum>
  <w:abstractNum w:abstractNumId="2">
    <w:nsid w:val="00000001"/>
    <w:multiLevelType w:val="multilevel"/>
    <w:tmpl w:val="00000001"/>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6.%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3">
    <w:nsid w:val="00000002"/>
    <w:multiLevelType w:val="singleLevel"/>
    <w:tmpl w:val="00000002"/>
    <w:lvl w:ilvl="0" w:tentative="0">
      <w:start w:val="1"/>
      <w:numFmt w:val="decimal"/>
      <w:lvlText w:val="(%1)"/>
      <w:lvlJc w:val="left"/>
      <w:pPr>
        <w:ind w:left="425" w:hanging="425"/>
      </w:pPr>
      <w:rPr>
        <w:rFonts w:hint="default"/>
      </w:rPr>
    </w:lvl>
  </w:abstractNum>
  <w:abstractNum w:abstractNumId="4">
    <w:nsid w:val="00000003"/>
    <w:multiLevelType w:val="multilevel"/>
    <w:tmpl w:val="00000003"/>
    <w:lvl w:ilvl="0" w:tentative="0">
      <w:start w:val="1"/>
      <w:numFmt w:val="decimal"/>
      <w:lvlText w:val="%1."/>
      <w:lvlJc w:val="left"/>
      <w:pPr>
        <w:tabs>
          <w:tab w:val="left" w:pos="562"/>
        </w:tabs>
        <w:ind w:left="562" w:hanging="420"/>
      </w:pPr>
      <w:rPr>
        <w:rFonts w:hint="eastAsia" w:ascii="楷体_GB2312" w:hAnsi="Arial" w:eastAsia="楷体_GB2312" w:cs="Arial"/>
      </w:rPr>
    </w:lvl>
    <w:lvl w:ilvl="1" w:tentative="0">
      <w:start w:val="0"/>
      <w:numFmt w:val="none"/>
      <w:lvlText w:val=""/>
      <w:lvlJc w:val="left"/>
      <w:pPr>
        <w:tabs>
          <w:tab w:val="left" w:pos="360"/>
        </w:tabs>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none"/>
      <w:lvlText w:val=""/>
      <w:lvlJc w:val="left"/>
      <w:pPr>
        <w:tabs>
          <w:tab w:val="left" w:pos="360"/>
        </w:tabs>
      </w:pPr>
      <w:rPr>
        <w:rFonts w:cs="Times New Roman"/>
      </w:rPr>
    </w:lvl>
    <w:lvl w:ilvl="5" w:tentative="0">
      <w:start w:val="0"/>
      <w:numFmt w:val="none"/>
      <w:lvlText w:val=""/>
      <w:lvlJc w:val="left"/>
      <w:pPr>
        <w:tabs>
          <w:tab w:val="left" w:pos="360"/>
        </w:tabs>
      </w:pPr>
      <w:rPr>
        <w:rFonts w:cs="Times New Roman"/>
      </w:rPr>
    </w:lvl>
    <w:lvl w:ilvl="6" w:tentative="0">
      <w:start w:val="0"/>
      <w:numFmt w:val="none"/>
      <w:lvlText w:val=""/>
      <w:lvlJc w:val="left"/>
      <w:pPr>
        <w:tabs>
          <w:tab w:val="left" w:pos="360"/>
        </w:tabs>
      </w:pPr>
      <w:rPr>
        <w:rFonts w:cs="Times New Roman"/>
      </w:rPr>
    </w:lvl>
    <w:lvl w:ilvl="7" w:tentative="0">
      <w:start w:val="0"/>
      <w:numFmt w:val="none"/>
      <w:lvlText w:val=""/>
      <w:lvlJc w:val="left"/>
      <w:pPr>
        <w:tabs>
          <w:tab w:val="left" w:pos="360"/>
        </w:tabs>
      </w:pPr>
      <w:rPr>
        <w:rFonts w:cs="Times New Roman"/>
      </w:rPr>
    </w:lvl>
    <w:lvl w:ilvl="8" w:tentative="0">
      <w:start w:val="0"/>
      <w:numFmt w:val="none"/>
      <w:lvlText w:val=""/>
      <w:lvlJc w:val="left"/>
      <w:pPr>
        <w:tabs>
          <w:tab w:val="left" w:pos="360"/>
        </w:tabs>
      </w:pPr>
      <w:rPr>
        <w:rFonts w:cs="Times New Roman"/>
      </w:rPr>
    </w:lvl>
  </w:abstractNum>
  <w:abstractNum w:abstractNumId="5">
    <w:nsid w:val="00000004"/>
    <w:multiLevelType w:val="singleLevel"/>
    <w:tmpl w:val="00000004"/>
    <w:lvl w:ilvl="0" w:tentative="0">
      <w:start w:val="1"/>
      <w:numFmt w:val="decimal"/>
      <w:lvlText w:val="(%1)"/>
      <w:lvlJc w:val="left"/>
      <w:pPr>
        <w:ind w:left="425" w:hanging="425"/>
      </w:pPr>
      <w:rPr>
        <w:rFonts w:hint="default" w:cs="Times New Roman"/>
      </w:rPr>
    </w:lvl>
  </w:abstractNum>
  <w:abstractNum w:abstractNumId="6">
    <w:nsid w:val="00000005"/>
    <w:multiLevelType w:val="singleLevel"/>
    <w:tmpl w:val="00000005"/>
    <w:lvl w:ilvl="0" w:tentative="0">
      <w:start w:val="1"/>
      <w:numFmt w:val="decimalEnclosedCircleChinese"/>
      <w:suff w:val="nothing"/>
      <w:lvlText w:val="%1　"/>
      <w:lvlJc w:val="left"/>
      <w:pPr>
        <w:ind w:left="0" w:firstLine="400"/>
      </w:pPr>
      <w:rPr>
        <w:rFonts w:hint="eastAsia"/>
      </w:rPr>
    </w:lvl>
  </w:abstractNum>
  <w:abstractNum w:abstractNumId="7">
    <w:nsid w:val="00000006"/>
    <w:multiLevelType w:val="multilevel"/>
    <w:tmpl w:val="00000006"/>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8">
    <w:nsid w:val="00000007"/>
    <w:multiLevelType w:val="singleLevel"/>
    <w:tmpl w:val="00000007"/>
    <w:lvl w:ilvl="0" w:tentative="0">
      <w:start w:val="1"/>
      <w:numFmt w:val="decimalEnclosedCircleChinese"/>
      <w:suff w:val="nothing"/>
      <w:lvlText w:val="%1　"/>
      <w:lvlJc w:val="left"/>
      <w:pPr>
        <w:ind w:left="0" w:firstLine="400"/>
      </w:pPr>
      <w:rPr>
        <w:rFonts w:hint="eastAsia"/>
      </w:rPr>
    </w:lvl>
  </w:abstractNum>
  <w:abstractNum w:abstractNumId="9">
    <w:nsid w:val="00000008"/>
    <w:multiLevelType w:val="multilevel"/>
    <w:tmpl w:val="00000008"/>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10">
    <w:nsid w:val="0000000A"/>
    <w:multiLevelType w:val="multilevel"/>
    <w:tmpl w:val="0000000A"/>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7.%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11">
    <w:nsid w:val="0000000B"/>
    <w:multiLevelType w:val="singleLevel"/>
    <w:tmpl w:val="0000000B"/>
    <w:lvl w:ilvl="0" w:tentative="0">
      <w:start w:val="1"/>
      <w:numFmt w:val="decimal"/>
      <w:lvlText w:val="(%1)"/>
      <w:lvlJc w:val="left"/>
      <w:pPr>
        <w:ind w:left="425" w:hanging="425"/>
      </w:pPr>
      <w:rPr>
        <w:rFonts w:hint="default" w:cs="Times New Roman"/>
      </w:rPr>
    </w:lvl>
  </w:abstractNum>
  <w:abstractNum w:abstractNumId="12">
    <w:nsid w:val="0000000C"/>
    <w:multiLevelType w:val="singleLevel"/>
    <w:tmpl w:val="0000000C"/>
    <w:lvl w:ilvl="0" w:tentative="0">
      <w:start w:val="1"/>
      <w:numFmt w:val="decimal"/>
      <w:lvlText w:val="(%1)"/>
      <w:lvlJc w:val="left"/>
      <w:pPr>
        <w:ind w:left="425" w:hanging="425"/>
      </w:pPr>
      <w:rPr>
        <w:rFonts w:hint="default"/>
      </w:rPr>
    </w:lvl>
  </w:abstractNum>
  <w:abstractNum w:abstractNumId="13">
    <w:nsid w:val="0000000D"/>
    <w:multiLevelType w:val="singleLevel"/>
    <w:tmpl w:val="0000000D"/>
    <w:lvl w:ilvl="0" w:tentative="0">
      <w:start w:val="3"/>
      <w:numFmt w:val="chineseCounting"/>
      <w:suff w:val="nothing"/>
      <w:lvlText w:val="%1．"/>
      <w:lvlJc w:val="left"/>
      <w:rPr>
        <w:rFonts w:hint="eastAsia"/>
      </w:rPr>
    </w:lvl>
  </w:abstractNum>
  <w:abstractNum w:abstractNumId="14">
    <w:nsid w:val="0000000E"/>
    <w:multiLevelType w:val="singleLevel"/>
    <w:tmpl w:val="0000000E"/>
    <w:lvl w:ilvl="0" w:tentative="0">
      <w:start w:val="1"/>
      <w:numFmt w:val="decimalEnclosedCircleChinese"/>
      <w:suff w:val="nothing"/>
      <w:lvlText w:val="%1　"/>
      <w:lvlJc w:val="left"/>
      <w:pPr>
        <w:ind w:firstLine="400"/>
      </w:pPr>
      <w:rPr>
        <w:rFonts w:hint="eastAsia" w:cs="Times New Roman"/>
      </w:rPr>
    </w:lvl>
  </w:abstractNum>
  <w:abstractNum w:abstractNumId="15">
    <w:nsid w:val="0000000F"/>
    <w:multiLevelType w:val="multilevel"/>
    <w:tmpl w:val="0000000F"/>
    <w:lvl w:ilvl="0" w:tentative="0">
      <w:start w:val="1"/>
      <w:numFmt w:val="decimal"/>
      <w:lvlText w:val="（%1）"/>
      <w:lvlJc w:val="left"/>
      <w:pPr>
        <w:tabs>
          <w:tab w:val="left" w:pos="420"/>
        </w:tabs>
        <w:ind w:left="420" w:hanging="420"/>
      </w:pPr>
      <w:rPr>
        <w:rFonts w:hint="default" w:ascii="Times New Roman" w:hAnsi="Times New Roman" w:cs="Tahoma"/>
        <w:b w:val="0"/>
      </w:rPr>
    </w:lvl>
    <w:lvl w:ilvl="1" w:tentative="0">
      <w:start w:val="2"/>
      <w:numFmt w:val="decimal"/>
      <w:lvlText w:val="%2．"/>
      <w:lvlJc w:val="left"/>
      <w:pPr>
        <w:tabs>
          <w:tab w:val="left" w:pos="780"/>
        </w:tabs>
        <w:ind w:left="780" w:hanging="360"/>
      </w:pPr>
      <w:rPr>
        <w:rFonts w:hint="default"/>
        <w:color w:val="000000"/>
        <w:sz w:val="24"/>
      </w:rPr>
    </w:lvl>
    <w:lvl w:ilvl="2" w:tentative="0">
      <w:start w:val="1"/>
      <w:numFmt w:val="decimal"/>
      <w:lvlText w:val="%3."/>
      <w:lvlJc w:val="left"/>
      <w:pPr>
        <w:tabs>
          <w:tab w:val="left" w:pos="1200"/>
        </w:tabs>
        <w:ind w:left="1200" w:hanging="36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00000010"/>
    <w:multiLevelType w:val="multilevel"/>
    <w:tmpl w:val="00000010"/>
    <w:lvl w:ilvl="0" w:tentative="0">
      <w:start w:val="1"/>
      <w:numFmt w:val="decimal"/>
      <w:lvlText w:val="（%1）"/>
      <w:lvlJc w:val="left"/>
      <w:pPr>
        <w:tabs>
          <w:tab w:val="left" w:pos="420"/>
        </w:tabs>
        <w:ind w:left="420" w:hanging="420"/>
      </w:pPr>
      <w:rPr>
        <w:rFonts w:hint="eastAsia" w:ascii="楷体_GB2312" w:eastAsia="楷体_GB2312"/>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60"/>
        </w:tabs>
        <w:ind w:left="1260" w:hanging="420"/>
      </w:pPr>
      <w:rPr>
        <w:rFonts w:hint="eastAsia"/>
        <w:b w:val="0"/>
        <w:i w:val="0"/>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00000011"/>
    <w:multiLevelType w:val="multilevel"/>
    <w:tmpl w:val="00000011"/>
    <w:lvl w:ilvl="0" w:tentative="0">
      <w:start w:val="1"/>
      <w:numFmt w:val="decimal"/>
      <w:lvlText w:val="%1."/>
      <w:lvlJc w:val="left"/>
      <w:pPr>
        <w:tabs>
          <w:tab w:val="left" w:pos="562"/>
        </w:tabs>
        <w:ind w:left="562" w:hanging="420"/>
      </w:pPr>
      <w:rPr>
        <w:rFonts w:hint="eastAsia" w:ascii="楷体_GB2312" w:hAnsi="Arial" w:eastAsia="楷体_GB2312" w:cs="Arial"/>
      </w:rPr>
    </w:lvl>
    <w:lvl w:ilvl="1" w:tentative="0">
      <w:start w:val="0"/>
      <w:numFmt w:val="none"/>
      <w:lvlText w:val=""/>
      <w:lvlJc w:val="left"/>
      <w:pPr>
        <w:tabs>
          <w:tab w:val="left" w:pos="360"/>
        </w:tabs>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none"/>
      <w:lvlText w:val=""/>
      <w:lvlJc w:val="left"/>
      <w:pPr>
        <w:tabs>
          <w:tab w:val="left" w:pos="360"/>
        </w:tabs>
      </w:pPr>
      <w:rPr>
        <w:rFonts w:cs="Times New Roman"/>
      </w:rPr>
    </w:lvl>
    <w:lvl w:ilvl="5" w:tentative="0">
      <w:start w:val="0"/>
      <w:numFmt w:val="none"/>
      <w:lvlText w:val=""/>
      <w:lvlJc w:val="left"/>
      <w:pPr>
        <w:tabs>
          <w:tab w:val="left" w:pos="360"/>
        </w:tabs>
      </w:pPr>
      <w:rPr>
        <w:rFonts w:cs="Times New Roman"/>
      </w:rPr>
    </w:lvl>
    <w:lvl w:ilvl="6" w:tentative="0">
      <w:start w:val="0"/>
      <w:numFmt w:val="none"/>
      <w:lvlText w:val=""/>
      <w:lvlJc w:val="left"/>
      <w:pPr>
        <w:tabs>
          <w:tab w:val="left" w:pos="360"/>
        </w:tabs>
      </w:pPr>
      <w:rPr>
        <w:rFonts w:cs="Times New Roman"/>
      </w:rPr>
    </w:lvl>
    <w:lvl w:ilvl="7" w:tentative="0">
      <w:start w:val="0"/>
      <w:numFmt w:val="none"/>
      <w:lvlText w:val=""/>
      <w:lvlJc w:val="left"/>
      <w:pPr>
        <w:tabs>
          <w:tab w:val="left" w:pos="360"/>
        </w:tabs>
      </w:pPr>
      <w:rPr>
        <w:rFonts w:cs="Times New Roman"/>
      </w:rPr>
    </w:lvl>
    <w:lvl w:ilvl="8" w:tentative="0">
      <w:start w:val="0"/>
      <w:numFmt w:val="none"/>
      <w:lvlText w:val=""/>
      <w:lvlJc w:val="left"/>
      <w:pPr>
        <w:tabs>
          <w:tab w:val="left" w:pos="360"/>
        </w:tabs>
      </w:pPr>
      <w:rPr>
        <w:rFonts w:cs="Times New Roman"/>
      </w:rPr>
    </w:lvl>
  </w:abstractNum>
  <w:abstractNum w:abstractNumId="18">
    <w:nsid w:val="00000012"/>
    <w:multiLevelType w:val="multilevel"/>
    <w:tmpl w:val="00000012"/>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19">
    <w:nsid w:val="00000013"/>
    <w:multiLevelType w:val="singleLevel"/>
    <w:tmpl w:val="00000013"/>
    <w:lvl w:ilvl="0" w:tentative="0">
      <w:start w:val="1"/>
      <w:numFmt w:val="decimal"/>
      <w:lvlText w:val="(%1)"/>
      <w:lvlJc w:val="left"/>
      <w:pPr>
        <w:ind w:left="425" w:hanging="425"/>
      </w:pPr>
      <w:rPr>
        <w:rFonts w:hint="default"/>
      </w:rPr>
    </w:lvl>
  </w:abstractNum>
  <w:abstractNum w:abstractNumId="20">
    <w:nsid w:val="00000014"/>
    <w:multiLevelType w:val="singleLevel"/>
    <w:tmpl w:val="00000014"/>
    <w:lvl w:ilvl="0" w:tentative="0">
      <w:start w:val="1"/>
      <w:numFmt w:val="decimal"/>
      <w:lvlText w:val="%1."/>
      <w:lvlJc w:val="left"/>
      <w:pPr>
        <w:ind w:left="425" w:hanging="425"/>
      </w:pPr>
      <w:rPr>
        <w:rFonts w:hint="default"/>
      </w:rPr>
    </w:lvl>
  </w:abstractNum>
  <w:abstractNum w:abstractNumId="21">
    <w:nsid w:val="00000015"/>
    <w:multiLevelType w:val="singleLevel"/>
    <w:tmpl w:val="00000015"/>
    <w:lvl w:ilvl="0" w:tentative="0">
      <w:start w:val="1"/>
      <w:numFmt w:val="decimal"/>
      <w:suff w:val="nothing"/>
      <w:lvlText w:val="%1）"/>
      <w:lvlJc w:val="left"/>
    </w:lvl>
  </w:abstractNum>
  <w:abstractNum w:abstractNumId="22">
    <w:nsid w:val="00000016"/>
    <w:multiLevelType w:val="singleLevel"/>
    <w:tmpl w:val="00000016"/>
    <w:lvl w:ilvl="0" w:tentative="0">
      <w:start w:val="1"/>
      <w:numFmt w:val="decimalEnclosedCircleChinese"/>
      <w:suff w:val="nothing"/>
      <w:lvlText w:val="%1　"/>
      <w:lvlJc w:val="left"/>
      <w:pPr>
        <w:ind w:left="0" w:firstLine="400"/>
      </w:pPr>
      <w:rPr>
        <w:rFonts w:hint="eastAsia"/>
      </w:rPr>
    </w:lvl>
  </w:abstractNum>
  <w:abstractNum w:abstractNumId="23">
    <w:nsid w:val="00000017"/>
    <w:multiLevelType w:val="singleLevel"/>
    <w:tmpl w:val="00000017"/>
    <w:lvl w:ilvl="0" w:tentative="0">
      <w:start w:val="1"/>
      <w:numFmt w:val="decimal"/>
      <w:lvlText w:val="(%1)"/>
      <w:lvlJc w:val="left"/>
      <w:pPr>
        <w:ind w:left="425" w:hanging="425"/>
      </w:pPr>
      <w:rPr>
        <w:rFonts w:hint="default"/>
      </w:rPr>
    </w:lvl>
  </w:abstractNum>
  <w:abstractNum w:abstractNumId="24">
    <w:nsid w:val="00000018"/>
    <w:multiLevelType w:val="multilevel"/>
    <w:tmpl w:val="00000018"/>
    <w:lvl w:ilvl="0" w:tentative="0">
      <w:start w:val="1"/>
      <w:numFmt w:val="decimal"/>
      <w:lvlText w:val="%1."/>
      <w:lvlJc w:val="left"/>
      <w:pPr>
        <w:tabs>
          <w:tab w:val="left" w:pos="420"/>
        </w:tabs>
        <w:ind w:left="420" w:hanging="420"/>
      </w:pPr>
      <w:rPr>
        <w:rFonts w:hint="eastAsia" w:ascii="楷体_GB2312" w:hAnsi="Arial" w:eastAsia="楷体_GB2312" w:cs="Arial"/>
      </w:rPr>
    </w:lvl>
    <w:lvl w:ilvl="1" w:tentative="0">
      <w:start w:val="0"/>
      <w:numFmt w:val="none"/>
      <w:lvlText w:val=""/>
      <w:lvlJc w:val="left"/>
      <w:pPr>
        <w:tabs>
          <w:tab w:val="left" w:pos="360"/>
        </w:tabs>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none"/>
      <w:lvlText w:val=""/>
      <w:lvlJc w:val="left"/>
      <w:pPr>
        <w:tabs>
          <w:tab w:val="left" w:pos="360"/>
        </w:tabs>
      </w:pPr>
      <w:rPr>
        <w:rFonts w:cs="Times New Roman"/>
      </w:rPr>
    </w:lvl>
    <w:lvl w:ilvl="5" w:tentative="0">
      <w:start w:val="0"/>
      <w:numFmt w:val="none"/>
      <w:lvlText w:val=""/>
      <w:lvlJc w:val="left"/>
      <w:pPr>
        <w:tabs>
          <w:tab w:val="left" w:pos="360"/>
        </w:tabs>
      </w:pPr>
      <w:rPr>
        <w:rFonts w:cs="Times New Roman"/>
      </w:rPr>
    </w:lvl>
    <w:lvl w:ilvl="6" w:tentative="0">
      <w:start w:val="0"/>
      <w:numFmt w:val="none"/>
      <w:lvlText w:val=""/>
      <w:lvlJc w:val="left"/>
      <w:pPr>
        <w:tabs>
          <w:tab w:val="left" w:pos="360"/>
        </w:tabs>
      </w:pPr>
      <w:rPr>
        <w:rFonts w:cs="Times New Roman"/>
      </w:rPr>
    </w:lvl>
    <w:lvl w:ilvl="7" w:tentative="0">
      <w:start w:val="0"/>
      <w:numFmt w:val="none"/>
      <w:lvlText w:val=""/>
      <w:lvlJc w:val="left"/>
      <w:pPr>
        <w:tabs>
          <w:tab w:val="left" w:pos="360"/>
        </w:tabs>
      </w:pPr>
      <w:rPr>
        <w:rFonts w:cs="Times New Roman"/>
      </w:rPr>
    </w:lvl>
    <w:lvl w:ilvl="8" w:tentative="0">
      <w:start w:val="0"/>
      <w:numFmt w:val="none"/>
      <w:lvlText w:val=""/>
      <w:lvlJc w:val="left"/>
      <w:pPr>
        <w:tabs>
          <w:tab w:val="left" w:pos="360"/>
        </w:tabs>
      </w:pPr>
      <w:rPr>
        <w:rFonts w:cs="Times New Roman"/>
      </w:rPr>
    </w:lvl>
  </w:abstractNum>
  <w:abstractNum w:abstractNumId="25">
    <w:nsid w:val="00000019"/>
    <w:multiLevelType w:val="multilevel"/>
    <w:tmpl w:val="00000019"/>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9.%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26">
    <w:nsid w:val="0000001A"/>
    <w:multiLevelType w:val="multilevel"/>
    <w:tmpl w:val="0000001A"/>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7">
    <w:nsid w:val="0000001B"/>
    <w:multiLevelType w:val="multilevel"/>
    <w:tmpl w:val="0000001B"/>
    <w:lvl w:ilvl="0" w:tentative="0">
      <w:start w:val="1"/>
      <w:numFmt w:val="decimal"/>
      <w:lvlText w:val="%1."/>
      <w:lvlJc w:val="left"/>
      <w:pPr>
        <w:tabs>
          <w:tab w:val="left" w:pos="562"/>
        </w:tabs>
        <w:ind w:left="562" w:hanging="420"/>
      </w:pPr>
      <w:rPr>
        <w:rFonts w:hint="eastAsia" w:ascii="楷体_GB2312" w:hAnsi="Arial" w:eastAsia="楷体_GB2312" w:cs="Arial"/>
      </w:rPr>
    </w:lvl>
    <w:lvl w:ilvl="1" w:tentative="0">
      <w:start w:val="0"/>
      <w:numFmt w:val="none"/>
      <w:lvlText w:val=""/>
      <w:lvlJc w:val="left"/>
      <w:pPr>
        <w:tabs>
          <w:tab w:val="left" w:pos="360"/>
        </w:tabs>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none"/>
      <w:lvlText w:val=""/>
      <w:lvlJc w:val="left"/>
      <w:pPr>
        <w:tabs>
          <w:tab w:val="left" w:pos="360"/>
        </w:tabs>
      </w:pPr>
      <w:rPr>
        <w:rFonts w:cs="Times New Roman"/>
      </w:rPr>
    </w:lvl>
    <w:lvl w:ilvl="5" w:tentative="0">
      <w:start w:val="0"/>
      <w:numFmt w:val="none"/>
      <w:lvlText w:val=""/>
      <w:lvlJc w:val="left"/>
      <w:pPr>
        <w:tabs>
          <w:tab w:val="left" w:pos="360"/>
        </w:tabs>
      </w:pPr>
      <w:rPr>
        <w:rFonts w:cs="Times New Roman"/>
      </w:rPr>
    </w:lvl>
    <w:lvl w:ilvl="6" w:tentative="0">
      <w:start w:val="0"/>
      <w:numFmt w:val="none"/>
      <w:lvlText w:val=""/>
      <w:lvlJc w:val="left"/>
      <w:pPr>
        <w:tabs>
          <w:tab w:val="left" w:pos="360"/>
        </w:tabs>
      </w:pPr>
      <w:rPr>
        <w:rFonts w:cs="Times New Roman"/>
      </w:rPr>
    </w:lvl>
    <w:lvl w:ilvl="7" w:tentative="0">
      <w:start w:val="0"/>
      <w:numFmt w:val="none"/>
      <w:lvlText w:val=""/>
      <w:lvlJc w:val="left"/>
      <w:pPr>
        <w:tabs>
          <w:tab w:val="left" w:pos="360"/>
        </w:tabs>
      </w:pPr>
      <w:rPr>
        <w:rFonts w:cs="Times New Roman"/>
      </w:rPr>
    </w:lvl>
    <w:lvl w:ilvl="8" w:tentative="0">
      <w:start w:val="0"/>
      <w:numFmt w:val="none"/>
      <w:lvlText w:val=""/>
      <w:lvlJc w:val="left"/>
      <w:pPr>
        <w:tabs>
          <w:tab w:val="left" w:pos="360"/>
        </w:tabs>
      </w:pPr>
      <w:rPr>
        <w:rFonts w:cs="Times New Roman"/>
      </w:rPr>
    </w:lvl>
  </w:abstractNum>
  <w:abstractNum w:abstractNumId="28">
    <w:nsid w:val="0000001D"/>
    <w:multiLevelType w:val="multilevel"/>
    <w:tmpl w:val="0000001D"/>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3.%2"/>
      <w:lvlJc w:val="left"/>
      <w:pPr>
        <w:tabs>
          <w:tab w:val="left" w:pos="992"/>
        </w:tabs>
        <w:ind w:left="992" w:hanging="567"/>
      </w:pPr>
      <w:rPr>
        <w:rFonts w:hint="eastAsia" w:ascii="楷体_GB2312" w:hAnsi="Arial" w:eastAsia="楷体_GB2312" w:cs="Arial"/>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29">
    <w:nsid w:val="0000001E"/>
    <w:multiLevelType w:val="multilevel"/>
    <w:tmpl w:val="0000001E"/>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none"/>
      <w:lvlText w:val=""/>
      <w:lvlJc w:val="left"/>
      <w:pPr>
        <w:tabs>
          <w:tab w:val="left" w:pos="360"/>
        </w:tabs>
      </w:pPr>
      <w:rPr>
        <w:rFonts w:cs="Times New Roman"/>
      </w:rPr>
    </w:lvl>
    <w:lvl w:ilvl="5" w:tentative="0">
      <w:start w:val="0"/>
      <w:numFmt w:val="none"/>
      <w:lvlText w:val=""/>
      <w:lvlJc w:val="left"/>
      <w:pPr>
        <w:tabs>
          <w:tab w:val="left" w:pos="360"/>
        </w:tabs>
      </w:pPr>
      <w:rPr>
        <w:rFonts w:cs="Times New Roman"/>
      </w:rPr>
    </w:lvl>
    <w:lvl w:ilvl="6" w:tentative="0">
      <w:start w:val="0"/>
      <w:numFmt w:val="none"/>
      <w:lvlText w:val=""/>
      <w:lvlJc w:val="left"/>
      <w:pPr>
        <w:tabs>
          <w:tab w:val="left" w:pos="360"/>
        </w:tabs>
      </w:pPr>
      <w:rPr>
        <w:rFonts w:cs="Times New Roman"/>
      </w:rPr>
    </w:lvl>
    <w:lvl w:ilvl="7" w:tentative="0">
      <w:start w:val="0"/>
      <w:numFmt w:val="none"/>
      <w:lvlText w:val=""/>
      <w:lvlJc w:val="left"/>
      <w:pPr>
        <w:tabs>
          <w:tab w:val="left" w:pos="360"/>
        </w:tabs>
      </w:pPr>
      <w:rPr>
        <w:rFonts w:cs="Times New Roman"/>
      </w:rPr>
    </w:lvl>
    <w:lvl w:ilvl="8" w:tentative="0">
      <w:start w:val="0"/>
      <w:numFmt w:val="none"/>
      <w:lvlText w:val=""/>
      <w:lvlJc w:val="left"/>
      <w:pPr>
        <w:tabs>
          <w:tab w:val="left" w:pos="360"/>
        </w:tabs>
      </w:pPr>
      <w:rPr>
        <w:rFonts w:cs="Times New Roman"/>
      </w:rPr>
    </w:lvl>
  </w:abstractNum>
  <w:abstractNum w:abstractNumId="30">
    <w:nsid w:val="0000001F"/>
    <w:multiLevelType w:val="singleLevel"/>
    <w:tmpl w:val="0000001F"/>
    <w:lvl w:ilvl="0" w:tentative="0">
      <w:start w:val="1"/>
      <w:numFmt w:val="decimal"/>
      <w:lvlText w:val="%1."/>
      <w:lvlJc w:val="left"/>
      <w:pPr>
        <w:ind w:left="425" w:hanging="425"/>
      </w:pPr>
      <w:rPr>
        <w:rFonts w:hint="default"/>
      </w:rPr>
    </w:lvl>
  </w:abstractNum>
  <w:abstractNum w:abstractNumId="31">
    <w:nsid w:val="00000020"/>
    <w:multiLevelType w:val="multilevel"/>
    <w:tmpl w:val="00000020"/>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3.%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32">
    <w:nsid w:val="00000021"/>
    <w:multiLevelType w:val="multilevel"/>
    <w:tmpl w:val="00000021"/>
    <w:lvl w:ilvl="0" w:tentative="0">
      <w:start w:val="1"/>
      <w:numFmt w:val="decimal"/>
      <w:lvlText w:val="%1."/>
      <w:lvlJc w:val="left"/>
      <w:pPr>
        <w:ind w:left="805" w:hanging="420"/>
      </w:pPr>
    </w:lvl>
    <w:lvl w:ilvl="1" w:tentative="0">
      <w:start w:val="1"/>
      <w:numFmt w:val="lowerLetter"/>
      <w:lvlText w:val="%2)"/>
      <w:lvlJc w:val="left"/>
      <w:pPr>
        <w:ind w:left="1225" w:hanging="420"/>
      </w:pPr>
    </w:lvl>
    <w:lvl w:ilvl="2" w:tentative="0">
      <w:start w:val="1"/>
      <w:numFmt w:val="lowerRoman"/>
      <w:lvlText w:val="%3."/>
      <w:lvlJc w:val="right"/>
      <w:pPr>
        <w:ind w:left="1645" w:hanging="420"/>
      </w:pPr>
    </w:lvl>
    <w:lvl w:ilvl="3" w:tentative="0">
      <w:start w:val="1"/>
      <w:numFmt w:val="decimal"/>
      <w:lvlText w:val="%4."/>
      <w:lvlJc w:val="left"/>
      <w:pPr>
        <w:ind w:left="2065" w:hanging="420"/>
      </w:pPr>
    </w:lvl>
    <w:lvl w:ilvl="4" w:tentative="0">
      <w:start w:val="1"/>
      <w:numFmt w:val="lowerLetter"/>
      <w:lvlText w:val="%5)"/>
      <w:lvlJc w:val="left"/>
      <w:pPr>
        <w:ind w:left="2485" w:hanging="420"/>
      </w:pPr>
    </w:lvl>
    <w:lvl w:ilvl="5" w:tentative="0">
      <w:start w:val="1"/>
      <w:numFmt w:val="lowerRoman"/>
      <w:lvlText w:val="%6."/>
      <w:lvlJc w:val="right"/>
      <w:pPr>
        <w:ind w:left="2905" w:hanging="420"/>
      </w:pPr>
    </w:lvl>
    <w:lvl w:ilvl="6" w:tentative="0">
      <w:start w:val="1"/>
      <w:numFmt w:val="decimal"/>
      <w:lvlText w:val="%7."/>
      <w:lvlJc w:val="left"/>
      <w:pPr>
        <w:ind w:left="3325" w:hanging="420"/>
      </w:pPr>
    </w:lvl>
    <w:lvl w:ilvl="7" w:tentative="0">
      <w:start w:val="1"/>
      <w:numFmt w:val="lowerLetter"/>
      <w:lvlText w:val="%8)"/>
      <w:lvlJc w:val="left"/>
      <w:pPr>
        <w:ind w:left="3745" w:hanging="420"/>
      </w:pPr>
    </w:lvl>
    <w:lvl w:ilvl="8" w:tentative="0">
      <w:start w:val="1"/>
      <w:numFmt w:val="lowerRoman"/>
      <w:lvlText w:val="%9."/>
      <w:lvlJc w:val="right"/>
      <w:pPr>
        <w:ind w:left="4165" w:hanging="420"/>
      </w:pPr>
    </w:lvl>
  </w:abstractNum>
  <w:abstractNum w:abstractNumId="33">
    <w:nsid w:val="00000022"/>
    <w:multiLevelType w:val="multilevel"/>
    <w:tmpl w:val="00000022"/>
    <w:lvl w:ilvl="0" w:tentative="0">
      <w:start w:val="1"/>
      <w:numFmt w:val="chineseCountingThousand"/>
      <w:lvlText w:val="(%1)"/>
      <w:lvlJc w:val="left"/>
      <w:pPr>
        <w:ind w:left="420" w:hanging="420"/>
      </w:pPr>
      <w:rPr>
        <w:rFonts w:cs="Times New Roman"/>
      </w:rPr>
    </w:lvl>
    <w:lvl w:ilvl="1" w:tentative="0">
      <w:start w:val="1"/>
      <w:numFmt w:val="chineseCountingThousand"/>
      <w:lvlText w:val="(%2)"/>
      <w:lvlJc w:val="left"/>
      <w:pPr>
        <w:ind w:left="272" w:firstLine="148"/>
      </w:pPr>
      <w:rPr>
        <w:rFonts w:hint="eastAsia"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4">
    <w:nsid w:val="00000023"/>
    <w:multiLevelType w:val="singleLevel"/>
    <w:tmpl w:val="00000023"/>
    <w:lvl w:ilvl="0" w:tentative="0">
      <w:start w:val="1"/>
      <w:numFmt w:val="chineseCounting"/>
      <w:suff w:val="nothing"/>
      <w:lvlText w:val="%1、"/>
      <w:lvlJc w:val="left"/>
      <w:rPr>
        <w:rFonts w:cs="Times New Roman"/>
      </w:rPr>
    </w:lvl>
  </w:abstractNum>
  <w:abstractNum w:abstractNumId="35">
    <w:nsid w:val="00000024"/>
    <w:multiLevelType w:val="singleLevel"/>
    <w:tmpl w:val="00000024"/>
    <w:lvl w:ilvl="0" w:tentative="0">
      <w:start w:val="3"/>
      <w:numFmt w:val="chineseCounting"/>
      <w:suff w:val="nothing"/>
      <w:lvlText w:val="%1、"/>
      <w:lvlJc w:val="left"/>
      <w:rPr>
        <w:rFonts w:cs="Times New Roman"/>
      </w:rPr>
    </w:lvl>
  </w:abstractNum>
  <w:abstractNum w:abstractNumId="36">
    <w:nsid w:val="00000025"/>
    <w:multiLevelType w:val="multilevel"/>
    <w:tmpl w:val="00000025"/>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37">
    <w:nsid w:val="00000026"/>
    <w:multiLevelType w:val="singleLevel"/>
    <w:tmpl w:val="00000026"/>
    <w:lvl w:ilvl="0" w:tentative="0">
      <w:start w:val="1"/>
      <w:numFmt w:val="decimal"/>
      <w:suff w:val="nothing"/>
      <w:lvlText w:val="%1．"/>
      <w:lvlJc w:val="left"/>
      <w:pPr>
        <w:ind w:left="0" w:firstLine="400"/>
      </w:pPr>
      <w:rPr>
        <w:rFonts w:hint="default"/>
      </w:rPr>
    </w:lvl>
  </w:abstractNum>
  <w:abstractNum w:abstractNumId="38">
    <w:nsid w:val="00000027"/>
    <w:multiLevelType w:val="multilevel"/>
    <w:tmpl w:val="00000027"/>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3.%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39">
    <w:nsid w:val="30A03142"/>
    <w:multiLevelType w:val="multilevel"/>
    <w:tmpl w:val="30A03142"/>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0">
    <w:nsid w:val="424F0007"/>
    <w:multiLevelType w:val="multilevel"/>
    <w:tmpl w:val="424F0007"/>
    <w:lvl w:ilvl="0" w:tentative="0">
      <w:start w:val="1"/>
      <w:numFmt w:val="decimal"/>
      <w:lvlText w:val="%1."/>
      <w:lvlJc w:val="left"/>
      <w:pPr>
        <w:tabs>
          <w:tab w:val="left" w:pos="420"/>
        </w:tabs>
        <w:ind w:left="420" w:hanging="420"/>
      </w:pPr>
      <w:rPr>
        <w:rFonts w:hint="eastAsia"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41">
    <w:nsid w:val="510501FC"/>
    <w:multiLevelType w:val="multilevel"/>
    <w:tmpl w:val="510501FC"/>
    <w:lvl w:ilvl="0" w:tentative="0">
      <w:start w:val="1"/>
      <w:numFmt w:val="japaneseCounting"/>
      <w:lvlText w:val="%1、"/>
      <w:lvlJc w:val="left"/>
      <w:pPr>
        <w:ind w:left="480" w:hanging="48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2">
    <w:nsid w:val="6A503CD5"/>
    <w:multiLevelType w:val="multilevel"/>
    <w:tmpl w:val="6A503CD5"/>
    <w:lvl w:ilvl="0" w:tentative="0">
      <w:start w:val="1"/>
      <w:numFmt w:val="decimal"/>
      <w:lvlText w:val="%1."/>
      <w:lvlJc w:val="left"/>
      <w:pPr>
        <w:ind w:left="420" w:hanging="420"/>
      </w:p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8"/>
  </w:num>
  <w:num w:numId="3">
    <w:abstractNumId w:val="22"/>
  </w:num>
  <w:num w:numId="4">
    <w:abstractNumId w:val="14"/>
  </w:num>
  <w:num w:numId="5">
    <w:abstractNumId w:val="30"/>
  </w:num>
  <w:num w:numId="6">
    <w:abstractNumId w:val="27"/>
  </w:num>
  <w:num w:numId="7">
    <w:abstractNumId w:val="2"/>
  </w:num>
  <w:num w:numId="8">
    <w:abstractNumId w:val="17"/>
  </w:num>
  <w:num w:numId="9">
    <w:abstractNumId w:val="24"/>
  </w:num>
  <w:num w:numId="10">
    <w:abstractNumId w:val="31"/>
  </w:num>
  <w:num w:numId="11">
    <w:abstractNumId w:val="7"/>
  </w:num>
  <w:num w:numId="12">
    <w:abstractNumId w:val="4"/>
  </w:num>
  <w:num w:numId="13">
    <w:abstractNumId w:val="6"/>
  </w:num>
  <w:num w:numId="14">
    <w:abstractNumId w:val="38"/>
  </w:num>
  <w:num w:numId="15">
    <w:abstractNumId w:val="36"/>
  </w:num>
  <w:num w:numId="16">
    <w:abstractNumId w:val="10"/>
  </w:num>
  <w:num w:numId="17">
    <w:abstractNumId w:val="16"/>
  </w:num>
  <w:num w:numId="18">
    <w:abstractNumId w:val="25"/>
  </w:num>
  <w:num w:numId="19">
    <w:abstractNumId w:val="29"/>
  </w:num>
  <w:num w:numId="20">
    <w:abstractNumId w:val="28"/>
  </w:num>
  <w:num w:numId="21">
    <w:abstractNumId w:val="9"/>
  </w:num>
  <w:num w:numId="22">
    <w:abstractNumId w:val="11"/>
  </w:num>
  <w:num w:numId="23">
    <w:abstractNumId w:val="1"/>
  </w:num>
  <w:num w:numId="24">
    <w:abstractNumId w:val="5"/>
  </w:num>
  <w:num w:numId="25">
    <w:abstractNumId w:val="15"/>
  </w:num>
  <w:num w:numId="26">
    <w:abstractNumId w:val="19"/>
  </w:num>
  <w:num w:numId="27">
    <w:abstractNumId w:val="23"/>
  </w:num>
  <w:num w:numId="28">
    <w:abstractNumId w:val="12"/>
  </w:num>
  <w:num w:numId="29">
    <w:abstractNumId w:val="26"/>
  </w:num>
  <w:num w:numId="30">
    <w:abstractNumId w:val="21"/>
  </w:num>
  <w:num w:numId="31">
    <w:abstractNumId w:val="18"/>
  </w:num>
  <w:num w:numId="32">
    <w:abstractNumId w:val="41"/>
  </w:num>
  <w:num w:numId="33">
    <w:abstractNumId w:val="40"/>
  </w:num>
  <w:num w:numId="34">
    <w:abstractNumId w:val="13"/>
  </w:num>
  <w:num w:numId="35">
    <w:abstractNumId w:val="37"/>
  </w:num>
  <w:num w:numId="36">
    <w:abstractNumId w:val="42"/>
  </w:num>
  <w:num w:numId="37">
    <w:abstractNumId w:val="39"/>
  </w:num>
  <w:num w:numId="38">
    <w:abstractNumId w:val="32"/>
  </w:num>
  <w:num w:numId="39">
    <w:abstractNumId w:val="20"/>
  </w:num>
  <w:num w:numId="40">
    <w:abstractNumId w:val="0"/>
  </w:num>
  <w:num w:numId="41">
    <w:abstractNumId w:val="33"/>
  </w:num>
  <w:num w:numId="42">
    <w:abstractNumId w:val="34"/>
  </w:num>
  <w:num w:numId="4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RhNzcwYWMxNDc0YjRjN2UxZDk1NTg4ZWEwNTIzZDUifQ=="/>
  </w:docVars>
  <w:rsids>
    <w:rsidRoot w:val="00000000"/>
    <w:rsid w:val="02181129"/>
    <w:rsid w:val="029A7274"/>
    <w:rsid w:val="07A05961"/>
    <w:rsid w:val="07D41268"/>
    <w:rsid w:val="08B22212"/>
    <w:rsid w:val="09FF2924"/>
    <w:rsid w:val="0D244B0C"/>
    <w:rsid w:val="0DF5191B"/>
    <w:rsid w:val="101E3DAE"/>
    <w:rsid w:val="12056BBE"/>
    <w:rsid w:val="12AB413C"/>
    <w:rsid w:val="14DE12CB"/>
    <w:rsid w:val="159848DE"/>
    <w:rsid w:val="163218C3"/>
    <w:rsid w:val="169237EC"/>
    <w:rsid w:val="16DE2F48"/>
    <w:rsid w:val="17181117"/>
    <w:rsid w:val="19AF3CC9"/>
    <w:rsid w:val="1A1B5DE5"/>
    <w:rsid w:val="1ABE0DCD"/>
    <w:rsid w:val="1BEF2AA3"/>
    <w:rsid w:val="1C202C5C"/>
    <w:rsid w:val="1C2A0395"/>
    <w:rsid w:val="1F8110BF"/>
    <w:rsid w:val="20462102"/>
    <w:rsid w:val="212D2748"/>
    <w:rsid w:val="229A3C57"/>
    <w:rsid w:val="23506CF7"/>
    <w:rsid w:val="23E93DD6"/>
    <w:rsid w:val="246D02D3"/>
    <w:rsid w:val="25194B68"/>
    <w:rsid w:val="26753EEF"/>
    <w:rsid w:val="285C14C0"/>
    <w:rsid w:val="29D45EAF"/>
    <w:rsid w:val="29F61CD0"/>
    <w:rsid w:val="2B9A176E"/>
    <w:rsid w:val="2CE30931"/>
    <w:rsid w:val="2F191EB9"/>
    <w:rsid w:val="32774ADB"/>
    <w:rsid w:val="327B0795"/>
    <w:rsid w:val="33E81EB4"/>
    <w:rsid w:val="34153282"/>
    <w:rsid w:val="356F3CBC"/>
    <w:rsid w:val="36571C38"/>
    <w:rsid w:val="370E09E1"/>
    <w:rsid w:val="3CB40F6D"/>
    <w:rsid w:val="3E4E61EF"/>
    <w:rsid w:val="3F9F0976"/>
    <w:rsid w:val="42EA1CB5"/>
    <w:rsid w:val="44D93119"/>
    <w:rsid w:val="471E7EBD"/>
    <w:rsid w:val="486353AA"/>
    <w:rsid w:val="49935195"/>
    <w:rsid w:val="4D2B381B"/>
    <w:rsid w:val="4F4D1AB8"/>
    <w:rsid w:val="50163074"/>
    <w:rsid w:val="547B35B6"/>
    <w:rsid w:val="57500B23"/>
    <w:rsid w:val="58380631"/>
    <w:rsid w:val="5A7B2D6B"/>
    <w:rsid w:val="5AD03ABE"/>
    <w:rsid w:val="5C983B6D"/>
    <w:rsid w:val="5D606EA0"/>
    <w:rsid w:val="5DC829BE"/>
    <w:rsid w:val="5DE0757A"/>
    <w:rsid w:val="630F7A14"/>
    <w:rsid w:val="63C87BEB"/>
    <w:rsid w:val="645965C0"/>
    <w:rsid w:val="66A02A6E"/>
    <w:rsid w:val="6ACF4A5C"/>
    <w:rsid w:val="70C12509"/>
    <w:rsid w:val="748830F8"/>
    <w:rsid w:val="751F0326"/>
    <w:rsid w:val="775E4C1D"/>
    <w:rsid w:val="78DA739E"/>
    <w:rsid w:val="79933B25"/>
    <w:rsid w:val="79C57D9B"/>
    <w:rsid w:val="7A186D5D"/>
    <w:rsid w:val="7B8628ED"/>
    <w:rsid w:val="7C6A2A2A"/>
    <w:rsid w:val="7F7052A0"/>
    <w:rsid w:val="9FFFEFB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qFormat="1" w:unhideWhenUsed="0" w:uiPriority="99"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qFormat="1" w:unhideWhenUsed="0" w:uiPriority="99"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1"/>
    <w:qFormat/>
    <w:uiPriority w:val="99"/>
    <w:pPr>
      <w:keepNext/>
      <w:jc w:val="center"/>
      <w:outlineLvl w:val="0"/>
    </w:pPr>
    <w:rPr>
      <w:rFonts w:ascii="楷体_GB2312" w:eastAsia="楷体_GB2312"/>
      <w:b/>
      <w:bCs/>
    </w:rPr>
  </w:style>
  <w:style w:type="paragraph" w:styleId="3">
    <w:name w:val="heading 2"/>
    <w:basedOn w:val="1"/>
    <w:next w:val="1"/>
    <w:link w:val="52"/>
    <w:qFormat/>
    <w:uiPriority w:val="99"/>
    <w:pPr>
      <w:keepLines/>
      <w:adjustRightInd w:val="0"/>
      <w:spacing w:before="240" w:after="120" w:line="240" w:lineRule="atLeast"/>
      <w:textAlignment w:val="baseline"/>
      <w:outlineLvl w:val="1"/>
    </w:pPr>
    <w:rPr>
      <w:rFonts w:eastAsia="黑体"/>
      <w:b/>
      <w:kern w:val="0"/>
      <w:sz w:val="32"/>
      <w:szCs w:val="20"/>
    </w:rPr>
  </w:style>
  <w:style w:type="paragraph" w:styleId="4">
    <w:name w:val="heading 3"/>
    <w:basedOn w:val="1"/>
    <w:next w:val="1"/>
    <w:link w:val="53"/>
    <w:autoRedefine/>
    <w:qFormat/>
    <w:uiPriority w:val="99"/>
    <w:pPr>
      <w:keepNext/>
      <w:keepLines/>
      <w:spacing w:before="260" w:after="260" w:line="416" w:lineRule="auto"/>
      <w:outlineLvl w:val="2"/>
    </w:pPr>
    <w:rPr>
      <w:rFonts w:eastAsia="等线"/>
      <w:b/>
      <w:bCs/>
      <w:sz w:val="32"/>
      <w:szCs w:val="32"/>
    </w:rPr>
  </w:style>
  <w:style w:type="paragraph" w:styleId="5">
    <w:name w:val="heading 4"/>
    <w:basedOn w:val="1"/>
    <w:next w:val="1"/>
    <w:link w:val="54"/>
    <w:autoRedefine/>
    <w:qFormat/>
    <w:uiPriority w:val="99"/>
    <w:pPr>
      <w:keepNext/>
      <w:keepLines/>
      <w:spacing w:before="280" w:after="290" w:line="376" w:lineRule="auto"/>
      <w:outlineLvl w:val="3"/>
    </w:pPr>
    <w:rPr>
      <w:rFonts w:ascii="Cambria" w:hAnsi="Cambria"/>
      <w:b/>
      <w:bCs/>
      <w:sz w:val="28"/>
      <w:szCs w:val="28"/>
    </w:rPr>
  </w:style>
  <w:style w:type="paragraph" w:styleId="6">
    <w:name w:val="heading 5"/>
    <w:basedOn w:val="1"/>
    <w:next w:val="1"/>
    <w:link w:val="55"/>
    <w:qFormat/>
    <w:uiPriority w:val="99"/>
    <w:pPr>
      <w:keepNext/>
      <w:keepLines/>
      <w:spacing w:before="280" w:after="290" w:line="376" w:lineRule="auto"/>
      <w:outlineLvl w:val="4"/>
    </w:pPr>
    <w:rPr>
      <w:b/>
      <w:bCs/>
      <w:sz w:val="28"/>
      <w:szCs w:val="28"/>
    </w:rPr>
  </w:style>
  <w:style w:type="paragraph" w:styleId="7">
    <w:name w:val="heading 6"/>
    <w:basedOn w:val="1"/>
    <w:next w:val="8"/>
    <w:link w:val="56"/>
    <w:qFormat/>
    <w:uiPriority w:val="99"/>
    <w:pPr>
      <w:keepNext/>
      <w:keepLines/>
      <w:spacing w:before="240" w:after="64" w:line="317" w:lineRule="auto"/>
      <w:outlineLvl w:val="5"/>
    </w:pPr>
    <w:rPr>
      <w:rFonts w:ascii="Arial" w:hAnsi="Arial" w:eastAsia="黑体"/>
      <w:b/>
      <w:sz w:val="24"/>
      <w:szCs w:val="20"/>
    </w:rPr>
  </w:style>
  <w:style w:type="paragraph" w:styleId="9">
    <w:name w:val="heading 7"/>
    <w:basedOn w:val="1"/>
    <w:next w:val="8"/>
    <w:link w:val="57"/>
    <w:qFormat/>
    <w:uiPriority w:val="99"/>
    <w:pPr>
      <w:keepNext/>
      <w:keepLines/>
      <w:spacing w:before="240" w:after="64" w:line="317" w:lineRule="auto"/>
      <w:outlineLvl w:val="6"/>
    </w:pPr>
    <w:rPr>
      <w:b/>
      <w:sz w:val="24"/>
      <w:szCs w:val="20"/>
    </w:rPr>
  </w:style>
  <w:style w:type="paragraph" w:styleId="10">
    <w:name w:val="heading 8"/>
    <w:basedOn w:val="1"/>
    <w:next w:val="8"/>
    <w:link w:val="58"/>
    <w:qFormat/>
    <w:uiPriority w:val="99"/>
    <w:pPr>
      <w:keepNext/>
      <w:keepLines/>
      <w:spacing w:before="240" w:after="64" w:line="317" w:lineRule="auto"/>
      <w:outlineLvl w:val="7"/>
    </w:pPr>
    <w:rPr>
      <w:rFonts w:ascii="Arial" w:hAnsi="Arial" w:eastAsia="黑体"/>
      <w:sz w:val="24"/>
      <w:szCs w:val="20"/>
    </w:rPr>
  </w:style>
  <w:style w:type="paragraph" w:styleId="11">
    <w:name w:val="heading 9"/>
    <w:basedOn w:val="1"/>
    <w:next w:val="8"/>
    <w:link w:val="59"/>
    <w:autoRedefine/>
    <w:qFormat/>
    <w:uiPriority w:val="99"/>
    <w:pPr>
      <w:keepNext/>
      <w:keepLines/>
      <w:spacing w:before="240" w:after="64" w:line="317" w:lineRule="auto"/>
      <w:outlineLvl w:val="8"/>
    </w:pPr>
    <w:rPr>
      <w:rFonts w:ascii="Arial" w:hAnsi="Arial" w:eastAsia="黑体"/>
      <w:szCs w:val="20"/>
    </w:rPr>
  </w:style>
  <w:style w:type="character" w:default="1" w:styleId="41">
    <w:name w:val="Default Paragraph Font"/>
    <w:autoRedefine/>
    <w:qFormat/>
    <w:uiPriority w:val="1"/>
  </w:style>
  <w:style w:type="table" w:default="1" w:styleId="38">
    <w:name w:val="Normal Table"/>
    <w:qFormat/>
    <w:uiPriority w:val="99"/>
    <w:tblPr>
      <w:tblCellMar>
        <w:top w:w="0" w:type="dxa"/>
        <w:left w:w="108" w:type="dxa"/>
        <w:bottom w:w="0" w:type="dxa"/>
        <w:right w:w="108" w:type="dxa"/>
      </w:tblCellMar>
    </w:tblPr>
  </w:style>
  <w:style w:type="paragraph" w:styleId="8">
    <w:name w:val="Normal Indent"/>
    <w:basedOn w:val="1"/>
    <w:next w:val="1"/>
    <w:link w:val="94"/>
    <w:autoRedefine/>
    <w:qFormat/>
    <w:uiPriority w:val="99"/>
    <w:pPr>
      <w:adjustRightInd w:val="0"/>
      <w:spacing w:line="312" w:lineRule="atLeast"/>
      <w:ind w:firstLine="420"/>
      <w:textAlignment w:val="baseline"/>
    </w:pPr>
    <w:rPr>
      <w:kern w:val="0"/>
      <w:szCs w:val="20"/>
    </w:rPr>
  </w:style>
  <w:style w:type="paragraph" w:styleId="12">
    <w:name w:val="List Number"/>
    <w:basedOn w:val="1"/>
    <w:qFormat/>
    <w:uiPriority w:val="99"/>
    <w:pPr>
      <w:tabs>
        <w:tab w:val="left" w:pos="360"/>
      </w:tabs>
      <w:ind w:left="360" w:hanging="360"/>
      <w:contextualSpacing/>
    </w:pPr>
  </w:style>
  <w:style w:type="paragraph" w:styleId="13">
    <w:name w:val="caption"/>
    <w:basedOn w:val="1"/>
    <w:next w:val="1"/>
    <w:qFormat/>
    <w:uiPriority w:val="0"/>
    <w:pPr>
      <w:autoSpaceDE w:val="0"/>
      <w:autoSpaceDN w:val="0"/>
      <w:adjustRightInd w:val="0"/>
      <w:jc w:val="left"/>
    </w:pPr>
    <w:rPr>
      <w:rFonts w:ascii="Arial" w:hAnsi="Arial" w:eastAsia="黑体"/>
      <w:kern w:val="0"/>
      <w:sz w:val="20"/>
      <w:szCs w:val="20"/>
    </w:rPr>
  </w:style>
  <w:style w:type="paragraph" w:styleId="14">
    <w:name w:val="Document Map"/>
    <w:basedOn w:val="1"/>
    <w:link w:val="62"/>
    <w:autoRedefine/>
    <w:qFormat/>
    <w:uiPriority w:val="99"/>
    <w:pPr>
      <w:shd w:val="clear" w:color="auto" w:fill="000080"/>
    </w:pPr>
  </w:style>
  <w:style w:type="paragraph" w:styleId="15">
    <w:name w:val="annotation text"/>
    <w:basedOn w:val="1"/>
    <w:link w:val="63"/>
    <w:autoRedefine/>
    <w:qFormat/>
    <w:uiPriority w:val="0"/>
    <w:pPr>
      <w:jc w:val="left"/>
    </w:pPr>
  </w:style>
  <w:style w:type="paragraph" w:styleId="16">
    <w:name w:val="Body Text"/>
    <w:basedOn w:val="1"/>
    <w:next w:val="17"/>
    <w:link w:val="60"/>
    <w:autoRedefine/>
    <w:qFormat/>
    <w:uiPriority w:val="99"/>
    <w:pPr>
      <w:spacing w:after="120"/>
    </w:pPr>
    <w:rPr>
      <w:rFonts w:eastAsia="等线"/>
    </w:rPr>
  </w:style>
  <w:style w:type="paragraph" w:styleId="17">
    <w:name w:val="Body Text First Indent"/>
    <w:basedOn w:val="16"/>
    <w:next w:val="18"/>
    <w:link w:val="61"/>
    <w:autoRedefine/>
    <w:qFormat/>
    <w:uiPriority w:val="99"/>
    <w:pPr>
      <w:ind w:firstLine="420" w:firstLineChars="100"/>
    </w:pPr>
  </w:style>
  <w:style w:type="paragraph" w:styleId="18">
    <w:name w:val="toc 6"/>
    <w:basedOn w:val="1"/>
    <w:next w:val="1"/>
    <w:qFormat/>
    <w:uiPriority w:val="39"/>
    <w:pPr>
      <w:ind w:left="1050"/>
    </w:pPr>
    <w:rPr>
      <w:sz w:val="18"/>
    </w:rPr>
  </w:style>
  <w:style w:type="paragraph" w:styleId="19">
    <w:name w:val="Body Text Indent"/>
    <w:basedOn w:val="1"/>
    <w:next w:val="1"/>
    <w:link w:val="64"/>
    <w:autoRedefine/>
    <w:qFormat/>
    <w:uiPriority w:val="99"/>
    <w:pPr>
      <w:ind w:left="480" w:hanging="480" w:hangingChars="200"/>
    </w:pPr>
    <w:rPr>
      <w:sz w:val="24"/>
    </w:rPr>
  </w:style>
  <w:style w:type="paragraph" w:styleId="20">
    <w:name w:val="List 2"/>
    <w:basedOn w:val="1"/>
    <w:autoRedefine/>
    <w:qFormat/>
    <w:uiPriority w:val="99"/>
    <w:pPr>
      <w:ind w:left="100" w:leftChars="200" w:hanging="200" w:hangingChars="200"/>
    </w:pPr>
  </w:style>
  <w:style w:type="paragraph" w:styleId="21">
    <w:name w:val="Block Text"/>
    <w:basedOn w:val="1"/>
    <w:autoRedefine/>
    <w:qFormat/>
    <w:uiPriority w:val="99"/>
    <w:pPr>
      <w:adjustRightInd w:val="0"/>
      <w:spacing w:line="360" w:lineRule="atLeast"/>
      <w:ind w:left="1260" w:leftChars="525" w:right="22" w:rightChars="9" w:firstLine="200" w:firstLineChars="200"/>
      <w:jc w:val="left"/>
      <w:textAlignment w:val="baseline"/>
    </w:pPr>
    <w:rPr>
      <w:rFonts w:ascii="DFKai-SB" w:hAnsi="DFKai-SB" w:eastAsia="DFKai-SB" w:cs="DFKai-SB"/>
      <w:kern w:val="0"/>
      <w:sz w:val="28"/>
      <w:szCs w:val="28"/>
      <w:lang w:eastAsia="zh-TW"/>
    </w:rPr>
  </w:style>
  <w:style w:type="paragraph" w:styleId="22">
    <w:name w:val="toc 3"/>
    <w:basedOn w:val="1"/>
    <w:next w:val="1"/>
    <w:qFormat/>
    <w:uiPriority w:val="99"/>
    <w:pPr>
      <w:ind w:left="840" w:leftChars="400"/>
    </w:pPr>
  </w:style>
  <w:style w:type="paragraph" w:styleId="23">
    <w:name w:val="Plain Text"/>
    <w:basedOn w:val="1"/>
    <w:next w:val="1"/>
    <w:link w:val="65"/>
    <w:autoRedefine/>
    <w:qFormat/>
    <w:uiPriority w:val="99"/>
    <w:pPr>
      <w:widowControl/>
      <w:overflowPunct w:val="0"/>
      <w:autoSpaceDE w:val="0"/>
      <w:autoSpaceDN w:val="0"/>
      <w:adjustRightInd w:val="0"/>
      <w:jc w:val="left"/>
      <w:textAlignment w:val="baseline"/>
    </w:pPr>
    <w:rPr>
      <w:rFonts w:ascii="宋体" w:hAnsi="Courier New"/>
      <w:kern w:val="0"/>
      <w:szCs w:val="21"/>
    </w:rPr>
  </w:style>
  <w:style w:type="paragraph" w:styleId="24">
    <w:name w:val="Date"/>
    <w:basedOn w:val="1"/>
    <w:next w:val="1"/>
    <w:link w:val="66"/>
    <w:qFormat/>
    <w:uiPriority w:val="99"/>
    <w:pPr>
      <w:ind w:left="100" w:leftChars="2500"/>
    </w:pPr>
  </w:style>
  <w:style w:type="paragraph" w:styleId="25">
    <w:name w:val="Body Text Indent 2"/>
    <w:basedOn w:val="1"/>
    <w:link w:val="67"/>
    <w:autoRedefine/>
    <w:qFormat/>
    <w:uiPriority w:val="99"/>
    <w:pPr>
      <w:spacing w:line="500" w:lineRule="exact"/>
      <w:ind w:firstLine="511" w:firstLineChars="213"/>
    </w:pPr>
    <w:rPr>
      <w:sz w:val="24"/>
    </w:rPr>
  </w:style>
  <w:style w:type="paragraph" w:styleId="26">
    <w:name w:val="Balloon Text"/>
    <w:basedOn w:val="1"/>
    <w:link w:val="68"/>
    <w:autoRedefine/>
    <w:qFormat/>
    <w:uiPriority w:val="99"/>
    <w:rPr>
      <w:sz w:val="18"/>
      <w:szCs w:val="18"/>
    </w:rPr>
  </w:style>
  <w:style w:type="paragraph" w:styleId="27">
    <w:name w:val="footer"/>
    <w:basedOn w:val="1"/>
    <w:link w:val="69"/>
    <w:qFormat/>
    <w:uiPriority w:val="99"/>
    <w:pPr>
      <w:tabs>
        <w:tab w:val="center" w:pos="4153"/>
        <w:tab w:val="right" w:pos="8306"/>
      </w:tabs>
      <w:snapToGrid w:val="0"/>
      <w:jc w:val="left"/>
    </w:pPr>
    <w:rPr>
      <w:rFonts w:eastAsia="等线"/>
      <w:sz w:val="18"/>
      <w:szCs w:val="18"/>
    </w:rPr>
  </w:style>
  <w:style w:type="paragraph" w:styleId="28">
    <w:name w:val="header"/>
    <w:basedOn w:val="1"/>
    <w:link w:val="139"/>
    <w:qFormat/>
    <w:uiPriority w:val="99"/>
    <w:pPr>
      <w:pBdr>
        <w:bottom w:val="single" w:color="auto" w:sz="6" w:space="1"/>
      </w:pBdr>
      <w:tabs>
        <w:tab w:val="center" w:pos="4153"/>
        <w:tab w:val="right" w:pos="8306"/>
      </w:tabs>
      <w:snapToGrid w:val="0"/>
      <w:jc w:val="center"/>
    </w:pPr>
    <w:rPr>
      <w:rFonts w:eastAsia="等线"/>
      <w:sz w:val="18"/>
      <w:szCs w:val="20"/>
    </w:rPr>
  </w:style>
  <w:style w:type="paragraph" w:styleId="29">
    <w:name w:val="toc 1"/>
    <w:basedOn w:val="1"/>
    <w:next w:val="1"/>
    <w:autoRedefine/>
    <w:qFormat/>
    <w:uiPriority w:val="99"/>
    <w:pPr>
      <w:tabs>
        <w:tab w:val="right" w:leader="dot" w:pos="9628"/>
      </w:tabs>
      <w:spacing w:line="480" w:lineRule="auto"/>
    </w:pPr>
    <w:rPr>
      <w:rFonts w:ascii="Arial" w:hAnsi="Arial" w:eastAsia="新宋体" w:cs="Arial"/>
      <w:bCs/>
      <w:sz w:val="24"/>
    </w:rPr>
  </w:style>
  <w:style w:type="paragraph" w:styleId="30">
    <w:name w:val="Subtitle"/>
    <w:basedOn w:val="1"/>
    <w:next w:val="1"/>
    <w:link w:val="71"/>
    <w:qFormat/>
    <w:uiPriority w:val="99"/>
    <w:pPr>
      <w:spacing w:before="240" w:after="60" w:line="312" w:lineRule="auto"/>
      <w:jc w:val="center"/>
      <w:outlineLvl w:val="1"/>
    </w:pPr>
    <w:rPr>
      <w:rFonts w:ascii="Cambria" w:hAnsi="Cambria" w:cs="黑体"/>
      <w:b/>
      <w:bCs/>
      <w:kern w:val="28"/>
      <w:sz w:val="32"/>
      <w:szCs w:val="32"/>
    </w:rPr>
  </w:style>
  <w:style w:type="paragraph" w:styleId="31">
    <w:name w:val="List"/>
    <w:basedOn w:val="1"/>
    <w:qFormat/>
    <w:uiPriority w:val="99"/>
    <w:pPr>
      <w:ind w:left="200" w:hanging="200" w:hangingChars="200"/>
    </w:pPr>
    <w:rPr>
      <w:sz w:val="28"/>
    </w:rPr>
  </w:style>
  <w:style w:type="paragraph" w:styleId="32">
    <w:name w:val="Body Text Indent 3"/>
    <w:basedOn w:val="1"/>
    <w:link w:val="72"/>
    <w:autoRedefine/>
    <w:qFormat/>
    <w:uiPriority w:val="99"/>
    <w:pPr>
      <w:spacing w:line="500" w:lineRule="exact"/>
      <w:ind w:left="511" w:hanging="511" w:hangingChars="213"/>
    </w:pPr>
    <w:rPr>
      <w:sz w:val="24"/>
    </w:rPr>
  </w:style>
  <w:style w:type="paragraph" w:styleId="33">
    <w:name w:val="toc 2"/>
    <w:basedOn w:val="1"/>
    <w:next w:val="1"/>
    <w:autoRedefine/>
    <w:qFormat/>
    <w:uiPriority w:val="99"/>
    <w:pPr>
      <w:ind w:left="420" w:leftChars="200"/>
    </w:pPr>
  </w:style>
  <w:style w:type="paragraph" w:styleId="3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35">
    <w:name w:val="Title"/>
    <w:basedOn w:val="1"/>
    <w:next w:val="1"/>
    <w:link w:val="73"/>
    <w:qFormat/>
    <w:uiPriority w:val="99"/>
    <w:pPr>
      <w:spacing w:before="240" w:after="60"/>
      <w:jc w:val="center"/>
      <w:outlineLvl w:val="0"/>
    </w:pPr>
    <w:rPr>
      <w:rFonts w:ascii="Cambria" w:hAnsi="Cambria"/>
      <w:b/>
      <w:bCs/>
      <w:sz w:val="32"/>
      <w:szCs w:val="32"/>
    </w:rPr>
  </w:style>
  <w:style w:type="paragraph" w:styleId="36">
    <w:name w:val="annotation subject"/>
    <w:basedOn w:val="15"/>
    <w:next w:val="15"/>
    <w:link w:val="74"/>
    <w:qFormat/>
    <w:uiPriority w:val="99"/>
    <w:rPr>
      <w:b/>
      <w:bCs/>
    </w:rPr>
  </w:style>
  <w:style w:type="paragraph" w:styleId="37">
    <w:name w:val="Body Text First Indent 2"/>
    <w:basedOn w:val="19"/>
    <w:next w:val="17"/>
    <w:link w:val="75"/>
    <w:autoRedefine/>
    <w:qFormat/>
    <w:uiPriority w:val="99"/>
    <w:pPr>
      <w:spacing w:after="120"/>
      <w:ind w:left="420" w:leftChars="200" w:firstLine="420" w:firstLineChars="200"/>
    </w:pPr>
    <w:rPr>
      <w:sz w:val="21"/>
    </w:rPr>
  </w:style>
  <w:style w:type="table" w:styleId="39">
    <w:name w:val="Table Grid"/>
    <w:basedOn w:val="38"/>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40">
    <w:name w:val="Table Professional"/>
    <w:basedOn w:val="38"/>
    <w:autoRedefine/>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42">
    <w:name w:val="Strong"/>
    <w:basedOn w:val="41"/>
    <w:qFormat/>
    <w:uiPriority w:val="99"/>
    <w:rPr>
      <w:rFonts w:cs="Times New Roman"/>
      <w:b/>
    </w:rPr>
  </w:style>
  <w:style w:type="character" w:styleId="43">
    <w:name w:val="page number"/>
    <w:basedOn w:val="41"/>
    <w:qFormat/>
    <w:uiPriority w:val="99"/>
    <w:rPr>
      <w:rFonts w:cs="Times New Roman"/>
    </w:rPr>
  </w:style>
  <w:style w:type="character" w:styleId="44">
    <w:name w:val="FollowedHyperlink"/>
    <w:basedOn w:val="41"/>
    <w:autoRedefine/>
    <w:qFormat/>
    <w:uiPriority w:val="99"/>
    <w:rPr>
      <w:rFonts w:cs="Times New Roman"/>
      <w:color w:val="800080"/>
      <w:u w:val="single"/>
    </w:rPr>
  </w:style>
  <w:style w:type="character" w:styleId="45">
    <w:name w:val="Emphasis"/>
    <w:basedOn w:val="41"/>
    <w:qFormat/>
    <w:uiPriority w:val="99"/>
    <w:rPr>
      <w:rFonts w:cs="Times New Roman"/>
      <w:i/>
    </w:rPr>
  </w:style>
  <w:style w:type="character" w:styleId="46">
    <w:name w:val="Hyperlink"/>
    <w:basedOn w:val="41"/>
    <w:qFormat/>
    <w:uiPriority w:val="99"/>
    <w:rPr>
      <w:rFonts w:cs="Times New Roman"/>
      <w:color w:val="000000"/>
      <w:sz w:val="20"/>
      <w:u w:val="none"/>
    </w:rPr>
  </w:style>
  <w:style w:type="character" w:styleId="47">
    <w:name w:val="annotation reference"/>
    <w:basedOn w:val="41"/>
    <w:qFormat/>
    <w:uiPriority w:val="99"/>
    <w:rPr>
      <w:rFonts w:cs="Times New Roman"/>
      <w:sz w:val="21"/>
    </w:rPr>
  </w:style>
  <w:style w:type="paragraph" w:customStyle="1" w:styleId="48">
    <w:name w:val="xl53"/>
    <w:next w:val="1"/>
    <w:qFormat/>
    <w:uiPriority w:val="0"/>
    <w:pPr>
      <w:spacing w:before="280" w:after="280" w:line="100" w:lineRule="exact"/>
      <w:ind w:firstLine="480" w:firstLineChars="200"/>
      <w:jc w:val="center"/>
    </w:pPr>
    <w:rPr>
      <w:rFonts w:ascii="宋体" w:hAnsi="Times New Roman" w:eastAsia="宋体" w:cstheme="minorBidi"/>
      <w:b/>
      <w:szCs w:val="22"/>
      <w:lang w:val="en-US" w:eastAsia="zh-CN" w:bidi="ar-SA"/>
    </w:rPr>
  </w:style>
  <w:style w:type="paragraph" w:customStyle="1" w:styleId="49">
    <w:name w:val="[Normal]"/>
    <w:autoRedefine/>
    <w:qFormat/>
    <w:uiPriority w:val="99"/>
    <w:rPr>
      <w:rFonts w:ascii="宋体" w:hAnsi="宋体" w:eastAsia="宋体" w:cs="Times New Roman"/>
      <w:sz w:val="24"/>
      <w:szCs w:val="22"/>
      <w:lang w:val="zh-CN" w:eastAsia="zh-CN" w:bidi="ar-SA"/>
    </w:rPr>
  </w:style>
  <w:style w:type="paragraph" w:customStyle="1" w:styleId="50">
    <w:name w:val="样式 10 磅"/>
    <w:qFormat/>
    <w:uiPriority w:val="0"/>
    <w:pPr>
      <w:widowControl w:val="0"/>
      <w:jc w:val="both"/>
    </w:pPr>
    <w:rPr>
      <w:rFonts w:ascii="Calibri" w:hAnsi="Calibri" w:eastAsia="宋体" w:cs="Times New Roman"/>
      <w:kern w:val="2"/>
      <w:sz w:val="21"/>
      <w:szCs w:val="24"/>
      <w:lang w:val="en-US" w:eastAsia="zh-CN" w:bidi="ar-SA"/>
    </w:rPr>
  </w:style>
  <w:style w:type="character" w:customStyle="1" w:styleId="51">
    <w:name w:val="标题 1 Char2"/>
    <w:basedOn w:val="41"/>
    <w:link w:val="2"/>
    <w:autoRedefine/>
    <w:qFormat/>
    <w:uiPriority w:val="99"/>
    <w:rPr>
      <w:rFonts w:ascii="楷体_GB2312" w:eastAsia="楷体_GB2312" w:cs="Times New Roman"/>
      <w:b/>
      <w:kern w:val="2"/>
      <w:sz w:val="24"/>
    </w:rPr>
  </w:style>
  <w:style w:type="character" w:customStyle="1" w:styleId="52">
    <w:name w:val="标题 2 Char1"/>
    <w:basedOn w:val="41"/>
    <w:link w:val="3"/>
    <w:autoRedefine/>
    <w:qFormat/>
    <w:uiPriority w:val="99"/>
    <w:rPr>
      <w:rFonts w:eastAsia="黑体" w:cs="Times New Roman"/>
      <w:b/>
      <w:sz w:val="32"/>
    </w:rPr>
  </w:style>
  <w:style w:type="character" w:customStyle="1" w:styleId="53">
    <w:name w:val="标题 3 Char2"/>
    <w:basedOn w:val="41"/>
    <w:link w:val="4"/>
    <w:autoRedefine/>
    <w:qFormat/>
    <w:uiPriority w:val="99"/>
    <w:rPr>
      <w:rFonts w:cs="Times New Roman"/>
      <w:b/>
      <w:kern w:val="2"/>
      <w:sz w:val="32"/>
    </w:rPr>
  </w:style>
  <w:style w:type="character" w:customStyle="1" w:styleId="54">
    <w:name w:val="标题 4 Char2"/>
    <w:basedOn w:val="41"/>
    <w:link w:val="5"/>
    <w:autoRedefine/>
    <w:qFormat/>
    <w:uiPriority w:val="99"/>
    <w:rPr>
      <w:rFonts w:ascii="Cambria" w:hAnsi="Cambria" w:eastAsia="宋体" w:cs="Times New Roman"/>
      <w:b/>
      <w:kern w:val="2"/>
      <w:sz w:val="28"/>
    </w:rPr>
  </w:style>
  <w:style w:type="character" w:customStyle="1" w:styleId="55">
    <w:name w:val="标题 5 Char"/>
    <w:basedOn w:val="41"/>
    <w:link w:val="6"/>
    <w:autoRedefine/>
    <w:qFormat/>
    <w:uiPriority w:val="99"/>
    <w:rPr>
      <w:rFonts w:cs="Times New Roman"/>
      <w:b/>
      <w:bCs/>
      <w:kern w:val="2"/>
      <w:sz w:val="28"/>
      <w:szCs w:val="28"/>
    </w:rPr>
  </w:style>
  <w:style w:type="character" w:customStyle="1" w:styleId="56">
    <w:name w:val="标题 6 Char"/>
    <w:basedOn w:val="41"/>
    <w:link w:val="7"/>
    <w:qFormat/>
    <w:uiPriority w:val="99"/>
    <w:rPr>
      <w:rFonts w:ascii="Arial" w:hAnsi="Arial" w:eastAsia="黑体" w:cs="Times New Roman"/>
      <w:b/>
      <w:kern w:val="2"/>
      <w:sz w:val="24"/>
    </w:rPr>
  </w:style>
  <w:style w:type="character" w:customStyle="1" w:styleId="57">
    <w:name w:val="标题 7 Char"/>
    <w:basedOn w:val="41"/>
    <w:link w:val="9"/>
    <w:qFormat/>
    <w:uiPriority w:val="99"/>
    <w:rPr>
      <w:rFonts w:cs="Times New Roman"/>
      <w:b/>
      <w:kern w:val="2"/>
      <w:sz w:val="24"/>
    </w:rPr>
  </w:style>
  <w:style w:type="character" w:customStyle="1" w:styleId="58">
    <w:name w:val="标题 8 Char"/>
    <w:basedOn w:val="41"/>
    <w:link w:val="10"/>
    <w:autoRedefine/>
    <w:qFormat/>
    <w:uiPriority w:val="99"/>
    <w:rPr>
      <w:rFonts w:ascii="Arial" w:hAnsi="Arial" w:eastAsia="黑体" w:cs="Times New Roman"/>
      <w:kern w:val="2"/>
      <w:sz w:val="24"/>
    </w:rPr>
  </w:style>
  <w:style w:type="character" w:customStyle="1" w:styleId="59">
    <w:name w:val="标题 9 Char"/>
    <w:basedOn w:val="41"/>
    <w:link w:val="11"/>
    <w:qFormat/>
    <w:uiPriority w:val="99"/>
    <w:rPr>
      <w:rFonts w:ascii="Arial" w:hAnsi="Arial" w:eastAsia="黑体" w:cs="Times New Roman"/>
      <w:kern w:val="2"/>
      <w:sz w:val="21"/>
    </w:rPr>
  </w:style>
  <w:style w:type="character" w:customStyle="1" w:styleId="60">
    <w:name w:val="正文文本 Char2"/>
    <w:basedOn w:val="41"/>
    <w:link w:val="16"/>
    <w:qFormat/>
    <w:uiPriority w:val="99"/>
    <w:rPr>
      <w:rFonts w:cs="Times New Roman"/>
      <w:kern w:val="2"/>
      <w:sz w:val="24"/>
    </w:rPr>
  </w:style>
  <w:style w:type="character" w:customStyle="1" w:styleId="61">
    <w:name w:val="正文首行缩进 Char"/>
    <w:basedOn w:val="60"/>
    <w:link w:val="17"/>
    <w:qFormat/>
    <w:uiPriority w:val="99"/>
    <w:rPr>
      <w:rFonts w:cs="Times New Roman"/>
      <w:kern w:val="2"/>
      <w:sz w:val="24"/>
      <w:szCs w:val="24"/>
    </w:rPr>
  </w:style>
  <w:style w:type="character" w:customStyle="1" w:styleId="62">
    <w:name w:val="文档结构图 Char1"/>
    <w:basedOn w:val="41"/>
    <w:link w:val="14"/>
    <w:autoRedefine/>
    <w:qFormat/>
    <w:uiPriority w:val="99"/>
    <w:rPr>
      <w:rFonts w:cs="Times New Roman"/>
      <w:kern w:val="2"/>
      <w:sz w:val="24"/>
      <w:szCs w:val="24"/>
      <w:shd w:val="clear" w:color="auto" w:fill="000080"/>
    </w:rPr>
  </w:style>
  <w:style w:type="character" w:customStyle="1" w:styleId="63">
    <w:name w:val="批注文字 Char2"/>
    <w:basedOn w:val="41"/>
    <w:link w:val="15"/>
    <w:qFormat/>
    <w:uiPriority w:val="99"/>
    <w:rPr>
      <w:rFonts w:cs="Times New Roman"/>
      <w:kern w:val="2"/>
      <w:sz w:val="24"/>
      <w:szCs w:val="24"/>
    </w:rPr>
  </w:style>
  <w:style w:type="character" w:customStyle="1" w:styleId="64">
    <w:name w:val="正文文本缩进 Char1"/>
    <w:basedOn w:val="41"/>
    <w:link w:val="19"/>
    <w:qFormat/>
    <w:uiPriority w:val="99"/>
    <w:rPr>
      <w:rFonts w:cs="Times New Roman"/>
      <w:kern w:val="2"/>
      <w:sz w:val="24"/>
      <w:szCs w:val="24"/>
    </w:rPr>
  </w:style>
  <w:style w:type="character" w:customStyle="1" w:styleId="65">
    <w:name w:val="纯文本 Char2"/>
    <w:basedOn w:val="41"/>
    <w:link w:val="23"/>
    <w:qFormat/>
    <w:uiPriority w:val="99"/>
    <w:rPr>
      <w:rFonts w:ascii="宋体" w:hAnsi="Courier New" w:eastAsia="宋体" w:cs="Times New Roman"/>
      <w:sz w:val="21"/>
      <w:lang w:val="en-US" w:eastAsia="zh-CN"/>
    </w:rPr>
  </w:style>
  <w:style w:type="character" w:customStyle="1" w:styleId="66">
    <w:name w:val="日期 Char1"/>
    <w:basedOn w:val="41"/>
    <w:link w:val="24"/>
    <w:qFormat/>
    <w:uiPriority w:val="99"/>
    <w:rPr>
      <w:rFonts w:cs="Times New Roman"/>
      <w:kern w:val="2"/>
      <w:sz w:val="24"/>
      <w:szCs w:val="24"/>
    </w:rPr>
  </w:style>
  <w:style w:type="character" w:customStyle="1" w:styleId="67">
    <w:name w:val="正文文本缩进 2 Char1"/>
    <w:basedOn w:val="41"/>
    <w:link w:val="25"/>
    <w:autoRedefine/>
    <w:qFormat/>
    <w:uiPriority w:val="99"/>
    <w:rPr>
      <w:rFonts w:cs="Times New Roman"/>
      <w:kern w:val="2"/>
      <w:sz w:val="24"/>
      <w:szCs w:val="24"/>
    </w:rPr>
  </w:style>
  <w:style w:type="character" w:customStyle="1" w:styleId="68">
    <w:name w:val="批注框文本 Char1"/>
    <w:basedOn w:val="41"/>
    <w:link w:val="26"/>
    <w:qFormat/>
    <w:uiPriority w:val="99"/>
    <w:rPr>
      <w:rFonts w:cs="Times New Roman"/>
      <w:kern w:val="2"/>
      <w:sz w:val="18"/>
      <w:szCs w:val="18"/>
    </w:rPr>
  </w:style>
  <w:style w:type="character" w:customStyle="1" w:styleId="69">
    <w:name w:val="页脚 Char2"/>
    <w:basedOn w:val="41"/>
    <w:link w:val="27"/>
    <w:qFormat/>
    <w:uiPriority w:val="99"/>
    <w:rPr>
      <w:rFonts w:cs="Times New Roman"/>
      <w:kern w:val="2"/>
      <w:sz w:val="18"/>
    </w:rPr>
  </w:style>
  <w:style w:type="character" w:customStyle="1" w:styleId="70">
    <w:name w:val="Header Char_2ea34c55-7c7d-4d79-baec-b1c50e6e1eb6"/>
    <w:basedOn w:val="41"/>
    <w:qFormat/>
    <w:uiPriority w:val="99"/>
    <w:rPr>
      <w:rFonts w:cs="Times New Roman"/>
      <w:sz w:val="18"/>
    </w:rPr>
  </w:style>
  <w:style w:type="character" w:customStyle="1" w:styleId="71">
    <w:name w:val="副标题 Char1"/>
    <w:basedOn w:val="41"/>
    <w:link w:val="30"/>
    <w:qFormat/>
    <w:uiPriority w:val="99"/>
    <w:rPr>
      <w:rFonts w:ascii="Cambria" w:hAnsi="Cambria" w:cs="黑体"/>
      <w:b/>
      <w:bCs/>
      <w:kern w:val="28"/>
      <w:sz w:val="32"/>
      <w:szCs w:val="32"/>
    </w:rPr>
  </w:style>
  <w:style w:type="character" w:customStyle="1" w:styleId="72">
    <w:name w:val="正文文本缩进 3 Char1"/>
    <w:basedOn w:val="41"/>
    <w:link w:val="32"/>
    <w:autoRedefine/>
    <w:qFormat/>
    <w:uiPriority w:val="99"/>
    <w:rPr>
      <w:rFonts w:cs="Times New Roman"/>
      <w:kern w:val="2"/>
      <w:sz w:val="24"/>
      <w:szCs w:val="24"/>
    </w:rPr>
  </w:style>
  <w:style w:type="character" w:customStyle="1" w:styleId="73">
    <w:name w:val="标题 Char1"/>
    <w:basedOn w:val="41"/>
    <w:link w:val="35"/>
    <w:autoRedefine/>
    <w:qFormat/>
    <w:uiPriority w:val="99"/>
    <w:rPr>
      <w:rFonts w:ascii="Cambria" w:hAnsi="Cambria" w:cs="Times New Roman"/>
      <w:b/>
      <w:bCs/>
      <w:kern w:val="2"/>
      <w:sz w:val="32"/>
      <w:szCs w:val="32"/>
    </w:rPr>
  </w:style>
  <w:style w:type="character" w:customStyle="1" w:styleId="74">
    <w:name w:val="批注主题 Char1"/>
    <w:basedOn w:val="63"/>
    <w:link w:val="36"/>
    <w:autoRedefine/>
    <w:qFormat/>
    <w:uiPriority w:val="99"/>
    <w:rPr>
      <w:rFonts w:cs="Times New Roman"/>
      <w:b/>
      <w:bCs/>
      <w:kern w:val="2"/>
      <w:sz w:val="24"/>
      <w:szCs w:val="24"/>
    </w:rPr>
  </w:style>
  <w:style w:type="character" w:customStyle="1" w:styleId="75">
    <w:name w:val="正文首行缩进 2 Char"/>
    <w:basedOn w:val="64"/>
    <w:link w:val="37"/>
    <w:autoRedefine/>
    <w:qFormat/>
    <w:uiPriority w:val="99"/>
    <w:rPr>
      <w:rFonts w:eastAsia="宋体" w:cs="Times New Roman"/>
      <w:kern w:val="2"/>
      <w:sz w:val="24"/>
      <w:szCs w:val="24"/>
    </w:rPr>
  </w:style>
  <w:style w:type="character" w:customStyle="1" w:styleId="76">
    <w:name w:val="标题 4 Char1"/>
    <w:basedOn w:val="41"/>
    <w:autoRedefine/>
    <w:qFormat/>
    <w:uiPriority w:val="99"/>
    <w:rPr>
      <w:rFonts w:ascii="Times New Roman" w:hAnsi="Times New Roman" w:eastAsia="宋体" w:cs="Times New Roman"/>
      <w:sz w:val="20"/>
      <w:szCs w:val="20"/>
    </w:rPr>
  </w:style>
  <w:style w:type="character" w:customStyle="1" w:styleId="77">
    <w:name w:val="文档结构图 Char"/>
    <w:qFormat/>
    <w:uiPriority w:val="99"/>
    <w:rPr>
      <w:rFonts w:ascii="宋体" w:hAnsi="Times New Roman" w:eastAsia="宋体"/>
      <w:sz w:val="18"/>
    </w:rPr>
  </w:style>
  <w:style w:type="character" w:customStyle="1" w:styleId="78">
    <w:name w:val="列出段落 Char"/>
    <w:autoRedefine/>
    <w:qFormat/>
    <w:uiPriority w:val="99"/>
    <w:rPr>
      <w:rFonts w:ascii="Times New Roman" w:hAnsi="Times New Roman" w:eastAsia="宋体"/>
      <w:sz w:val="20"/>
    </w:rPr>
  </w:style>
  <w:style w:type="character" w:customStyle="1" w:styleId="79">
    <w:name w:val="标题 9 Char1"/>
    <w:basedOn w:val="41"/>
    <w:qFormat/>
    <w:uiPriority w:val="99"/>
    <w:rPr>
      <w:rFonts w:ascii="Arial" w:hAnsi="Arial" w:eastAsia="黑体" w:cs="Times New Roman"/>
      <w:sz w:val="21"/>
      <w:szCs w:val="21"/>
    </w:rPr>
  </w:style>
  <w:style w:type="character" w:customStyle="1" w:styleId="80">
    <w:name w:val="批注文字 Char1"/>
    <w:autoRedefine/>
    <w:qFormat/>
    <w:uiPriority w:val="99"/>
    <w:rPr>
      <w:kern w:val="2"/>
      <w:sz w:val="21"/>
    </w:rPr>
  </w:style>
  <w:style w:type="character" w:customStyle="1" w:styleId="81">
    <w:name w:val="正文4 Char"/>
    <w:link w:val="82"/>
    <w:autoRedefine/>
    <w:qFormat/>
    <w:uiPriority w:val="99"/>
    <w:rPr>
      <w:kern w:val="2"/>
      <w:sz w:val="24"/>
    </w:rPr>
  </w:style>
  <w:style w:type="paragraph" w:customStyle="1" w:styleId="82">
    <w:name w:val="正文4"/>
    <w:basedOn w:val="1"/>
    <w:link w:val="81"/>
    <w:autoRedefine/>
    <w:qFormat/>
    <w:uiPriority w:val="99"/>
    <w:pPr>
      <w:tabs>
        <w:tab w:val="left" w:pos="520"/>
      </w:tabs>
      <w:spacing w:before="60" w:after="60" w:line="360" w:lineRule="auto"/>
      <w:ind w:left="520"/>
    </w:pPr>
    <w:rPr>
      <w:rFonts w:eastAsia="等线"/>
      <w:sz w:val="24"/>
      <w:szCs w:val="20"/>
    </w:rPr>
  </w:style>
  <w:style w:type="character" w:customStyle="1" w:styleId="83">
    <w:name w:val="正文文本缩进 2 Char"/>
    <w:link w:val="84"/>
    <w:qFormat/>
    <w:uiPriority w:val="99"/>
    <w:rPr>
      <w:rFonts w:ascii="仿宋_GB2312" w:eastAsia="仿宋_GB2312"/>
      <w:b/>
      <w:sz w:val="24"/>
    </w:rPr>
  </w:style>
  <w:style w:type="paragraph" w:customStyle="1" w:styleId="84">
    <w:name w:val="正文文本缩进 21"/>
    <w:basedOn w:val="1"/>
    <w:link w:val="83"/>
    <w:autoRedefine/>
    <w:qFormat/>
    <w:uiPriority w:val="99"/>
    <w:pPr>
      <w:snapToGrid w:val="0"/>
      <w:spacing w:line="400" w:lineRule="exact"/>
      <w:ind w:firstLine="562" w:firstLineChars="200"/>
    </w:pPr>
    <w:rPr>
      <w:rFonts w:ascii="仿宋_GB2312" w:eastAsia="仿宋_GB2312"/>
      <w:b/>
      <w:kern w:val="0"/>
      <w:sz w:val="24"/>
      <w:szCs w:val="20"/>
    </w:rPr>
  </w:style>
  <w:style w:type="character" w:customStyle="1" w:styleId="85">
    <w:name w:val="标题 3 Char"/>
    <w:qFormat/>
    <w:uiPriority w:val="99"/>
    <w:rPr>
      <w:rFonts w:ascii="黑体" w:hAnsi="Times New Roman" w:eastAsia="黑体"/>
      <w:kern w:val="0"/>
      <w:sz w:val="20"/>
    </w:rPr>
  </w:style>
  <w:style w:type="character" w:customStyle="1" w:styleId="86">
    <w:name w:val="文档正文 Char"/>
    <w:link w:val="87"/>
    <w:autoRedefine/>
    <w:qFormat/>
    <w:uiPriority w:val="99"/>
    <w:rPr>
      <w:rFonts w:ascii="Tahoma" w:hAnsi="Tahoma" w:eastAsia="仿宋_GB2312"/>
      <w:sz w:val="28"/>
      <w:lang w:val="en-US" w:eastAsia="zh-CN"/>
    </w:rPr>
  </w:style>
  <w:style w:type="paragraph" w:customStyle="1" w:styleId="87">
    <w:name w:val="文档正文"/>
    <w:basedOn w:val="1"/>
    <w:link w:val="86"/>
    <w:qFormat/>
    <w:uiPriority w:val="99"/>
    <w:pPr>
      <w:spacing w:line="360" w:lineRule="auto"/>
      <w:ind w:firstLine="480" w:firstLineChars="200"/>
    </w:pPr>
    <w:rPr>
      <w:rFonts w:ascii="Tahoma" w:hAnsi="Tahoma" w:eastAsia="仿宋_GB2312"/>
      <w:kern w:val="0"/>
      <w:sz w:val="28"/>
      <w:szCs w:val="20"/>
    </w:rPr>
  </w:style>
  <w:style w:type="character" w:customStyle="1" w:styleId="88">
    <w:name w:val="标题 Char"/>
    <w:basedOn w:val="41"/>
    <w:qFormat/>
    <w:uiPriority w:val="99"/>
    <w:rPr>
      <w:rFonts w:ascii="Cambria" w:hAnsi="Cambria" w:cs="Times New Roman"/>
      <w:b/>
      <w:bCs/>
      <w:kern w:val="2"/>
      <w:sz w:val="32"/>
      <w:szCs w:val="32"/>
    </w:rPr>
  </w:style>
  <w:style w:type="character" w:customStyle="1" w:styleId="89">
    <w:name w:val="标题 7 Char1"/>
    <w:basedOn w:val="41"/>
    <w:autoRedefine/>
    <w:qFormat/>
    <w:uiPriority w:val="99"/>
    <w:rPr>
      <w:rFonts w:ascii="Times New Roman" w:hAnsi="Times New Roman" w:eastAsia="宋体" w:cs="Times New Roman"/>
      <w:b/>
      <w:bCs/>
      <w:sz w:val="24"/>
      <w:szCs w:val="24"/>
    </w:rPr>
  </w:style>
  <w:style w:type="character" w:customStyle="1" w:styleId="90">
    <w:name w:val="页眉 Char"/>
    <w:autoRedefine/>
    <w:qFormat/>
    <w:uiPriority w:val="99"/>
    <w:rPr>
      <w:rFonts w:ascii="Times New Roman" w:hAnsi="Times New Roman" w:eastAsia="宋体"/>
      <w:sz w:val="18"/>
    </w:rPr>
  </w:style>
  <w:style w:type="character" w:customStyle="1" w:styleId="91">
    <w:name w:val="Texte Char Char"/>
    <w:qFormat/>
    <w:uiPriority w:val="99"/>
    <w:rPr>
      <w:rFonts w:ascii="宋体" w:hAnsi="Courier New" w:eastAsia="宋体"/>
      <w:sz w:val="21"/>
      <w:lang w:val="en-US" w:eastAsia="zh-CN"/>
    </w:rPr>
  </w:style>
  <w:style w:type="character" w:customStyle="1" w:styleId="92">
    <w:name w:val="BZ_二级标题 Char"/>
    <w:link w:val="93"/>
    <w:autoRedefine/>
    <w:qFormat/>
    <w:uiPriority w:val="99"/>
    <w:rPr>
      <w:rFonts w:eastAsia="楷体"/>
      <w:b/>
      <w:kern w:val="2"/>
      <w:sz w:val="32"/>
    </w:rPr>
  </w:style>
  <w:style w:type="paragraph" w:customStyle="1" w:styleId="93">
    <w:name w:val="BZ_二级标题"/>
    <w:basedOn w:val="3"/>
    <w:next w:val="1"/>
    <w:link w:val="92"/>
    <w:qFormat/>
    <w:uiPriority w:val="99"/>
    <w:pPr>
      <w:keepNext/>
      <w:widowControl/>
      <w:tabs>
        <w:tab w:val="left" w:pos="1440"/>
      </w:tabs>
      <w:adjustRightInd/>
      <w:spacing w:beforeLines="50" w:afterLines="50" w:line="240" w:lineRule="auto"/>
      <w:ind w:left="1440" w:hanging="360"/>
      <w:textAlignment w:val="auto"/>
    </w:pPr>
    <w:rPr>
      <w:rFonts w:eastAsia="楷体"/>
      <w:kern w:val="2"/>
    </w:rPr>
  </w:style>
  <w:style w:type="character" w:customStyle="1" w:styleId="94">
    <w:name w:val="正文缩进 Char1"/>
    <w:link w:val="8"/>
    <w:autoRedefine/>
    <w:qFormat/>
    <w:uiPriority w:val="99"/>
    <w:rPr>
      <w:rFonts w:eastAsia="宋体"/>
      <w:sz w:val="21"/>
      <w:lang w:val="en-US" w:eastAsia="zh-CN"/>
    </w:rPr>
  </w:style>
  <w:style w:type="character" w:customStyle="1" w:styleId="95">
    <w:name w:val="正文文本首行缩进 字符"/>
    <w:link w:val="96"/>
    <w:qFormat/>
    <w:uiPriority w:val="99"/>
    <w:rPr>
      <w:rFonts w:ascii="仿宋_GB2312"/>
      <w:kern w:val="2"/>
      <w:sz w:val="24"/>
    </w:rPr>
  </w:style>
  <w:style w:type="paragraph" w:customStyle="1" w:styleId="96">
    <w:name w:val="1"/>
    <w:basedOn w:val="16"/>
    <w:next w:val="17"/>
    <w:link w:val="95"/>
    <w:autoRedefine/>
    <w:qFormat/>
    <w:uiPriority w:val="99"/>
    <w:pPr>
      <w:ind w:firstLine="420" w:firstLineChars="100"/>
    </w:pPr>
    <w:rPr>
      <w:rFonts w:ascii="仿宋_GB2312"/>
      <w:sz w:val="24"/>
      <w:szCs w:val="20"/>
    </w:rPr>
  </w:style>
  <w:style w:type="character" w:customStyle="1" w:styleId="97">
    <w:name w:val="index-text3"/>
    <w:basedOn w:val="41"/>
    <w:autoRedefine/>
    <w:qFormat/>
    <w:uiPriority w:val="99"/>
    <w:rPr>
      <w:rFonts w:cs="Times New Roman"/>
    </w:rPr>
  </w:style>
  <w:style w:type="character" w:customStyle="1" w:styleId="98">
    <w:name w:val="l正文 Char"/>
    <w:link w:val="99"/>
    <w:qFormat/>
    <w:uiPriority w:val="99"/>
    <w:rPr>
      <w:rFonts w:ascii="宋体" w:eastAsia="宋体"/>
      <w:sz w:val="24"/>
    </w:rPr>
  </w:style>
  <w:style w:type="paragraph" w:customStyle="1" w:styleId="99">
    <w:name w:val="l正文"/>
    <w:basedOn w:val="1"/>
    <w:link w:val="98"/>
    <w:qFormat/>
    <w:uiPriority w:val="99"/>
    <w:pPr>
      <w:spacing w:line="360" w:lineRule="auto"/>
      <w:ind w:firstLine="200" w:firstLineChars="200"/>
    </w:pPr>
    <w:rPr>
      <w:rFonts w:ascii="宋体"/>
      <w:kern w:val="0"/>
      <w:sz w:val="24"/>
      <w:szCs w:val="20"/>
    </w:rPr>
  </w:style>
  <w:style w:type="character" w:customStyle="1" w:styleId="100">
    <w:name w:val="￥正文 Char"/>
    <w:link w:val="101"/>
    <w:qFormat/>
    <w:uiPriority w:val="99"/>
    <w:rPr>
      <w:sz w:val="24"/>
    </w:rPr>
  </w:style>
  <w:style w:type="paragraph" w:customStyle="1" w:styleId="101">
    <w:name w:val="￥正文"/>
    <w:basedOn w:val="1"/>
    <w:link w:val="100"/>
    <w:autoRedefine/>
    <w:qFormat/>
    <w:uiPriority w:val="99"/>
    <w:pPr>
      <w:spacing w:line="360" w:lineRule="auto"/>
      <w:ind w:firstLine="200" w:firstLineChars="200"/>
    </w:pPr>
    <w:rPr>
      <w:rFonts w:eastAsia="等线"/>
      <w:kern w:val="0"/>
      <w:sz w:val="24"/>
      <w:szCs w:val="20"/>
    </w:rPr>
  </w:style>
  <w:style w:type="character" w:customStyle="1" w:styleId="102">
    <w:name w:val="style44"/>
    <w:qFormat/>
    <w:uiPriority w:val="99"/>
  </w:style>
  <w:style w:type="character" w:customStyle="1" w:styleId="103">
    <w:name w:val="Char Char2"/>
    <w:autoRedefine/>
    <w:qFormat/>
    <w:uiPriority w:val="99"/>
    <w:rPr>
      <w:rFonts w:ascii="宋体" w:hAnsi="Courier New" w:eastAsia="宋体"/>
      <w:kern w:val="2"/>
      <w:sz w:val="21"/>
      <w:lang w:val="en-US" w:eastAsia="zh-CN"/>
    </w:rPr>
  </w:style>
  <w:style w:type="character" w:customStyle="1" w:styleId="104">
    <w:name w:val="页脚 Char1"/>
    <w:basedOn w:val="41"/>
    <w:autoRedefine/>
    <w:qFormat/>
    <w:uiPriority w:val="99"/>
    <w:rPr>
      <w:rFonts w:cs="Times New Roman"/>
      <w:sz w:val="18"/>
      <w:szCs w:val="18"/>
    </w:rPr>
  </w:style>
  <w:style w:type="character" w:customStyle="1" w:styleId="105">
    <w:name w:val="标题 5 Char1"/>
    <w:basedOn w:val="41"/>
    <w:autoRedefine/>
    <w:qFormat/>
    <w:uiPriority w:val="99"/>
    <w:rPr>
      <w:rFonts w:ascii="Times New Roman" w:hAnsi="Times New Roman" w:eastAsia="宋体" w:cs="Times New Roman"/>
      <w:b/>
      <w:bCs/>
      <w:sz w:val="28"/>
      <w:szCs w:val="28"/>
    </w:rPr>
  </w:style>
  <w:style w:type="character" w:customStyle="1" w:styleId="106">
    <w:name w:val="段落文字 Char"/>
    <w:link w:val="107"/>
    <w:qFormat/>
    <w:uiPriority w:val="99"/>
    <w:rPr>
      <w:sz w:val="24"/>
    </w:rPr>
  </w:style>
  <w:style w:type="paragraph" w:customStyle="1" w:styleId="107">
    <w:name w:val="段落文字"/>
    <w:basedOn w:val="1"/>
    <w:link w:val="106"/>
    <w:qFormat/>
    <w:uiPriority w:val="99"/>
    <w:pPr>
      <w:spacing w:line="398" w:lineRule="auto"/>
      <w:ind w:firstLine="480" w:firstLineChars="200"/>
    </w:pPr>
    <w:rPr>
      <w:rFonts w:eastAsia="等线"/>
      <w:kern w:val="0"/>
      <w:sz w:val="24"/>
      <w:szCs w:val="20"/>
    </w:rPr>
  </w:style>
  <w:style w:type="character" w:customStyle="1" w:styleId="108">
    <w:name w:val="标题 4 Char"/>
    <w:qFormat/>
    <w:uiPriority w:val="99"/>
    <w:rPr>
      <w:rFonts w:ascii="Times New Roman" w:hAnsi="Times New Roman" w:eastAsia="宋体"/>
      <w:sz w:val="20"/>
    </w:rPr>
  </w:style>
  <w:style w:type="character" w:customStyle="1" w:styleId="109">
    <w:name w:val="样式6 列表并列 Char"/>
    <w:link w:val="110"/>
    <w:qFormat/>
    <w:uiPriority w:val="99"/>
    <w:rPr>
      <w:rFonts w:ascii="Arial" w:hAnsi="Arial" w:eastAsia="宋体"/>
      <w:kern w:val="21"/>
      <w:sz w:val="24"/>
      <w:lang w:val="en-US" w:eastAsia="zh-CN"/>
    </w:rPr>
  </w:style>
  <w:style w:type="paragraph" w:customStyle="1" w:styleId="110">
    <w:name w:val="样式6 列表并列"/>
    <w:link w:val="109"/>
    <w:autoRedefine/>
    <w:qFormat/>
    <w:uiPriority w:val="99"/>
    <w:pPr>
      <w:widowControl w:val="0"/>
      <w:tabs>
        <w:tab w:val="left" w:pos="0"/>
      </w:tabs>
      <w:spacing w:before="40" w:after="40" w:line="240" w:lineRule="atLeast"/>
      <w:ind w:left="840" w:hanging="420"/>
    </w:pPr>
    <w:rPr>
      <w:rFonts w:ascii="Arial" w:hAnsi="Arial" w:eastAsia="宋体" w:cs="Arial"/>
      <w:kern w:val="21"/>
      <w:sz w:val="21"/>
      <w:szCs w:val="24"/>
      <w:lang w:val="en-US" w:eastAsia="zh-CN" w:bidi="ar-SA"/>
    </w:rPr>
  </w:style>
  <w:style w:type="character" w:customStyle="1" w:styleId="111">
    <w:name w:val="批注主题 Char"/>
    <w:autoRedefine/>
    <w:qFormat/>
    <w:uiPriority w:val="99"/>
    <w:rPr>
      <w:rFonts w:ascii="Times New Roman" w:hAnsi="Times New Roman" w:eastAsia="宋体"/>
      <w:b/>
      <w:sz w:val="20"/>
    </w:rPr>
  </w:style>
  <w:style w:type="character" w:customStyle="1" w:styleId="112">
    <w:name w:val="标题 8 Char1"/>
    <w:basedOn w:val="41"/>
    <w:qFormat/>
    <w:uiPriority w:val="99"/>
    <w:rPr>
      <w:rFonts w:ascii="Arial" w:hAnsi="Arial" w:eastAsia="黑体" w:cs="Times New Roman"/>
      <w:sz w:val="24"/>
      <w:szCs w:val="24"/>
    </w:rPr>
  </w:style>
  <w:style w:type="character" w:customStyle="1" w:styleId="113">
    <w:name w:val="Char Char Char"/>
    <w:qFormat/>
    <w:uiPriority w:val="99"/>
    <w:rPr>
      <w:rFonts w:ascii="宋体" w:hAnsi="Courier New" w:eastAsia="宋体"/>
      <w:sz w:val="21"/>
      <w:lang w:val="en-US" w:eastAsia="zh-CN"/>
    </w:rPr>
  </w:style>
  <w:style w:type="character" w:customStyle="1" w:styleId="114">
    <w:name w:val="style21"/>
    <w:autoRedefine/>
    <w:qFormat/>
    <w:uiPriority w:val="99"/>
    <w:rPr>
      <w:sz w:val="15"/>
    </w:rPr>
  </w:style>
  <w:style w:type="character" w:customStyle="1" w:styleId="115">
    <w:name w:val="哈哈正文 Char"/>
    <w:link w:val="116"/>
    <w:qFormat/>
    <w:uiPriority w:val="99"/>
    <w:rPr>
      <w:rFonts w:ascii="宋体" w:hAnsi="宋体" w:eastAsia="宋体"/>
      <w:kern w:val="2"/>
      <w:sz w:val="24"/>
      <w:lang w:val="en-US" w:eastAsia="zh-CN"/>
    </w:rPr>
  </w:style>
  <w:style w:type="paragraph" w:customStyle="1" w:styleId="116">
    <w:name w:val="哈哈正文"/>
    <w:basedOn w:val="1"/>
    <w:link w:val="115"/>
    <w:qFormat/>
    <w:uiPriority w:val="99"/>
    <w:pPr>
      <w:spacing w:line="360" w:lineRule="auto"/>
      <w:ind w:firstLine="200" w:firstLineChars="200"/>
    </w:pPr>
    <w:rPr>
      <w:rFonts w:ascii="宋体" w:hAnsi="宋体"/>
      <w:sz w:val="24"/>
      <w:szCs w:val="20"/>
    </w:rPr>
  </w:style>
  <w:style w:type="character" w:customStyle="1" w:styleId="117">
    <w:name w:val="标题 1 Char1"/>
    <w:basedOn w:val="41"/>
    <w:qFormat/>
    <w:uiPriority w:val="99"/>
    <w:rPr>
      <w:rFonts w:ascii="方正黑体简体" w:hAnsi="Times New Roman" w:eastAsia="方正黑体简体" w:cs="Times New Roman"/>
      <w:b/>
      <w:kern w:val="0"/>
      <w:sz w:val="28"/>
      <w:szCs w:val="28"/>
    </w:rPr>
  </w:style>
  <w:style w:type="character" w:customStyle="1" w:styleId="118">
    <w:name w:val="Char Char1"/>
    <w:qFormat/>
    <w:uiPriority w:val="99"/>
    <w:rPr>
      <w:rFonts w:ascii="楷体_GB2312" w:eastAsia="楷体_GB2312"/>
      <w:sz w:val="28"/>
    </w:rPr>
  </w:style>
  <w:style w:type="character" w:customStyle="1" w:styleId="119">
    <w:name w:val="正文文本 Char"/>
    <w:autoRedefine/>
    <w:qFormat/>
    <w:uiPriority w:val="99"/>
    <w:rPr>
      <w:rFonts w:ascii="Times New Roman" w:hAnsi="Times New Roman" w:eastAsia="宋体"/>
      <w:sz w:val="20"/>
    </w:rPr>
  </w:style>
  <w:style w:type="character" w:customStyle="1" w:styleId="120">
    <w:name w:val="*正文 Char"/>
    <w:link w:val="121"/>
    <w:qFormat/>
    <w:uiPriority w:val="99"/>
    <w:rPr>
      <w:rFonts w:ascii="宋体" w:eastAsia="宋体"/>
      <w:kern w:val="2"/>
      <w:sz w:val="24"/>
    </w:rPr>
  </w:style>
  <w:style w:type="paragraph" w:customStyle="1" w:styleId="121">
    <w:name w:val="*正文"/>
    <w:basedOn w:val="1"/>
    <w:link w:val="120"/>
    <w:qFormat/>
    <w:uiPriority w:val="99"/>
    <w:pPr>
      <w:spacing w:line="360" w:lineRule="auto"/>
      <w:ind w:firstLine="200" w:firstLineChars="200"/>
    </w:pPr>
    <w:rPr>
      <w:rFonts w:ascii="宋体"/>
      <w:sz w:val="24"/>
      <w:szCs w:val="20"/>
    </w:rPr>
  </w:style>
  <w:style w:type="character" w:customStyle="1" w:styleId="122">
    <w:name w:val="正文缩进 Char"/>
    <w:autoRedefine/>
    <w:qFormat/>
    <w:uiPriority w:val="99"/>
    <w:rPr>
      <w:rFonts w:ascii="仿宋_GB2312" w:eastAsia="宋体"/>
      <w:b/>
      <w:sz w:val="32"/>
      <w:lang w:val="en-US" w:eastAsia="zh-CN"/>
    </w:rPr>
  </w:style>
  <w:style w:type="character" w:customStyle="1" w:styleId="123">
    <w:name w:val="apple-converted-space"/>
    <w:qFormat/>
    <w:uiPriority w:val="99"/>
  </w:style>
  <w:style w:type="character" w:customStyle="1" w:styleId="124">
    <w:name w:val="BZ_三级标题 Char"/>
    <w:link w:val="125"/>
    <w:autoRedefine/>
    <w:qFormat/>
    <w:uiPriority w:val="99"/>
    <w:rPr>
      <w:rFonts w:eastAsia="黑体"/>
      <w:b/>
      <w:kern w:val="2"/>
      <w:sz w:val="28"/>
    </w:rPr>
  </w:style>
  <w:style w:type="paragraph" w:customStyle="1" w:styleId="125">
    <w:name w:val="BZ_三级标题"/>
    <w:basedOn w:val="4"/>
    <w:next w:val="1"/>
    <w:link w:val="124"/>
    <w:autoRedefine/>
    <w:qFormat/>
    <w:uiPriority w:val="99"/>
    <w:pPr>
      <w:widowControl/>
      <w:tabs>
        <w:tab w:val="left" w:pos="2160"/>
      </w:tabs>
      <w:spacing w:beforeLines="50" w:afterLines="50" w:line="240" w:lineRule="auto"/>
      <w:ind w:left="2160" w:hanging="360"/>
    </w:pPr>
    <w:rPr>
      <w:rFonts w:eastAsia="黑体"/>
      <w:bCs w:val="0"/>
      <w:sz w:val="28"/>
      <w:szCs w:val="20"/>
    </w:rPr>
  </w:style>
  <w:style w:type="character" w:customStyle="1" w:styleId="126">
    <w:name w:val="正文文本 Char1"/>
    <w:basedOn w:val="41"/>
    <w:autoRedefine/>
    <w:qFormat/>
    <w:uiPriority w:val="99"/>
    <w:rPr>
      <w:rFonts w:ascii="Times New Roman" w:hAnsi="Times New Roman" w:eastAsia="宋体" w:cs="Times New Roman"/>
      <w:sz w:val="20"/>
      <w:szCs w:val="20"/>
    </w:rPr>
  </w:style>
  <w:style w:type="character" w:customStyle="1" w:styleId="127">
    <w:name w:val="日期 Char"/>
    <w:qFormat/>
    <w:uiPriority w:val="99"/>
    <w:rPr>
      <w:rFonts w:ascii="Times New Roman" w:hAnsi="Times New Roman" w:eastAsia="宋体"/>
      <w:sz w:val="20"/>
    </w:rPr>
  </w:style>
  <w:style w:type="character" w:customStyle="1" w:styleId="128">
    <w:name w:val="批注框文本 Char"/>
    <w:qFormat/>
    <w:uiPriority w:val="99"/>
    <w:rPr>
      <w:rFonts w:ascii="Times New Roman" w:hAnsi="Times New Roman" w:eastAsia="宋体"/>
      <w:sz w:val="18"/>
    </w:rPr>
  </w:style>
  <w:style w:type="character" w:customStyle="1" w:styleId="129">
    <w:name w:val="纯文本 Char"/>
    <w:autoRedefine/>
    <w:qFormat/>
    <w:uiPriority w:val="99"/>
    <w:rPr>
      <w:rFonts w:ascii="宋体" w:hAnsi="Courier New" w:eastAsia="宋体"/>
      <w:sz w:val="21"/>
      <w:lang w:val="en-US" w:eastAsia="zh-CN"/>
    </w:rPr>
  </w:style>
  <w:style w:type="character" w:customStyle="1" w:styleId="130">
    <w:name w:val="Char Char6"/>
    <w:qFormat/>
    <w:uiPriority w:val="99"/>
    <w:rPr>
      <w:b/>
      <w:kern w:val="2"/>
      <w:sz w:val="32"/>
    </w:rPr>
  </w:style>
  <w:style w:type="character" w:customStyle="1" w:styleId="131">
    <w:name w:val="标题 2 Char"/>
    <w:qFormat/>
    <w:uiPriority w:val="99"/>
    <w:rPr>
      <w:rFonts w:ascii="Arial" w:hAnsi="Arial" w:eastAsia="黑体"/>
      <w:b/>
      <w:sz w:val="32"/>
    </w:rPr>
  </w:style>
  <w:style w:type="character" w:customStyle="1" w:styleId="132">
    <w:name w:val="BZ_一级标题 Char"/>
    <w:link w:val="133"/>
    <w:qFormat/>
    <w:uiPriority w:val="99"/>
    <w:rPr>
      <w:rFonts w:eastAsia="华文中宋"/>
      <w:b/>
      <w:kern w:val="44"/>
      <w:sz w:val="36"/>
    </w:rPr>
  </w:style>
  <w:style w:type="paragraph" w:customStyle="1" w:styleId="133">
    <w:name w:val="BZ_一级标题"/>
    <w:basedOn w:val="2"/>
    <w:next w:val="1"/>
    <w:link w:val="132"/>
    <w:qFormat/>
    <w:uiPriority w:val="99"/>
    <w:pPr>
      <w:keepLines/>
      <w:widowControl/>
      <w:spacing w:beforeLines="50" w:afterLines="50"/>
      <w:ind w:left="432" w:hanging="432"/>
      <w:jc w:val="both"/>
    </w:pPr>
    <w:rPr>
      <w:rFonts w:ascii="Times New Roman" w:eastAsia="华文中宋"/>
      <w:bCs w:val="0"/>
      <w:kern w:val="44"/>
      <w:sz w:val="36"/>
      <w:szCs w:val="20"/>
    </w:rPr>
  </w:style>
  <w:style w:type="character" w:customStyle="1" w:styleId="134">
    <w:name w:val="正文文本缩进 3 Char"/>
    <w:autoRedefine/>
    <w:qFormat/>
    <w:uiPriority w:val="99"/>
    <w:rPr>
      <w:rFonts w:ascii="Times New Roman" w:hAnsi="Times New Roman" w:eastAsia="宋体"/>
      <w:sz w:val="20"/>
    </w:rPr>
  </w:style>
  <w:style w:type="character" w:customStyle="1" w:styleId="135">
    <w:name w:val="标题 6 Char1"/>
    <w:basedOn w:val="41"/>
    <w:qFormat/>
    <w:uiPriority w:val="99"/>
    <w:rPr>
      <w:rFonts w:ascii="Arial" w:hAnsi="Arial" w:eastAsia="黑体" w:cs="Times New Roman"/>
      <w:b/>
      <w:bCs/>
      <w:sz w:val="24"/>
      <w:szCs w:val="24"/>
    </w:rPr>
  </w:style>
  <w:style w:type="character" w:customStyle="1" w:styleId="136">
    <w:name w:val="style7"/>
    <w:qFormat/>
    <w:uiPriority w:val="99"/>
  </w:style>
  <w:style w:type="character" w:customStyle="1" w:styleId="137">
    <w:name w:val="批注文字 Char"/>
    <w:qFormat/>
    <w:uiPriority w:val="99"/>
    <w:rPr>
      <w:rFonts w:ascii="Times New Roman" w:hAnsi="Times New Roman" w:eastAsia="宋体"/>
      <w:sz w:val="24"/>
    </w:rPr>
  </w:style>
  <w:style w:type="character" w:customStyle="1" w:styleId="138">
    <w:name w:val="页脚 Char"/>
    <w:qFormat/>
    <w:uiPriority w:val="99"/>
    <w:rPr>
      <w:rFonts w:ascii="Times New Roman" w:hAnsi="Times New Roman" w:eastAsia="宋体"/>
      <w:sz w:val="18"/>
    </w:rPr>
  </w:style>
  <w:style w:type="character" w:customStyle="1" w:styleId="139">
    <w:name w:val="页眉 Char2"/>
    <w:link w:val="28"/>
    <w:autoRedefine/>
    <w:qFormat/>
    <w:uiPriority w:val="99"/>
    <w:rPr>
      <w:kern w:val="2"/>
      <w:sz w:val="18"/>
    </w:rPr>
  </w:style>
  <w:style w:type="character" w:customStyle="1" w:styleId="140">
    <w:name w:val="标题 1 Char"/>
    <w:qFormat/>
    <w:uiPriority w:val="99"/>
    <w:rPr>
      <w:rFonts w:ascii="Times New Roman" w:hAnsi="Times New Roman" w:eastAsia="宋体"/>
      <w:b/>
      <w:kern w:val="44"/>
      <w:sz w:val="44"/>
    </w:rPr>
  </w:style>
  <w:style w:type="character" w:customStyle="1" w:styleId="141">
    <w:name w:val="正文文本缩进 Char"/>
    <w:qFormat/>
    <w:uiPriority w:val="99"/>
    <w:rPr>
      <w:rFonts w:ascii="楷体_GB2312" w:hAnsi="Times New Roman" w:eastAsia="楷体_GB2312"/>
      <w:kern w:val="0"/>
      <w:sz w:val="20"/>
    </w:rPr>
  </w:style>
  <w:style w:type="character" w:customStyle="1" w:styleId="142">
    <w:name w:val="页眉 Char1"/>
    <w:basedOn w:val="41"/>
    <w:qFormat/>
    <w:uiPriority w:val="99"/>
    <w:rPr>
      <w:rFonts w:cs="Times New Roman"/>
      <w:sz w:val="18"/>
      <w:szCs w:val="18"/>
    </w:rPr>
  </w:style>
  <w:style w:type="character" w:customStyle="1" w:styleId="143">
    <w:name w:val="正文缩进 Char2"/>
    <w:autoRedefine/>
    <w:qFormat/>
    <w:uiPriority w:val="99"/>
    <w:rPr>
      <w:rFonts w:eastAsia="宋体"/>
      <w:sz w:val="21"/>
      <w:lang w:val="en-US" w:eastAsia="zh-CN"/>
    </w:rPr>
  </w:style>
  <w:style w:type="character" w:customStyle="1" w:styleId="144">
    <w:name w:val="标题 3 Char1"/>
    <w:basedOn w:val="41"/>
    <w:qFormat/>
    <w:uiPriority w:val="99"/>
    <w:rPr>
      <w:rFonts w:ascii="Arial" w:hAnsi="Arial" w:eastAsia="黑体" w:cs="Times New Roman"/>
      <w:sz w:val="24"/>
      <w:szCs w:val="24"/>
    </w:rPr>
  </w:style>
  <w:style w:type="character" w:customStyle="1" w:styleId="145">
    <w:name w:val="纯文本 Char1"/>
    <w:qFormat/>
    <w:uiPriority w:val="99"/>
    <w:rPr>
      <w:rFonts w:ascii="宋体" w:hAnsi="Courier New" w:eastAsia="宋体"/>
      <w:sz w:val="21"/>
      <w:lang w:val="en-US" w:eastAsia="zh-CN"/>
    </w:rPr>
  </w:style>
  <w:style w:type="character" w:customStyle="1" w:styleId="146">
    <w:name w:val="副标题 Char"/>
    <w:basedOn w:val="41"/>
    <w:autoRedefine/>
    <w:qFormat/>
    <w:uiPriority w:val="99"/>
    <w:rPr>
      <w:rFonts w:ascii="Cambria" w:hAnsi="Cambria" w:cs="Times New Roman"/>
      <w:b/>
      <w:bCs/>
      <w:kern w:val="28"/>
      <w:sz w:val="32"/>
      <w:szCs w:val="32"/>
    </w:rPr>
  </w:style>
  <w:style w:type="paragraph" w:customStyle="1" w:styleId="147">
    <w:name w:val="正文00"/>
    <w:basedOn w:val="1"/>
    <w:qFormat/>
    <w:uiPriority w:val="99"/>
    <w:pPr>
      <w:topLinePunct/>
      <w:spacing w:line="360" w:lineRule="auto"/>
      <w:ind w:firstLine="200" w:firstLineChars="200"/>
    </w:pPr>
    <w:rPr>
      <w:sz w:val="24"/>
      <w:szCs w:val="21"/>
    </w:rPr>
  </w:style>
  <w:style w:type="paragraph" w:customStyle="1" w:styleId="148">
    <w:name w:val="style31"/>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149">
    <w:name w:val="Default"/>
    <w:next w:val="14"/>
    <w:qFormat/>
    <w:uiPriority w:val="99"/>
    <w:pPr>
      <w:widowControl w:val="0"/>
      <w:autoSpaceDE w:val="0"/>
      <w:autoSpaceDN w:val="0"/>
      <w:adjustRightInd w:val="0"/>
    </w:pPr>
    <w:rPr>
      <w:rFonts w:ascii="仿宋_GB2312" w:hAnsi="新宋体" w:eastAsia="仿宋_GB2312" w:cs="仿宋_GB2312"/>
      <w:color w:val="000000"/>
      <w:sz w:val="24"/>
      <w:szCs w:val="24"/>
      <w:lang w:val="en-US" w:eastAsia="zh-CN" w:bidi="ar-SA"/>
    </w:rPr>
  </w:style>
  <w:style w:type="paragraph" w:customStyle="1" w:styleId="150">
    <w:name w:val="Char Char"/>
    <w:basedOn w:val="1"/>
    <w:autoRedefine/>
    <w:qFormat/>
    <w:uiPriority w:val="99"/>
    <w:rPr>
      <w:rFonts w:ascii="仿宋_GB2312" w:eastAsia="仿宋_GB2312"/>
      <w:b/>
      <w:sz w:val="32"/>
      <w:szCs w:val="32"/>
    </w:rPr>
  </w:style>
  <w:style w:type="paragraph" w:customStyle="1" w:styleId="151">
    <w:name w:val="style48"/>
    <w:basedOn w:val="1"/>
    <w:qFormat/>
    <w:uiPriority w:val="99"/>
    <w:pPr>
      <w:widowControl/>
      <w:jc w:val="left"/>
    </w:pPr>
    <w:rPr>
      <w:rFonts w:ascii="宋体" w:hAnsi="宋体" w:cs="宋体"/>
      <w:kern w:val="0"/>
      <w:sz w:val="24"/>
    </w:rPr>
  </w:style>
  <w:style w:type="paragraph" w:customStyle="1" w:styleId="152">
    <w:name w:val="_Style 2"/>
    <w:basedOn w:val="1"/>
    <w:autoRedefine/>
    <w:qFormat/>
    <w:uiPriority w:val="99"/>
    <w:pPr>
      <w:spacing w:line="360" w:lineRule="auto"/>
      <w:ind w:firstLine="420" w:firstLineChars="200"/>
    </w:pPr>
    <w:rPr>
      <w:rFonts w:cs="黑体"/>
      <w:sz w:val="24"/>
      <w:szCs w:val="21"/>
    </w:rPr>
  </w:style>
  <w:style w:type="paragraph" w:customStyle="1" w:styleId="153">
    <w:name w:val="正文（小四+1.25倍行距）"/>
    <w:basedOn w:val="1"/>
    <w:qFormat/>
    <w:uiPriority w:val="99"/>
    <w:pPr>
      <w:spacing w:beforeLines="50" w:afterLines="50" w:line="360" w:lineRule="auto"/>
      <w:ind w:firstLine="420"/>
    </w:pPr>
    <w:rPr>
      <w:rFonts w:ascii="Calibri" w:hAnsi="Calibri"/>
      <w:szCs w:val="20"/>
    </w:rPr>
  </w:style>
  <w:style w:type="paragraph" w:customStyle="1" w:styleId="154">
    <w:name w:val="正文 1.1.1"/>
    <w:basedOn w:val="1"/>
    <w:next w:val="1"/>
    <w:autoRedefine/>
    <w:qFormat/>
    <w:uiPriority w:val="99"/>
    <w:pPr>
      <w:tabs>
        <w:tab w:val="left" w:pos="851"/>
      </w:tabs>
      <w:adjustRightInd w:val="0"/>
      <w:spacing w:line="360" w:lineRule="auto"/>
      <w:textAlignment w:val="baseline"/>
      <w:outlineLvl w:val="2"/>
    </w:pPr>
    <w:rPr>
      <w:rFonts w:ascii="宋体" w:hAnsi="宋体"/>
      <w:color w:val="FF0000"/>
      <w:kern w:val="0"/>
      <w:sz w:val="28"/>
      <w:szCs w:val="21"/>
    </w:rPr>
  </w:style>
  <w:style w:type="paragraph" w:customStyle="1" w:styleId="155">
    <w:name w:val="Char Char Char Char Char Char"/>
    <w:basedOn w:val="1"/>
    <w:autoRedefine/>
    <w:qFormat/>
    <w:uiPriority w:val="99"/>
    <w:rPr>
      <w:rFonts w:ascii="Tahoma" w:hAnsi="Tahoma"/>
      <w:sz w:val="24"/>
      <w:szCs w:val="20"/>
    </w:rPr>
  </w:style>
  <w:style w:type="paragraph" w:customStyle="1" w:styleId="156">
    <w:name w:val="标题 55"/>
    <w:basedOn w:val="6"/>
    <w:autoRedefine/>
    <w:qFormat/>
    <w:uiPriority w:val="99"/>
    <w:rPr>
      <w:rFonts w:ascii="方正黑体简体" w:eastAsia="方正黑体简体"/>
      <w:b w:val="0"/>
      <w:bCs w:val="0"/>
    </w:rPr>
  </w:style>
  <w:style w:type="paragraph" w:customStyle="1" w:styleId="157">
    <w:name w:val="正文5"/>
    <w:autoRedefine/>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158">
    <w:name w:val="TOC 标题1"/>
    <w:basedOn w:val="2"/>
    <w:next w:val="1"/>
    <w:autoRedefine/>
    <w:qFormat/>
    <w:uiPriority w:val="99"/>
    <w:pPr>
      <w:keepLines/>
      <w:widowControl/>
      <w:spacing w:before="480" w:line="276" w:lineRule="auto"/>
      <w:jc w:val="left"/>
      <w:outlineLvl w:val="9"/>
    </w:pPr>
    <w:rPr>
      <w:rFonts w:ascii="Cambria" w:hAnsi="Cambria" w:eastAsia="方正黑体简体"/>
      <w:bCs w:val="0"/>
      <w:color w:val="365F91"/>
      <w:kern w:val="0"/>
      <w:sz w:val="28"/>
      <w:szCs w:val="28"/>
    </w:rPr>
  </w:style>
  <w:style w:type="paragraph" w:customStyle="1" w:styleId="159">
    <w:name w:val="_Style 36"/>
    <w:basedOn w:val="1"/>
    <w:autoRedefine/>
    <w:qFormat/>
    <w:uiPriority w:val="99"/>
    <w:pPr>
      <w:ind w:firstLine="420" w:firstLineChars="200"/>
    </w:pPr>
    <w:rPr>
      <w:szCs w:val="20"/>
    </w:rPr>
  </w:style>
  <w:style w:type="paragraph" w:customStyle="1" w:styleId="160">
    <w:name w:val="正文_13"/>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61">
    <w:name w:val="CM106"/>
    <w:basedOn w:val="149"/>
    <w:next w:val="149"/>
    <w:autoRedefine/>
    <w:qFormat/>
    <w:uiPriority w:val="99"/>
    <w:rPr>
      <w:rFonts w:ascii="宋体" w:hAnsi="Times New Roman" w:eastAsia="宋体" w:cs="Times New Roman"/>
      <w:color w:val="auto"/>
    </w:rPr>
  </w:style>
  <w:style w:type="paragraph" w:customStyle="1" w:styleId="162">
    <w:name w:val="默认段落字体 Para Char Char Char Char Char Char Char Char Char1 Char Char Char Char Char Char Char"/>
    <w:basedOn w:val="14"/>
    <w:autoRedefine/>
    <w:qFormat/>
    <w:uiPriority w:val="99"/>
    <w:rPr>
      <w:sz w:val="24"/>
    </w:rPr>
  </w:style>
  <w:style w:type="paragraph" w:customStyle="1" w:styleId="163">
    <w:name w:val="列出段落2"/>
    <w:basedOn w:val="1"/>
    <w:qFormat/>
    <w:uiPriority w:val="99"/>
    <w:pPr>
      <w:ind w:firstLine="420" w:firstLineChars="200"/>
    </w:pPr>
    <w:rPr>
      <w:rFonts w:ascii="Calibri" w:hAnsi="Calibri"/>
      <w:szCs w:val="22"/>
    </w:rPr>
  </w:style>
  <w:style w:type="paragraph" w:customStyle="1" w:styleId="164">
    <w:name w:val="Char Char1 Char Char Char Char Char Char"/>
    <w:basedOn w:val="1"/>
    <w:autoRedefine/>
    <w:qFormat/>
    <w:uiPriority w:val="99"/>
    <w:pPr>
      <w:widowControl/>
      <w:spacing w:after="160" w:line="240" w:lineRule="exact"/>
      <w:jc w:val="left"/>
    </w:pPr>
    <w:rPr>
      <w:rFonts w:ascii="宋体" w:hAnsi="宋体" w:cs="宋体"/>
      <w:kern w:val="0"/>
      <w:szCs w:val="20"/>
    </w:rPr>
  </w:style>
  <w:style w:type="paragraph" w:customStyle="1" w:styleId="165">
    <w:name w:val="内文正文"/>
    <w:basedOn w:val="23"/>
    <w:qFormat/>
    <w:uiPriority w:val="99"/>
    <w:pPr>
      <w:widowControl w:val="0"/>
      <w:overflowPunct/>
      <w:autoSpaceDE/>
      <w:autoSpaceDN/>
      <w:snapToGrid w:val="0"/>
      <w:spacing w:line="400" w:lineRule="exact"/>
      <w:ind w:firstLine="200" w:firstLineChars="200"/>
      <w:jc w:val="both"/>
      <w:textAlignment w:val="auto"/>
    </w:pPr>
    <w:rPr>
      <w:rFonts w:ascii="Arial" w:hAnsi="Arial" w:cs="Courier New"/>
      <w:color w:val="000000"/>
      <w:kern w:val="2"/>
    </w:rPr>
  </w:style>
  <w:style w:type="paragraph" w:customStyle="1" w:styleId="166">
    <w:name w:val="修订1"/>
    <w:qFormat/>
    <w:uiPriority w:val="99"/>
    <w:rPr>
      <w:rFonts w:ascii="Times New Roman" w:hAnsi="Times New Roman" w:eastAsia="宋体" w:cs="Times New Roman"/>
      <w:kern w:val="2"/>
      <w:sz w:val="21"/>
      <w:szCs w:val="24"/>
      <w:lang w:val="en-US" w:eastAsia="zh-CN" w:bidi="ar-SA"/>
    </w:rPr>
  </w:style>
  <w:style w:type="paragraph" w:customStyle="1" w:styleId="167">
    <w:name w:val="新定义正文"/>
    <w:basedOn w:val="1"/>
    <w:autoRedefine/>
    <w:qFormat/>
    <w:uiPriority w:val="99"/>
    <w:pPr>
      <w:widowControl/>
    </w:pPr>
    <w:rPr>
      <w:color w:val="000000"/>
      <w:szCs w:val="21"/>
    </w:rPr>
  </w:style>
  <w:style w:type="paragraph" w:customStyle="1" w:styleId="168">
    <w:name w:val="_Style 5"/>
    <w:basedOn w:val="14"/>
    <w:qFormat/>
    <w:uiPriority w:val="99"/>
  </w:style>
  <w:style w:type="paragraph" w:customStyle="1" w:styleId="169">
    <w:name w:val="正文 第一章"/>
    <w:basedOn w:val="1"/>
    <w:next w:val="170"/>
    <w:qFormat/>
    <w:uiPriority w:val="99"/>
    <w:pPr>
      <w:pageBreakBefore/>
      <w:adjustRightInd w:val="0"/>
      <w:spacing w:before="240" w:after="240" w:line="480" w:lineRule="auto"/>
      <w:ind w:left="300" w:hanging="420"/>
      <w:jc w:val="center"/>
      <w:textAlignment w:val="baseline"/>
      <w:outlineLvl w:val="0"/>
    </w:pPr>
    <w:rPr>
      <w:rFonts w:ascii="黑体" w:hAnsi="宋体" w:eastAsia="黑体"/>
      <w:kern w:val="0"/>
      <w:sz w:val="36"/>
      <w:szCs w:val="36"/>
    </w:rPr>
  </w:style>
  <w:style w:type="paragraph" w:customStyle="1" w:styleId="170">
    <w:name w:val="正文 1.1"/>
    <w:basedOn w:val="1"/>
    <w:next w:val="154"/>
    <w:qFormat/>
    <w:uiPriority w:val="99"/>
    <w:pPr>
      <w:adjustRightInd w:val="0"/>
      <w:spacing w:line="360" w:lineRule="auto"/>
      <w:ind w:left="980" w:hanging="980" w:hangingChars="350"/>
      <w:textAlignment w:val="baseline"/>
      <w:outlineLvl w:val="1"/>
    </w:pPr>
    <w:rPr>
      <w:rFonts w:ascii="仿宋" w:hAnsi="仿宋" w:eastAsia="仿宋"/>
      <w:b/>
      <w:kern w:val="0"/>
      <w:sz w:val="28"/>
      <w:szCs w:val="21"/>
    </w:rPr>
  </w:style>
  <w:style w:type="paragraph" w:customStyle="1" w:styleId="171">
    <w:name w:val="Char Char Char Char11"/>
    <w:basedOn w:val="14"/>
    <w:qFormat/>
    <w:uiPriority w:val="99"/>
    <w:rPr>
      <w:szCs w:val="20"/>
    </w:rPr>
  </w:style>
  <w:style w:type="paragraph" w:customStyle="1" w:styleId="172">
    <w:name w:val="正文空2格  1."/>
    <w:basedOn w:val="1"/>
    <w:qFormat/>
    <w:uiPriority w:val="99"/>
    <w:pPr>
      <w:adjustRightInd w:val="0"/>
      <w:spacing w:line="360" w:lineRule="auto"/>
      <w:ind w:firstLine="480" w:firstLineChars="200"/>
      <w:textAlignment w:val="baseline"/>
    </w:pPr>
    <w:rPr>
      <w:rFonts w:ascii="宋体" w:eastAsia="仿宋" w:cs="宋体"/>
      <w:kern w:val="0"/>
      <w:sz w:val="28"/>
      <w:szCs w:val="20"/>
    </w:rPr>
  </w:style>
  <w:style w:type="paragraph" w:customStyle="1" w:styleId="173">
    <w:name w:val="正文2"/>
    <w:basedOn w:val="1"/>
    <w:autoRedefine/>
    <w:qFormat/>
    <w:uiPriority w:val="99"/>
    <w:pPr>
      <w:spacing w:before="156" w:line="360" w:lineRule="auto"/>
      <w:ind w:firstLine="510" w:firstLineChars="200"/>
    </w:pPr>
    <w:rPr>
      <w:sz w:val="24"/>
      <w:szCs w:val="20"/>
    </w:rPr>
  </w:style>
  <w:style w:type="paragraph" w:customStyle="1" w:styleId="174">
    <w:name w:val="正文0"/>
    <w:basedOn w:val="1"/>
    <w:autoRedefine/>
    <w:qFormat/>
    <w:uiPriority w:val="99"/>
    <w:pPr>
      <w:adjustRightInd w:val="0"/>
      <w:snapToGrid w:val="0"/>
      <w:spacing w:line="440" w:lineRule="exact"/>
      <w:ind w:left="420" w:leftChars="200" w:firstLine="428" w:firstLineChars="200"/>
    </w:pPr>
    <w:rPr>
      <w:spacing w:val="2"/>
      <w:szCs w:val="21"/>
      <w:u w:val="single"/>
    </w:rPr>
  </w:style>
  <w:style w:type="paragraph" w:customStyle="1" w:styleId="175">
    <w:name w:val="样式6"/>
    <w:basedOn w:val="13"/>
    <w:qFormat/>
    <w:uiPriority w:val="99"/>
    <w:pPr>
      <w:spacing w:line="360" w:lineRule="auto"/>
      <w:ind w:firstLine="200" w:firstLineChars="200"/>
    </w:pPr>
    <w:rPr>
      <w:sz w:val="24"/>
    </w:rPr>
  </w:style>
  <w:style w:type="paragraph" w:customStyle="1" w:styleId="176">
    <w:name w:val="TOC 标题2"/>
    <w:basedOn w:val="2"/>
    <w:next w:val="1"/>
    <w:qFormat/>
    <w:uiPriority w:val="99"/>
    <w:pPr>
      <w:keepLines/>
      <w:widowControl/>
      <w:spacing w:before="480" w:line="276" w:lineRule="auto"/>
      <w:jc w:val="left"/>
      <w:outlineLvl w:val="9"/>
    </w:pPr>
    <w:rPr>
      <w:rFonts w:ascii="Cambria" w:hAnsi="Cambria" w:eastAsia="方正黑体简体" w:cs="黑体"/>
      <w:bCs w:val="0"/>
      <w:color w:val="365F90"/>
      <w:kern w:val="0"/>
      <w:sz w:val="28"/>
      <w:szCs w:val="28"/>
    </w:rPr>
  </w:style>
  <w:style w:type="paragraph" w:customStyle="1" w:styleId="177">
    <w:name w:val="ml2"/>
    <w:basedOn w:val="29"/>
    <w:qFormat/>
    <w:uiPriority w:val="99"/>
    <w:pPr>
      <w:tabs>
        <w:tab w:val="clear" w:pos="9628"/>
      </w:tabs>
      <w:spacing w:before="120" w:after="120" w:line="240" w:lineRule="auto"/>
      <w:ind w:left="420" w:leftChars="200"/>
      <w:jc w:val="left"/>
    </w:pPr>
    <w:rPr>
      <w:rFonts w:ascii="Calibri" w:hAnsi="Calibri" w:eastAsia="宋体" w:cs="Calibri"/>
      <w:b/>
      <w:caps/>
      <w:szCs w:val="20"/>
    </w:rPr>
  </w:style>
  <w:style w:type="paragraph" w:customStyle="1" w:styleId="178">
    <w:name w:val="Char1 Char Char Char"/>
    <w:basedOn w:val="1"/>
    <w:autoRedefine/>
    <w:qFormat/>
    <w:uiPriority w:val="99"/>
    <w:rPr>
      <w:rFonts w:ascii="Tahoma" w:hAnsi="Tahoma"/>
      <w:sz w:val="24"/>
      <w:szCs w:val="20"/>
    </w:rPr>
  </w:style>
  <w:style w:type="paragraph" w:customStyle="1" w:styleId="179">
    <w:name w:val="正文 New New New New"/>
    <w:qFormat/>
    <w:uiPriority w:val="99"/>
    <w:pPr>
      <w:widowControl w:val="0"/>
      <w:jc w:val="both"/>
    </w:pPr>
    <w:rPr>
      <w:rFonts w:ascii="Times New Roman" w:hAnsi="Times New Roman" w:eastAsia="宋体" w:cs="Times New Roman"/>
      <w:szCs w:val="24"/>
      <w:lang w:val="en-US" w:eastAsia="zh-CN" w:bidi="ar-SA"/>
    </w:rPr>
  </w:style>
  <w:style w:type="paragraph" w:customStyle="1" w:styleId="180">
    <w:name w:val="TOC 标题3"/>
    <w:basedOn w:val="2"/>
    <w:next w:val="1"/>
    <w:autoRedefine/>
    <w:qFormat/>
    <w:uiPriority w:val="99"/>
    <w:pPr>
      <w:keepLines/>
      <w:widowControl/>
      <w:spacing w:before="480" w:line="276" w:lineRule="auto"/>
      <w:jc w:val="left"/>
      <w:outlineLvl w:val="9"/>
    </w:pPr>
    <w:rPr>
      <w:rFonts w:ascii="Cambria" w:hAnsi="Cambria" w:eastAsia="宋体"/>
      <w:bCs w:val="0"/>
      <w:color w:val="365F91"/>
      <w:kern w:val="0"/>
      <w:sz w:val="28"/>
      <w:szCs w:val="28"/>
    </w:rPr>
  </w:style>
  <w:style w:type="paragraph" w:customStyle="1" w:styleId="181">
    <w:name w:val="正文1"/>
    <w:basedOn w:val="1"/>
    <w:autoRedefine/>
    <w:qFormat/>
    <w:uiPriority w:val="99"/>
    <w:pPr>
      <w:spacing w:beforeLines="50" w:afterLines="50" w:line="300" w:lineRule="auto"/>
      <w:ind w:firstLine="480" w:firstLineChars="200"/>
    </w:pPr>
    <w:rPr>
      <w:szCs w:val="20"/>
    </w:rPr>
  </w:style>
  <w:style w:type="paragraph" w:customStyle="1" w:styleId="182">
    <w:name w:val="_Style 32"/>
    <w:basedOn w:val="1"/>
    <w:qFormat/>
    <w:uiPriority w:val="99"/>
    <w:rPr>
      <w:szCs w:val="20"/>
    </w:rPr>
  </w:style>
  <w:style w:type="paragraph" w:customStyle="1" w:styleId="183">
    <w:name w:val="彩色列表 - 强调文字颜色 11"/>
    <w:basedOn w:val="1"/>
    <w:qFormat/>
    <w:uiPriority w:val="99"/>
    <w:pPr>
      <w:ind w:firstLine="420" w:firstLineChars="200"/>
    </w:pPr>
  </w:style>
  <w:style w:type="paragraph" w:customStyle="1" w:styleId="184">
    <w:name w:val="Char Char Char Char Char Char Char"/>
    <w:basedOn w:val="1"/>
    <w:qFormat/>
    <w:uiPriority w:val="99"/>
    <w:rPr>
      <w:rFonts w:ascii="仿宋_GB2312" w:eastAsia="仿宋_GB2312"/>
      <w:b/>
      <w:sz w:val="32"/>
      <w:szCs w:val="32"/>
    </w:rPr>
  </w:style>
  <w:style w:type="paragraph" w:customStyle="1" w:styleId="185">
    <w:name w:val="Char Char Char Char Char Char Char Char Char Char Char Char Char1"/>
    <w:basedOn w:val="1"/>
    <w:qFormat/>
    <w:uiPriority w:val="99"/>
    <w:rPr>
      <w:rFonts w:ascii="Tahoma" w:hAnsi="Tahoma"/>
      <w:sz w:val="24"/>
      <w:szCs w:val="20"/>
    </w:rPr>
  </w:style>
  <w:style w:type="paragraph" w:customStyle="1" w:styleId="186">
    <w:name w:val="Blockquote"/>
    <w:basedOn w:val="1"/>
    <w:autoRedefine/>
    <w:qFormat/>
    <w:uiPriority w:val="99"/>
    <w:pPr>
      <w:autoSpaceDE w:val="0"/>
      <w:autoSpaceDN w:val="0"/>
      <w:adjustRightInd w:val="0"/>
      <w:spacing w:before="100" w:after="100"/>
      <w:ind w:left="360" w:right="360"/>
      <w:jc w:val="left"/>
    </w:pPr>
    <w:rPr>
      <w:kern w:val="0"/>
      <w:sz w:val="24"/>
      <w:szCs w:val="20"/>
    </w:rPr>
  </w:style>
  <w:style w:type="paragraph" w:customStyle="1" w:styleId="187">
    <w:name w:val="默认段落字体 Para Char"/>
    <w:basedOn w:val="1"/>
    <w:qFormat/>
    <w:uiPriority w:val="99"/>
    <w:pPr>
      <w:tabs>
        <w:tab w:val="left" w:pos="360"/>
      </w:tabs>
      <w:adjustRightInd w:val="0"/>
      <w:textAlignment w:val="baseline"/>
    </w:pPr>
    <w:rPr>
      <w:kern w:val="0"/>
      <w:sz w:val="24"/>
      <w:szCs w:val="20"/>
    </w:rPr>
  </w:style>
  <w:style w:type="paragraph" w:customStyle="1" w:styleId="188">
    <w:name w:val="Char Char Char Char Char Char Char Char Char Char Char Char Char"/>
    <w:basedOn w:val="1"/>
    <w:qFormat/>
    <w:uiPriority w:val="99"/>
  </w:style>
  <w:style w:type="paragraph" w:customStyle="1" w:styleId="189">
    <w:name w:val="Char Char Char Char Char Char Char Char Char Char Char Char Char2"/>
    <w:basedOn w:val="1"/>
    <w:qFormat/>
    <w:uiPriority w:val="99"/>
    <w:rPr>
      <w:rFonts w:ascii="Tahoma" w:hAnsi="Tahoma"/>
      <w:sz w:val="24"/>
      <w:szCs w:val="20"/>
    </w:rPr>
  </w:style>
  <w:style w:type="paragraph" w:customStyle="1" w:styleId="190">
    <w:name w:val="bt1bt1"/>
    <w:basedOn w:val="2"/>
    <w:autoRedefine/>
    <w:qFormat/>
    <w:uiPriority w:val="99"/>
    <w:pPr>
      <w:keepLines/>
      <w:spacing w:before="280" w:after="290"/>
    </w:pPr>
    <w:rPr>
      <w:rFonts w:ascii="黑体" w:eastAsia="黑体"/>
      <w:b w:val="0"/>
      <w:bCs w:val="0"/>
      <w:kern w:val="0"/>
      <w:sz w:val="36"/>
      <w:szCs w:val="36"/>
    </w:rPr>
  </w:style>
  <w:style w:type="paragraph" w:customStyle="1" w:styleId="191">
    <w:name w:val="ml"/>
    <w:basedOn w:val="29"/>
    <w:qFormat/>
    <w:uiPriority w:val="99"/>
    <w:pPr>
      <w:tabs>
        <w:tab w:val="clear" w:pos="9628"/>
      </w:tabs>
      <w:spacing w:before="120" w:after="120" w:line="240" w:lineRule="auto"/>
      <w:jc w:val="left"/>
    </w:pPr>
    <w:rPr>
      <w:rFonts w:ascii="Calibri" w:hAnsi="Calibri" w:eastAsia="宋体" w:cs="Calibri"/>
      <w:b/>
      <w:bCs w:val="0"/>
      <w:caps/>
      <w:kern w:val="0"/>
      <w:szCs w:val="20"/>
    </w:rPr>
  </w:style>
  <w:style w:type="paragraph" w:customStyle="1" w:styleId="192">
    <w:name w:val="xl55"/>
    <w:basedOn w:val="1"/>
    <w:qFormat/>
    <w:uiPriority w:val="99"/>
    <w:pPr>
      <w:widowControl/>
      <w:spacing w:before="100" w:beforeAutospacing="1" w:after="100" w:afterAutospacing="1"/>
      <w:jc w:val="center"/>
      <w:textAlignment w:val="center"/>
    </w:pPr>
    <w:rPr>
      <w:rFonts w:ascii="Arial Unicode MS" w:hAnsi="Arial Unicode MS"/>
      <w:kern w:val="0"/>
      <w:sz w:val="24"/>
      <w:szCs w:val="20"/>
    </w:rPr>
  </w:style>
  <w:style w:type="paragraph" w:customStyle="1" w:styleId="193">
    <w:name w:val="标题 10"/>
    <w:basedOn w:val="3"/>
    <w:qFormat/>
    <w:uiPriority w:val="99"/>
    <w:pPr>
      <w:keepNext/>
      <w:adjustRightInd/>
      <w:spacing w:before="280" w:after="290" w:line="377" w:lineRule="auto"/>
      <w:jc w:val="center"/>
      <w:textAlignment w:val="auto"/>
    </w:pPr>
    <w:rPr>
      <w:rFonts w:ascii="方正黑体简体" w:eastAsia="方正黑体简体"/>
      <w:sz w:val="28"/>
      <w:szCs w:val="28"/>
    </w:rPr>
  </w:style>
  <w:style w:type="paragraph" w:customStyle="1" w:styleId="194">
    <w:name w:val="修订11"/>
    <w:autoRedefine/>
    <w:qFormat/>
    <w:uiPriority w:val="99"/>
    <w:rPr>
      <w:rFonts w:ascii="Times New Roman" w:hAnsi="Times New Roman" w:eastAsia="宋体" w:cs="Times New Roman"/>
      <w:kern w:val="2"/>
      <w:sz w:val="21"/>
      <w:szCs w:val="24"/>
      <w:lang w:val="en-US" w:eastAsia="zh-CN" w:bidi="ar-SA"/>
    </w:rPr>
  </w:style>
  <w:style w:type="paragraph" w:customStyle="1" w:styleId="195">
    <w:name w:val="第四级"/>
    <w:basedOn w:val="1"/>
    <w:next w:val="172"/>
    <w:qFormat/>
    <w:uiPriority w:val="99"/>
    <w:pPr>
      <w:tabs>
        <w:tab w:val="left" w:pos="1134"/>
      </w:tabs>
      <w:adjustRightInd w:val="0"/>
      <w:spacing w:line="360" w:lineRule="auto"/>
      <w:textAlignment w:val="baseline"/>
    </w:pPr>
    <w:rPr>
      <w:rFonts w:ascii="宋体" w:hAnsi="宋体" w:eastAsia="仿宋"/>
      <w:kern w:val="0"/>
      <w:sz w:val="28"/>
      <w:szCs w:val="21"/>
    </w:rPr>
  </w:style>
  <w:style w:type="paragraph" w:customStyle="1" w:styleId="196">
    <w:name w:val="样式 标题 3 + (中文) 黑体 小四 非加粗 段前: 7.8 磅 段后: 0 磅 行距: 固定值 20 磅"/>
    <w:basedOn w:val="4"/>
    <w:autoRedefine/>
    <w:qFormat/>
    <w:uiPriority w:val="99"/>
    <w:pPr>
      <w:spacing w:before="0" w:after="0" w:line="400" w:lineRule="exact"/>
      <w:ind w:firstLine="480" w:firstLineChars="200"/>
    </w:pPr>
    <w:rPr>
      <w:rFonts w:hAnsi="Arial" w:eastAsia="黑体" w:cs="宋体"/>
      <w:b w:val="0"/>
      <w:bCs w:val="0"/>
      <w:sz w:val="24"/>
      <w:szCs w:val="24"/>
    </w:rPr>
  </w:style>
  <w:style w:type="paragraph" w:customStyle="1" w:styleId="197">
    <w:name w:val="_Style 38"/>
    <w:basedOn w:val="14"/>
    <w:qFormat/>
    <w:uiPriority w:val="99"/>
    <w:rPr>
      <w:rFonts w:ascii="Tahoma" w:hAnsi="Tahoma"/>
      <w:sz w:val="24"/>
    </w:rPr>
  </w:style>
  <w:style w:type="paragraph" w:customStyle="1" w:styleId="198">
    <w:name w:val="xl35"/>
    <w:basedOn w:val="1"/>
    <w:qFormat/>
    <w:uiPriority w:val="99"/>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等线"/>
      <w:kern w:val="0"/>
      <w:sz w:val="24"/>
    </w:rPr>
  </w:style>
  <w:style w:type="paragraph" w:customStyle="1" w:styleId="199">
    <w:name w:val="Char"/>
    <w:basedOn w:val="1"/>
    <w:qFormat/>
    <w:uiPriority w:val="99"/>
    <w:pPr>
      <w:ind w:left="960" w:leftChars="400" w:firstLine="420" w:firstLineChars="200"/>
    </w:pPr>
    <w:rPr>
      <w:rFonts w:ascii="宋体" w:hAnsi="宋体"/>
      <w:szCs w:val="21"/>
    </w:rPr>
  </w:style>
  <w:style w:type="paragraph" w:customStyle="1" w:styleId="200">
    <w:name w:val="2级"/>
    <w:basedOn w:val="3"/>
    <w:next w:val="37"/>
    <w:qFormat/>
    <w:uiPriority w:val="99"/>
    <w:pPr>
      <w:keepNext/>
      <w:adjustRightInd/>
      <w:spacing w:before="260" w:after="260" w:line="415" w:lineRule="auto"/>
      <w:ind w:left="420"/>
      <w:textAlignment w:val="auto"/>
    </w:pPr>
    <w:rPr>
      <w:rFonts w:ascii="Cambria" w:hAnsi="Cambria"/>
      <w:bCs/>
      <w:sz w:val="30"/>
      <w:szCs w:val="32"/>
    </w:rPr>
  </w:style>
  <w:style w:type="paragraph" w:customStyle="1" w:styleId="201">
    <w:name w:val="Char1"/>
    <w:basedOn w:val="1"/>
    <w:qFormat/>
    <w:uiPriority w:val="99"/>
    <w:rPr>
      <w:szCs w:val="20"/>
    </w:rPr>
  </w:style>
  <w:style w:type="paragraph" w:styleId="202">
    <w:name w:val="List Paragraph"/>
    <w:basedOn w:val="1"/>
    <w:autoRedefine/>
    <w:qFormat/>
    <w:uiPriority w:val="99"/>
    <w:pPr>
      <w:ind w:firstLine="420" w:firstLineChars="200"/>
    </w:pPr>
  </w:style>
  <w:style w:type="paragraph" w:customStyle="1" w:styleId="203">
    <w:name w:val="简单回函地址"/>
    <w:basedOn w:val="1"/>
    <w:qFormat/>
    <w:uiPriority w:val="99"/>
  </w:style>
  <w:style w:type="paragraph" w:customStyle="1" w:styleId="204">
    <w:name w:val="Char Char Char Char1"/>
    <w:basedOn w:val="1"/>
    <w:autoRedefine/>
    <w:qFormat/>
    <w:uiPriority w:val="99"/>
    <w:rPr>
      <w:rFonts w:ascii="Tahoma" w:hAnsi="Tahoma"/>
      <w:sz w:val="24"/>
      <w:szCs w:val="20"/>
    </w:rPr>
  </w:style>
  <w:style w:type="paragraph" w:customStyle="1" w:styleId="205">
    <w:name w:val="Char Char Char Char"/>
    <w:basedOn w:val="14"/>
    <w:autoRedefine/>
    <w:qFormat/>
    <w:uiPriority w:val="99"/>
    <w:rPr>
      <w:rFonts w:ascii="Tahoma" w:hAnsi="Tahoma"/>
      <w:sz w:val="24"/>
    </w:rPr>
  </w:style>
  <w:style w:type="paragraph" w:customStyle="1" w:styleId="206">
    <w:name w:val="彩色列表 - 强调文字颜色 12"/>
    <w:basedOn w:val="1"/>
    <w:autoRedefine/>
    <w:qFormat/>
    <w:uiPriority w:val="99"/>
    <w:pPr>
      <w:ind w:firstLine="420" w:firstLineChars="200"/>
    </w:pPr>
  </w:style>
  <w:style w:type="paragraph" w:customStyle="1" w:styleId="207">
    <w:name w:val="纯文本2"/>
    <w:basedOn w:val="157"/>
    <w:autoRedefine/>
    <w:qFormat/>
    <w:uiPriority w:val="99"/>
    <w:pPr>
      <w:widowControl/>
      <w:jc w:val="left"/>
    </w:pPr>
    <w:rPr>
      <w:rFonts w:ascii="宋体" w:hAnsi="Courier New"/>
    </w:rPr>
  </w:style>
  <w:style w:type="paragraph" w:customStyle="1" w:styleId="208">
    <w:name w:val="节"/>
    <w:basedOn w:val="3"/>
    <w:autoRedefine/>
    <w:qFormat/>
    <w:uiPriority w:val="99"/>
    <w:pPr>
      <w:keepNext/>
      <w:tabs>
        <w:tab w:val="left" w:pos="432"/>
        <w:tab w:val="left" w:pos="576"/>
      </w:tabs>
      <w:adjustRightInd/>
      <w:spacing w:before="280" w:after="290" w:line="240" w:lineRule="auto"/>
      <w:ind w:left="576" w:hanging="576"/>
      <w:textAlignment w:val="auto"/>
    </w:pPr>
    <w:rPr>
      <w:rFonts w:ascii="黑体" w:eastAsia="方正黑体简体"/>
      <w:b w:val="0"/>
      <w:kern w:val="2"/>
      <w:sz w:val="28"/>
      <w:szCs w:val="28"/>
    </w:rPr>
  </w:style>
  <w:style w:type="paragraph" w:customStyle="1" w:styleId="209">
    <w:name w:val="标题 60"/>
    <w:basedOn w:val="7"/>
    <w:qFormat/>
    <w:uiPriority w:val="99"/>
    <w:pPr>
      <w:spacing w:line="319" w:lineRule="auto"/>
      <w:ind w:firstLine="200" w:firstLineChars="200"/>
    </w:pPr>
    <w:rPr>
      <w:b w:val="0"/>
      <w:szCs w:val="24"/>
    </w:rPr>
  </w:style>
  <w:style w:type="paragraph" w:customStyle="1" w:styleId="210">
    <w:name w:val="ml3"/>
    <w:basedOn w:val="29"/>
    <w:qFormat/>
    <w:uiPriority w:val="99"/>
    <w:pPr>
      <w:tabs>
        <w:tab w:val="clear" w:pos="9628"/>
      </w:tabs>
      <w:spacing w:before="120" w:after="120" w:line="240" w:lineRule="auto"/>
      <w:ind w:left="840" w:leftChars="400"/>
      <w:jc w:val="left"/>
    </w:pPr>
    <w:rPr>
      <w:rFonts w:ascii="Calibri" w:hAnsi="Calibri" w:eastAsia="宋体" w:cs="Calibri"/>
      <w:b/>
      <w:caps/>
      <w:szCs w:val="20"/>
    </w:rPr>
  </w:style>
  <w:style w:type="paragraph" w:customStyle="1" w:styleId="211">
    <w:name w:val="默认段落字体 Para Char Char Char Char Char Char Char"/>
    <w:basedOn w:val="1"/>
    <w:autoRedefine/>
    <w:qFormat/>
    <w:uiPriority w:val="99"/>
    <w:rPr>
      <w:rFonts w:ascii="Tahoma" w:hAnsi="Tahoma"/>
      <w:sz w:val="24"/>
      <w:szCs w:val="20"/>
    </w:rPr>
  </w:style>
  <w:style w:type="paragraph" w:customStyle="1" w:styleId="212">
    <w:name w:val="p0"/>
    <w:basedOn w:val="1"/>
    <w:qFormat/>
    <w:uiPriority w:val="99"/>
    <w:pPr>
      <w:widowControl/>
      <w:spacing w:line="360" w:lineRule="auto"/>
    </w:pPr>
    <w:rPr>
      <w:rFonts w:cs="黑体"/>
      <w:kern w:val="0"/>
      <w:szCs w:val="21"/>
    </w:rPr>
  </w:style>
  <w:style w:type="paragraph" w:customStyle="1" w:styleId="213">
    <w:name w:val="保留正文"/>
    <w:basedOn w:val="16"/>
    <w:autoRedefine/>
    <w:qFormat/>
    <w:uiPriority w:val="99"/>
    <w:pPr>
      <w:keepNext/>
      <w:spacing w:after="160"/>
    </w:pPr>
  </w:style>
  <w:style w:type="table" w:customStyle="1" w:styleId="214">
    <w:name w:val="网格型1"/>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5">
    <w:name w:val="网格型2"/>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6">
    <w:name w:val="专业型1"/>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style>
  <w:style w:type="paragraph" w:customStyle="1" w:styleId="217">
    <w:name w:val="正文文本 (2)"/>
    <w:basedOn w:val="1"/>
    <w:autoRedefine/>
    <w:qFormat/>
    <w:uiPriority w:val="99"/>
    <w:pPr>
      <w:shd w:val="clear" w:color="auto" w:fill="FFFFFF"/>
      <w:spacing w:line="319" w:lineRule="auto"/>
      <w:ind w:firstLine="120"/>
    </w:pPr>
    <w:rPr>
      <w:sz w:val="19"/>
      <w:szCs w:val="19"/>
      <w:lang w:val="zh-CN"/>
    </w:rPr>
  </w:style>
  <w:style w:type="paragraph" w:customStyle="1" w:styleId="218">
    <w:name w:val="正文文本1"/>
    <w:basedOn w:val="1"/>
    <w:qFormat/>
    <w:uiPriority w:val="99"/>
    <w:pPr>
      <w:shd w:val="clear" w:color="auto" w:fill="FFFFFF"/>
      <w:spacing w:line="326" w:lineRule="auto"/>
    </w:pPr>
    <w:rPr>
      <w:rFonts w:ascii="MingLiUfalt" w:hAnsi="MingLiUfalt" w:eastAsia="MingLiUfalt" w:cs="MingLiUfalt"/>
      <w:sz w:val="19"/>
      <w:szCs w:val="19"/>
      <w:lang w:val="zh-CN"/>
    </w:rPr>
  </w:style>
  <w:style w:type="paragraph" w:customStyle="1" w:styleId="219">
    <w:name w:val="样式 首行缩进:  2 字符"/>
    <w:basedOn w:val="1"/>
    <w:qFormat/>
    <w:uiPriority w:val="99"/>
    <w:pPr>
      <w:spacing w:line="360" w:lineRule="auto"/>
      <w:ind w:firstLine="480" w:firstLineChars="200"/>
    </w:pPr>
    <w:rPr>
      <w:rFonts w:ascii="宋体" w:hAnsi="宋体" w:cs="宋体"/>
      <w:color w:val="000000"/>
      <w:sz w:val="24"/>
    </w:rPr>
  </w:style>
  <w:style w:type="paragraph" w:customStyle="1" w:styleId="220">
    <w:name w:val="※正文"/>
    <w:basedOn w:val="1"/>
    <w:next w:val="1"/>
    <w:autoRedefine/>
    <w:qFormat/>
    <w:uiPriority w:val="0"/>
    <w:pPr>
      <w:widowControl/>
      <w:wordWrap w:val="0"/>
      <w:spacing w:line="400" w:lineRule="exact"/>
    </w:pPr>
    <w:rPr>
      <w:rFonts w:ascii="Calibri Light" w:hAnsi="Calibri Light" w:eastAsia="华文仿宋"/>
      <w:sz w:val="28"/>
      <w:szCs w:val="28"/>
    </w:rPr>
  </w:style>
  <w:style w:type="paragraph" w:customStyle="1" w:styleId="221">
    <w:name w:val="表格文字"/>
    <w:basedOn w:val="222"/>
    <w:next w:val="16"/>
    <w:autoRedefine/>
    <w:qFormat/>
    <w:uiPriority w:val="0"/>
    <w:pPr>
      <w:spacing w:line="420" w:lineRule="atLeast"/>
    </w:pPr>
    <w:rPr>
      <w:rFonts w:ascii="Times New Roman" w:hAnsi="Times New Roman"/>
      <w:szCs w:val="24"/>
    </w:rPr>
  </w:style>
  <w:style w:type="paragraph" w:customStyle="1" w:styleId="222">
    <w:name w:val="表格"/>
    <w:basedOn w:val="1"/>
    <w:qFormat/>
    <w:uiPriority w:val="99"/>
    <w:pPr>
      <w:autoSpaceDE w:val="0"/>
      <w:autoSpaceDN w:val="0"/>
      <w:adjustRightInd w:val="0"/>
      <w:snapToGrid w:val="0"/>
      <w:ind w:firstLine="42" w:firstLineChars="21"/>
      <w:jc w:val="left"/>
    </w:pPr>
    <w:rPr>
      <w:rFonts w:ascii="仿宋_GB2312" w:hAnsi="仿宋_GB2312" w:eastAsia="仿宋_GB2312"/>
      <w:kern w:val="0"/>
      <w:sz w:val="20"/>
      <w:szCs w:val="20"/>
    </w:rPr>
  </w:style>
  <w:style w:type="paragraph" w:customStyle="1" w:styleId="223">
    <w:name w:val="zw1"/>
    <w:basedOn w:val="1"/>
    <w:qFormat/>
    <w:uiPriority w:val="0"/>
    <w:pPr>
      <w:spacing w:line="360" w:lineRule="auto"/>
      <w:ind w:firstLine="560" w:firstLineChars="200"/>
    </w:pPr>
    <w:rPr>
      <w:sz w:val="28"/>
      <w:szCs w:val="20"/>
    </w:rPr>
  </w:style>
  <w:style w:type="paragraph" w:customStyle="1" w:styleId="224">
    <w:name w:val="Body text|1"/>
    <w:basedOn w:val="1"/>
    <w:qFormat/>
    <w:uiPriority w:val="0"/>
    <w:pPr>
      <w:spacing w:line="473" w:lineRule="auto"/>
      <w:ind w:firstLine="400"/>
    </w:pPr>
    <w:rPr>
      <w:rFonts w:ascii="宋体" w:hAnsi="宋体" w:cs="宋体"/>
      <w:sz w:val="20"/>
      <w:szCs w:val="20"/>
      <w:lang w:val="zh-TW" w:eastAsia="zh-TW" w:bidi="zh-TW"/>
    </w:rPr>
  </w:style>
  <w:style w:type="paragraph" w:customStyle="1" w:styleId="225">
    <w:name w:val="Table Paragraph"/>
    <w:basedOn w:val="1"/>
    <w:autoRedefine/>
    <w:qFormat/>
    <w:uiPriority w:val="1"/>
    <w:pPr>
      <w:spacing w:before="103"/>
      <w:ind w:left="98"/>
      <w:jc w:val="center"/>
    </w:pPr>
    <w:rPr>
      <w:rFonts w:ascii="宋体" w:hAnsi="宋体" w:cs="宋体"/>
      <w:lang w:eastAsia="en-US" w:bidi="en-US"/>
    </w:rPr>
  </w:style>
  <w:style w:type="character" w:customStyle="1" w:styleId="226">
    <w:name w:val="font11"/>
    <w:basedOn w:val="41"/>
    <w:qFormat/>
    <w:uiPriority w:val="0"/>
    <w:rPr>
      <w:rFonts w:hint="eastAsia" w:ascii="宋体" w:hAnsi="宋体" w:eastAsia="宋体" w:cs="宋体"/>
      <w:color w:val="000000"/>
      <w:sz w:val="20"/>
      <w:szCs w:val="20"/>
      <w:u w:val="none"/>
    </w:rPr>
  </w:style>
  <w:style w:type="character" w:customStyle="1" w:styleId="227">
    <w:name w:val="font71"/>
    <w:basedOn w:val="41"/>
    <w:qFormat/>
    <w:uiPriority w:val="0"/>
    <w:rPr>
      <w:rFonts w:hint="eastAsia" w:ascii="宋体" w:hAnsi="宋体" w:eastAsia="宋体" w:cs="宋体"/>
      <w:color w:val="000000"/>
      <w:sz w:val="20"/>
      <w:szCs w:val="20"/>
      <w:u w:val="none"/>
    </w:rPr>
  </w:style>
  <w:style w:type="paragraph" w:customStyle="1" w:styleId="228">
    <w:name w:val="样式 10 磅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29">
    <w:name w:val="font21"/>
    <w:basedOn w:val="41"/>
    <w:qFormat/>
    <w:uiPriority w:val="0"/>
    <w:rPr>
      <w:rFonts w:hint="eastAsia" w:ascii="微软雅黑" w:hAnsi="微软雅黑" w:eastAsia="微软雅黑" w:cs="微软雅黑"/>
      <w:color w:val="000000"/>
      <w:sz w:val="12"/>
      <w:szCs w:val="12"/>
      <w:u w:val="none"/>
    </w:rPr>
  </w:style>
  <w:style w:type="character" w:customStyle="1" w:styleId="230">
    <w:name w:val="area_1"/>
    <w:autoRedefine/>
    <w:qFormat/>
    <w:uiPriority w:val="0"/>
    <w:rPr>
      <w:rFonts w:ascii="宋体" w:hAnsi="宋体"/>
      <w:sz w:val="24"/>
    </w:rPr>
  </w:style>
  <w:style w:type="character" w:customStyle="1" w:styleId="231">
    <w:name w:val="font41"/>
    <w:basedOn w:val="41"/>
    <w:qFormat/>
    <w:uiPriority w:val="0"/>
    <w:rPr>
      <w:rFonts w:hint="eastAsia" w:ascii="宋体" w:hAnsi="宋体" w:eastAsia="宋体" w:cs="宋体"/>
      <w:color w:val="000000"/>
      <w:sz w:val="20"/>
      <w:szCs w:val="20"/>
      <w:u w:val="none"/>
    </w:rPr>
  </w:style>
  <w:style w:type="character" w:customStyle="1" w:styleId="232">
    <w:name w:val="font81"/>
    <w:basedOn w:val="41"/>
    <w:qFormat/>
    <w:uiPriority w:val="0"/>
    <w:rPr>
      <w:rFonts w:hint="eastAsia" w:ascii="宋体" w:hAnsi="宋体" w:eastAsia="宋体" w:cs="宋体"/>
      <w:color w:val="FF0000"/>
      <w:sz w:val="20"/>
      <w:szCs w:val="20"/>
      <w:u w:val="none"/>
    </w:rPr>
  </w:style>
  <w:style w:type="character" w:customStyle="1" w:styleId="233">
    <w:name w:val="font101"/>
    <w:basedOn w:val="41"/>
    <w:autoRedefine/>
    <w:qFormat/>
    <w:uiPriority w:val="0"/>
    <w:rPr>
      <w:rFonts w:hint="eastAsia" w:ascii="黑体" w:hAnsi="宋体" w:eastAsia="黑体" w:cs="黑体"/>
      <w:color w:val="000000"/>
      <w:sz w:val="16"/>
      <w:szCs w:val="16"/>
      <w:u w:val="none"/>
    </w:rPr>
  </w:style>
  <w:style w:type="character" w:customStyle="1" w:styleId="234">
    <w:name w:val="font121"/>
    <w:basedOn w:val="41"/>
    <w:qFormat/>
    <w:uiPriority w:val="0"/>
    <w:rPr>
      <w:rFonts w:ascii="华文细黑" w:hAnsi="华文细黑" w:eastAsia="华文细黑" w:cs="华文细黑"/>
      <w:color w:val="000000"/>
      <w:sz w:val="16"/>
      <w:szCs w:val="16"/>
      <w:u w:val="none"/>
    </w:rPr>
  </w:style>
  <w:style w:type="character" w:customStyle="1" w:styleId="235">
    <w:name w:val="font131"/>
    <w:basedOn w:val="41"/>
    <w:qFormat/>
    <w:uiPriority w:val="0"/>
    <w:rPr>
      <w:rFonts w:hint="eastAsia" w:ascii="宋体" w:hAnsi="宋体" w:eastAsia="宋体" w:cs="宋体"/>
      <w:color w:val="000000"/>
      <w:sz w:val="16"/>
      <w:szCs w:val="16"/>
      <w:u w:val="none"/>
    </w:rPr>
  </w:style>
  <w:style w:type="character" w:customStyle="1" w:styleId="236">
    <w:name w:val="font01"/>
    <w:basedOn w:val="41"/>
    <w:qFormat/>
    <w:uiPriority w:val="0"/>
    <w:rPr>
      <w:rFonts w:hint="eastAsia" w:ascii="黑体" w:hAnsi="宋体" w:eastAsia="黑体" w:cs="黑体"/>
      <w:color w:val="000000"/>
      <w:sz w:val="16"/>
      <w:szCs w:val="16"/>
      <w:u w:val="none"/>
    </w:rPr>
  </w:style>
  <w:style w:type="character" w:customStyle="1" w:styleId="237">
    <w:name w:val="font111"/>
    <w:basedOn w:val="41"/>
    <w:autoRedefine/>
    <w:qFormat/>
    <w:uiPriority w:val="0"/>
    <w:rPr>
      <w:rFonts w:hint="eastAsia" w:ascii="宋体" w:hAnsi="宋体" w:eastAsia="宋体" w:cs="宋体"/>
      <w:color w:val="000000"/>
      <w:sz w:val="16"/>
      <w:szCs w:val="16"/>
      <w:u w:val="none"/>
    </w:rPr>
  </w:style>
  <w:style w:type="character" w:customStyle="1" w:styleId="238">
    <w:name w:val="font112"/>
    <w:basedOn w:val="41"/>
    <w:autoRedefine/>
    <w:qFormat/>
    <w:uiPriority w:val="0"/>
    <w:rPr>
      <w:rFonts w:hint="eastAsia" w:ascii="宋体" w:hAnsi="宋体" w:eastAsia="宋体" w:cs="宋体"/>
      <w:color w:val="000000"/>
      <w:sz w:val="16"/>
      <w:szCs w:val="16"/>
      <w:u w:val="none"/>
    </w:rPr>
  </w:style>
  <w:style w:type="character" w:customStyle="1" w:styleId="239">
    <w:name w:val="font141"/>
    <w:basedOn w:val="41"/>
    <w:autoRedefine/>
    <w:qFormat/>
    <w:uiPriority w:val="0"/>
    <w:rPr>
      <w:rFonts w:hint="eastAsia" w:ascii="宋体" w:hAnsi="宋体" w:eastAsia="宋体" w:cs="宋体"/>
      <w:color w:val="000000"/>
      <w:sz w:val="16"/>
      <w:szCs w:val="16"/>
      <w:u w:val="none"/>
    </w:rPr>
  </w:style>
  <w:style w:type="character" w:customStyle="1" w:styleId="240">
    <w:name w:val="font151"/>
    <w:basedOn w:val="41"/>
    <w:autoRedefine/>
    <w:qFormat/>
    <w:uiPriority w:val="0"/>
    <w:rPr>
      <w:rFonts w:ascii="华文细黑" w:hAnsi="华文细黑" w:eastAsia="华文细黑" w:cs="华文细黑"/>
      <w:color w:val="000000"/>
      <w:sz w:val="16"/>
      <w:szCs w:val="16"/>
      <w:u w:val="none"/>
    </w:rPr>
  </w:style>
  <w:style w:type="character" w:customStyle="1" w:styleId="241">
    <w:name w:val="font161"/>
    <w:basedOn w:val="41"/>
    <w:qFormat/>
    <w:uiPriority w:val="0"/>
    <w:rPr>
      <w:rFonts w:hint="eastAsia" w:ascii="宋体" w:hAnsi="宋体" w:eastAsia="宋体" w:cs="宋体"/>
      <w:color w:val="000000"/>
      <w:sz w:val="24"/>
      <w:szCs w:val="24"/>
      <w:u w:val="none"/>
    </w:rPr>
  </w:style>
  <w:style w:type="character" w:customStyle="1" w:styleId="242">
    <w:name w:val="font31"/>
    <w:basedOn w:val="41"/>
    <w:autoRedefine/>
    <w:qFormat/>
    <w:uiPriority w:val="0"/>
    <w:rPr>
      <w:rFonts w:hint="eastAsia" w:ascii="微软雅黑" w:hAnsi="微软雅黑" w:eastAsia="微软雅黑" w:cs="微软雅黑"/>
      <w:color w:val="000000"/>
      <w:sz w:val="20"/>
      <w:szCs w:val="20"/>
      <w:u w:val="none"/>
    </w:rPr>
  </w:style>
  <w:style w:type="character" w:customStyle="1" w:styleId="243">
    <w:name w:val="font61"/>
    <w:basedOn w:val="41"/>
    <w:qFormat/>
    <w:uiPriority w:val="0"/>
    <w:rPr>
      <w:rFonts w:hint="eastAsia" w:ascii="微软雅黑" w:hAnsi="微软雅黑" w:eastAsia="微软雅黑" w:cs="微软雅黑"/>
      <w:b/>
      <w:bCs/>
      <w:color w:val="FF0000"/>
      <w:sz w:val="20"/>
      <w:szCs w:val="20"/>
      <w:u w:val="none"/>
    </w:rPr>
  </w:style>
  <w:style w:type="character" w:customStyle="1" w:styleId="244">
    <w:name w:val="font51"/>
    <w:basedOn w:val="41"/>
    <w:autoRedefine/>
    <w:qFormat/>
    <w:uiPriority w:val="0"/>
    <w:rPr>
      <w:rFonts w:hint="eastAsia" w:ascii="黑体" w:hAnsi="宋体" w:eastAsia="黑体" w:cs="黑体"/>
      <w:color w:val="000000"/>
      <w:sz w:val="20"/>
      <w:szCs w:val="20"/>
      <w:u w:val="none"/>
    </w:rPr>
  </w:style>
  <w:style w:type="paragraph" w:customStyle="1" w:styleId="245">
    <w:name w:val="列出段落3"/>
    <w:basedOn w:val="1"/>
    <w:qFormat/>
    <w:uiPriority w:val="0"/>
    <w:pPr>
      <w:spacing w:line="360" w:lineRule="auto"/>
      <w:ind w:firstLine="420" w:firstLineChars="200"/>
    </w:pPr>
    <w:rPr>
      <w:rFonts w:ascii="Calibri" w:hAnsi="Calibri"/>
      <w:sz w:val="24"/>
      <w:szCs w:val="22"/>
    </w:rPr>
  </w:style>
  <w:style w:type="paragraph" w:customStyle="1" w:styleId="246">
    <w:name w:val="BodyText"/>
    <w:basedOn w:val="1"/>
    <w:next w:val="1"/>
    <w:autoRedefine/>
    <w:qFormat/>
    <w:uiPriority w:val="0"/>
    <w:pPr>
      <w:spacing w:after="120"/>
      <w:textAlignment w:val="baseline"/>
    </w:pPr>
    <w:rPr>
      <w:rFonts w:cs="宋体"/>
      <w:szCs w:val="22"/>
    </w:rPr>
  </w:style>
  <w:style w:type="character" w:customStyle="1" w:styleId="247">
    <w:name w:val="NormalCharacter"/>
    <w:autoRedefine/>
    <w:qFormat/>
    <w:uiPriority w:val="0"/>
  </w:style>
  <w:style w:type="paragraph" w:customStyle="1" w:styleId="248">
    <w:name w:val="PlainText"/>
    <w:basedOn w:val="1"/>
    <w:autoRedefine/>
    <w:qFormat/>
    <w:uiPriority w:val="0"/>
    <w:pPr>
      <w:textAlignment w:val="baseline"/>
    </w:pPr>
    <w:rPr>
      <w:rFonts w:ascii="宋体" w:hAnsi="Courier New" w:eastAsia="仿宋_GB2312" w:cs="宋体"/>
      <w:b/>
      <w:bCs/>
      <w:color w:val="000000"/>
      <w:szCs w:val="22"/>
    </w:rPr>
  </w:style>
  <w:style w:type="table" w:customStyle="1" w:styleId="249">
    <w:name w:val="Table Normal"/>
    <w:qFormat/>
    <w:uiPriority w:val="0"/>
    <w:tblPr>
      <w:tblCellMar>
        <w:top w:w="0" w:type="dxa"/>
        <w:left w:w="0" w:type="dxa"/>
        <w:bottom w:w="0" w:type="dxa"/>
        <w:right w:w="0" w:type="dxa"/>
      </w:tblCellMar>
    </w:tblPr>
  </w:style>
  <w:style w:type="paragraph" w:customStyle="1" w:styleId="250">
    <w:name w:val="纯文本 New New"/>
    <w:basedOn w:val="1"/>
    <w:qFormat/>
    <w:uiPriority w:val="0"/>
    <w:pPr>
      <w:widowControl/>
      <w:overflowPunct w:val="0"/>
      <w:autoSpaceDE w:val="0"/>
      <w:autoSpaceDN w:val="0"/>
      <w:adjustRightInd w:val="0"/>
      <w:jc w:val="left"/>
      <w:textAlignment w:val="baseline"/>
    </w:pPr>
    <w:rPr>
      <w:rFonts w:ascii="宋体" w:hAnsi="Courier New"/>
    </w:rPr>
  </w:style>
  <w:style w:type="paragraph" w:customStyle="1" w:styleId="251">
    <w:name w:val="正文文本缩进 23"/>
    <w:basedOn w:val="1"/>
    <w:qFormat/>
    <w:uiPriority w:val="0"/>
    <w:pPr>
      <w:snapToGrid w:val="0"/>
      <w:spacing w:line="400" w:lineRule="exact"/>
      <w:ind w:firstLine="562" w:firstLineChars="200"/>
    </w:pPr>
    <w:rPr>
      <w:rFonts w:ascii="仿宋_GB2312" w:eastAsia="仿宋_GB2312"/>
      <w:b/>
      <w:bCs/>
      <w:kern w:val="0"/>
      <w:sz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40</Pages>
  <Words>16679</Words>
  <Characters>17622</Characters>
  <Paragraphs>1391</Paragraphs>
  <TotalTime>43</TotalTime>
  <ScaleCrop>false</ScaleCrop>
  <LinksUpToDate>false</LinksUpToDate>
  <CharactersWithSpaces>17802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2021-03-19T11:02:00Z</dcterms:created>
  <dc:creator>LCMZX</dc:creator>
  <cp:lastModifiedBy>吴秉泽</cp:lastModifiedBy>
  <cp:lastPrinted>2024-12-10T05:04:00Z</cp:lastPrinted>
  <dcterms:modified xsi:type="dcterms:W3CDTF">2025-03-19T08:46:44Z</dcterms:modified>
  <dc:title>温州市政府采购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CED15EB354A44F94B670A92C9DBB0354_13</vt:lpwstr>
  </property>
  <property fmtid="{D5CDD505-2E9C-101B-9397-08002B2CF9AE}" pid="4" name="commondata">
    <vt:lpwstr>eyJoZGlkIjoiZDRhNzcwYWMxNDc0YjRjN2UxZDk1NTg4ZWEwNTIzZDUifQ==</vt:lpwstr>
  </property>
  <property fmtid="{D5CDD505-2E9C-101B-9397-08002B2CF9AE}" pid="5" name="KSOTemplateDocerSaveRecord">
    <vt:lpwstr>eyJoZGlkIjoiZDRhNzcwYWMxNDc0YjRjN2UxZDk1NTg4ZWEwNTIzZDUiLCJ1c2VySWQiOiI2MzUzMDAzNzQifQ==</vt:lpwstr>
  </property>
</Properties>
</file>