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6"/>
        <w:tblW w:w="95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5"/>
      </w:tblGrid>
      <w:tr w14:paraId="2D935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83" w:hRule="atLeast"/>
          <w:jc w:val="center"/>
        </w:trPr>
        <w:tc>
          <w:tcPr>
            <w:tcW w:w="9555" w:type="dxa"/>
            <w:noWrap w:val="0"/>
            <w:vAlign w:val="top"/>
          </w:tcPr>
          <w:p w14:paraId="12DB4B73">
            <w:pPr>
              <w:tabs>
                <w:tab w:val="left" w:pos="6477"/>
              </w:tabs>
              <w:jc w:val="center"/>
              <w:rPr>
                <w:rFonts w:hint="eastAsia"/>
                <w:b/>
                <w:color w:val="auto"/>
                <w:sz w:val="36"/>
                <w:highlight w:val="none"/>
              </w:rPr>
            </w:pPr>
          </w:p>
          <w:p w14:paraId="40085E0C">
            <w:pPr>
              <w:jc w:val="center"/>
              <w:rPr>
                <w:rFonts w:hint="eastAsia"/>
                <w:color w:val="auto"/>
                <w:sz w:val="84"/>
                <w:szCs w:val="84"/>
                <w:highlight w:val="none"/>
              </w:rPr>
            </w:pPr>
            <w:r>
              <w:rPr>
                <w:rFonts w:hint="eastAsia"/>
                <w:color w:val="auto"/>
                <w:sz w:val="84"/>
                <w:szCs w:val="84"/>
                <w:highlight w:val="none"/>
              </w:rPr>
              <w:t>平  阳  县</w:t>
            </w:r>
          </w:p>
          <w:p w14:paraId="45617DF8">
            <w:pPr>
              <w:jc w:val="center"/>
              <w:rPr>
                <w:rFonts w:hint="eastAsia"/>
                <w:color w:val="auto"/>
                <w:sz w:val="72"/>
                <w:szCs w:val="72"/>
                <w:highlight w:val="none"/>
              </w:rPr>
            </w:pPr>
            <w:r>
              <w:rPr>
                <w:rFonts w:hint="eastAsia"/>
                <w:color w:val="auto"/>
                <w:sz w:val="72"/>
                <w:szCs w:val="72"/>
                <w:highlight w:val="none"/>
              </w:rPr>
              <w:t>政府采购招标文件</w:t>
            </w:r>
          </w:p>
          <w:p w14:paraId="7B21D898">
            <w:pPr>
              <w:spacing w:line="440" w:lineRule="exact"/>
              <w:jc w:val="center"/>
              <w:rPr>
                <w:rFonts w:hint="eastAsia"/>
                <w:bCs/>
                <w:color w:val="auto"/>
                <w:sz w:val="28"/>
                <w:highlight w:val="none"/>
              </w:rPr>
            </w:pPr>
            <w:r>
              <w:rPr>
                <w:rFonts w:hint="eastAsia"/>
                <w:b/>
                <w:color w:val="auto"/>
                <w:sz w:val="30"/>
                <w:highlight w:val="none"/>
              </w:rPr>
              <w:t>（线上电子招投标）</w:t>
            </w:r>
          </w:p>
          <w:p w14:paraId="5BAB9719">
            <w:pPr>
              <w:spacing w:line="440" w:lineRule="exact"/>
              <w:ind w:left="1148"/>
              <w:jc w:val="center"/>
              <w:rPr>
                <w:rFonts w:hint="default" w:eastAsia="宋体"/>
                <w:bCs/>
                <w:color w:val="auto"/>
                <w:sz w:val="28"/>
                <w:highlight w:val="none"/>
                <w:lang w:val="en-US" w:eastAsia="zh-CN"/>
              </w:rPr>
            </w:pPr>
          </w:p>
          <w:p w14:paraId="2D782915">
            <w:pPr>
              <w:spacing w:line="440" w:lineRule="exact"/>
              <w:rPr>
                <w:rFonts w:hint="eastAsia"/>
                <w:b/>
                <w:bCs/>
                <w:color w:val="auto"/>
                <w:sz w:val="28"/>
                <w:highlight w:val="none"/>
              </w:rPr>
            </w:pPr>
            <w:r>
              <w:rPr>
                <w:rFonts w:hint="eastAsia"/>
                <w:b/>
                <w:bCs/>
                <w:color w:val="auto"/>
                <w:sz w:val="28"/>
                <w:highlight w:val="none"/>
              </w:rPr>
              <w:t xml:space="preserve">                                         </w:t>
            </w:r>
          </w:p>
          <w:p w14:paraId="33D977D6">
            <w:pPr>
              <w:tabs>
                <w:tab w:val="left" w:pos="2019"/>
              </w:tabs>
              <w:spacing w:line="360" w:lineRule="auto"/>
              <w:ind w:left="3643" w:leftChars="873" w:hanging="1548" w:hangingChars="514"/>
              <w:rPr>
                <w:rFonts w:hint="eastAsia" w:eastAsia="宋体"/>
                <w:b/>
                <w:color w:val="auto"/>
                <w:sz w:val="30"/>
                <w:szCs w:val="30"/>
                <w:highlight w:val="none"/>
                <w:lang w:eastAsia="zh-CN"/>
              </w:rPr>
            </w:pPr>
            <w:r>
              <w:rPr>
                <w:rFonts w:hint="eastAsia"/>
                <w:b/>
                <w:color w:val="auto"/>
                <w:sz w:val="30"/>
                <w:szCs w:val="30"/>
                <w:highlight w:val="none"/>
              </w:rPr>
              <w:t>项目名称：</w:t>
            </w:r>
            <w:r>
              <w:rPr>
                <w:rFonts w:hint="eastAsia"/>
                <w:b/>
                <w:color w:val="auto"/>
                <w:sz w:val="30"/>
                <w:szCs w:val="30"/>
                <w:highlight w:val="none"/>
                <w:lang w:eastAsia="zh-CN"/>
              </w:rPr>
              <w:t>鳌江镇塘川高速互通路网交通安全设施项目</w:t>
            </w:r>
          </w:p>
          <w:p w14:paraId="21453048">
            <w:pPr>
              <w:tabs>
                <w:tab w:val="left" w:pos="2019"/>
              </w:tabs>
              <w:spacing w:line="360" w:lineRule="auto"/>
              <w:ind w:left="3643" w:leftChars="873" w:hanging="1548" w:hangingChars="514"/>
              <w:rPr>
                <w:rFonts w:hint="default" w:eastAsia="宋体"/>
                <w:b/>
                <w:color w:val="auto"/>
                <w:sz w:val="30"/>
                <w:highlight w:val="none"/>
                <w:lang w:val="en-US" w:eastAsia="zh-CN"/>
              </w:rPr>
            </w:pPr>
            <w:r>
              <w:rPr>
                <w:rFonts w:hint="eastAsia"/>
                <w:b/>
                <w:color w:val="auto"/>
                <w:sz w:val="30"/>
                <w:szCs w:val="30"/>
                <w:highlight w:val="none"/>
              </w:rPr>
              <w:t>招标编号：</w:t>
            </w:r>
            <w:r>
              <w:rPr>
                <w:rFonts w:hint="eastAsia"/>
                <w:b/>
                <w:color w:val="auto"/>
                <w:sz w:val="30"/>
                <w:szCs w:val="30"/>
                <w:highlight w:val="none"/>
                <w:lang w:eastAsia="zh-CN"/>
              </w:rPr>
              <w:t xml:space="preserve">WZYX-2025030501    </w:t>
            </w:r>
          </w:p>
          <w:p w14:paraId="74F9FBFA">
            <w:pPr>
              <w:tabs>
                <w:tab w:val="left" w:pos="2019"/>
              </w:tabs>
              <w:ind w:left="3643" w:leftChars="873" w:hanging="1548" w:hangingChars="514"/>
              <w:rPr>
                <w:rFonts w:hint="eastAsia"/>
                <w:b/>
                <w:color w:val="auto"/>
                <w:sz w:val="30"/>
                <w:highlight w:val="none"/>
              </w:rPr>
            </w:pPr>
          </w:p>
          <w:p w14:paraId="52CF06ED">
            <w:pPr>
              <w:pStyle w:val="63"/>
              <w:rPr>
                <w:rFonts w:hint="eastAsia" w:ascii="宋体" w:hAnsi="宋体" w:cs="宋体"/>
                <w:color w:val="auto"/>
                <w:highlight w:val="none"/>
                <w:lang w:val="en-US" w:eastAsia="zh-CN"/>
              </w:rPr>
            </w:pPr>
          </w:p>
          <w:p w14:paraId="385D99E9">
            <w:pPr>
              <w:tabs>
                <w:tab w:val="left" w:pos="2019"/>
              </w:tabs>
              <w:spacing w:line="360" w:lineRule="auto"/>
              <w:ind w:left="3643" w:leftChars="873" w:hanging="1548" w:hangingChars="514"/>
              <w:rPr>
                <w:rFonts w:hint="eastAsia" w:eastAsia="宋体"/>
                <w:b/>
                <w:color w:val="auto"/>
                <w:sz w:val="30"/>
                <w:szCs w:val="30"/>
                <w:highlight w:val="none"/>
                <w:lang w:eastAsia="zh-CN"/>
              </w:rPr>
            </w:pPr>
            <w:r>
              <w:rPr>
                <w:rFonts w:hint="eastAsia"/>
                <w:b/>
                <w:color w:val="auto"/>
                <w:sz w:val="30"/>
                <w:highlight w:val="none"/>
              </w:rPr>
              <w:t>采 购 人：</w:t>
            </w:r>
            <w:r>
              <w:rPr>
                <w:rFonts w:hint="eastAsia"/>
                <w:b/>
                <w:color w:val="auto"/>
                <w:sz w:val="30"/>
                <w:highlight w:val="none"/>
                <w:lang w:eastAsia="zh-CN"/>
              </w:rPr>
              <w:t>平阳县鳌江镇人民政府</w:t>
            </w:r>
          </w:p>
          <w:p w14:paraId="67AF060D">
            <w:pPr>
              <w:tabs>
                <w:tab w:val="left" w:pos="2019"/>
              </w:tabs>
              <w:spacing w:line="360" w:lineRule="auto"/>
              <w:ind w:left="3643" w:leftChars="873" w:hanging="1548" w:hangingChars="514"/>
              <w:rPr>
                <w:rFonts w:hint="eastAsia" w:eastAsia="宋体"/>
                <w:b/>
                <w:color w:val="auto"/>
                <w:sz w:val="30"/>
                <w:szCs w:val="30"/>
                <w:highlight w:val="none"/>
                <w:lang w:eastAsia="zh-CN"/>
              </w:rPr>
            </w:pPr>
            <w:r>
              <w:rPr>
                <w:rFonts w:hint="eastAsia"/>
                <w:b/>
                <w:color w:val="auto"/>
                <w:sz w:val="30"/>
                <w:highlight w:val="none"/>
              </w:rPr>
              <w:t>联 系 人：</w:t>
            </w:r>
            <w:r>
              <w:rPr>
                <w:rFonts w:hint="eastAsia"/>
                <w:b/>
                <w:color w:val="auto"/>
                <w:sz w:val="30"/>
                <w:highlight w:val="none"/>
                <w:lang w:eastAsia="zh-CN"/>
              </w:rPr>
              <w:t>王先生</w:t>
            </w:r>
          </w:p>
          <w:p w14:paraId="7557EFBC">
            <w:pPr>
              <w:tabs>
                <w:tab w:val="left" w:pos="2019"/>
              </w:tabs>
              <w:spacing w:line="360" w:lineRule="auto"/>
              <w:ind w:left="3643" w:leftChars="873" w:hanging="1548" w:hangingChars="514"/>
              <w:rPr>
                <w:rFonts w:hint="eastAsia"/>
                <w:b/>
                <w:color w:val="auto"/>
                <w:sz w:val="30"/>
                <w:szCs w:val="30"/>
                <w:highlight w:val="none"/>
              </w:rPr>
            </w:pPr>
            <w:r>
              <w:rPr>
                <w:rFonts w:hint="eastAsia"/>
                <w:b/>
                <w:color w:val="auto"/>
                <w:sz w:val="30"/>
                <w:szCs w:val="30"/>
                <w:highlight w:val="none"/>
              </w:rPr>
              <w:t>联系电话：</w:t>
            </w:r>
            <w:r>
              <w:rPr>
                <w:rFonts w:hint="eastAsia"/>
                <w:b/>
                <w:color w:val="auto"/>
                <w:sz w:val="30"/>
                <w:szCs w:val="30"/>
                <w:highlight w:val="none"/>
                <w:lang w:eastAsia="zh-CN"/>
              </w:rPr>
              <w:t>18815150155</w:t>
            </w:r>
            <w:r>
              <w:rPr>
                <w:rFonts w:hint="eastAsia"/>
                <w:b/>
                <w:color w:val="auto"/>
                <w:sz w:val="30"/>
                <w:szCs w:val="30"/>
                <w:highlight w:val="none"/>
              </w:rPr>
              <w:t xml:space="preserve"> </w:t>
            </w:r>
          </w:p>
          <w:p w14:paraId="112C370E">
            <w:pPr>
              <w:tabs>
                <w:tab w:val="left" w:pos="2019"/>
              </w:tabs>
              <w:ind w:left="3643" w:leftChars="873" w:hanging="1548" w:hangingChars="514"/>
              <w:rPr>
                <w:rFonts w:hint="eastAsia"/>
                <w:b/>
                <w:color w:val="auto"/>
                <w:sz w:val="30"/>
                <w:szCs w:val="30"/>
                <w:highlight w:val="none"/>
              </w:rPr>
            </w:pPr>
          </w:p>
          <w:p w14:paraId="42FFFEDE">
            <w:pPr>
              <w:tabs>
                <w:tab w:val="left" w:pos="2019"/>
              </w:tabs>
              <w:ind w:left="3643" w:leftChars="873" w:hanging="1548" w:hangingChars="514"/>
              <w:rPr>
                <w:rFonts w:hint="eastAsia"/>
                <w:b/>
                <w:color w:val="auto"/>
                <w:sz w:val="30"/>
                <w:szCs w:val="30"/>
                <w:highlight w:val="none"/>
              </w:rPr>
            </w:pPr>
          </w:p>
          <w:p w14:paraId="6AB63C43">
            <w:pPr>
              <w:tabs>
                <w:tab w:val="left" w:pos="2019"/>
              </w:tabs>
              <w:ind w:left="3643" w:leftChars="873" w:hanging="1548" w:hangingChars="514"/>
              <w:rPr>
                <w:rFonts w:hint="eastAsia"/>
                <w:b/>
                <w:color w:val="auto"/>
                <w:sz w:val="30"/>
                <w:szCs w:val="30"/>
                <w:highlight w:val="none"/>
              </w:rPr>
            </w:pPr>
          </w:p>
          <w:p w14:paraId="06508523">
            <w:pPr>
              <w:tabs>
                <w:tab w:val="left" w:pos="2019"/>
              </w:tabs>
              <w:spacing w:line="360" w:lineRule="auto"/>
              <w:ind w:left="3643" w:leftChars="873" w:hanging="1548" w:hangingChars="514"/>
              <w:rPr>
                <w:rFonts w:hint="eastAsia" w:eastAsia="宋体"/>
                <w:b/>
                <w:color w:val="auto"/>
                <w:sz w:val="30"/>
                <w:szCs w:val="30"/>
                <w:highlight w:val="none"/>
                <w:lang w:eastAsia="zh-CN"/>
              </w:rPr>
            </w:pPr>
            <w:r>
              <w:rPr>
                <w:rFonts w:hint="eastAsia"/>
                <w:b/>
                <w:color w:val="auto"/>
                <w:sz w:val="30"/>
                <w:szCs w:val="30"/>
                <w:highlight w:val="none"/>
              </w:rPr>
              <w:t>代理机构：</w:t>
            </w:r>
            <w:r>
              <w:rPr>
                <w:rFonts w:hint="eastAsia"/>
                <w:b/>
                <w:color w:val="auto"/>
                <w:sz w:val="30"/>
                <w:szCs w:val="30"/>
                <w:highlight w:val="none"/>
                <w:lang w:eastAsia="zh-CN"/>
              </w:rPr>
              <w:t>温州元信工程项目管理有限公司</w:t>
            </w:r>
          </w:p>
          <w:p w14:paraId="52C68CDC">
            <w:pPr>
              <w:tabs>
                <w:tab w:val="left" w:pos="2019"/>
              </w:tabs>
              <w:spacing w:line="360" w:lineRule="auto"/>
              <w:ind w:left="3643" w:leftChars="873" w:hanging="1548" w:hangingChars="514"/>
              <w:rPr>
                <w:rFonts w:hint="eastAsia" w:eastAsia="宋体"/>
                <w:b/>
                <w:color w:val="auto"/>
                <w:sz w:val="30"/>
                <w:szCs w:val="30"/>
                <w:highlight w:val="none"/>
                <w:lang w:eastAsia="zh-CN"/>
              </w:rPr>
            </w:pPr>
            <w:r>
              <w:rPr>
                <w:rFonts w:hint="eastAsia"/>
                <w:b/>
                <w:color w:val="auto"/>
                <w:sz w:val="30"/>
                <w:szCs w:val="30"/>
                <w:highlight w:val="none"/>
              </w:rPr>
              <w:t>联 系 人</w:t>
            </w:r>
            <w:r>
              <w:rPr>
                <w:rFonts w:hint="eastAsia"/>
                <w:b/>
                <w:color w:val="auto"/>
                <w:sz w:val="30"/>
                <w:szCs w:val="30"/>
                <w:highlight w:val="none"/>
                <w:lang w:eastAsia="zh-CN"/>
              </w:rPr>
              <w:t>：叶先生</w:t>
            </w:r>
          </w:p>
          <w:p w14:paraId="52B85440">
            <w:pPr>
              <w:tabs>
                <w:tab w:val="left" w:pos="2019"/>
              </w:tabs>
              <w:spacing w:line="360" w:lineRule="auto"/>
              <w:ind w:left="3643" w:leftChars="873" w:hanging="1548" w:hangingChars="514"/>
              <w:rPr>
                <w:rFonts w:hint="default" w:eastAsia="宋体"/>
                <w:b/>
                <w:color w:val="auto"/>
                <w:sz w:val="30"/>
                <w:szCs w:val="30"/>
                <w:highlight w:val="none"/>
                <w:lang w:val="en-US" w:eastAsia="zh-CN"/>
              </w:rPr>
            </w:pPr>
            <w:r>
              <w:rPr>
                <w:rFonts w:hint="eastAsia"/>
                <w:b/>
                <w:color w:val="auto"/>
                <w:sz w:val="30"/>
                <w:szCs w:val="30"/>
                <w:highlight w:val="none"/>
              </w:rPr>
              <w:t>联系电话：</w:t>
            </w:r>
            <w:r>
              <w:rPr>
                <w:rFonts w:hint="eastAsia"/>
                <w:b/>
                <w:color w:val="auto"/>
                <w:sz w:val="30"/>
                <w:szCs w:val="30"/>
                <w:highlight w:val="none"/>
                <w:lang w:eastAsia="zh-CN"/>
              </w:rPr>
              <w:t>13868334448</w:t>
            </w:r>
          </w:p>
          <w:p w14:paraId="138732CE">
            <w:pPr>
              <w:spacing w:line="440" w:lineRule="exact"/>
              <w:ind w:left="1148"/>
              <w:jc w:val="center"/>
              <w:rPr>
                <w:rFonts w:hint="eastAsia"/>
                <w:b/>
                <w:color w:val="auto"/>
                <w:sz w:val="30"/>
                <w:szCs w:val="30"/>
                <w:highlight w:val="none"/>
              </w:rPr>
            </w:pPr>
          </w:p>
          <w:p w14:paraId="45200293">
            <w:pPr>
              <w:pStyle w:val="42"/>
              <w:widowControl w:val="0"/>
              <w:ind w:left="0" w:leftChars="0"/>
              <w:jc w:val="center"/>
              <w:rPr>
                <w:rFonts w:hint="eastAsia" w:cs="宋体"/>
                <w:b/>
                <w:color w:val="auto"/>
                <w:kern w:val="2"/>
                <w:sz w:val="30"/>
                <w:szCs w:val="30"/>
                <w:highlight w:val="none"/>
                <w:lang w:val="en-US" w:eastAsia="zh-CN"/>
              </w:rPr>
            </w:pPr>
          </w:p>
          <w:p w14:paraId="2DF98AF6">
            <w:pPr>
              <w:pStyle w:val="42"/>
              <w:widowControl w:val="0"/>
              <w:ind w:left="0" w:leftChars="0"/>
              <w:jc w:val="center"/>
              <w:rPr>
                <w:rFonts w:hint="eastAsia" w:cs="宋体"/>
                <w:b/>
                <w:color w:val="auto"/>
                <w:kern w:val="2"/>
                <w:sz w:val="30"/>
                <w:szCs w:val="30"/>
                <w:highlight w:val="none"/>
                <w:lang w:val="en-US" w:eastAsia="zh-CN"/>
              </w:rPr>
            </w:pPr>
            <w:r>
              <w:rPr>
                <w:rFonts w:hint="eastAsia" w:cs="宋体"/>
                <w:b/>
                <w:color w:val="auto"/>
                <w:kern w:val="2"/>
                <w:sz w:val="30"/>
                <w:szCs w:val="30"/>
                <w:highlight w:val="none"/>
                <w:lang w:val="en-US" w:eastAsia="zh-CN"/>
              </w:rPr>
              <w:t xml:space="preserve">    </w:t>
            </w:r>
          </w:p>
          <w:p w14:paraId="2B8A0133">
            <w:pPr>
              <w:pStyle w:val="42"/>
              <w:widowControl w:val="0"/>
              <w:ind w:left="0" w:leftChars="0"/>
              <w:jc w:val="center"/>
              <w:rPr>
                <w:rFonts w:hint="eastAsia" w:cs="宋体"/>
                <w:b/>
                <w:color w:val="auto"/>
                <w:kern w:val="2"/>
                <w:sz w:val="84"/>
                <w:highlight w:val="none"/>
                <w:lang w:val="en-US" w:eastAsia="zh-CN"/>
              </w:rPr>
            </w:pPr>
            <w:r>
              <w:rPr>
                <w:rFonts w:hint="eastAsia" w:cs="宋体"/>
                <w:b/>
                <w:color w:val="auto"/>
                <w:kern w:val="2"/>
                <w:sz w:val="30"/>
                <w:szCs w:val="30"/>
                <w:highlight w:val="none"/>
                <w:lang w:val="en-US" w:eastAsia="zh-CN"/>
              </w:rPr>
              <w:t>二零二五年三月</w:t>
            </w:r>
          </w:p>
        </w:tc>
      </w:tr>
    </w:tbl>
    <w:p w14:paraId="0C5141F5">
      <w:pPr>
        <w:spacing w:line="600" w:lineRule="exact"/>
        <w:jc w:val="center"/>
        <w:rPr>
          <w:rFonts w:hint="eastAsia"/>
          <w:b/>
          <w:strike/>
          <w:dstrike w:val="0"/>
          <w:color w:val="auto"/>
          <w:spacing w:val="40"/>
          <w:sz w:val="30"/>
          <w:szCs w:val="30"/>
          <w:highlight w:val="none"/>
        </w:rPr>
      </w:pPr>
    </w:p>
    <w:p w14:paraId="1379A65C">
      <w:pPr>
        <w:tabs>
          <w:tab w:val="left" w:pos="0"/>
        </w:tabs>
        <w:spacing w:line="460" w:lineRule="exact"/>
        <w:rPr>
          <w:rFonts w:hint="eastAsia"/>
          <w:b/>
          <w:bCs/>
          <w:color w:val="auto"/>
          <w:sz w:val="32"/>
          <w:szCs w:val="32"/>
          <w:highlight w:val="none"/>
        </w:rPr>
      </w:pPr>
    </w:p>
    <w:p w14:paraId="0D1DC991">
      <w:pPr>
        <w:tabs>
          <w:tab w:val="left" w:pos="0"/>
        </w:tabs>
        <w:spacing w:line="460" w:lineRule="exact"/>
        <w:rPr>
          <w:rFonts w:hint="eastAsia"/>
          <w:b/>
          <w:bCs/>
          <w:color w:val="auto"/>
          <w:sz w:val="32"/>
          <w:szCs w:val="32"/>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40" w:right="1361" w:bottom="1440" w:left="1361" w:header="720" w:footer="720" w:gutter="0"/>
          <w:pgNumType w:start="1"/>
          <w:cols w:space="720" w:num="1"/>
          <w:titlePg/>
          <w:docGrid w:linePitch="326" w:charSpace="-3831"/>
        </w:sectPr>
      </w:pPr>
    </w:p>
    <w:p w14:paraId="150C70DD">
      <w:pPr>
        <w:tabs>
          <w:tab w:val="left" w:pos="0"/>
        </w:tabs>
        <w:spacing w:line="400" w:lineRule="exact"/>
        <w:ind w:firstLine="2"/>
        <w:jc w:val="center"/>
        <w:rPr>
          <w:rFonts w:hint="eastAsia"/>
          <w:b/>
          <w:bCs/>
          <w:color w:val="auto"/>
          <w:sz w:val="28"/>
          <w:szCs w:val="28"/>
          <w:highlight w:val="none"/>
        </w:rPr>
      </w:pPr>
      <w:r>
        <w:rPr>
          <w:rFonts w:hint="eastAsia"/>
          <w:b/>
          <w:bCs/>
          <w:color w:val="auto"/>
          <w:sz w:val="28"/>
          <w:szCs w:val="28"/>
          <w:highlight w:val="none"/>
          <w:lang w:eastAsia="zh-CN"/>
        </w:rPr>
        <w:t>温州元信工程项目管理有限公司</w:t>
      </w:r>
      <w:r>
        <w:rPr>
          <w:rFonts w:hint="eastAsia"/>
          <w:b/>
          <w:bCs/>
          <w:color w:val="auto"/>
          <w:sz w:val="28"/>
          <w:szCs w:val="28"/>
          <w:highlight w:val="none"/>
        </w:rPr>
        <w:t>关于</w:t>
      </w:r>
      <w:r>
        <w:rPr>
          <w:rFonts w:hint="eastAsia"/>
          <w:b/>
          <w:bCs/>
          <w:color w:val="auto"/>
          <w:sz w:val="28"/>
          <w:szCs w:val="28"/>
          <w:highlight w:val="none"/>
          <w:lang w:eastAsia="zh-CN"/>
        </w:rPr>
        <w:t>鳌江镇塘川高速互通路网交通安全设施项目</w:t>
      </w:r>
      <w:r>
        <w:rPr>
          <w:rFonts w:hint="eastAsia"/>
          <w:b/>
          <w:bCs/>
          <w:color w:val="auto"/>
          <w:sz w:val="28"/>
          <w:szCs w:val="28"/>
          <w:highlight w:val="none"/>
        </w:rPr>
        <w:t>的公开招标公告</w:t>
      </w:r>
    </w:p>
    <w:tbl>
      <w:tblPr>
        <w:tblStyle w:val="6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2"/>
      </w:tblGrid>
      <w:tr w14:paraId="33C8F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noWrap w:val="0"/>
            <w:vAlign w:val="top"/>
          </w:tcPr>
          <w:p w14:paraId="7A9E2184">
            <w:pPr>
              <w:spacing w:line="360" w:lineRule="exact"/>
              <w:jc w:val="both"/>
              <w:rPr>
                <w:rFonts w:hint="eastAsia"/>
                <w:color w:val="auto"/>
                <w:sz w:val="22"/>
                <w:szCs w:val="22"/>
                <w:highlight w:val="none"/>
              </w:rPr>
            </w:pPr>
            <w:r>
              <w:rPr>
                <w:rFonts w:hint="eastAsia"/>
                <w:color w:val="auto"/>
                <w:sz w:val="22"/>
                <w:szCs w:val="22"/>
                <w:highlight w:val="none"/>
              </w:rPr>
              <w:t>项目概况</w:t>
            </w:r>
          </w:p>
          <w:p w14:paraId="77CB0D08">
            <w:pPr>
              <w:spacing w:line="360" w:lineRule="exact"/>
              <w:ind w:firstLine="440" w:firstLineChars="200"/>
              <w:jc w:val="both"/>
              <w:rPr>
                <w:rFonts w:hint="eastAsia"/>
                <w:color w:val="auto"/>
                <w:sz w:val="22"/>
                <w:szCs w:val="22"/>
                <w:highlight w:val="none"/>
              </w:rPr>
            </w:pPr>
            <w:r>
              <w:rPr>
                <w:rFonts w:hint="eastAsia"/>
                <w:color w:val="auto"/>
                <w:sz w:val="22"/>
                <w:szCs w:val="22"/>
                <w:highlight w:val="none"/>
                <w:lang w:eastAsia="zh-CN"/>
              </w:rPr>
              <w:t>鳌江镇塘川高速互通路网交通安全设施项目</w:t>
            </w:r>
            <w:r>
              <w:rPr>
                <w:rFonts w:hint="eastAsia" w:ascii="宋体" w:hAnsi="宋体" w:eastAsia="宋体" w:cs="宋体"/>
                <w:i w:val="0"/>
                <w:iCs w:val="0"/>
                <w:caps w:val="0"/>
                <w:color w:val="auto"/>
                <w:spacing w:val="0"/>
                <w:sz w:val="22"/>
                <w:szCs w:val="22"/>
                <w:highlight w:val="none"/>
              </w:rPr>
              <w:t>招标项目的潜在投标人应在</w:t>
            </w:r>
            <w:r>
              <w:rPr>
                <w:rFonts w:hint="eastAsia" w:ascii="宋体" w:hAnsi="宋体" w:eastAsia="宋体" w:cs="宋体"/>
                <w:i w:val="0"/>
                <w:iCs w:val="0"/>
                <w:caps w:val="0"/>
                <w:color w:val="auto"/>
                <w:spacing w:val="0"/>
                <w:sz w:val="22"/>
                <w:szCs w:val="22"/>
                <w:highlight w:val="none"/>
                <w:u w:val="none"/>
              </w:rPr>
              <w:t>政府采购云平台 （https://www.zcygov.cn/）</w:t>
            </w:r>
            <w:r>
              <w:rPr>
                <w:rFonts w:hint="eastAsia" w:ascii="宋体" w:hAnsi="宋体" w:eastAsia="宋体" w:cs="宋体"/>
                <w:i w:val="0"/>
                <w:iCs w:val="0"/>
                <w:caps w:val="0"/>
                <w:color w:val="auto"/>
                <w:spacing w:val="0"/>
                <w:sz w:val="22"/>
                <w:szCs w:val="22"/>
                <w:highlight w:val="none"/>
              </w:rPr>
              <w:t>获取（下载）招标文件</w:t>
            </w:r>
            <w:r>
              <w:rPr>
                <w:rFonts w:hint="eastAsia"/>
                <w:color w:val="auto"/>
                <w:sz w:val="22"/>
                <w:szCs w:val="22"/>
                <w:highlight w:val="none"/>
              </w:rPr>
              <w:t>，并于</w:t>
            </w:r>
            <w:r>
              <w:rPr>
                <w:rFonts w:hint="eastAsia"/>
                <w:color w:val="auto"/>
                <w:sz w:val="22"/>
                <w:szCs w:val="22"/>
                <w:highlight w:val="none"/>
                <w:lang w:eastAsia="zh-CN"/>
              </w:rPr>
              <w:t>2025年</w:t>
            </w:r>
            <w:r>
              <w:rPr>
                <w:rFonts w:hint="eastAsia"/>
                <w:color w:val="auto"/>
                <w:sz w:val="22"/>
                <w:szCs w:val="22"/>
                <w:highlight w:val="none"/>
                <w:lang w:val="en-US" w:eastAsia="zh-CN"/>
              </w:rPr>
              <w:t>03</w:t>
            </w:r>
            <w:r>
              <w:rPr>
                <w:rFonts w:hint="eastAsia"/>
                <w:color w:val="auto"/>
                <w:sz w:val="22"/>
                <w:szCs w:val="22"/>
                <w:highlight w:val="none"/>
                <w:lang w:eastAsia="zh-CN"/>
              </w:rPr>
              <w:t>月</w:t>
            </w:r>
            <w:r>
              <w:rPr>
                <w:rFonts w:hint="eastAsia"/>
                <w:color w:val="auto"/>
                <w:sz w:val="22"/>
                <w:szCs w:val="22"/>
                <w:highlight w:val="none"/>
                <w:lang w:val="en-US" w:eastAsia="zh-CN"/>
              </w:rPr>
              <w:t>26</w:t>
            </w:r>
            <w:r>
              <w:rPr>
                <w:rFonts w:hint="eastAsia"/>
                <w:color w:val="auto"/>
                <w:sz w:val="22"/>
                <w:szCs w:val="22"/>
                <w:highlight w:val="none"/>
                <w:lang w:eastAsia="zh-CN"/>
              </w:rPr>
              <w:t>日</w:t>
            </w:r>
            <w:r>
              <w:rPr>
                <w:rFonts w:hint="eastAsia"/>
                <w:color w:val="auto"/>
                <w:sz w:val="22"/>
                <w:szCs w:val="22"/>
                <w:highlight w:val="none"/>
                <w:lang w:val="en-US" w:eastAsia="zh-CN"/>
              </w:rPr>
              <w:t>14：30</w:t>
            </w:r>
            <w:r>
              <w:rPr>
                <w:rFonts w:hint="eastAsia"/>
                <w:color w:val="auto"/>
                <w:sz w:val="22"/>
                <w:szCs w:val="22"/>
                <w:highlight w:val="none"/>
              </w:rPr>
              <w:t>（北京时间）前递交（上传）投标文件。</w:t>
            </w:r>
          </w:p>
        </w:tc>
      </w:tr>
    </w:tbl>
    <w:p w14:paraId="52693F4A">
      <w:pPr>
        <w:keepNext w:val="0"/>
        <w:keepLines w:val="0"/>
        <w:pageBreakBefore w:val="0"/>
        <w:widowControl/>
        <w:kinsoku/>
        <w:wordWrap/>
        <w:overflowPunct/>
        <w:topLinePunct w:val="0"/>
        <w:autoSpaceDE/>
        <w:autoSpaceDN/>
        <w:bidi w:val="0"/>
        <w:adjustRightInd/>
        <w:snapToGrid/>
        <w:spacing w:line="312" w:lineRule="auto"/>
        <w:jc w:val="both"/>
        <w:textAlignment w:val="auto"/>
        <w:rPr>
          <w:rFonts w:hint="eastAsia"/>
          <w:color w:val="auto"/>
          <w:sz w:val="22"/>
          <w:szCs w:val="22"/>
          <w:highlight w:val="none"/>
        </w:rPr>
      </w:pPr>
      <w:r>
        <w:rPr>
          <w:rFonts w:hint="eastAsia"/>
          <w:b/>
          <w:bCs/>
          <w:color w:val="auto"/>
          <w:sz w:val="22"/>
          <w:szCs w:val="22"/>
          <w:highlight w:val="none"/>
        </w:rPr>
        <w:t>一、项目基本情况</w:t>
      </w:r>
      <w:r>
        <w:rPr>
          <w:rFonts w:hint="eastAsia"/>
          <w:color w:val="auto"/>
          <w:sz w:val="22"/>
          <w:szCs w:val="22"/>
          <w:highlight w:val="none"/>
        </w:rPr>
        <w:t xml:space="preserve">                     </w:t>
      </w:r>
    </w:p>
    <w:p w14:paraId="4B8282A3">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项目编号：</w:t>
      </w:r>
      <w:r>
        <w:rPr>
          <w:rFonts w:hint="eastAsia"/>
          <w:color w:val="auto"/>
          <w:sz w:val="22"/>
          <w:szCs w:val="22"/>
          <w:highlight w:val="none"/>
          <w:lang w:eastAsia="zh-CN"/>
        </w:rPr>
        <w:t xml:space="preserve">WZYX-2025030501    </w:t>
      </w:r>
    </w:p>
    <w:p w14:paraId="0D4CBDC3">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项目名称：</w:t>
      </w:r>
      <w:r>
        <w:rPr>
          <w:rFonts w:hint="eastAsia"/>
          <w:color w:val="auto"/>
          <w:sz w:val="22"/>
          <w:szCs w:val="22"/>
          <w:highlight w:val="none"/>
          <w:lang w:eastAsia="zh-CN"/>
        </w:rPr>
        <w:t>鳌江镇塘川高速互通路网交通安全设施项目</w:t>
      </w:r>
    </w:p>
    <w:p w14:paraId="649D3867">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预算金额（元）：</w:t>
      </w:r>
      <w:r>
        <w:rPr>
          <w:rFonts w:hint="eastAsia"/>
          <w:color w:val="auto"/>
          <w:sz w:val="22"/>
          <w:szCs w:val="22"/>
          <w:highlight w:val="none"/>
          <w:lang w:eastAsia="zh-CN"/>
        </w:rPr>
        <w:t>1500000</w:t>
      </w:r>
    </w:p>
    <w:p w14:paraId="58BAA9F3">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最高限价（元）：/</w:t>
      </w:r>
    </w:p>
    <w:p w14:paraId="7A495871">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 xml:space="preserve">采购需求：  </w:t>
      </w:r>
    </w:p>
    <w:p w14:paraId="7E52DED5">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数量:不限</w:t>
      </w:r>
    </w:p>
    <w:p w14:paraId="5329BDDD">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预算金额（元）:</w:t>
      </w:r>
      <w:r>
        <w:rPr>
          <w:rFonts w:hint="eastAsia"/>
          <w:color w:val="auto"/>
          <w:sz w:val="22"/>
          <w:szCs w:val="22"/>
          <w:highlight w:val="none"/>
          <w:lang w:eastAsia="zh-CN"/>
        </w:rPr>
        <w:t>1500000</w:t>
      </w:r>
    </w:p>
    <w:p w14:paraId="4519A737">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简要规格描述或项目基本概况介绍、用途：</w:t>
      </w:r>
      <w:r>
        <w:rPr>
          <w:rFonts w:hint="eastAsia"/>
          <w:color w:val="auto"/>
          <w:sz w:val="22"/>
          <w:szCs w:val="22"/>
          <w:highlight w:val="none"/>
          <w:lang w:eastAsia="zh-CN"/>
        </w:rPr>
        <w:t>鳌江镇塘川高速互通路网交通安全设施项目</w:t>
      </w:r>
      <w:r>
        <w:rPr>
          <w:rFonts w:hint="eastAsia"/>
          <w:color w:val="auto"/>
          <w:sz w:val="22"/>
          <w:szCs w:val="22"/>
          <w:highlight w:val="none"/>
        </w:rPr>
        <w:t xml:space="preserve">，具体采购内容及要求详见采购文件相关部分。  </w:t>
      </w:r>
    </w:p>
    <w:p w14:paraId="31608A55">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备注：无。</w:t>
      </w:r>
    </w:p>
    <w:p w14:paraId="04FDCDDB">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合同履约期限：</w:t>
      </w:r>
      <w:r>
        <w:rPr>
          <w:rFonts w:hint="eastAsia"/>
          <w:color w:val="auto"/>
          <w:sz w:val="22"/>
          <w:szCs w:val="22"/>
          <w:highlight w:val="none"/>
          <w:lang w:val="en-US" w:eastAsia="zh-CN"/>
        </w:rPr>
        <w:t>供货期为签订项目合同之日起一年或实际结算金额达到预算金额150万元（以先到者为准）则合同履约结束。</w:t>
      </w:r>
    </w:p>
    <w:p w14:paraId="0F4CE1B7">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本项目（否）接受联合体投标。</w:t>
      </w:r>
    </w:p>
    <w:p w14:paraId="43797A59">
      <w:pPr>
        <w:keepNext w:val="0"/>
        <w:keepLines w:val="0"/>
        <w:pageBreakBefore w:val="0"/>
        <w:widowControl/>
        <w:kinsoku/>
        <w:wordWrap/>
        <w:overflowPunct/>
        <w:topLinePunct w:val="0"/>
        <w:autoSpaceDE/>
        <w:autoSpaceDN/>
        <w:bidi w:val="0"/>
        <w:adjustRightInd/>
        <w:snapToGrid/>
        <w:spacing w:line="312" w:lineRule="auto"/>
        <w:textAlignment w:val="auto"/>
        <w:rPr>
          <w:rFonts w:hint="eastAsia"/>
          <w:color w:val="auto"/>
          <w:sz w:val="22"/>
          <w:szCs w:val="22"/>
          <w:highlight w:val="none"/>
        </w:rPr>
      </w:pPr>
      <w:r>
        <w:rPr>
          <w:rFonts w:hint="eastAsia"/>
          <w:b/>
          <w:bCs/>
          <w:color w:val="auto"/>
          <w:sz w:val="22"/>
          <w:szCs w:val="22"/>
          <w:highlight w:val="none"/>
        </w:rPr>
        <w:t>二、申请人的资格要求：</w:t>
      </w:r>
    </w:p>
    <w:p w14:paraId="3DE8CB99">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B37C880">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bCs/>
          <w:color w:val="auto"/>
          <w:sz w:val="22"/>
          <w:szCs w:val="22"/>
          <w:highlight w:val="none"/>
          <w:lang w:val="en-US" w:eastAsia="zh-CN"/>
        </w:rPr>
      </w:pPr>
      <w:r>
        <w:rPr>
          <w:rFonts w:hint="eastAsia"/>
          <w:color w:val="auto"/>
          <w:sz w:val="22"/>
          <w:szCs w:val="22"/>
          <w:highlight w:val="none"/>
        </w:rPr>
        <w:t>2.落实政府采购政策需满足的资格要求：</w:t>
      </w:r>
      <w:r>
        <w:rPr>
          <w:rFonts w:hint="eastAsia"/>
          <w:bCs/>
          <w:color w:val="auto"/>
          <w:sz w:val="22"/>
          <w:szCs w:val="22"/>
          <w:highlight w:val="none"/>
          <w:lang w:val="en-US" w:eastAsia="zh-CN"/>
        </w:rPr>
        <w:t>无。</w:t>
      </w:r>
    </w:p>
    <w:p w14:paraId="477C7CB3">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3.本项目的特定资格要求：</w:t>
      </w:r>
      <w:r>
        <w:rPr>
          <w:rFonts w:hint="eastAsia"/>
          <w:color w:val="auto"/>
          <w:sz w:val="22"/>
          <w:szCs w:val="22"/>
          <w:highlight w:val="none"/>
          <w:lang w:eastAsia="zh-CN"/>
        </w:rPr>
        <w:t>无</w:t>
      </w:r>
      <w:r>
        <w:rPr>
          <w:rFonts w:hint="eastAsia"/>
          <w:color w:val="auto"/>
          <w:sz w:val="22"/>
          <w:szCs w:val="22"/>
          <w:highlight w:val="none"/>
        </w:rPr>
        <w:t>。</w:t>
      </w:r>
    </w:p>
    <w:p w14:paraId="418BBA1F">
      <w:pPr>
        <w:keepNext w:val="0"/>
        <w:keepLines w:val="0"/>
        <w:pageBreakBefore w:val="0"/>
        <w:widowControl/>
        <w:kinsoku/>
        <w:wordWrap/>
        <w:overflowPunct/>
        <w:topLinePunct w:val="0"/>
        <w:autoSpaceDE/>
        <w:autoSpaceDN/>
        <w:bidi w:val="0"/>
        <w:adjustRightInd/>
        <w:snapToGrid/>
        <w:spacing w:line="312" w:lineRule="auto"/>
        <w:jc w:val="both"/>
        <w:textAlignment w:val="auto"/>
        <w:rPr>
          <w:rFonts w:hint="eastAsia"/>
          <w:color w:val="auto"/>
          <w:sz w:val="22"/>
          <w:szCs w:val="22"/>
          <w:highlight w:val="none"/>
        </w:rPr>
      </w:pPr>
      <w:r>
        <w:rPr>
          <w:rFonts w:hint="eastAsia"/>
          <w:b/>
          <w:bCs/>
          <w:color w:val="auto"/>
          <w:sz w:val="22"/>
          <w:szCs w:val="22"/>
          <w:highlight w:val="none"/>
        </w:rPr>
        <w:t>三、获取招标文件</w:t>
      </w:r>
    </w:p>
    <w:p w14:paraId="0591FB3E">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时间：</w:t>
      </w:r>
      <w:r>
        <w:rPr>
          <w:rFonts w:hint="eastAsia"/>
          <w:color w:val="auto"/>
          <w:sz w:val="22"/>
          <w:szCs w:val="22"/>
          <w:highlight w:val="none"/>
          <w:lang w:val="en-US" w:eastAsia="zh-CN"/>
        </w:rPr>
        <w:t>/</w:t>
      </w:r>
      <w:r>
        <w:rPr>
          <w:rFonts w:hint="eastAsia"/>
          <w:color w:val="auto"/>
          <w:sz w:val="22"/>
          <w:szCs w:val="22"/>
          <w:highlight w:val="none"/>
        </w:rPr>
        <w:t>至</w:t>
      </w:r>
      <w:r>
        <w:rPr>
          <w:rFonts w:hint="eastAsia"/>
          <w:color w:val="auto"/>
          <w:sz w:val="22"/>
          <w:szCs w:val="22"/>
          <w:highlight w:val="none"/>
          <w:lang w:eastAsia="zh-CN"/>
        </w:rPr>
        <w:t>2025年</w:t>
      </w:r>
      <w:r>
        <w:rPr>
          <w:rFonts w:hint="eastAsia"/>
          <w:color w:val="auto"/>
          <w:sz w:val="22"/>
          <w:szCs w:val="22"/>
          <w:highlight w:val="none"/>
          <w:lang w:val="en-US" w:eastAsia="zh-CN"/>
        </w:rPr>
        <w:t>03</w:t>
      </w:r>
      <w:r>
        <w:rPr>
          <w:rFonts w:hint="eastAsia"/>
          <w:color w:val="auto"/>
          <w:sz w:val="22"/>
          <w:szCs w:val="22"/>
          <w:highlight w:val="none"/>
          <w:lang w:eastAsia="zh-CN"/>
        </w:rPr>
        <w:t>月</w:t>
      </w:r>
      <w:r>
        <w:rPr>
          <w:rFonts w:hint="eastAsia"/>
          <w:color w:val="auto"/>
          <w:sz w:val="22"/>
          <w:szCs w:val="22"/>
          <w:highlight w:val="none"/>
          <w:lang w:val="en-US" w:eastAsia="zh-CN"/>
        </w:rPr>
        <w:t>26</w:t>
      </w:r>
      <w:r>
        <w:rPr>
          <w:rFonts w:hint="eastAsia"/>
          <w:color w:val="auto"/>
          <w:sz w:val="22"/>
          <w:szCs w:val="22"/>
          <w:highlight w:val="none"/>
          <w:lang w:eastAsia="zh-CN"/>
        </w:rPr>
        <w:t>日</w:t>
      </w:r>
      <w:r>
        <w:rPr>
          <w:rFonts w:hint="eastAsia"/>
          <w:color w:val="auto"/>
          <w:sz w:val="22"/>
          <w:szCs w:val="22"/>
          <w:highlight w:val="none"/>
        </w:rPr>
        <w:t>，每天上午00:00至12:00，下午12:00至23:59（北京时间，线上获取法定节假日均可，线下获取文件法定节假日除外）</w:t>
      </w:r>
    </w:p>
    <w:p w14:paraId="4C6514ED">
      <w:pPr>
        <w:pStyle w:val="61"/>
        <w:keepNext w:val="0"/>
        <w:keepLines w:val="0"/>
        <w:pageBreakBefore w:val="0"/>
        <w:widowControl/>
        <w:kinsoku/>
        <w:wordWrap/>
        <w:overflowPunct/>
        <w:topLinePunct w:val="0"/>
        <w:autoSpaceDE/>
        <w:autoSpaceDN/>
        <w:bidi w:val="0"/>
        <w:adjustRightInd/>
        <w:snapToGrid/>
        <w:spacing w:before="0" w:beforeAutospacing="0" w:after="0" w:afterAutospacing="0" w:line="312" w:lineRule="auto"/>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地点（网址）：</w:t>
      </w:r>
      <w:r>
        <w:rPr>
          <w:rFonts w:ascii="宋体" w:hAnsi="宋体" w:cs="宋体"/>
          <w:color w:val="auto"/>
          <w:sz w:val="22"/>
          <w:szCs w:val="22"/>
          <w:highlight w:val="none"/>
        </w:rPr>
        <w:t>政采云平台（http://zfcg.czt.zj.gov.cn）</w:t>
      </w:r>
      <w:r>
        <w:rPr>
          <w:rFonts w:hint="eastAsia" w:ascii="宋体" w:hAnsi="宋体" w:eastAsia="宋体" w:cs="宋体"/>
          <w:color w:val="auto"/>
          <w:sz w:val="22"/>
          <w:szCs w:val="22"/>
          <w:highlight w:val="none"/>
        </w:rPr>
        <w:t xml:space="preserve"> </w:t>
      </w:r>
    </w:p>
    <w:p w14:paraId="0C3F08CA">
      <w:pPr>
        <w:keepNext w:val="0"/>
        <w:keepLines w:val="0"/>
        <w:pageBreakBefore w:val="0"/>
        <w:widowControl/>
        <w:kinsoku/>
        <w:wordWrap/>
        <w:overflowPunct/>
        <w:topLinePunct w:val="0"/>
        <w:autoSpaceDE/>
        <w:autoSpaceDN/>
        <w:bidi w:val="0"/>
        <w:adjustRightInd/>
        <w:snapToGrid/>
        <w:spacing w:line="312" w:lineRule="auto"/>
        <w:ind w:firstLine="440" w:firstLineChars="20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方式：供应商登录政采云平台https://www.zcygov.cn/在线申请获取采购文件（进入“项目采购”应用，在获取采购文件菜单中选择项目，申请获取采购文件）。仅需浏览招标文件的供应商可点击“游客，浏览招标文件”直接下载招标文件浏览。 </w:t>
      </w:r>
    </w:p>
    <w:p w14:paraId="4E678934">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ascii="宋体" w:hAnsi="宋体" w:eastAsia="宋体" w:cs="宋体"/>
          <w:i w:val="0"/>
          <w:iCs w:val="0"/>
          <w:caps w:val="0"/>
          <w:color w:val="auto"/>
          <w:spacing w:val="0"/>
          <w:sz w:val="22"/>
          <w:szCs w:val="22"/>
          <w:highlight w:val="none"/>
          <w:shd w:val="clear" w:color="auto" w:fill="FFFFFF"/>
        </w:rPr>
      </w:pPr>
      <w:r>
        <w:rPr>
          <w:rFonts w:hint="eastAsia" w:ascii="宋体" w:hAnsi="宋体" w:eastAsia="宋体" w:cs="宋体"/>
          <w:i w:val="0"/>
          <w:iCs w:val="0"/>
          <w:caps w:val="0"/>
          <w:color w:val="auto"/>
          <w:spacing w:val="0"/>
          <w:sz w:val="22"/>
          <w:szCs w:val="22"/>
          <w:highlight w:val="none"/>
          <w:shd w:val="clear" w:color="auto" w:fill="FFFFFF"/>
        </w:rPr>
        <w:t>注：浙江政府采购网采购公告</w:t>
      </w:r>
      <w:r>
        <w:rPr>
          <w:rFonts w:hint="eastAsia" w:ascii="宋体" w:hAnsi="宋体" w:eastAsia="宋体" w:cs="宋体"/>
          <w:i w:val="0"/>
          <w:iCs w:val="0"/>
          <w:caps w:val="0"/>
          <w:color w:val="auto"/>
          <w:spacing w:val="0"/>
          <w:sz w:val="22"/>
          <w:szCs w:val="22"/>
          <w:highlight w:val="none"/>
          <w:shd w:val="clear" w:color="auto" w:fill="FFFFFF"/>
          <w:lang w:eastAsia="zh-CN"/>
        </w:rPr>
        <w:t>所附</w:t>
      </w:r>
      <w:r>
        <w:rPr>
          <w:rFonts w:hint="eastAsia" w:ascii="宋体" w:hAnsi="宋体" w:eastAsia="宋体" w:cs="宋体"/>
          <w:i w:val="0"/>
          <w:iCs w:val="0"/>
          <w:caps w:val="0"/>
          <w:color w:val="auto"/>
          <w:spacing w:val="0"/>
          <w:sz w:val="22"/>
          <w:szCs w:val="22"/>
          <w:highlight w:val="none"/>
          <w:shd w:val="clear" w:color="auto" w:fill="FFFFFF"/>
        </w:rPr>
        <w:t>的采购文件仅供社会公众查阅使用，潜在供应商只有通过“政府采购云平台”在线登记并获取了采购文件后才被视作“获取采购文件”。法律法规所指的供应商获取采购文件时间以供应商通过“政府采购云平台”在线下载获取采购文件的时间为准。未按规定获取采购文件的供应商，对采购文件提起的质疑、投诉将不予受理。</w:t>
      </w:r>
    </w:p>
    <w:p w14:paraId="742EFA26">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售价（元）：0</w:t>
      </w:r>
    </w:p>
    <w:p w14:paraId="0772E8E6">
      <w:pPr>
        <w:keepNext w:val="0"/>
        <w:keepLines w:val="0"/>
        <w:pageBreakBefore w:val="0"/>
        <w:widowControl/>
        <w:kinsoku/>
        <w:wordWrap/>
        <w:overflowPunct/>
        <w:topLinePunct w:val="0"/>
        <w:autoSpaceDE/>
        <w:autoSpaceDN/>
        <w:bidi w:val="0"/>
        <w:adjustRightInd/>
        <w:snapToGrid/>
        <w:spacing w:line="312" w:lineRule="auto"/>
        <w:jc w:val="both"/>
        <w:textAlignment w:val="auto"/>
        <w:rPr>
          <w:rFonts w:hint="eastAsia"/>
          <w:color w:val="auto"/>
          <w:sz w:val="22"/>
          <w:szCs w:val="22"/>
          <w:highlight w:val="none"/>
        </w:rPr>
      </w:pPr>
      <w:r>
        <w:rPr>
          <w:rFonts w:hint="eastAsia"/>
          <w:b/>
          <w:bCs/>
          <w:color w:val="auto"/>
          <w:sz w:val="22"/>
          <w:szCs w:val="22"/>
          <w:highlight w:val="none"/>
        </w:rPr>
        <w:t>四、提交投标文件截止时间、开标时间和地点</w:t>
      </w:r>
    </w:p>
    <w:p w14:paraId="37D9E572">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提交投标文件截止时间：</w:t>
      </w:r>
      <w:r>
        <w:rPr>
          <w:rFonts w:hint="eastAsia"/>
          <w:color w:val="auto"/>
          <w:sz w:val="22"/>
          <w:szCs w:val="22"/>
          <w:highlight w:val="none"/>
          <w:lang w:eastAsia="zh-CN"/>
        </w:rPr>
        <w:t>2025年</w:t>
      </w:r>
      <w:r>
        <w:rPr>
          <w:rFonts w:hint="eastAsia"/>
          <w:color w:val="auto"/>
          <w:sz w:val="22"/>
          <w:szCs w:val="22"/>
          <w:highlight w:val="none"/>
          <w:lang w:val="en-US" w:eastAsia="zh-CN"/>
        </w:rPr>
        <w:t>03</w:t>
      </w:r>
      <w:r>
        <w:rPr>
          <w:rFonts w:hint="eastAsia"/>
          <w:color w:val="auto"/>
          <w:sz w:val="22"/>
          <w:szCs w:val="22"/>
          <w:highlight w:val="none"/>
          <w:lang w:eastAsia="zh-CN"/>
        </w:rPr>
        <w:t>月</w:t>
      </w:r>
      <w:r>
        <w:rPr>
          <w:rFonts w:hint="eastAsia"/>
          <w:color w:val="auto"/>
          <w:sz w:val="22"/>
          <w:szCs w:val="22"/>
          <w:highlight w:val="none"/>
          <w:lang w:val="en-US" w:eastAsia="zh-CN"/>
        </w:rPr>
        <w:t>26</w:t>
      </w:r>
      <w:r>
        <w:rPr>
          <w:rFonts w:hint="eastAsia"/>
          <w:color w:val="auto"/>
          <w:sz w:val="22"/>
          <w:szCs w:val="22"/>
          <w:highlight w:val="none"/>
          <w:lang w:eastAsia="zh-CN"/>
        </w:rPr>
        <w:t>日</w:t>
      </w:r>
      <w:r>
        <w:rPr>
          <w:rFonts w:hint="eastAsia"/>
          <w:color w:val="auto"/>
          <w:sz w:val="22"/>
          <w:szCs w:val="22"/>
          <w:highlight w:val="none"/>
          <w:lang w:val="en-US" w:eastAsia="zh-CN"/>
        </w:rPr>
        <w:t>14：30正</w:t>
      </w:r>
      <w:r>
        <w:rPr>
          <w:rFonts w:hint="eastAsia"/>
          <w:color w:val="auto"/>
          <w:sz w:val="22"/>
          <w:szCs w:val="22"/>
          <w:highlight w:val="none"/>
        </w:rPr>
        <w:t>（北京时间）</w:t>
      </w:r>
    </w:p>
    <w:p w14:paraId="10E36815">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投标地点（网址）：政府采购云平台在线投标，供应商无须前往评审现场。</w:t>
      </w:r>
    </w:p>
    <w:p w14:paraId="4C20657F">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default" w:eastAsia="宋体"/>
          <w:color w:val="auto"/>
          <w:sz w:val="22"/>
          <w:szCs w:val="22"/>
          <w:highlight w:val="none"/>
          <w:lang w:val="en-US" w:eastAsia="zh-CN"/>
        </w:rPr>
      </w:pPr>
      <w:r>
        <w:rPr>
          <w:rFonts w:hint="eastAsia"/>
          <w:color w:val="auto"/>
          <w:sz w:val="22"/>
          <w:szCs w:val="22"/>
          <w:highlight w:val="none"/>
        </w:rPr>
        <w:t>开标时间：</w:t>
      </w:r>
      <w:r>
        <w:rPr>
          <w:rFonts w:hint="eastAsia"/>
          <w:color w:val="auto"/>
          <w:sz w:val="22"/>
          <w:szCs w:val="22"/>
          <w:highlight w:val="none"/>
          <w:lang w:eastAsia="zh-CN"/>
        </w:rPr>
        <w:t>2025年</w:t>
      </w:r>
      <w:r>
        <w:rPr>
          <w:rFonts w:hint="eastAsia"/>
          <w:color w:val="auto"/>
          <w:sz w:val="22"/>
          <w:szCs w:val="22"/>
          <w:highlight w:val="none"/>
          <w:lang w:val="en-US" w:eastAsia="zh-CN"/>
        </w:rPr>
        <w:t xml:space="preserve">03 </w:t>
      </w:r>
      <w:r>
        <w:rPr>
          <w:rFonts w:hint="eastAsia"/>
          <w:color w:val="auto"/>
          <w:sz w:val="22"/>
          <w:szCs w:val="22"/>
          <w:highlight w:val="none"/>
          <w:lang w:eastAsia="zh-CN"/>
        </w:rPr>
        <w:t>月</w:t>
      </w:r>
      <w:r>
        <w:rPr>
          <w:rFonts w:hint="eastAsia"/>
          <w:color w:val="auto"/>
          <w:sz w:val="22"/>
          <w:szCs w:val="22"/>
          <w:highlight w:val="none"/>
          <w:lang w:val="en-US" w:eastAsia="zh-CN"/>
        </w:rPr>
        <w:t>26</w:t>
      </w:r>
      <w:r>
        <w:rPr>
          <w:rFonts w:hint="eastAsia"/>
          <w:color w:val="auto"/>
          <w:sz w:val="22"/>
          <w:szCs w:val="22"/>
          <w:highlight w:val="none"/>
          <w:lang w:eastAsia="zh-CN"/>
        </w:rPr>
        <w:t>日</w:t>
      </w:r>
      <w:r>
        <w:rPr>
          <w:rFonts w:hint="eastAsia"/>
          <w:color w:val="auto"/>
          <w:sz w:val="22"/>
          <w:szCs w:val="22"/>
          <w:highlight w:val="none"/>
          <w:lang w:val="en-US" w:eastAsia="zh-CN"/>
        </w:rPr>
        <w:t xml:space="preserve">14：30 </w:t>
      </w:r>
      <w:r>
        <w:rPr>
          <w:rFonts w:hint="eastAsia"/>
          <w:color w:val="auto"/>
          <w:sz w:val="22"/>
          <w:szCs w:val="22"/>
          <w:highlight w:val="none"/>
        </w:rPr>
        <w:t>（北京时间）</w:t>
      </w:r>
    </w:p>
    <w:p w14:paraId="65787EA9">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开标地点（网址）：政府采购云平台在线投标，供应商无须前往评审现场。</w:t>
      </w:r>
    </w:p>
    <w:p w14:paraId="32018FCA">
      <w:pPr>
        <w:keepNext w:val="0"/>
        <w:keepLines w:val="0"/>
        <w:pageBreakBefore w:val="0"/>
        <w:widowControl/>
        <w:kinsoku/>
        <w:wordWrap/>
        <w:overflowPunct/>
        <w:topLinePunct w:val="0"/>
        <w:autoSpaceDE/>
        <w:autoSpaceDN/>
        <w:bidi w:val="0"/>
        <w:adjustRightInd/>
        <w:snapToGrid/>
        <w:spacing w:line="312" w:lineRule="auto"/>
        <w:jc w:val="both"/>
        <w:textAlignment w:val="auto"/>
        <w:rPr>
          <w:rFonts w:hint="eastAsia"/>
          <w:color w:val="auto"/>
          <w:sz w:val="22"/>
          <w:szCs w:val="22"/>
          <w:highlight w:val="none"/>
        </w:rPr>
      </w:pPr>
      <w:r>
        <w:rPr>
          <w:rFonts w:hint="eastAsia"/>
          <w:b/>
          <w:bCs/>
          <w:color w:val="auto"/>
          <w:sz w:val="22"/>
          <w:szCs w:val="22"/>
          <w:highlight w:val="none"/>
        </w:rPr>
        <w:t>五、公告期限</w:t>
      </w:r>
    </w:p>
    <w:p w14:paraId="7E697E3C">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自本公告发布之日起5个工作日。</w:t>
      </w:r>
    </w:p>
    <w:p w14:paraId="4D665FA4">
      <w:pPr>
        <w:pStyle w:val="6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12" w:lineRule="auto"/>
        <w:ind w:left="0" w:right="0"/>
        <w:jc w:val="both"/>
        <w:textAlignment w:val="auto"/>
        <w:rPr>
          <w:rFonts w:hint="eastAsia" w:ascii="宋体" w:hAnsi="宋体" w:eastAsia="宋体" w:cs="宋体"/>
          <w:color w:val="auto"/>
          <w:sz w:val="22"/>
          <w:szCs w:val="22"/>
          <w:highlight w:val="none"/>
        </w:rPr>
      </w:pPr>
      <w:r>
        <w:rPr>
          <w:rStyle w:val="69"/>
          <w:rFonts w:hint="eastAsia" w:ascii="宋体" w:hAnsi="宋体" w:eastAsia="宋体" w:cs="宋体"/>
          <w:i w:val="0"/>
          <w:iCs w:val="0"/>
          <w:caps w:val="0"/>
          <w:color w:val="auto"/>
          <w:spacing w:val="0"/>
          <w:sz w:val="22"/>
          <w:szCs w:val="22"/>
          <w:highlight w:val="none"/>
        </w:rPr>
        <w:t>六、其他补充事宜</w:t>
      </w:r>
    </w:p>
    <w:p w14:paraId="74CD6391">
      <w:pPr>
        <w:keepNext w:val="0"/>
        <w:keepLines w:val="0"/>
        <w:pageBreakBefore w:val="0"/>
        <w:widowControl/>
        <w:kinsoku/>
        <w:wordWrap/>
        <w:overflowPunct/>
        <w:topLinePunct w:val="0"/>
        <w:autoSpaceDE/>
        <w:autoSpaceDN/>
        <w:bidi w:val="0"/>
        <w:adjustRightInd/>
        <w:snapToGrid/>
        <w:spacing w:beforeAutospacing="0" w:afterAutospacing="0" w:line="312" w:lineRule="auto"/>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771848F4">
      <w:pPr>
        <w:keepNext w:val="0"/>
        <w:keepLines w:val="0"/>
        <w:pageBreakBefore w:val="0"/>
        <w:widowControl/>
        <w:kinsoku/>
        <w:wordWrap/>
        <w:overflowPunct/>
        <w:topLinePunct w:val="0"/>
        <w:autoSpaceDE/>
        <w:autoSpaceDN/>
        <w:bidi w:val="0"/>
        <w:adjustRightInd/>
        <w:snapToGrid/>
        <w:spacing w:beforeAutospacing="0" w:afterAutospacing="0" w:line="312" w:lineRule="auto"/>
        <w:ind w:firstLine="48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18216069">
      <w:pPr>
        <w:keepNext w:val="0"/>
        <w:keepLines w:val="0"/>
        <w:pageBreakBefore w:val="0"/>
        <w:widowControl/>
        <w:kinsoku/>
        <w:wordWrap/>
        <w:overflowPunct/>
        <w:topLinePunct w:val="0"/>
        <w:autoSpaceDE/>
        <w:autoSpaceDN/>
        <w:bidi w:val="0"/>
        <w:adjustRightInd/>
        <w:snapToGrid/>
        <w:spacing w:beforeAutospacing="0" w:afterAutospacing="0" w:line="312" w:lineRule="auto"/>
        <w:ind w:firstLine="48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其他事项：1）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 “政采云电子交易客户端”请自行前往“浙江政府采购网-下载专区-电子交易客户端”进行下载；电子投标具体操作流程详见本公告附件《供应商项目采购-电子招投标操作指南》；通过“政府采购云平台”参与在线投标时如遇平台技术问题详询</w:t>
      </w:r>
      <w:r>
        <w:rPr>
          <w:rFonts w:hint="eastAsia" w:cs="宋体"/>
          <w:color w:val="auto"/>
          <w:sz w:val="22"/>
          <w:szCs w:val="22"/>
          <w:highlight w:val="none"/>
          <w:lang w:eastAsia="zh-CN"/>
        </w:rPr>
        <w:t>95763</w:t>
      </w:r>
      <w:r>
        <w:rPr>
          <w:rFonts w:hint="eastAsia" w:ascii="宋体" w:hAnsi="宋体" w:eastAsia="宋体" w:cs="宋体"/>
          <w:color w:val="auto"/>
          <w:sz w:val="22"/>
          <w:szCs w:val="22"/>
          <w:highlight w:val="none"/>
        </w:rPr>
        <w:t>。 2）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供应商应在开标前完成CA数字证书办理。 3）投标供应商应当在投标截止时间前，将生成的“电子加密投标文件”上传递交至“政府采购云平台”。投标截止时间以后上传递交的投标文件将被“政府采购云平台”拒收。 4）投标供应商在“政府采购云平台”完成“电子加密投标文件”的上传递交后，还可以（邮寄形式）在投标截止时间前递交以介质（U盘）存储的数据电文形式的“备份投标文件”，邮寄形式“备份投标文件”应当密封包装并在包装上标注投标项目名称、投标单位名称并加盖公章。 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6）供应商在法定质疑期内一次性提出针对同一采购程序环节的质疑。质疑供应商须为政采云平台本项报名供应商。</w:t>
      </w:r>
    </w:p>
    <w:p w14:paraId="69280BC1">
      <w:pPr>
        <w:keepNext w:val="0"/>
        <w:keepLines w:val="0"/>
        <w:pageBreakBefore w:val="0"/>
        <w:widowControl/>
        <w:kinsoku/>
        <w:wordWrap/>
        <w:overflowPunct/>
        <w:topLinePunct w:val="0"/>
        <w:autoSpaceDE/>
        <w:autoSpaceDN/>
        <w:bidi w:val="0"/>
        <w:adjustRightInd/>
        <w:snapToGrid/>
        <w:spacing w:line="312" w:lineRule="auto"/>
        <w:jc w:val="both"/>
        <w:textAlignment w:val="auto"/>
        <w:rPr>
          <w:rFonts w:hint="eastAsia"/>
          <w:color w:val="auto"/>
          <w:sz w:val="22"/>
          <w:szCs w:val="22"/>
          <w:highlight w:val="none"/>
        </w:rPr>
      </w:pPr>
      <w:r>
        <w:rPr>
          <w:rFonts w:hint="eastAsia"/>
          <w:b/>
          <w:bCs/>
          <w:color w:val="auto"/>
          <w:sz w:val="22"/>
          <w:szCs w:val="22"/>
          <w:highlight w:val="none"/>
        </w:rPr>
        <w:t>七、对本次采购提出询问、质疑、投诉，请按以下方式联系</w:t>
      </w:r>
    </w:p>
    <w:p w14:paraId="0D78F10E">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1.采购人信息</w:t>
      </w:r>
    </w:p>
    <w:p w14:paraId="3DD7F521">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名    称：平阳县鳌江镇人民政府</w:t>
      </w:r>
    </w:p>
    <w:p w14:paraId="0A719CBE">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地    址：温州市平阳县塘古南路99号</w:t>
      </w:r>
    </w:p>
    <w:p w14:paraId="2085CC75">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传     真：/</w:t>
      </w:r>
    </w:p>
    <w:p w14:paraId="04B2CB4D">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项目联系人（询问）：</w:t>
      </w:r>
      <w:r>
        <w:rPr>
          <w:rFonts w:hint="eastAsia"/>
          <w:color w:val="auto"/>
          <w:sz w:val="22"/>
          <w:szCs w:val="22"/>
          <w:highlight w:val="none"/>
          <w:lang w:eastAsia="zh-CN"/>
        </w:rPr>
        <w:t>王先生</w:t>
      </w:r>
    </w:p>
    <w:p w14:paraId="462AF3FB">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项目联系方式（询问）：</w:t>
      </w:r>
      <w:r>
        <w:rPr>
          <w:rFonts w:hint="eastAsia"/>
          <w:color w:val="auto"/>
          <w:sz w:val="22"/>
          <w:szCs w:val="22"/>
          <w:highlight w:val="none"/>
          <w:lang w:eastAsia="zh-CN"/>
        </w:rPr>
        <w:t>18815150155</w:t>
      </w:r>
    </w:p>
    <w:p w14:paraId="31346E03">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项目质疑联系人：</w:t>
      </w:r>
      <w:r>
        <w:rPr>
          <w:rFonts w:hint="eastAsia"/>
          <w:color w:val="auto"/>
          <w:sz w:val="22"/>
          <w:szCs w:val="22"/>
          <w:highlight w:val="none"/>
          <w:lang w:eastAsia="zh-CN"/>
        </w:rPr>
        <w:t>林女士</w:t>
      </w:r>
    </w:p>
    <w:p w14:paraId="1499D849">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质疑联系方式：</w:t>
      </w:r>
      <w:r>
        <w:rPr>
          <w:rFonts w:hint="eastAsia"/>
          <w:color w:val="auto"/>
          <w:sz w:val="22"/>
          <w:szCs w:val="22"/>
          <w:highlight w:val="none"/>
          <w:lang w:eastAsia="zh-CN"/>
        </w:rPr>
        <w:t>13600683172</w:t>
      </w:r>
    </w:p>
    <w:p w14:paraId="4B1C8F91">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 xml:space="preserve">2.采购代理机构信息     </w:t>
      </w:r>
    </w:p>
    <w:p w14:paraId="21730221">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名    称：</w:t>
      </w:r>
      <w:r>
        <w:rPr>
          <w:rFonts w:hint="eastAsia"/>
          <w:color w:val="auto"/>
          <w:sz w:val="22"/>
          <w:szCs w:val="22"/>
          <w:highlight w:val="none"/>
          <w:lang w:eastAsia="zh-CN"/>
        </w:rPr>
        <w:t>温州元信工程项目管理有限公司</w:t>
      </w:r>
    </w:p>
    <w:p w14:paraId="539203E0">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地    址：</w:t>
      </w:r>
      <w:r>
        <w:rPr>
          <w:rFonts w:hint="eastAsia"/>
          <w:color w:val="auto"/>
          <w:sz w:val="22"/>
          <w:szCs w:val="22"/>
          <w:highlight w:val="none"/>
          <w:lang w:eastAsia="zh-CN"/>
        </w:rPr>
        <w:t>温州市瓯海区新桥街道牛山广场3号楼1905室</w:t>
      </w:r>
    </w:p>
    <w:p w14:paraId="4A881EE4">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传     真：</w:t>
      </w:r>
      <w:r>
        <w:rPr>
          <w:rFonts w:hint="eastAsia"/>
          <w:color w:val="auto"/>
          <w:sz w:val="22"/>
          <w:szCs w:val="22"/>
          <w:highlight w:val="none"/>
          <w:lang w:eastAsia="zh-CN"/>
        </w:rPr>
        <w:t>/</w:t>
      </w:r>
    </w:p>
    <w:p w14:paraId="0037AE57">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项目联系人（询问）：</w:t>
      </w:r>
      <w:r>
        <w:rPr>
          <w:rFonts w:hint="eastAsia"/>
          <w:color w:val="auto"/>
          <w:sz w:val="22"/>
          <w:szCs w:val="22"/>
          <w:highlight w:val="none"/>
          <w:lang w:eastAsia="zh-CN"/>
        </w:rPr>
        <w:t>叶先生</w:t>
      </w:r>
    </w:p>
    <w:p w14:paraId="7EE35D46">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项目联系方式（询问）：</w:t>
      </w:r>
      <w:r>
        <w:rPr>
          <w:rFonts w:hint="eastAsia"/>
          <w:color w:val="auto"/>
          <w:sz w:val="22"/>
          <w:szCs w:val="22"/>
          <w:highlight w:val="none"/>
          <w:lang w:eastAsia="zh-CN"/>
        </w:rPr>
        <w:t>13868334448</w:t>
      </w:r>
    </w:p>
    <w:p w14:paraId="05A41B97">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eastAsia="宋体"/>
          <w:color w:val="auto"/>
          <w:sz w:val="22"/>
          <w:szCs w:val="22"/>
          <w:highlight w:val="none"/>
          <w:lang w:eastAsia="zh-CN"/>
        </w:rPr>
      </w:pPr>
      <w:r>
        <w:rPr>
          <w:rFonts w:hint="eastAsia"/>
          <w:color w:val="auto"/>
          <w:sz w:val="22"/>
          <w:szCs w:val="22"/>
          <w:highlight w:val="none"/>
        </w:rPr>
        <w:t>质疑联系人：</w:t>
      </w:r>
      <w:r>
        <w:rPr>
          <w:rFonts w:hint="eastAsia"/>
          <w:color w:val="auto"/>
          <w:sz w:val="22"/>
          <w:szCs w:val="22"/>
          <w:highlight w:val="none"/>
          <w:lang w:eastAsia="zh-CN"/>
        </w:rPr>
        <w:t>蔡先生</w:t>
      </w:r>
    </w:p>
    <w:p w14:paraId="4AC1163C">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质疑联系方式：</w:t>
      </w:r>
      <w:r>
        <w:rPr>
          <w:rFonts w:hint="eastAsia"/>
          <w:color w:val="auto"/>
          <w:sz w:val="22"/>
          <w:szCs w:val="22"/>
          <w:highlight w:val="none"/>
          <w:lang w:eastAsia="zh-CN"/>
        </w:rPr>
        <w:t>13606772516</w:t>
      </w:r>
      <w:r>
        <w:rPr>
          <w:rFonts w:hint="eastAsia"/>
          <w:color w:val="auto"/>
          <w:sz w:val="22"/>
          <w:szCs w:val="22"/>
          <w:highlight w:val="none"/>
        </w:rPr>
        <w:t> </w:t>
      </w:r>
    </w:p>
    <w:p w14:paraId="3798D030">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 xml:space="preserve">3.同级政府采购监督管理部门     </w:t>
      </w:r>
    </w:p>
    <w:p w14:paraId="56B47841">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 xml:space="preserve">名      称：平阳县财政局政府采购监督管理科     </w:t>
      </w:r>
    </w:p>
    <w:p w14:paraId="5B9D6AD6">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 xml:space="preserve">地      址：平阳县昆阳镇人民路373号   </w:t>
      </w:r>
    </w:p>
    <w:p w14:paraId="40F3CC84">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 xml:space="preserve">传      真：/     </w:t>
      </w:r>
    </w:p>
    <w:p w14:paraId="6E1B3895">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联系人 ：</w:t>
      </w:r>
      <w:r>
        <w:rPr>
          <w:rFonts w:hint="eastAsia"/>
          <w:color w:val="auto"/>
          <w:sz w:val="22"/>
          <w:szCs w:val="22"/>
          <w:highlight w:val="none"/>
          <w:lang w:eastAsia="zh-CN"/>
        </w:rPr>
        <w:t>周女士</w:t>
      </w:r>
      <w:r>
        <w:rPr>
          <w:rFonts w:hint="eastAsia"/>
          <w:color w:val="auto"/>
          <w:sz w:val="22"/>
          <w:szCs w:val="22"/>
          <w:highlight w:val="none"/>
        </w:rPr>
        <w:t xml:space="preserve">   </w:t>
      </w:r>
    </w:p>
    <w:p w14:paraId="1A195C77">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监督投诉电话：</w:t>
      </w:r>
      <w:r>
        <w:rPr>
          <w:rFonts w:hint="eastAsia"/>
          <w:color w:val="auto"/>
          <w:sz w:val="22"/>
          <w:szCs w:val="22"/>
          <w:highlight w:val="none"/>
          <w:lang w:eastAsia="zh-CN"/>
        </w:rPr>
        <w:t>0577-63889763</w:t>
      </w:r>
      <w:r>
        <w:rPr>
          <w:rFonts w:hint="eastAsia"/>
          <w:color w:val="auto"/>
          <w:sz w:val="22"/>
          <w:szCs w:val="22"/>
          <w:highlight w:val="none"/>
        </w:rPr>
        <w:t xml:space="preserve">    </w:t>
      </w:r>
      <w:r>
        <w:rPr>
          <w:rFonts w:hint="eastAsia"/>
          <w:color w:val="auto"/>
          <w:sz w:val="22"/>
          <w:szCs w:val="22"/>
          <w:highlight w:val="none"/>
        </w:rPr>
        <w:br w:type="textWrapping"/>
      </w:r>
      <w:r>
        <w:rPr>
          <w:rFonts w:hint="eastAsia"/>
          <w:color w:val="auto"/>
          <w:sz w:val="22"/>
          <w:szCs w:val="22"/>
          <w:highlight w:val="none"/>
        </w:rPr>
        <w:t xml:space="preserve">  </w:t>
      </w:r>
    </w:p>
    <w:p w14:paraId="0221BE0F">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pPr>
      <w:r>
        <w:rPr>
          <w:rFonts w:hint="eastAsia"/>
          <w:color w:val="auto"/>
          <w:sz w:val="22"/>
          <w:szCs w:val="22"/>
          <w:highlight w:val="none"/>
        </w:rPr>
        <w:t>若对项目采购电子交易系统操作有疑问，可登录政采云（https://www.zcygov.cn/），点击右侧咨询小采，获取采小蜜智能服务管家帮助，或拨打政采云服务热线</w:t>
      </w:r>
      <w:r>
        <w:rPr>
          <w:rFonts w:hint="eastAsia"/>
          <w:color w:val="auto"/>
          <w:sz w:val="22"/>
          <w:szCs w:val="22"/>
          <w:highlight w:val="none"/>
          <w:lang w:eastAsia="zh-CN"/>
        </w:rPr>
        <w:t>95763</w:t>
      </w:r>
      <w:r>
        <w:rPr>
          <w:rFonts w:hint="eastAsia"/>
          <w:color w:val="auto"/>
          <w:sz w:val="22"/>
          <w:szCs w:val="22"/>
          <w:highlight w:val="none"/>
        </w:rPr>
        <w:t>获取热线服务帮助。</w:t>
      </w:r>
    </w:p>
    <w:p w14:paraId="63147FD9">
      <w:pPr>
        <w:keepNext w:val="0"/>
        <w:keepLines w:val="0"/>
        <w:pageBreakBefore w:val="0"/>
        <w:widowControl/>
        <w:kinsoku/>
        <w:wordWrap/>
        <w:overflowPunct/>
        <w:topLinePunct w:val="0"/>
        <w:autoSpaceDE/>
        <w:autoSpaceDN/>
        <w:bidi w:val="0"/>
        <w:adjustRightInd/>
        <w:snapToGrid/>
        <w:spacing w:line="312" w:lineRule="auto"/>
        <w:ind w:firstLine="440" w:firstLineChars="200"/>
        <w:textAlignment w:val="auto"/>
        <w:rPr>
          <w:rFonts w:hint="eastAsia"/>
          <w:color w:val="auto"/>
          <w:sz w:val="22"/>
          <w:szCs w:val="22"/>
          <w:highlight w:val="none"/>
        </w:rPr>
        <w:sectPr>
          <w:footerReference r:id="rId12" w:type="first"/>
          <w:footerReference r:id="rId11" w:type="default"/>
          <w:pgSz w:w="11906" w:h="16838"/>
          <w:pgMar w:top="1440" w:right="1080" w:bottom="1440" w:left="1080" w:header="720" w:footer="720" w:gutter="0"/>
          <w:pgNumType w:fmt="decimal" w:start="1"/>
          <w:cols w:space="720" w:num="1"/>
          <w:titlePg/>
          <w:docGrid w:linePitch="326" w:charSpace="-3831"/>
        </w:sectPr>
      </w:pPr>
      <w:r>
        <w:rPr>
          <w:rFonts w:hint="eastAsia"/>
          <w:color w:val="auto"/>
          <w:sz w:val="22"/>
          <w:szCs w:val="22"/>
          <w:highlight w:val="none"/>
        </w:rPr>
        <w:t>CA问题联系电话（人工）：汇信CA 400-888-4636；天谷CA 400-087-8198。</w:t>
      </w:r>
    </w:p>
    <w:p w14:paraId="28525419">
      <w:pPr>
        <w:spacing w:line="360" w:lineRule="auto"/>
        <w:jc w:val="center"/>
        <w:rPr>
          <w:rFonts w:hint="eastAsia"/>
          <w:b/>
          <w:bCs/>
          <w:color w:val="auto"/>
          <w:sz w:val="32"/>
          <w:szCs w:val="32"/>
          <w:highlight w:val="none"/>
        </w:rPr>
      </w:pPr>
      <w:r>
        <w:rPr>
          <w:rFonts w:hint="eastAsia"/>
          <w:b/>
          <w:bCs/>
          <w:color w:val="auto"/>
          <w:sz w:val="32"/>
          <w:szCs w:val="32"/>
          <w:highlight w:val="none"/>
        </w:rPr>
        <w:t>投 标 通 知 (邀 请) 书</w:t>
      </w:r>
    </w:p>
    <w:p w14:paraId="2EF5A18E">
      <w:pPr>
        <w:adjustRightInd w:val="0"/>
        <w:snapToGrid w:val="0"/>
        <w:spacing w:line="360" w:lineRule="atLeast"/>
        <w:ind w:firstLine="440" w:firstLineChars="200"/>
        <w:rPr>
          <w:rFonts w:hint="eastAsia"/>
          <w:color w:val="auto"/>
          <w:sz w:val="22"/>
          <w:szCs w:val="22"/>
          <w:highlight w:val="none"/>
        </w:rPr>
      </w:pPr>
      <w:r>
        <w:rPr>
          <w:rFonts w:hint="eastAsia"/>
          <w:color w:val="auto"/>
          <w:sz w:val="22"/>
          <w:szCs w:val="22"/>
          <w:highlight w:val="none"/>
          <w:lang w:eastAsia="zh-CN"/>
        </w:rPr>
        <w:t>温州元信工程项目管理有限公司</w:t>
      </w:r>
      <w:r>
        <w:rPr>
          <w:rFonts w:hint="eastAsia"/>
          <w:color w:val="auto"/>
          <w:sz w:val="22"/>
          <w:szCs w:val="22"/>
          <w:highlight w:val="none"/>
        </w:rPr>
        <w:t>对</w:t>
      </w:r>
      <w:r>
        <w:rPr>
          <w:rFonts w:hint="eastAsia"/>
          <w:color w:val="auto"/>
          <w:sz w:val="22"/>
          <w:szCs w:val="22"/>
          <w:highlight w:val="none"/>
          <w:lang w:eastAsia="zh-CN"/>
        </w:rPr>
        <w:t>鳌江镇塘川高速互通路网交通安全设施项目</w:t>
      </w:r>
      <w:r>
        <w:rPr>
          <w:rFonts w:hint="eastAsia"/>
          <w:color w:val="auto"/>
          <w:sz w:val="22"/>
          <w:szCs w:val="22"/>
          <w:highlight w:val="none"/>
        </w:rPr>
        <w:t>进行公开招标，特通知贵公司（企业）前来投标。并请按招标文件的要求认真准备好投标文件，按时前来投标。</w:t>
      </w:r>
    </w:p>
    <w:tbl>
      <w:tblPr>
        <w:tblStyle w:val="66"/>
        <w:tblW w:w="4996"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57" w:type="dxa"/>
          <w:left w:w="108" w:type="dxa"/>
          <w:bottom w:w="57" w:type="dxa"/>
          <w:right w:w="108" w:type="dxa"/>
        </w:tblCellMar>
      </w:tblPr>
      <w:tblGrid>
        <w:gridCol w:w="647"/>
        <w:gridCol w:w="1663"/>
        <w:gridCol w:w="7644"/>
      </w:tblGrid>
      <w:tr w14:paraId="5FC879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325" w:type="pct"/>
            <w:noWrap w:val="0"/>
            <w:vAlign w:val="center"/>
          </w:tcPr>
          <w:p w14:paraId="55390EB4">
            <w:pPr>
              <w:spacing w:line="360" w:lineRule="exact"/>
              <w:jc w:val="center"/>
              <w:rPr>
                <w:rFonts w:hint="eastAsia"/>
                <w:color w:val="auto"/>
                <w:sz w:val="22"/>
                <w:szCs w:val="22"/>
                <w:highlight w:val="none"/>
              </w:rPr>
            </w:pPr>
            <w:r>
              <w:rPr>
                <w:rFonts w:hint="eastAsia"/>
                <w:color w:val="auto"/>
                <w:sz w:val="22"/>
                <w:szCs w:val="22"/>
                <w:highlight w:val="none"/>
              </w:rPr>
              <w:t>序号</w:t>
            </w:r>
          </w:p>
        </w:tc>
        <w:tc>
          <w:tcPr>
            <w:tcW w:w="835" w:type="pct"/>
            <w:noWrap w:val="0"/>
            <w:vAlign w:val="center"/>
          </w:tcPr>
          <w:p w14:paraId="1517AB43">
            <w:pPr>
              <w:spacing w:line="360" w:lineRule="exact"/>
              <w:jc w:val="center"/>
              <w:rPr>
                <w:rFonts w:hint="eastAsia"/>
                <w:color w:val="auto"/>
                <w:sz w:val="22"/>
                <w:szCs w:val="22"/>
                <w:highlight w:val="none"/>
              </w:rPr>
            </w:pPr>
            <w:r>
              <w:rPr>
                <w:rFonts w:hint="eastAsia"/>
                <w:color w:val="auto"/>
                <w:sz w:val="22"/>
                <w:szCs w:val="22"/>
                <w:highlight w:val="none"/>
              </w:rPr>
              <w:t>内容</w:t>
            </w:r>
          </w:p>
        </w:tc>
        <w:tc>
          <w:tcPr>
            <w:tcW w:w="3838" w:type="pct"/>
            <w:noWrap w:val="0"/>
            <w:vAlign w:val="center"/>
          </w:tcPr>
          <w:p w14:paraId="05EF303B">
            <w:pPr>
              <w:spacing w:line="360" w:lineRule="exact"/>
              <w:jc w:val="center"/>
              <w:rPr>
                <w:rFonts w:hint="eastAsia"/>
                <w:color w:val="auto"/>
                <w:sz w:val="22"/>
                <w:szCs w:val="22"/>
                <w:highlight w:val="none"/>
              </w:rPr>
            </w:pPr>
            <w:r>
              <w:rPr>
                <w:rFonts w:hint="eastAsia"/>
                <w:color w:val="auto"/>
                <w:sz w:val="22"/>
                <w:szCs w:val="22"/>
                <w:highlight w:val="none"/>
              </w:rPr>
              <w:t>说明与要求</w:t>
            </w:r>
          </w:p>
        </w:tc>
      </w:tr>
      <w:tr w14:paraId="661732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325" w:type="pct"/>
            <w:noWrap w:val="0"/>
            <w:vAlign w:val="center"/>
          </w:tcPr>
          <w:p w14:paraId="1B53B3E0">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682626E6">
            <w:pPr>
              <w:spacing w:line="360" w:lineRule="exact"/>
              <w:jc w:val="center"/>
              <w:rPr>
                <w:rFonts w:hint="eastAsia"/>
                <w:color w:val="auto"/>
                <w:sz w:val="22"/>
                <w:szCs w:val="22"/>
                <w:highlight w:val="none"/>
              </w:rPr>
            </w:pPr>
            <w:r>
              <w:rPr>
                <w:rFonts w:hint="eastAsia"/>
                <w:color w:val="auto"/>
                <w:sz w:val="22"/>
                <w:szCs w:val="22"/>
                <w:highlight w:val="none"/>
              </w:rPr>
              <w:t>项目名称</w:t>
            </w:r>
          </w:p>
        </w:tc>
        <w:tc>
          <w:tcPr>
            <w:tcW w:w="3838" w:type="pct"/>
            <w:noWrap w:val="0"/>
            <w:vAlign w:val="center"/>
          </w:tcPr>
          <w:p w14:paraId="61F2607B">
            <w:pPr>
              <w:spacing w:line="360" w:lineRule="exact"/>
              <w:rPr>
                <w:rFonts w:hint="eastAsia" w:eastAsia="宋体"/>
                <w:color w:val="auto"/>
                <w:sz w:val="22"/>
                <w:szCs w:val="22"/>
                <w:highlight w:val="none"/>
                <w:lang w:eastAsia="zh-CN"/>
              </w:rPr>
            </w:pPr>
            <w:r>
              <w:rPr>
                <w:rFonts w:hint="eastAsia"/>
                <w:color w:val="auto"/>
                <w:sz w:val="22"/>
                <w:szCs w:val="22"/>
                <w:highlight w:val="none"/>
                <w:lang w:eastAsia="zh-CN"/>
              </w:rPr>
              <w:t>鳌江镇塘川高速互通路网交通安全设施项目</w:t>
            </w:r>
          </w:p>
        </w:tc>
      </w:tr>
      <w:tr w14:paraId="0859E9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325" w:type="pct"/>
            <w:noWrap w:val="0"/>
            <w:vAlign w:val="center"/>
          </w:tcPr>
          <w:p w14:paraId="621387BF">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6876D4EA">
            <w:pPr>
              <w:spacing w:line="360" w:lineRule="exact"/>
              <w:jc w:val="center"/>
              <w:rPr>
                <w:rFonts w:hint="eastAsia"/>
                <w:color w:val="auto"/>
                <w:sz w:val="22"/>
                <w:szCs w:val="22"/>
                <w:highlight w:val="none"/>
              </w:rPr>
            </w:pPr>
            <w:r>
              <w:rPr>
                <w:rFonts w:hint="eastAsia"/>
                <w:color w:val="auto"/>
                <w:sz w:val="22"/>
                <w:szCs w:val="22"/>
                <w:highlight w:val="none"/>
              </w:rPr>
              <w:t>项目编号</w:t>
            </w:r>
          </w:p>
        </w:tc>
        <w:tc>
          <w:tcPr>
            <w:tcW w:w="3838" w:type="pct"/>
            <w:noWrap w:val="0"/>
            <w:vAlign w:val="center"/>
          </w:tcPr>
          <w:p w14:paraId="5F550533">
            <w:pPr>
              <w:spacing w:line="360" w:lineRule="exact"/>
              <w:rPr>
                <w:rFonts w:hint="eastAsia" w:eastAsia="宋体"/>
                <w:color w:val="auto"/>
                <w:sz w:val="22"/>
                <w:szCs w:val="22"/>
                <w:highlight w:val="none"/>
                <w:lang w:eastAsia="zh-CN"/>
              </w:rPr>
            </w:pPr>
            <w:r>
              <w:rPr>
                <w:rFonts w:hint="eastAsia"/>
                <w:color w:val="auto"/>
                <w:sz w:val="22"/>
                <w:szCs w:val="22"/>
                <w:highlight w:val="none"/>
                <w:lang w:eastAsia="zh-CN"/>
              </w:rPr>
              <w:t xml:space="preserve">WZYX-2025030501    </w:t>
            </w:r>
          </w:p>
        </w:tc>
      </w:tr>
      <w:tr w14:paraId="2EEBCC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325" w:type="pct"/>
            <w:noWrap w:val="0"/>
            <w:vAlign w:val="center"/>
          </w:tcPr>
          <w:p w14:paraId="178F0EFC">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6569F66A">
            <w:pPr>
              <w:spacing w:line="360" w:lineRule="exact"/>
              <w:jc w:val="center"/>
              <w:rPr>
                <w:rFonts w:hint="eastAsia"/>
                <w:color w:val="auto"/>
                <w:sz w:val="22"/>
                <w:szCs w:val="22"/>
                <w:highlight w:val="none"/>
              </w:rPr>
            </w:pPr>
            <w:r>
              <w:rPr>
                <w:rFonts w:hint="eastAsia"/>
                <w:color w:val="auto"/>
                <w:sz w:val="22"/>
                <w:szCs w:val="22"/>
                <w:highlight w:val="none"/>
              </w:rPr>
              <w:t>资金来源</w:t>
            </w:r>
          </w:p>
        </w:tc>
        <w:tc>
          <w:tcPr>
            <w:tcW w:w="3838" w:type="pct"/>
            <w:noWrap w:val="0"/>
            <w:vAlign w:val="center"/>
          </w:tcPr>
          <w:p w14:paraId="1759F4C3">
            <w:pPr>
              <w:spacing w:line="360" w:lineRule="exact"/>
              <w:rPr>
                <w:rFonts w:hint="eastAsia"/>
                <w:color w:val="auto"/>
                <w:sz w:val="22"/>
                <w:szCs w:val="22"/>
                <w:highlight w:val="none"/>
              </w:rPr>
            </w:pPr>
            <w:r>
              <w:rPr>
                <w:rFonts w:hint="eastAsia"/>
                <w:color w:val="auto"/>
                <w:sz w:val="22"/>
                <w:szCs w:val="22"/>
                <w:highlight w:val="none"/>
              </w:rPr>
              <w:t>财政性资金</w:t>
            </w:r>
          </w:p>
        </w:tc>
      </w:tr>
      <w:tr w14:paraId="5498E8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325" w:type="pct"/>
            <w:noWrap w:val="0"/>
            <w:vAlign w:val="center"/>
          </w:tcPr>
          <w:p w14:paraId="5DE946EA">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23AE6102">
            <w:pPr>
              <w:snapToGrid w:val="0"/>
              <w:spacing w:line="360" w:lineRule="exact"/>
              <w:jc w:val="center"/>
              <w:rPr>
                <w:rFonts w:hint="eastAsia"/>
                <w:color w:val="auto"/>
                <w:sz w:val="22"/>
                <w:szCs w:val="22"/>
                <w:highlight w:val="none"/>
              </w:rPr>
            </w:pPr>
            <w:r>
              <w:rPr>
                <w:rFonts w:hint="eastAsia"/>
                <w:color w:val="auto"/>
                <w:sz w:val="22"/>
                <w:szCs w:val="22"/>
                <w:highlight w:val="none"/>
              </w:rPr>
              <w:t>采购方式</w:t>
            </w:r>
          </w:p>
        </w:tc>
        <w:tc>
          <w:tcPr>
            <w:tcW w:w="3838" w:type="pct"/>
            <w:noWrap w:val="0"/>
            <w:vAlign w:val="center"/>
          </w:tcPr>
          <w:p w14:paraId="0B8A7A42">
            <w:pPr>
              <w:spacing w:line="360" w:lineRule="exact"/>
              <w:rPr>
                <w:rFonts w:hint="eastAsia"/>
                <w:color w:val="auto"/>
                <w:sz w:val="22"/>
                <w:szCs w:val="22"/>
                <w:highlight w:val="none"/>
              </w:rPr>
            </w:pPr>
            <w:r>
              <w:rPr>
                <w:rFonts w:hint="eastAsia"/>
                <w:color w:val="auto"/>
                <w:sz w:val="22"/>
                <w:szCs w:val="22"/>
                <w:highlight w:val="none"/>
              </w:rPr>
              <w:t>公开招标</w:t>
            </w:r>
          </w:p>
        </w:tc>
      </w:tr>
      <w:tr w14:paraId="2E9F2A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325" w:type="pct"/>
            <w:noWrap w:val="0"/>
            <w:vAlign w:val="center"/>
          </w:tcPr>
          <w:p w14:paraId="0BE4D956">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2C6D315E">
            <w:pPr>
              <w:spacing w:line="360" w:lineRule="exact"/>
              <w:jc w:val="center"/>
              <w:rPr>
                <w:rFonts w:hint="eastAsia"/>
                <w:color w:val="auto"/>
                <w:sz w:val="22"/>
                <w:szCs w:val="22"/>
                <w:highlight w:val="none"/>
              </w:rPr>
            </w:pPr>
            <w:r>
              <w:rPr>
                <w:rFonts w:hint="eastAsia"/>
                <w:color w:val="auto"/>
                <w:sz w:val="22"/>
                <w:szCs w:val="22"/>
                <w:highlight w:val="none"/>
              </w:rPr>
              <w:t>采购预算（最高限价）</w:t>
            </w:r>
          </w:p>
        </w:tc>
        <w:tc>
          <w:tcPr>
            <w:tcW w:w="3838" w:type="pct"/>
            <w:noWrap w:val="0"/>
            <w:vAlign w:val="center"/>
          </w:tcPr>
          <w:p w14:paraId="5CCF4FBE">
            <w:pPr>
              <w:spacing w:line="360" w:lineRule="exact"/>
              <w:rPr>
                <w:rFonts w:hint="eastAsia"/>
                <w:color w:val="auto"/>
                <w:sz w:val="22"/>
                <w:szCs w:val="22"/>
                <w:highlight w:val="none"/>
              </w:rPr>
            </w:pPr>
            <w:r>
              <w:rPr>
                <w:rFonts w:hint="eastAsia"/>
                <w:color w:val="auto"/>
                <w:sz w:val="22"/>
                <w:szCs w:val="22"/>
                <w:highlight w:val="none"/>
              </w:rPr>
              <w:t>具体见招标公告</w:t>
            </w:r>
          </w:p>
        </w:tc>
      </w:tr>
      <w:tr w14:paraId="518229E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325" w:type="pct"/>
            <w:noWrap w:val="0"/>
            <w:vAlign w:val="center"/>
          </w:tcPr>
          <w:p w14:paraId="797C7E4E">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59C7A425">
            <w:pPr>
              <w:spacing w:line="360" w:lineRule="exact"/>
              <w:jc w:val="center"/>
              <w:rPr>
                <w:rFonts w:hint="eastAsia"/>
                <w:color w:val="auto"/>
                <w:sz w:val="22"/>
                <w:szCs w:val="22"/>
                <w:highlight w:val="none"/>
              </w:rPr>
            </w:pPr>
            <w:r>
              <w:rPr>
                <w:rFonts w:hint="eastAsia"/>
                <w:color w:val="auto"/>
                <w:sz w:val="22"/>
                <w:szCs w:val="22"/>
                <w:highlight w:val="none"/>
              </w:rPr>
              <w:t>采购方式</w:t>
            </w:r>
          </w:p>
        </w:tc>
        <w:tc>
          <w:tcPr>
            <w:tcW w:w="3838" w:type="pct"/>
            <w:noWrap w:val="0"/>
            <w:vAlign w:val="center"/>
          </w:tcPr>
          <w:p w14:paraId="29F1BD87">
            <w:pPr>
              <w:adjustRightInd w:val="0"/>
              <w:spacing w:line="360" w:lineRule="exact"/>
              <w:rPr>
                <w:rFonts w:hint="eastAsia"/>
                <w:color w:val="auto"/>
                <w:sz w:val="22"/>
                <w:szCs w:val="22"/>
                <w:highlight w:val="none"/>
              </w:rPr>
            </w:pPr>
            <w:r>
              <w:rPr>
                <w:rFonts w:hint="eastAsia"/>
                <w:color w:val="auto"/>
                <w:sz w:val="22"/>
                <w:szCs w:val="22"/>
                <w:highlight w:val="none"/>
              </w:rPr>
              <w:t>公开招标</w:t>
            </w:r>
          </w:p>
        </w:tc>
      </w:tr>
      <w:tr w14:paraId="24038D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78" w:hRule="atLeast"/>
          <w:jc w:val="center"/>
        </w:trPr>
        <w:tc>
          <w:tcPr>
            <w:tcW w:w="325" w:type="pct"/>
            <w:noWrap w:val="0"/>
            <w:vAlign w:val="center"/>
          </w:tcPr>
          <w:p w14:paraId="3F17933C">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05ABC4E9">
            <w:pPr>
              <w:adjustRightInd w:val="0"/>
              <w:spacing w:line="360" w:lineRule="exact"/>
              <w:jc w:val="center"/>
              <w:rPr>
                <w:rFonts w:hint="eastAsia"/>
                <w:color w:val="auto"/>
                <w:sz w:val="22"/>
                <w:szCs w:val="22"/>
                <w:highlight w:val="none"/>
              </w:rPr>
            </w:pPr>
            <w:r>
              <w:rPr>
                <w:rFonts w:hint="eastAsia"/>
                <w:color w:val="auto"/>
                <w:sz w:val="22"/>
                <w:szCs w:val="22"/>
                <w:highlight w:val="none"/>
              </w:rPr>
              <w:t>采购人</w:t>
            </w:r>
          </w:p>
        </w:tc>
        <w:tc>
          <w:tcPr>
            <w:tcW w:w="3838" w:type="pct"/>
            <w:noWrap w:val="0"/>
            <w:vAlign w:val="center"/>
          </w:tcPr>
          <w:p w14:paraId="1436EA8F">
            <w:pPr>
              <w:adjustRightInd w:val="0"/>
              <w:spacing w:line="360" w:lineRule="exact"/>
              <w:rPr>
                <w:rFonts w:hint="eastAsia"/>
                <w:color w:val="auto"/>
                <w:sz w:val="22"/>
                <w:szCs w:val="22"/>
                <w:highlight w:val="none"/>
              </w:rPr>
            </w:pPr>
            <w:r>
              <w:rPr>
                <w:rFonts w:hint="eastAsia"/>
                <w:color w:val="auto"/>
                <w:sz w:val="22"/>
                <w:szCs w:val="22"/>
                <w:highlight w:val="none"/>
              </w:rPr>
              <w:t>名称：平阳县鳌江镇人民政府</w:t>
            </w:r>
          </w:p>
          <w:p w14:paraId="4BEB122D">
            <w:pPr>
              <w:adjustRightInd w:val="0"/>
              <w:spacing w:line="360" w:lineRule="exact"/>
              <w:rPr>
                <w:rFonts w:hint="eastAsia"/>
                <w:color w:val="auto"/>
                <w:sz w:val="22"/>
                <w:szCs w:val="22"/>
                <w:highlight w:val="none"/>
              </w:rPr>
            </w:pPr>
            <w:r>
              <w:rPr>
                <w:rFonts w:hint="eastAsia"/>
                <w:color w:val="auto"/>
                <w:sz w:val="22"/>
                <w:szCs w:val="22"/>
                <w:highlight w:val="none"/>
              </w:rPr>
              <w:t>地址：温州市平阳县塘古南路99号</w:t>
            </w:r>
          </w:p>
          <w:p w14:paraId="20DAAC8F">
            <w:pPr>
              <w:adjustRightInd w:val="0"/>
              <w:spacing w:line="360" w:lineRule="exact"/>
              <w:rPr>
                <w:rFonts w:hint="eastAsia"/>
                <w:color w:val="auto"/>
                <w:sz w:val="22"/>
                <w:szCs w:val="22"/>
                <w:highlight w:val="none"/>
              </w:rPr>
            </w:pPr>
            <w:r>
              <w:rPr>
                <w:rFonts w:hint="eastAsia"/>
                <w:color w:val="auto"/>
                <w:sz w:val="22"/>
                <w:szCs w:val="22"/>
                <w:highlight w:val="none"/>
              </w:rPr>
              <w:t>联系人：</w:t>
            </w:r>
            <w:r>
              <w:rPr>
                <w:rFonts w:hint="eastAsia"/>
                <w:color w:val="auto"/>
                <w:sz w:val="22"/>
                <w:szCs w:val="22"/>
                <w:highlight w:val="none"/>
                <w:lang w:eastAsia="zh-CN"/>
              </w:rPr>
              <w:t>王先生</w:t>
            </w:r>
            <w:r>
              <w:rPr>
                <w:rFonts w:hint="eastAsia"/>
                <w:color w:val="auto"/>
                <w:sz w:val="22"/>
                <w:szCs w:val="22"/>
                <w:highlight w:val="none"/>
              </w:rPr>
              <w:t xml:space="preserve"> </w:t>
            </w:r>
          </w:p>
          <w:p w14:paraId="4B9A10A3">
            <w:pPr>
              <w:adjustRightInd w:val="0"/>
              <w:spacing w:line="360" w:lineRule="exact"/>
              <w:rPr>
                <w:rFonts w:hint="eastAsia" w:eastAsia="宋体"/>
                <w:color w:val="auto"/>
                <w:sz w:val="22"/>
                <w:szCs w:val="22"/>
                <w:highlight w:val="none"/>
                <w:lang w:eastAsia="zh-CN"/>
              </w:rPr>
            </w:pPr>
            <w:r>
              <w:rPr>
                <w:rFonts w:hint="eastAsia"/>
                <w:color w:val="auto"/>
                <w:sz w:val="22"/>
                <w:szCs w:val="22"/>
                <w:highlight w:val="none"/>
              </w:rPr>
              <w:t>联系电话：</w:t>
            </w:r>
            <w:r>
              <w:rPr>
                <w:rFonts w:hint="eastAsia"/>
                <w:color w:val="auto"/>
                <w:sz w:val="22"/>
                <w:szCs w:val="22"/>
                <w:highlight w:val="none"/>
                <w:lang w:eastAsia="zh-CN"/>
              </w:rPr>
              <w:t>18815150155</w:t>
            </w:r>
          </w:p>
        </w:tc>
      </w:tr>
      <w:tr w14:paraId="3B24D0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325" w:type="pct"/>
            <w:noWrap w:val="0"/>
            <w:vAlign w:val="center"/>
          </w:tcPr>
          <w:p w14:paraId="224DDF73">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153A5371">
            <w:pPr>
              <w:spacing w:line="360" w:lineRule="exact"/>
              <w:jc w:val="center"/>
              <w:rPr>
                <w:rFonts w:hint="eastAsia"/>
                <w:color w:val="auto"/>
                <w:sz w:val="22"/>
                <w:szCs w:val="22"/>
                <w:highlight w:val="none"/>
              </w:rPr>
            </w:pPr>
            <w:r>
              <w:rPr>
                <w:rFonts w:hint="eastAsia"/>
                <w:color w:val="auto"/>
                <w:sz w:val="22"/>
                <w:szCs w:val="22"/>
                <w:highlight w:val="none"/>
              </w:rPr>
              <w:t>采购代理机构</w:t>
            </w:r>
          </w:p>
        </w:tc>
        <w:tc>
          <w:tcPr>
            <w:tcW w:w="3838" w:type="pct"/>
            <w:noWrap w:val="0"/>
            <w:vAlign w:val="center"/>
          </w:tcPr>
          <w:p w14:paraId="44793C41">
            <w:pPr>
              <w:adjustRightInd w:val="0"/>
              <w:spacing w:line="360" w:lineRule="exact"/>
              <w:rPr>
                <w:rFonts w:hint="eastAsia" w:eastAsia="宋体"/>
                <w:color w:val="auto"/>
                <w:sz w:val="22"/>
                <w:szCs w:val="22"/>
                <w:highlight w:val="none"/>
                <w:lang w:eastAsia="zh-CN"/>
              </w:rPr>
            </w:pPr>
            <w:r>
              <w:rPr>
                <w:rFonts w:hint="eastAsia"/>
                <w:color w:val="auto"/>
                <w:sz w:val="22"/>
                <w:szCs w:val="22"/>
                <w:highlight w:val="none"/>
              </w:rPr>
              <w:t>名称：</w:t>
            </w:r>
            <w:r>
              <w:rPr>
                <w:rFonts w:hint="eastAsia"/>
                <w:color w:val="auto"/>
                <w:sz w:val="22"/>
                <w:szCs w:val="22"/>
                <w:highlight w:val="none"/>
                <w:lang w:eastAsia="zh-CN"/>
              </w:rPr>
              <w:t>温州元信工程项目管理有限公司</w:t>
            </w:r>
          </w:p>
          <w:p w14:paraId="3998BA0B">
            <w:pPr>
              <w:adjustRightInd w:val="0"/>
              <w:spacing w:line="360" w:lineRule="exact"/>
              <w:rPr>
                <w:rFonts w:hint="eastAsia" w:eastAsia="宋体"/>
                <w:color w:val="auto"/>
                <w:sz w:val="22"/>
                <w:szCs w:val="22"/>
                <w:highlight w:val="none"/>
                <w:lang w:eastAsia="zh-CN"/>
              </w:rPr>
            </w:pPr>
            <w:r>
              <w:rPr>
                <w:rFonts w:hint="eastAsia"/>
                <w:color w:val="auto"/>
                <w:sz w:val="22"/>
                <w:szCs w:val="22"/>
                <w:highlight w:val="none"/>
              </w:rPr>
              <w:t>地址：</w:t>
            </w:r>
            <w:r>
              <w:rPr>
                <w:rFonts w:hint="eastAsia"/>
                <w:color w:val="auto"/>
                <w:sz w:val="22"/>
                <w:szCs w:val="22"/>
                <w:highlight w:val="none"/>
                <w:lang w:eastAsia="zh-CN"/>
              </w:rPr>
              <w:t>温州市瓯海区新桥街道牛山广场3号楼1905室</w:t>
            </w:r>
          </w:p>
          <w:p w14:paraId="673608FF">
            <w:pPr>
              <w:adjustRightInd w:val="0"/>
              <w:spacing w:line="360" w:lineRule="exact"/>
              <w:rPr>
                <w:rFonts w:hint="eastAsia" w:eastAsia="宋体"/>
                <w:color w:val="auto"/>
                <w:sz w:val="22"/>
                <w:szCs w:val="22"/>
                <w:highlight w:val="none"/>
                <w:lang w:eastAsia="zh-CN"/>
              </w:rPr>
            </w:pPr>
            <w:r>
              <w:rPr>
                <w:rFonts w:hint="eastAsia"/>
                <w:color w:val="auto"/>
                <w:sz w:val="22"/>
                <w:szCs w:val="22"/>
                <w:highlight w:val="none"/>
              </w:rPr>
              <w:t>项目负责人：</w:t>
            </w:r>
            <w:r>
              <w:rPr>
                <w:rFonts w:hint="eastAsia"/>
                <w:color w:val="auto"/>
                <w:sz w:val="22"/>
                <w:szCs w:val="22"/>
                <w:highlight w:val="none"/>
                <w:lang w:eastAsia="zh-CN"/>
              </w:rPr>
              <w:t>叶先生</w:t>
            </w:r>
          </w:p>
          <w:p w14:paraId="76E9771D">
            <w:pPr>
              <w:adjustRightInd w:val="0"/>
              <w:spacing w:line="360" w:lineRule="exact"/>
              <w:rPr>
                <w:rFonts w:hint="default" w:eastAsia="宋体"/>
                <w:color w:val="auto"/>
                <w:sz w:val="22"/>
                <w:szCs w:val="22"/>
                <w:highlight w:val="none"/>
                <w:lang w:val="en-US" w:eastAsia="zh-CN"/>
              </w:rPr>
            </w:pPr>
            <w:r>
              <w:rPr>
                <w:rFonts w:hint="eastAsia"/>
                <w:color w:val="auto"/>
                <w:sz w:val="22"/>
                <w:szCs w:val="22"/>
                <w:highlight w:val="none"/>
              </w:rPr>
              <w:t>手机：</w:t>
            </w:r>
            <w:r>
              <w:rPr>
                <w:rFonts w:hint="eastAsia"/>
                <w:color w:val="auto"/>
                <w:sz w:val="22"/>
                <w:szCs w:val="22"/>
                <w:highlight w:val="none"/>
                <w:lang w:eastAsia="zh-CN"/>
              </w:rPr>
              <w:t>13868334448</w:t>
            </w:r>
          </w:p>
        </w:tc>
      </w:tr>
      <w:tr w14:paraId="58CE6D3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325" w:type="pct"/>
            <w:noWrap w:val="0"/>
            <w:vAlign w:val="center"/>
          </w:tcPr>
          <w:p w14:paraId="660BA5F2">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0FFF56E0">
            <w:pPr>
              <w:spacing w:line="360" w:lineRule="exact"/>
              <w:jc w:val="center"/>
              <w:rPr>
                <w:rFonts w:hint="eastAsia"/>
                <w:color w:val="auto"/>
                <w:sz w:val="22"/>
                <w:szCs w:val="22"/>
                <w:highlight w:val="none"/>
              </w:rPr>
            </w:pPr>
            <w:r>
              <w:rPr>
                <w:rFonts w:hint="eastAsia"/>
                <w:color w:val="auto"/>
                <w:sz w:val="22"/>
                <w:szCs w:val="22"/>
                <w:highlight w:val="none"/>
              </w:rPr>
              <w:t>评标办法</w:t>
            </w:r>
          </w:p>
        </w:tc>
        <w:tc>
          <w:tcPr>
            <w:tcW w:w="3838" w:type="pct"/>
            <w:noWrap w:val="0"/>
            <w:vAlign w:val="center"/>
          </w:tcPr>
          <w:p w14:paraId="1D8F753E">
            <w:pPr>
              <w:adjustRightInd w:val="0"/>
              <w:spacing w:line="360" w:lineRule="exact"/>
              <w:rPr>
                <w:rFonts w:hint="eastAsia"/>
                <w:color w:val="auto"/>
                <w:sz w:val="22"/>
                <w:szCs w:val="22"/>
                <w:highlight w:val="none"/>
              </w:rPr>
            </w:pPr>
            <w:r>
              <w:rPr>
                <w:rFonts w:hint="eastAsia"/>
                <w:color w:val="auto"/>
                <w:sz w:val="22"/>
                <w:szCs w:val="22"/>
                <w:highlight w:val="none"/>
              </w:rPr>
              <w:t>综合评分法</w:t>
            </w:r>
          </w:p>
        </w:tc>
      </w:tr>
      <w:tr w14:paraId="4B4D51F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325" w:type="pct"/>
            <w:noWrap w:val="0"/>
            <w:vAlign w:val="center"/>
          </w:tcPr>
          <w:p w14:paraId="57FD3D54">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7C4695C8">
            <w:pPr>
              <w:spacing w:line="360" w:lineRule="exact"/>
              <w:jc w:val="center"/>
              <w:rPr>
                <w:rFonts w:hint="eastAsia"/>
                <w:color w:val="auto"/>
                <w:sz w:val="22"/>
                <w:szCs w:val="22"/>
                <w:highlight w:val="none"/>
              </w:rPr>
            </w:pPr>
            <w:r>
              <w:rPr>
                <w:rFonts w:hint="eastAsia"/>
                <w:color w:val="auto"/>
                <w:sz w:val="22"/>
                <w:szCs w:val="22"/>
                <w:highlight w:val="none"/>
              </w:rPr>
              <w:t>招标内容</w:t>
            </w:r>
          </w:p>
        </w:tc>
        <w:tc>
          <w:tcPr>
            <w:tcW w:w="3838" w:type="pct"/>
            <w:noWrap w:val="0"/>
            <w:vAlign w:val="center"/>
          </w:tcPr>
          <w:p w14:paraId="6E71F33F">
            <w:pPr>
              <w:adjustRightInd w:val="0"/>
              <w:spacing w:line="360" w:lineRule="exact"/>
              <w:rPr>
                <w:rFonts w:hint="eastAsia"/>
                <w:color w:val="auto"/>
                <w:sz w:val="22"/>
                <w:szCs w:val="22"/>
                <w:highlight w:val="none"/>
              </w:rPr>
            </w:pPr>
            <w:r>
              <w:rPr>
                <w:rFonts w:hint="eastAsia"/>
                <w:color w:val="auto"/>
                <w:sz w:val="22"/>
                <w:szCs w:val="22"/>
                <w:highlight w:val="none"/>
              </w:rPr>
              <w:t>具体内容见招标文件</w:t>
            </w:r>
          </w:p>
        </w:tc>
      </w:tr>
      <w:tr w14:paraId="33FFC6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35" w:hRule="atLeast"/>
          <w:jc w:val="center"/>
        </w:trPr>
        <w:tc>
          <w:tcPr>
            <w:tcW w:w="325" w:type="pct"/>
            <w:noWrap w:val="0"/>
            <w:vAlign w:val="center"/>
          </w:tcPr>
          <w:p w14:paraId="520CF91F">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2F19485F">
            <w:pPr>
              <w:adjustRightInd w:val="0"/>
              <w:spacing w:line="360" w:lineRule="exact"/>
              <w:jc w:val="center"/>
              <w:rPr>
                <w:rFonts w:hint="eastAsia"/>
                <w:color w:val="auto"/>
                <w:sz w:val="22"/>
                <w:szCs w:val="22"/>
                <w:highlight w:val="none"/>
              </w:rPr>
            </w:pPr>
            <w:r>
              <w:rPr>
                <w:rFonts w:hint="eastAsia"/>
                <w:color w:val="auto"/>
                <w:sz w:val="22"/>
                <w:szCs w:val="22"/>
                <w:highlight w:val="none"/>
              </w:rPr>
              <w:t>是否接受联合体投标</w:t>
            </w:r>
          </w:p>
        </w:tc>
        <w:tc>
          <w:tcPr>
            <w:tcW w:w="3838" w:type="pct"/>
            <w:noWrap w:val="0"/>
            <w:vAlign w:val="center"/>
          </w:tcPr>
          <w:p w14:paraId="63AC2196">
            <w:pPr>
              <w:adjustRightInd w:val="0"/>
              <w:spacing w:line="36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33"/>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不接受</w:t>
            </w:r>
          </w:p>
          <w:p w14:paraId="0D38F31C">
            <w:pPr>
              <w:adjustRightInd w:val="0"/>
              <w:spacing w:line="360" w:lineRule="exact"/>
              <w:rPr>
                <w:rFonts w:hint="eastAsia"/>
                <w:color w:val="auto"/>
                <w:sz w:val="22"/>
                <w:szCs w:val="22"/>
                <w:highlight w:val="none"/>
              </w:rPr>
            </w:pPr>
            <w:r>
              <w:rPr>
                <w:rFonts w:hint="eastAsia"/>
                <w:color w:val="auto"/>
                <w:sz w:val="22"/>
                <w:szCs w:val="22"/>
                <w:highlight w:val="none"/>
              </w:rPr>
              <w:t>□接受，应满足下列要求：</w:t>
            </w:r>
          </w:p>
        </w:tc>
      </w:tr>
      <w:tr w14:paraId="085F66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35" w:hRule="atLeast"/>
          <w:jc w:val="center"/>
        </w:trPr>
        <w:tc>
          <w:tcPr>
            <w:tcW w:w="325" w:type="pct"/>
            <w:noWrap w:val="0"/>
            <w:vAlign w:val="center"/>
          </w:tcPr>
          <w:p w14:paraId="283B35ED">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7B93AC9E">
            <w:pPr>
              <w:adjustRightInd w:val="0"/>
              <w:spacing w:line="360" w:lineRule="exact"/>
              <w:jc w:val="center"/>
              <w:rPr>
                <w:rFonts w:hint="eastAsia"/>
                <w:color w:val="auto"/>
                <w:sz w:val="22"/>
                <w:szCs w:val="22"/>
                <w:highlight w:val="none"/>
              </w:rPr>
            </w:pPr>
            <w:r>
              <w:rPr>
                <w:rFonts w:hint="eastAsia"/>
                <w:color w:val="auto"/>
                <w:sz w:val="22"/>
                <w:szCs w:val="22"/>
                <w:highlight w:val="none"/>
              </w:rPr>
              <w:t>踏勘现场</w:t>
            </w:r>
          </w:p>
        </w:tc>
        <w:tc>
          <w:tcPr>
            <w:tcW w:w="3838" w:type="pct"/>
            <w:noWrap w:val="0"/>
            <w:vAlign w:val="center"/>
          </w:tcPr>
          <w:p w14:paraId="1D2B0CA3">
            <w:pPr>
              <w:adjustRightInd w:val="0"/>
              <w:spacing w:line="36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33"/>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不组织</w:t>
            </w:r>
          </w:p>
          <w:p w14:paraId="30F4DAB9">
            <w:pPr>
              <w:adjustRightInd w:val="0"/>
              <w:spacing w:line="360" w:lineRule="exact"/>
              <w:rPr>
                <w:rFonts w:hint="eastAsia"/>
                <w:color w:val="auto"/>
                <w:sz w:val="22"/>
                <w:szCs w:val="22"/>
                <w:highlight w:val="none"/>
              </w:rPr>
            </w:pPr>
            <w:r>
              <w:rPr>
                <w:rFonts w:hint="eastAsia"/>
                <w:color w:val="auto"/>
                <w:sz w:val="22"/>
                <w:szCs w:val="22"/>
                <w:highlight w:val="none"/>
              </w:rPr>
              <w:t>□组织</w:t>
            </w:r>
          </w:p>
        </w:tc>
      </w:tr>
      <w:tr w14:paraId="6486F1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325" w:type="pct"/>
            <w:noWrap w:val="0"/>
            <w:vAlign w:val="center"/>
          </w:tcPr>
          <w:p w14:paraId="7E6586D5">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3B0DD33C">
            <w:pPr>
              <w:adjustRightInd w:val="0"/>
              <w:spacing w:line="360" w:lineRule="exact"/>
              <w:jc w:val="center"/>
              <w:rPr>
                <w:rFonts w:hint="eastAsia"/>
                <w:color w:val="auto"/>
                <w:sz w:val="22"/>
                <w:szCs w:val="22"/>
                <w:highlight w:val="none"/>
              </w:rPr>
            </w:pPr>
            <w:r>
              <w:rPr>
                <w:rFonts w:hint="eastAsia"/>
                <w:color w:val="auto"/>
                <w:sz w:val="22"/>
                <w:szCs w:val="22"/>
                <w:highlight w:val="none"/>
              </w:rPr>
              <w:t>是否允许递交备选投标方案</w:t>
            </w:r>
          </w:p>
        </w:tc>
        <w:tc>
          <w:tcPr>
            <w:tcW w:w="3838" w:type="pct"/>
            <w:noWrap w:val="0"/>
            <w:vAlign w:val="center"/>
          </w:tcPr>
          <w:p w14:paraId="49BD597B">
            <w:pPr>
              <w:adjustRightInd w:val="0"/>
              <w:spacing w:line="36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33"/>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不允许</w:t>
            </w:r>
          </w:p>
          <w:p w14:paraId="725EB1B0">
            <w:pPr>
              <w:adjustRightInd w:val="0"/>
              <w:spacing w:line="360" w:lineRule="exact"/>
              <w:rPr>
                <w:rFonts w:hint="eastAsia"/>
                <w:color w:val="auto"/>
                <w:sz w:val="22"/>
                <w:szCs w:val="22"/>
                <w:highlight w:val="none"/>
              </w:rPr>
            </w:pPr>
            <w:r>
              <w:rPr>
                <w:rFonts w:hint="eastAsia"/>
                <w:color w:val="auto"/>
                <w:sz w:val="22"/>
                <w:szCs w:val="22"/>
                <w:highlight w:val="none"/>
              </w:rPr>
              <w:t>□ 允许</w:t>
            </w:r>
          </w:p>
        </w:tc>
      </w:tr>
      <w:tr w14:paraId="7E0080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6" w:hRule="atLeast"/>
          <w:jc w:val="center"/>
        </w:trPr>
        <w:tc>
          <w:tcPr>
            <w:tcW w:w="325" w:type="pct"/>
            <w:noWrap w:val="0"/>
            <w:vAlign w:val="center"/>
          </w:tcPr>
          <w:p w14:paraId="528B423E">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78B14E20">
            <w:pPr>
              <w:adjustRightInd w:val="0"/>
              <w:spacing w:line="360" w:lineRule="exact"/>
              <w:jc w:val="center"/>
              <w:rPr>
                <w:rFonts w:hint="eastAsia"/>
                <w:color w:val="auto"/>
                <w:sz w:val="22"/>
                <w:szCs w:val="22"/>
                <w:highlight w:val="none"/>
              </w:rPr>
            </w:pPr>
            <w:r>
              <w:rPr>
                <w:rFonts w:hint="eastAsia"/>
                <w:color w:val="auto"/>
                <w:sz w:val="22"/>
                <w:szCs w:val="22"/>
                <w:highlight w:val="none"/>
              </w:rPr>
              <w:t>投标货币</w:t>
            </w:r>
          </w:p>
        </w:tc>
        <w:tc>
          <w:tcPr>
            <w:tcW w:w="3838" w:type="pct"/>
            <w:noWrap w:val="0"/>
            <w:vAlign w:val="center"/>
          </w:tcPr>
          <w:p w14:paraId="097D13C7">
            <w:pPr>
              <w:adjustRightInd w:val="0"/>
              <w:spacing w:line="360" w:lineRule="exact"/>
              <w:rPr>
                <w:rFonts w:hint="eastAsia"/>
                <w:color w:val="auto"/>
                <w:sz w:val="22"/>
                <w:szCs w:val="22"/>
                <w:highlight w:val="none"/>
              </w:rPr>
            </w:pPr>
            <w:r>
              <w:rPr>
                <w:rFonts w:hint="eastAsia"/>
                <w:color w:val="auto"/>
                <w:sz w:val="22"/>
                <w:szCs w:val="22"/>
                <w:highlight w:val="none"/>
              </w:rPr>
              <w:t>人民币</w:t>
            </w:r>
          </w:p>
        </w:tc>
      </w:tr>
      <w:tr w14:paraId="3067C4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9" w:hRule="atLeast"/>
          <w:jc w:val="center"/>
        </w:trPr>
        <w:tc>
          <w:tcPr>
            <w:tcW w:w="325" w:type="pct"/>
            <w:noWrap w:val="0"/>
            <w:vAlign w:val="center"/>
          </w:tcPr>
          <w:p w14:paraId="31B84250">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23CDCC9A">
            <w:pPr>
              <w:adjustRightInd w:val="0"/>
              <w:spacing w:line="360" w:lineRule="exact"/>
              <w:jc w:val="center"/>
              <w:rPr>
                <w:rFonts w:hint="eastAsia"/>
                <w:color w:val="auto"/>
                <w:sz w:val="22"/>
                <w:szCs w:val="22"/>
                <w:highlight w:val="none"/>
              </w:rPr>
            </w:pPr>
            <w:r>
              <w:rPr>
                <w:rFonts w:hint="eastAsia"/>
                <w:color w:val="auto"/>
                <w:sz w:val="22"/>
                <w:szCs w:val="22"/>
                <w:highlight w:val="none"/>
              </w:rPr>
              <w:t>投标语言</w:t>
            </w:r>
          </w:p>
        </w:tc>
        <w:tc>
          <w:tcPr>
            <w:tcW w:w="3838" w:type="pct"/>
            <w:noWrap w:val="0"/>
            <w:vAlign w:val="center"/>
          </w:tcPr>
          <w:p w14:paraId="7D76EA77">
            <w:pPr>
              <w:adjustRightInd w:val="0"/>
              <w:spacing w:line="360" w:lineRule="exact"/>
              <w:rPr>
                <w:rFonts w:hint="eastAsia"/>
                <w:color w:val="auto"/>
                <w:sz w:val="22"/>
                <w:szCs w:val="22"/>
                <w:highlight w:val="none"/>
              </w:rPr>
            </w:pPr>
            <w:r>
              <w:rPr>
                <w:rFonts w:hint="eastAsia"/>
                <w:color w:val="auto"/>
                <w:sz w:val="22"/>
                <w:szCs w:val="22"/>
                <w:highlight w:val="none"/>
              </w:rPr>
              <w:t>中文</w:t>
            </w:r>
          </w:p>
        </w:tc>
      </w:tr>
      <w:tr w14:paraId="50DAFB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9" w:hRule="atLeast"/>
          <w:jc w:val="center"/>
        </w:trPr>
        <w:tc>
          <w:tcPr>
            <w:tcW w:w="325" w:type="pct"/>
            <w:noWrap w:val="0"/>
            <w:vAlign w:val="center"/>
          </w:tcPr>
          <w:p w14:paraId="57504B64">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0A03BD3D">
            <w:pPr>
              <w:adjustRightInd w:val="0"/>
              <w:spacing w:line="360" w:lineRule="exact"/>
              <w:jc w:val="center"/>
              <w:rPr>
                <w:rFonts w:hint="eastAsia"/>
                <w:color w:val="auto"/>
                <w:sz w:val="22"/>
                <w:szCs w:val="22"/>
                <w:highlight w:val="none"/>
              </w:rPr>
            </w:pPr>
            <w:r>
              <w:rPr>
                <w:rFonts w:hint="eastAsia"/>
                <w:color w:val="auto"/>
                <w:sz w:val="22"/>
                <w:szCs w:val="22"/>
                <w:highlight w:val="none"/>
              </w:rPr>
              <w:t>投标文件的组成</w:t>
            </w:r>
          </w:p>
        </w:tc>
        <w:tc>
          <w:tcPr>
            <w:tcW w:w="3838" w:type="pct"/>
            <w:noWrap w:val="0"/>
            <w:vAlign w:val="center"/>
          </w:tcPr>
          <w:p w14:paraId="5CACBB7E">
            <w:pPr>
              <w:adjustRightInd w:val="0"/>
              <w:spacing w:line="360" w:lineRule="exact"/>
              <w:rPr>
                <w:rFonts w:hint="eastAsia"/>
                <w:color w:val="auto"/>
                <w:sz w:val="22"/>
                <w:szCs w:val="22"/>
                <w:highlight w:val="none"/>
              </w:rPr>
            </w:pPr>
            <w:r>
              <w:rPr>
                <w:rFonts w:hint="eastAsia"/>
                <w:color w:val="auto"/>
                <w:sz w:val="22"/>
                <w:szCs w:val="22"/>
                <w:highlight w:val="none"/>
              </w:rPr>
              <w:t>完整的《投标文件》由“资格文件”、“报价文件”和“商务技术文件”三个部分组成。</w:t>
            </w:r>
          </w:p>
        </w:tc>
      </w:tr>
      <w:tr w14:paraId="189DD4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5" w:hRule="atLeast"/>
          <w:jc w:val="center"/>
        </w:trPr>
        <w:tc>
          <w:tcPr>
            <w:tcW w:w="325" w:type="pct"/>
            <w:noWrap w:val="0"/>
            <w:vAlign w:val="center"/>
          </w:tcPr>
          <w:p w14:paraId="25C63B37">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7EF515B5">
            <w:pPr>
              <w:spacing w:line="360" w:lineRule="exact"/>
              <w:jc w:val="center"/>
              <w:rPr>
                <w:rFonts w:hint="eastAsia"/>
                <w:color w:val="auto"/>
                <w:sz w:val="22"/>
                <w:szCs w:val="22"/>
                <w:highlight w:val="none"/>
              </w:rPr>
            </w:pPr>
            <w:r>
              <w:rPr>
                <w:rFonts w:hint="eastAsia"/>
                <w:color w:val="auto"/>
                <w:sz w:val="22"/>
                <w:szCs w:val="22"/>
                <w:highlight w:val="none"/>
              </w:rPr>
              <w:t>投标文件的编制</w:t>
            </w:r>
          </w:p>
        </w:tc>
        <w:tc>
          <w:tcPr>
            <w:tcW w:w="3838" w:type="pct"/>
            <w:noWrap w:val="0"/>
            <w:vAlign w:val="center"/>
          </w:tcPr>
          <w:p w14:paraId="4946D8CC">
            <w:pPr>
              <w:spacing w:line="360" w:lineRule="exact"/>
              <w:rPr>
                <w:rFonts w:hint="eastAsia"/>
                <w:color w:val="auto"/>
                <w:sz w:val="22"/>
                <w:szCs w:val="22"/>
                <w:highlight w:val="none"/>
              </w:rPr>
            </w:pPr>
            <w:r>
              <w:rPr>
                <w:rFonts w:hint="eastAsia"/>
                <w:color w:val="auto"/>
                <w:sz w:val="22"/>
                <w:szCs w:val="22"/>
                <w:highlight w:val="none"/>
              </w:rPr>
              <w:t>供应商应先安装“政采云电子交易客户端”，并按照本招标文件和“政府采购云平台”的要求，通过“政采云电子交易客户端”编制并加密投标文件。</w:t>
            </w:r>
          </w:p>
        </w:tc>
      </w:tr>
      <w:tr w14:paraId="506A0D8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6" w:hRule="atLeast"/>
          <w:jc w:val="center"/>
        </w:trPr>
        <w:tc>
          <w:tcPr>
            <w:tcW w:w="325" w:type="pct"/>
            <w:noWrap w:val="0"/>
            <w:vAlign w:val="center"/>
          </w:tcPr>
          <w:p w14:paraId="16E78519">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0E069086">
            <w:pPr>
              <w:spacing w:line="360" w:lineRule="exact"/>
              <w:jc w:val="center"/>
              <w:rPr>
                <w:rFonts w:hint="eastAsia"/>
                <w:color w:val="auto"/>
                <w:sz w:val="22"/>
                <w:szCs w:val="22"/>
                <w:highlight w:val="none"/>
              </w:rPr>
            </w:pPr>
            <w:r>
              <w:rPr>
                <w:rFonts w:hint="eastAsia"/>
                <w:color w:val="auto"/>
                <w:sz w:val="22"/>
                <w:szCs w:val="22"/>
                <w:highlight w:val="none"/>
              </w:rPr>
              <w:t>签字或盖章要求</w:t>
            </w:r>
          </w:p>
        </w:tc>
        <w:tc>
          <w:tcPr>
            <w:tcW w:w="3838" w:type="pct"/>
            <w:noWrap w:val="0"/>
            <w:vAlign w:val="center"/>
          </w:tcPr>
          <w:p w14:paraId="148F0164">
            <w:pPr>
              <w:snapToGrid w:val="0"/>
              <w:spacing w:line="360" w:lineRule="exact"/>
              <w:rPr>
                <w:rFonts w:hint="eastAsia"/>
                <w:color w:val="auto"/>
                <w:sz w:val="22"/>
                <w:szCs w:val="22"/>
                <w:highlight w:val="none"/>
              </w:rPr>
            </w:pPr>
            <w:r>
              <w:rPr>
                <w:rFonts w:hint="eastAsia"/>
                <w:b/>
                <w:color w:val="auto"/>
                <w:sz w:val="22"/>
                <w:szCs w:val="22"/>
                <w:highlight w:val="none"/>
                <w:lang w:bidi="ar"/>
              </w:rPr>
              <w:t>电子签章。</w:t>
            </w:r>
            <w:r>
              <w:rPr>
                <w:rFonts w:hint="eastAsia"/>
                <w:color w:val="auto"/>
                <w:sz w:val="22"/>
                <w:szCs w:val="22"/>
                <w:highlight w:val="none"/>
              </w:rPr>
              <w:t>采购文件所指的加盖单位公章为电子签章。</w:t>
            </w:r>
          </w:p>
          <w:p w14:paraId="797141E0">
            <w:pPr>
              <w:spacing w:line="360" w:lineRule="exact"/>
              <w:rPr>
                <w:rFonts w:hint="eastAsia"/>
                <w:color w:val="auto"/>
                <w:sz w:val="22"/>
                <w:szCs w:val="22"/>
                <w:highlight w:val="none"/>
              </w:rPr>
            </w:pPr>
            <w:r>
              <w:rPr>
                <w:rFonts w:hint="eastAsia"/>
                <w:color w:val="auto"/>
                <w:sz w:val="22"/>
                <w:szCs w:val="22"/>
                <w:highlight w:val="none"/>
              </w:rPr>
              <w:t>投标文件须按采购文件格式要求，由供应商加盖单位公章和法定代表人（负责人）或其授权代表印章（或签字）。</w:t>
            </w:r>
          </w:p>
        </w:tc>
      </w:tr>
      <w:tr w14:paraId="161E72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6" w:hRule="atLeast"/>
          <w:jc w:val="center"/>
        </w:trPr>
        <w:tc>
          <w:tcPr>
            <w:tcW w:w="325" w:type="pct"/>
            <w:noWrap w:val="0"/>
            <w:vAlign w:val="center"/>
          </w:tcPr>
          <w:p w14:paraId="4B5247F2">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58572302">
            <w:pPr>
              <w:adjustRightInd w:val="0"/>
              <w:spacing w:line="360" w:lineRule="exact"/>
              <w:jc w:val="center"/>
              <w:rPr>
                <w:rFonts w:hint="eastAsia"/>
                <w:color w:val="auto"/>
                <w:sz w:val="22"/>
                <w:szCs w:val="22"/>
                <w:highlight w:val="none"/>
              </w:rPr>
            </w:pPr>
            <w:r>
              <w:rPr>
                <w:rFonts w:hint="eastAsia"/>
                <w:color w:val="auto"/>
                <w:sz w:val="22"/>
                <w:szCs w:val="22"/>
                <w:highlight w:val="none"/>
              </w:rPr>
              <w:t>投标文件的形式</w:t>
            </w:r>
          </w:p>
        </w:tc>
        <w:tc>
          <w:tcPr>
            <w:tcW w:w="3838" w:type="pct"/>
            <w:noWrap w:val="0"/>
            <w:vAlign w:val="center"/>
          </w:tcPr>
          <w:p w14:paraId="366562D0">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☑电子投标文件（包括“电子加密投标文件”和“备份投标文件”，在投标文件编制完成后同时生成）；</w:t>
            </w:r>
          </w:p>
          <w:p w14:paraId="635E9225">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（1）“电子加密投标文件”是指通过“政采云电子交易客户端”完成投标文件编制后生成并加密的数据电文形式的投标文件。</w:t>
            </w:r>
          </w:p>
          <w:p w14:paraId="120AE04E">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（2）“备份投标文件”是指与“电子加密投标文件”同时生成的数据电文形式的电子文件（备份标书），其他方式编制的备份投标文件视为无效备份投标文件。</w:t>
            </w:r>
          </w:p>
        </w:tc>
      </w:tr>
      <w:tr w14:paraId="1EDDCE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7" w:hRule="atLeast"/>
          <w:jc w:val="center"/>
        </w:trPr>
        <w:tc>
          <w:tcPr>
            <w:tcW w:w="325" w:type="pct"/>
            <w:noWrap w:val="0"/>
            <w:vAlign w:val="center"/>
          </w:tcPr>
          <w:p w14:paraId="60C9C3D7">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07DFC3D1">
            <w:pPr>
              <w:adjustRightInd w:val="0"/>
              <w:spacing w:line="360" w:lineRule="exact"/>
              <w:jc w:val="center"/>
              <w:rPr>
                <w:rFonts w:hint="eastAsia"/>
                <w:color w:val="auto"/>
                <w:sz w:val="22"/>
                <w:szCs w:val="22"/>
                <w:highlight w:val="none"/>
              </w:rPr>
            </w:pPr>
            <w:r>
              <w:rPr>
                <w:rFonts w:hint="eastAsia"/>
                <w:color w:val="auto"/>
                <w:sz w:val="22"/>
                <w:szCs w:val="22"/>
                <w:highlight w:val="none"/>
              </w:rPr>
              <w:t>投标文件份数</w:t>
            </w:r>
          </w:p>
        </w:tc>
        <w:tc>
          <w:tcPr>
            <w:tcW w:w="3838" w:type="pct"/>
            <w:noWrap w:val="0"/>
            <w:vAlign w:val="center"/>
          </w:tcPr>
          <w:p w14:paraId="2EADB54B">
            <w:pPr>
              <w:pStyle w:val="49"/>
              <w:widowControl w:val="0"/>
              <w:numPr>
                <w:ilvl w:val="0"/>
                <w:numId w:val="15"/>
              </w:numPr>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“电子加密投标文件”：在线上传递交、一份。</w:t>
            </w:r>
          </w:p>
          <w:p w14:paraId="480C6DBD">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（2）“备份投标文件”：密封包装后（邮寄形式投标截止时间前递交、一份（邮寄地址：</w:t>
            </w:r>
            <w:r>
              <w:rPr>
                <w:rFonts w:hint="eastAsia" w:ascii="宋体" w:hAnsi="宋体" w:eastAsia="宋体" w:cs="宋体"/>
                <w:b w:val="0"/>
                <w:bCs w:val="0"/>
                <w:color w:val="auto"/>
                <w:sz w:val="22"/>
                <w:szCs w:val="22"/>
                <w:highlight w:val="none"/>
                <w:lang w:val="en-US" w:eastAsia="zh-CN"/>
              </w:rPr>
              <w:t>平阳县鳌江镇站前小区17幢二单元202室</w:t>
            </w:r>
            <w:r>
              <w:rPr>
                <w:rFonts w:hint="eastAsia"/>
                <w:color w:val="auto"/>
                <w:sz w:val="22"/>
                <w:szCs w:val="22"/>
                <w:highlight w:val="none"/>
              </w:rPr>
              <w:t xml:space="preserve"> </w:t>
            </w:r>
            <w:r>
              <w:rPr>
                <w:rFonts w:hint="eastAsia"/>
                <w:color w:val="auto"/>
                <w:sz w:val="22"/>
                <w:szCs w:val="22"/>
                <w:highlight w:val="none"/>
                <w:lang w:eastAsia="zh-CN"/>
              </w:rPr>
              <w:t>叶先生</w:t>
            </w:r>
            <w:r>
              <w:rPr>
                <w:rFonts w:hint="eastAsia"/>
                <w:color w:val="auto"/>
                <w:sz w:val="22"/>
                <w:szCs w:val="22"/>
                <w:highlight w:val="none"/>
              </w:rPr>
              <w:t>收</w:t>
            </w:r>
            <w:r>
              <w:rPr>
                <w:rFonts w:hint="eastAsia"/>
                <w:color w:val="auto"/>
                <w:sz w:val="22"/>
                <w:szCs w:val="22"/>
                <w:highlight w:val="none"/>
                <w:lang w:eastAsia="zh-CN"/>
              </w:rPr>
              <w:t>13868334448</w:t>
            </w:r>
            <w:r>
              <w:rPr>
                <w:rFonts w:hint="eastAsia"/>
                <w:color w:val="auto"/>
                <w:sz w:val="22"/>
                <w:szCs w:val="22"/>
                <w:highlight w:val="none"/>
              </w:rPr>
              <w:t>）（或电子邮件形式递交数据电文形式的“备份投标文件”。电子邮箱：</w:t>
            </w:r>
            <w:r>
              <w:rPr>
                <w:rFonts w:hint="eastAsia"/>
                <w:color w:val="auto"/>
                <w:sz w:val="22"/>
                <w:szCs w:val="22"/>
                <w:highlight w:val="none"/>
                <w:lang w:eastAsia="zh-CN"/>
              </w:rPr>
              <w:t>359842647</w:t>
            </w:r>
            <w:r>
              <w:rPr>
                <w:rFonts w:hint="eastAsia"/>
                <w:color w:val="auto"/>
                <w:sz w:val="22"/>
                <w:szCs w:val="22"/>
                <w:highlight w:val="none"/>
              </w:rPr>
              <w:t>@qq.com</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打包加密，密码由供应商自行保管</w:t>
            </w:r>
            <w:r>
              <w:rPr>
                <w:rFonts w:hint="eastAsia"/>
                <w:color w:val="auto"/>
                <w:sz w:val="22"/>
                <w:szCs w:val="22"/>
                <w:highlight w:val="none"/>
              </w:rPr>
              <w:t>）</w:t>
            </w:r>
            <w:r>
              <w:rPr>
                <w:rFonts w:hint="eastAsia"/>
                <w:color w:val="auto"/>
                <w:sz w:val="22"/>
                <w:szCs w:val="22"/>
                <w:highlight w:val="none"/>
                <w:lang w:eastAsia="zh-CN"/>
              </w:rPr>
              <w:t>）</w:t>
            </w:r>
            <w:r>
              <w:rPr>
                <w:rFonts w:hint="eastAsia"/>
                <w:color w:val="auto"/>
                <w:sz w:val="22"/>
                <w:szCs w:val="22"/>
                <w:highlight w:val="none"/>
              </w:rPr>
              <w:t>。</w:t>
            </w:r>
          </w:p>
        </w:tc>
      </w:tr>
      <w:tr w14:paraId="0B28FD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81" w:hRule="atLeast"/>
          <w:jc w:val="center"/>
        </w:trPr>
        <w:tc>
          <w:tcPr>
            <w:tcW w:w="325" w:type="pct"/>
            <w:noWrap w:val="0"/>
            <w:vAlign w:val="center"/>
          </w:tcPr>
          <w:p w14:paraId="4B8B5B95">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76DB71E7">
            <w:pPr>
              <w:adjustRightInd w:val="0"/>
              <w:spacing w:line="360" w:lineRule="exact"/>
              <w:jc w:val="center"/>
              <w:rPr>
                <w:rFonts w:hint="eastAsia"/>
                <w:color w:val="auto"/>
                <w:sz w:val="22"/>
                <w:szCs w:val="22"/>
                <w:highlight w:val="none"/>
              </w:rPr>
            </w:pPr>
            <w:r>
              <w:rPr>
                <w:rFonts w:hint="eastAsia"/>
                <w:color w:val="auto"/>
                <w:sz w:val="22"/>
                <w:szCs w:val="22"/>
                <w:highlight w:val="none"/>
              </w:rPr>
              <w:t>投标文件的上传和递交</w:t>
            </w:r>
          </w:p>
        </w:tc>
        <w:tc>
          <w:tcPr>
            <w:tcW w:w="3838" w:type="pct"/>
            <w:noWrap w:val="0"/>
            <w:vAlign w:val="center"/>
          </w:tcPr>
          <w:p w14:paraId="486DA1A3">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（1）“电子加密投标文件”的上传、递交：</w:t>
            </w:r>
          </w:p>
          <w:p w14:paraId="57DC975C">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a.供应商应在投标截止时间前将“电子加密投标文件”成功上传递交至“政府采购云平台”，否则投标无效。</w:t>
            </w:r>
          </w:p>
          <w:p w14:paraId="203CFF4B">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b.“电子加密投标文件”成功上传递交后，供应商可自行打印投标文件接收回执。</w:t>
            </w:r>
          </w:p>
          <w:p w14:paraId="7906A27D">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（2）“备份投标文件”的密封包装、递交：</w:t>
            </w:r>
          </w:p>
          <w:p w14:paraId="3CABE499">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a.供应商在“政府采购云平台”完成“电子加密投标文件”的上传递交后，还可以（邮寄形式）在投标截止时间前递交以介质（U盘）存储的 “备份投标文件”（一份）（或电子邮件形式递交数据电文形式的“备份投标文件”。电子邮箱：</w:t>
            </w:r>
            <w:r>
              <w:rPr>
                <w:rFonts w:hint="eastAsia"/>
                <w:color w:val="auto"/>
                <w:sz w:val="22"/>
                <w:szCs w:val="22"/>
                <w:highlight w:val="none"/>
                <w:lang w:eastAsia="zh-CN"/>
              </w:rPr>
              <w:t>359842647</w:t>
            </w:r>
            <w:r>
              <w:rPr>
                <w:rFonts w:hint="eastAsia"/>
                <w:color w:val="auto"/>
                <w:sz w:val="22"/>
                <w:szCs w:val="22"/>
                <w:highlight w:val="none"/>
              </w:rPr>
              <w:t>@qq.com）；</w:t>
            </w:r>
          </w:p>
          <w:p w14:paraId="5481168A">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b.邮寄“备份投标文件”应当密封包装，并在包装上标注投标项目名称、投标单位名称并加盖公章。没有密封包装或者逾期邮寄送达至投标地点的“备份投标文件”将不予接收；</w:t>
            </w:r>
          </w:p>
          <w:p w14:paraId="672373FC">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c.通过“政府采购云平台”成功上传递交的“电子加密投标文件”已按时解密的，“备份投标文件”自动失效。投标截止时间前，供应商仅递交了“备份投标文件”而未将“电子加密投标文件”成功上传至“政府采购云平台”的，投标无效。</w:t>
            </w:r>
          </w:p>
        </w:tc>
      </w:tr>
      <w:tr w14:paraId="2C4B2C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642" w:hRule="atLeast"/>
          <w:jc w:val="center"/>
        </w:trPr>
        <w:tc>
          <w:tcPr>
            <w:tcW w:w="325" w:type="pct"/>
            <w:noWrap w:val="0"/>
            <w:vAlign w:val="center"/>
          </w:tcPr>
          <w:p w14:paraId="15E782C4">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70C054C8">
            <w:pPr>
              <w:adjustRightInd w:val="0"/>
              <w:spacing w:line="360" w:lineRule="exact"/>
              <w:jc w:val="center"/>
              <w:rPr>
                <w:rFonts w:hint="eastAsia"/>
                <w:color w:val="auto"/>
                <w:sz w:val="22"/>
                <w:szCs w:val="22"/>
                <w:highlight w:val="none"/>
              </w:rPr>
            </w:pPr>
            <w:r>
              <w:rPr>
                <w:rFonts w:hint="eastAsia"/>
                <w:color w:val="auto"/>
                <w:sz w:val="22"/>
                <w:szCs w:val="22"/>
                <w:highlight w:val="none"/>
              </w:rPr>
              <w:t>电子加密投标文件的解密和异常情况处理</w:t>
            </w:r>
          </w:p>
        </w:tc>
        <w:tc>
          <w:tcPr>
            <w:tcW w:w="3838" w:type="pct"/>
            <w:noWrap w:val="0"/>
            <w:vAlign w:val="center"/>
          </w:tcPr>
          <w:p w14:paraId="36084051">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1）开标后，采购组织机构将向各供应商发出“电子加密投标文件”的解密通知，各供应商代表应当在接到解密通知后30分钟内自行完成“电子加密投标文件”的在线解密。投标文件解密结束后，各供应商签署《政府采购活动现场确认声明书》，并在30分钟内以扫描件方式发送至代理机构邮箱：</w:t>
            </w:r>
            <w:r>
              <w:rPr>
                <w:rFonts w:hint="eastAsia"/>
                <w:color w:val="auto"/>
                <w:sz w:val="22"/>
                <w:szCs w:val="22"/>
                <w:highlight w:val="none"/>
              </w:rPr>
              <w:fldChar w:fldCharType="begin"/>
            </w:r>
            <w:r>
              <w:rPr>
                <w:rFonts w:hint="eastAsia"/>
                <w:color w:val="auto"/>
                <w:sz w:val="22"/>
                <w:szCs w:val="22"/>
                <w:highlight w:val="none"/>
              </w:rPr>
              <w:instrText xml:space="preserve"> HYPERLINK "mailto: 309705385@qq.com" </w:instrText>
            </w:r>
            <w:r>
              <w:rPr>
                <w:rFonts w:hint="eastAsia"/>
                <w:color w:val="auto"/>
                <w:sz w:val="22"/>
                <w:szCs w:val="22"/>
                <w:highlight w:val="none"/>
              </w:rPr>
              <w:fldChar w:fldCharType="separate"/>
            </w:r>
            <w:r>
              <w:rPr>
                <w:rFonts w:hint="eastAsia"/>
                <w:color w:val="auto"/>
                <w:sz w:val="22"/>
                <w:szCs w:val="22"/>
                <w:highlight w:val="none"/>
                <w:lang w:eastAsia="zh-CN"/>
              </w:rPr>
              <w:t>359842647</w:t>
            </w:r>
            <w:r>
              <w:rPr>
                <w:rFonts w:hint="eastAsia"/>
                <w:color w:val="auto"/>
                <w:sz w:val="22"/>
                <w:szCs w:val="22"/>
                <w:highlight w:val="none"/>
              </w:rPr>
              <w:t>@qq.com</w:t>
            </w:r>
            <w:r>
              <w:rPr>
                <w:rFonts w:hint="eastAsia"/>
                <w:color w:val="auto"/>
                <w:sz w:val="22"/>
                <w:szCs w:val="22"/>
                <w:highlight w:val="none"/>
              </w:rPr>
              <w:fldChar w:fldCharType="end"/>
            </w:r>
            <w:r>
              <w:rPr>
                <w:rFonts w:hint="eastAsia"/>
                <w:color w:val="auto"/>
                <w:sz w:val="22"/>
                <w:szCs w:val="22"/>
                <w:highlight w:val="none"/>
              </w:rPr>
              <w:t xml:space="preserve"> 。</w:t>
            </w:r>
          </w:p>
          <w:p w14:paraId="74A61279">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（2）</w:t>
            </w:r>
            <w:r>
              <w:rPr>
                <w:rFonts w:hint="eastAsia" w:ascii="宋体" w:hAnsi="宋体" w:cs="宋体"/>
                <w:color w:val="auto"/>
                <w:sz w:val="22"/>
                <w:szCs w:val="22"/>
                <w:highlight w:val="none"/>
                <w:lang w:bidi="ar"/>
              </w:rPr>
              <w:t>通过“政府采购云平台”成功上传递交的“电子加密投标文件”无法按时解密，投标供应商如按规定递交了“备份投标文件”的，以“备份投标文件”为依据（</w:t>
            </w:r>
            <w:r>
              <w:rPr>
                <w:rFonts w:hint="eastAsia" w:ascii="宋体" w:hAnsi="宋体" w:cs="宋体"/>
                <w:b/>
                <w:color w:val="auto"/>
                <w:sz w:val="22"/>
                <w:szCs w:val="22"/>
                <w:highlight w:val="none"/>
                <w:lang w:bidi="ar"/>
              </w:rPr>
              <w:t>授权代表保持电话畅通，如线上解密失败，会在开启备份响应文件时与授权代表联系索取密码。</w:t>
            </w:r>
            <w:r>
              <w:rPr>
                <w:rFonts w:hint="eastAsia" w:ascii="宋体" w:hAnsi="宋体" w:cs="宋体"/>
                <w:color w:val="auto"/>
                <w:sz w:val="22"/>
                <w:szCs w:val="22"/>
                <w:highlight w:val="none"/>
                <w:lang w:bidi="ar"/>
              </w:rPr>
              <w:t>）（由采购组织机构按“政府采购云平台”操作规范将“备份投标文件”上传至“政府采购云平台”，上传成功后，“电子加密投标文件”自动失效），否则视为投标文件撤回。</w:t>
            </w:r>
          </w:p>
          <w:p w14:paraId="19EB3ED4">
            <w:pPr>
              <w:pStyle w:val="49"/>
              <w:widowControl w:val="0"/>
              <w:tabs>
                <w:tab w:val="right" w:leader="dot" w:pos="9118"/>
              </w:tabs>
              <w:adjustRightInd w:val="0"/>
              <w:spacing w:line="360" w:lineRule="exact"/>
              <w:jc w:val="both"/>
              <w:rPr>
                <w:rFonts w:hint="eastAsia"/>
                <w:color w:val="auto"/>
                <w:sz w:val="22"/>
                <w:szCs w:val="22"/>
                <w:highlight w:val="none"/>
              </w:rPr>
            </w:pPr>
            <w:r>
              <w:rPr>
                <w:rFonts w:hint="eastAsia"/>
                <w:color w:val="auto"/>
                <w:sz w:val="22"/>
                <w:szCs w:val="22"/>
                <w:highlight w:val="none"/>
              </w:rPr>
              <w:t>（3）投标截止时间前，供应商仅递交了“备份投标文件”而未将电子加密投标文件上传至“政府采购云平台”的，投标无效。</w:t>
            </w:r>
          </w:p>
        </w:tc>
      </w:tr>
      <w:tr w14:paraId="691B54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81" w:hRule="atLeast"/>
          <w:jc w:val="center"/>
        </w:trPr>
        <w:tc>
          <w:tcPr>
            <w:tcW w:w="325" w:type="pct"/>
            <w:noWrap w:val="0"/>
            <w:vAlign w:val="center"/>
          </w:tcPr>
          <w:p w14:paraId="7FB25A0E">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4EB161C8">
            <w:pPr>
              <w:spacing w:line="360" w:lineRule="exact"/>
              <w:jc w:val="center"/>
              <w:rPr>
                <w:rFonts w:hint="eastAsia"/>
                <w:color w:val="auto"/>
                <w:sz w:val="22"/>
                <w:szCs w:val="22"/>
                <w:highlight w:val="none"/>
              </w:rPr>
            </w:pPr>
            <w:r>
              <w:rPr>
                <w:rFonts w:hint="eastAsia"/>
                <w:color w:val="auto"/>
                <w:sz w:val="22"/>
                <w:szCs w:val="22"/>
                <w:highlight w:val="none"/>
              </w:rPr>
              <w:t>投标有效期</w:t>
            </w:r>
          </w:p>
        </w:tc>
        <w:tc>
          <w:tcPr>
            <w:tcW w:w="3838" w:type="pct"/>
            <w:noWrap w:val="0"/>
            <w:vAlign w:val="center"/>
          </w:tcPr>
          <w:p w14:paraId="378C4599">
            <w:pPr>
              <w:spacing w:line="360" w:lineRule="exact"/>
              <w:rPr>
                <w:rFonts w:hint="eastAsia"/>
                <w:color w:val="auto"/>
                <w:sz w:val="22"/>
                <w:szCs w:val="22"/>
                <w:highlight w:val="none"/>
              </w:rPr>
            </w:pPr>
            <w:r>
              <w:rPr>
                <w:rFonts w:hint="eastAsia"/>
                <w:color w:val="auto"/>
                <w:sz w:val="22"/>
                <w:szCs w:val="22"/>
                <w:highlight w:val="none"/>
              </w:rPr>
              <w:t>提交投标文件截止日起90天内</w:t>
            </w:r>
          </w:p>
        </w:tc>
      </w:tr>
      <w:tr w14:paraId="27CAFE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7" w:hRule="atLeast"/>
          <w:jc w:val="center"/>
        </w:trPr>
        <w:tc>
          <w:tcPr>
            <w:tcW w:w="325" w:type="pct"/>
            <w:noWrap w:val="0"/>
            <w:vAlign w:val="center"/>
          </w:tcPr>
          <w:p w14:paraId="05EC741F">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5D9BFE75">
            <w:pPr>
              <w:spacing w:line="360" w:lineRule="exact"/>
              <w:jc w:val="center"/>
              <w:rPr>
                <w:rFonts w:hint="eastAsia"/>
                <w:color w:val="auto"/>
                <w:sz w:val="22"/>
                <w:szCs w:val="22"/>
                <w:highlight w:val="none"/>
              </w:rPr>
            </w:pPr>
            <w:r>
              <w:rPr>
                <w:rFonts w:hint="eastAsia"/>
                <w:color w:val="auto"/>
                <w:sz w:val="22"/>
                <w:szCs w:val="22"/>
                <w:highlight w:val="none"/>
              </w:rPr>
              <w:t>投标样品</w:t>
            </w:r>
          </w:p>
        </w:tc>
        <w:tc>
          <w:tcPr>
            <w:tcW w:w="3838" w:type="pct"/>
            <w:noWrap w:val="0"/>
            <w:vAlign w:val="center"/>
          </w:tcPr>
          <w:p w14:paraId="0913AEE0">
            <w:pPr>
              <w:spacing w:line="36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33"/>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不需要</w:t>
            </w:r>
          </w:p>
        </w:tc>
      </w:tr>
      <w:tr w14:paraId="1FDBBF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79" w:hRule="atLeast"/>
          <w:jc w:val="center"/>
        </w:trPr>
        <w:tc>
          <w:tcPr>
            <w:tcW w:w="325" w:type="pct"/>
            <w:noWrap w:val="0"/>
            <w:vAlign w:val="center"/>
          </w:tcPr>
          <w:p w14:paraId="3E326BBF">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5F4144C2">
            <w:pPr>
              <w:adjustRightInd w:val="0"/>
              <w:spacing w:line="360" w:lineRule="exact"/>
              <w:jc w:val="center"/>
              <w:rPr>
                <w:rFonts w:hint="eastAsia"/>
                <w:color w:val="auto"/>
                <w:sz w:val="22"/>
                <w:szCs w:val="22"/>
                <w:highlight w:val="none"/>
              </w:rPr>
            </w:pPr>
            <w:r>
              <w:rPr>
                <w:rFonts w:hint="eastAsia"/>
                <w:color w:val="auto"/>
                <w:sz w:val="22"/>
                <w:szCs w:val="22"/>
                <w:highlight w:val="none"/>
              </w:rPr>
              <w:t>履约担保</w:t>
            </w:r>
          </w:p>
        </w:tc>
        <w:tc>
          <w:tcPr>
            <w:tcW w:w="3838" w:type="pct"/>
            <w:noWrap w:val="0"/>
            <w:vAlign w:val="center"/>
          </w:tcPr>
          <w:p w14:paraId="150AC4FB">
            <w:pPr>
              <w:spacing w:line="36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33"/>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需要 合同签订后7个工作日内中标供应商提供合同金额的1%作为履约保证金</w:t>
            </w:r>
            <w:r>
              <w:rPr>
                <w:rFonts w:hint="eastAsia"/>
                <w:bCs/>
                <w:color w:val="auto"/>
                <w:sz w:val="22"/>
                <w:szCs w:val="22"/>
                <w:highlight w:val="none"/>
                <w:lang w:eastAsia="zh-CN"/>
              </w:rPr>
              <w:t>（</w:t>
            </w:r>
            <w:r>
              <w:rPr>
                <w:rFonts w:hint="eastAsia"/>
                <w:bCs/>
                <w:color w:val="auto"/>
                <w:sz w:val="22"/>
                <w:szCs w:val="22"/>
                <w:highlight w:val="none"/>
              </w:rPr>
              <w:t>以银行转账、支票、汇票、本票或者金融机构、担保机构出具的保函</w:t>
            </w:r>
            <w:r>
              <w:rPr>
                <w:rFonts w:hint="eastAsia"/>
                <w:bCs/>
                <w:color w:val="auto"/>
                <w:sz w:val="22"/>
                <w:szCs w:val="22"/>
                <w:highlight w:val="none"/>
                <w:lang w:val="en-US" w:eastAsia="zh-CN"/>
              </w:rPr>
              <w:t>的非现金方式</w:t>
            </w:r>
            <w:r>
              <w:rPr>
                <w:rFonts w:hint="eastAsia"/>
                <w:bCs/>
                <w:color w:val="auto"/>
                <w:sz w:val="22"/>
                <w:szCs w:val="22"/>
                <w:highlight w:val="none"/>
                <w:lang w:eastAsia="zh-CN"/>
              </w:rPr>
              <w:t>）</w:t>
            </w:r>
            <w:r>
              <w:rPr>
                <w:rFonts w:hint="eastAsia"/>
                <w:b/>
                <w:color w:val="auto"/>
                <w:sz w:val="22"/>
                <w:szCs w:val="22"/>
                <w:highlight w:val="none"/>
              </w:rPr>
              <w:t xml:space="preserve"> </w:t>
            </w:r>
          </w:p>
        </w:tc>
      </w:tr>
      <w:tr w14:paraId="1DA34FC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1" w:hRule="atLeast"/>
          <w:jc w:val="center"/>
        </w:trPr>
        <w:tc>
          <w:tcPr>
            <w:tcW w:w="325" w:type="pct"/>
            <w:noWrap w:val="0"/>
            <w:vAlign w:val="center"/>
          </w:tcPr>
          <w:p w14:paraId="5D56D2D1">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0D561D89">
            <w:pPr>
              <w:adjustRightInd w:val="0"/>
              <w:spacing w:line="360" w:lineRule="exact"/>
              <w:jc w:val="center"/>
              <w:rPr>
                <w:rFonts w:hint="eastAsia"/>
                <w:color w:val="auto"/>
                <w:sz w:val="22"/>
                <w:szCs w:val="22"/>
                <w:highlight w:val="none"/>
              </w:rPr>
            </w:pPr>
            <w:r>
              <w:rPr>
                <w:rFonts w:hint="eastAsia"/>
                <w:color w:val="auto"/>
                <w:sz w:val="22"/>
                <w:szCs w:val="22"/>
                <w:highlight w:val="none"/>
              </w:rPr>
              <w:t>投标保证金</w:t>
            </w:r>
          </w:p>
        </w:tc>
        <w:tc>
          <w:tcPr>
            <w:tcW w:w="3838" w:type="pct"/>
            <w:noWrap w:val="0"/>
            <w:vAlign w:val="center"/>
          </w:tcPr>
          <w:p w14:paraId="72493105">
            <w:pPr>
              <w:adjustRightInd w:val="0"/>
              <w:spacing w:line="36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33"/>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不需要</w:t>
            </w:r>
          </w:p>
        </w:tc>
      </w:tr>
      <w:tr w14:paraId="115F45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53" w:hRule="atLeast"/>
          <w:jc w:val="center"/>
        </w:trPr>
        <w:tc>
          <w:tcPr>
            <w:tcW w:w="325" w:type="pct"/>
            <w:noWrap w:val="0"/>
            <w:vAlign w:val="center"/>
          </w:tcPr>
          <w:p w14:paraId="3C873492">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21DE9072">
            <w:pPr>
              <w:snapToGrid w:val="0"/>
              <w:spacing w:line="360" w:lineRule="exact"/>
              <w:jc w:val="center"/>
              <w:rPr>
                <w:rFonts w:hint="eastAsia"/>
                <w:color w:val="auto"/>
                <w:sz w:val="22"/>
                <w:szCs w:val="22"/>
                <w:highlight w:val="none"/>
              </w:rPr>
            </w:pPr>
            <w:r>
              <w:rPr>
                <w:rFonts w:hint="eastAsia"/>
                <w:color w:val="auto"/>
                <w:sz w:val="22"/>
                <w:szCs w:val="22"/>
                <w:highlight w:val="none"/>
              </w:rPr>
              <w:t>质疑受理联系方式</w:t>
            </w:r>
          </w:p>
        </w:tc>
        <w:tc>
          <w:tcPr>
            <w:tcW w:w="3838" w:type="pct"/>
            <w:noWrap w:val="0"/>
            <w:vAlign w:val="center"/>
          </w:tcPr>
          <w:p w14:paraId="325E693A">
            <w:pPr>
              <w:adjustRightInd w:val="0"/>
              <w:spacing w:line="360" w:lineRule="exact"/>
              <w:rPr>
                <w:rFonts w:hint="eastAsia" w:eastAsia="宋体"/>
                <w:color w:val="auto"/>
                <w:sz w:val="22"/>
                <w:szCs w:val="22"/>
                <w:highlight w:val="none"/>
                <w:lang w:eastAsia="zh-CN"/>
              </w:rPr>
            </w:pPr>
            <w:r>
              <w:rPr>
                <w:rFonts w:hint="eastAsia"/>
                <w:color w:val="auto"/>
                <w:sz w:val="22"/>
                <w:szCs w:val="22"/>
                <w:highlight w:val="none"/>
              </w:rPr>
              <w:t>代理机构名称：</w:t>
            </w:r>
            <w:r>
              <w:rPr>
                <w:rFonts w:hint="eastAsia"/>
                <w:color w:val="auto"/>
                <w:sz w:val="22"/>
                <w:szCs w:val="22"/>
                <w:highlight w:val="none"/>
                <w:lang w:eastAsia="zh-CN"/>
              </w:rPr>
              <w:t>温州元信工程项目管理有限公司</w:t>
            </w:r>
          </w:p>
          <w:p w14:paraId="78E10D07">
            <w:pPr>
              <w:adjustRightInd w:val="0"/>
              <w:spacing w:line="360" w:lineRule="exact"/>
              <w:rPr>
                <w:rFonts w:hint="eastAsia" w:eastAsia="宋体"/>
                <w:color w:val="auto"/>
                <w:sz w:val="22"/>
                <w:szCs w:val="22"/>
                <w:highlight w:val="none"/>
                <w:lang w:eastAsia="zh-CN"/>
              </w:rPr>
            </w:pPr>
            <w:r>
              <w:rPr>
                <w:rFonts w:hint="eastAsia"/>
                <w:color w:val="auto"/>
                <w:sz w:val="22"/>
                <w:szCs w:val="22"/>
                <w:highlight w:val="none"/>
              </w:rPr>
              <w:t>机构地点：</w:t>
            </w:r>
            <w:r>
              <w:rPr>
                <w:rFonts w:hint="eastAsia"/>
                <w:color w:val="auto"/>
                <w:sz w:val="22"/>
                <w:szCs w:val="22"/>
                <w:highlight w:val="none"/>
                <w:lang w:eastAsia="zh-CN"/>
              </w:rPr>
              <w:t>温州市瓯海区新桥街道牛山广场3号楼1905室</w:t>
            </w:r>
          </w:p>
          <w:p w14:paraId="77AF80CD">
            <w:pPr>
              <w:adjustRightInd w:val="0"/>
              <w:spacing w:line="360" w:lineRule="exact"/>
              <w:rPr>
                <w:rFonts w:hint="eastAsia" w:eastAsia="宋体"/>
                <w:color w:val="auto"/>
                <w:sz w:val="22"/>
                <w:szCs w:val="22"/>
                <w:highlight w:val="none"/>
                <w:lang w:eastAsia="zh-CN"/>
              </w:rPr>
            </w:pPr>
            <w:r>
              <w:rPr>
                <w:rFonts w:hint="eastAsia"/>
                <w:color w:val="auto"/>
                <w:sz w:val="22"/>
                <w:szCs w:val="22"/>
                <w:highlight w:val="none"/>
              </w:rPr>
              <w:t>联系人：</w:t>
            </w:r>
            <w:r>
              <w:rPr>
                <w:rFonts w:hint="eastAsia"/>
                <w:color w:val="auto"/>
                <w:sz w:val="22"/>
                <w:szCs w:val="22"/>
                <w:highlight w:val="none"/>
                <w:lang w:eastAsia="zh-CN"/>
              </w:rPr>
              <w:t>蔡先生</w:t>
            </w:r>
          </w:p>
          <w:p w14:paraId="3FC5D107">
            <w:pPr>
              <w:adjustRightInd w:val="0"/>
              <w:spacing w:line="360" w:lineRule="exact"/>
              <w:rPr>
                <w:rFonts w:hint="eastAsia" w:eastAsia="宋体"/>
                <w:color w:val="auto"/>
                <w:sz w:val="22"/>
                <w:szCs w:val="22"/>
                <w:highlight w:val="none"/>
                <w:lang w:eastAsia="zh-CN"/>
              </w:rPr>
            </w:pPr>
            <w:r>
              <w:rPr>
                <w:rFonts w:hint="eastAsia"/>
                <w:color w:val="auto"/>
                <w:sz w:val="22"/>
                <w:szCs w:val="22"/>
                <w:highlight w:val="none"/>
              </w:rPr>
              <w:t>联系电话：</w:t>
            </w:r>
            <w:r>
              <w:rPr>
                <w:rFonts w:hint="eastAsia" w:ascii="宋体" w:hAnsi="宋体" w:eastAsia="宋体" w:cs="宋体"/>
                <w:bCs/>
                <w:color w:val="auto"/>
                <w:kern w:val="0"/>
                <w:sz w:val="22"/>
                <w:szCs w:val="22"/>
                <w:highlight w:val="none"/>
                <w:lang w:eastAsia="zh-CN"/>
              </w:rPr>
              <w:t>13606772516</w:t>
            </w:r>
          </w:p>
          <w:p w14:paraId="39C3CFF9">
            <w:pPr>
              <w:adjustRightInd w:val="0"/>
              <w:spacing w:line="360" w:lineRule="exact"/>
              <w:rPr>
                <w:rFonts w:hint="eastAsia" w:eastAsia="宋体"/>
                <w:color w:val="auto"/>
                <w:sz w:val="22"/>
                <w:szCs w:val="22"/>
                <w:highlight w:val="none"/>
                <w:lang w:eastAsia="zh-CN"/>
              </w:rPr>
            </w:pPr>
            <w:r>
              <w:rPr>
                <w:rFonts w:hint="eastAsia"/>
                <w:color w:val="auto"/>
                <w:sz w:val="22"/>
                <w:szCs w:val="22"/>
                <w:highlight w:val="none"/>
              </w:rPr>
              <w:t>联系传真：</w:t>
            </w:r>
            <w:r>
              <w:rPr>
                <w:rFonts w:hint="eastAsia"/>
                <w:color w:val="auto"/>
                <w:sz w:val="22"/>
                <w:szCs w:val="22"/>
                <w:highlight w:val="none"/>
                <w:lang w:val="en-US" w:eastAsia="zh-CN"/>
              </w:rPr>
              <w:t>/</w:t>
            </w:r>
          </w:p>
        </w:tc>
      </w:tr>
      <w:tr w14:paraId="1B7FDC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14" w:hRule="atLeast"/>
          <w:jc w:val="center"/>
        </w:trPr>
        <w:tc>
          <w:tcPr>
            <w:tcW w:w="325" w:type="pct"/>
            <w:noWrap w:val="0"/>
            <w:vAlign w:val="center"/>
          </w:tcPr>
          <w:p w14:paraId="0F737E20">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1466EE43">
            <w:pPr>
              <w:snapToGrid w:val="0"/>
              <w:spacing w:line="360" w:lineRule="exact"/>
              <w:jc w:val="center"/>
              <w:rPr>
                <w:rFonts w:hint="eastAsia"/>
                <w:color w:val="auto"/>
                <w:sz w:val="22"/>
                <w:szCs w:val="22"/>
                <w:highlight w:val="none"/>
              </w:rPr>
            </w:pPr>
            <w:r>
              <w:rPr>
                <w:rFonts w:hint="eastAsia"/>
                <w:color w:val="auto"/>
                <w:sz w:val="22"/>
                <w:szCs w:val="22"/>
                <w:highlight w:val="none"/>
              </w:rPr>
              <w:t>投诉</w:t>
            </w:r>
          </w:p>
        </w:tc>
        <w:tc>
          <w:tcPr>
            <w:tcW w:w="3838" w:type="pct"/>
            <w:noWrap w:val="0"/>
            <w:vAlign w:val="center"/>
          </w:tcPr>
          <w:p w14:paraId="02596A7A">
            <w:pPr>
              <w:snapToGrid w:val="0"/>
              <w:spacing w:line="360" w:lineRule="exact"/>
              <w:rPr>
                <w:rFonts w:hint="eastAsia"/>
                <w:color w:val="auto"/>
                <w:sz w:val="22"/>
                <w:szCs w:val="22"/>
                <w:highlight w:val="none"/>
              </w:rPr>
            </w:pPr>
            <w:r>
              <w:rPr>
                <w:rFonts w:hint="eastAsia"/>
                <w:color w:val="auto"/>
                <w:sz w:val="22"/>
                <w:szCs w:val="22"/>
                <w:highlight w:val="none"/>
                <w:shd w:val="clear" w:color="auto" w:fill="FFFFFF"/>
              </w:rPr>
              <w:t>根据</w:t>
            </w:r>
            <w:r>
              <w:rPr>
                <w:rFonts w:hint="eastAsia"/>
                <w:color w:val="auto"/>
                <w:sz w:val="22"/>
                <w:szCs w:val="22"/>
                <w:highlight w:val="none"/>
              </w:rPr>
              <w:t>《政府采购质疑和投诉办法》的规定，</w:t>
            </w:r>
            <w:r>
              <w:rPr>
                <w:rFonts w:hint="eastAsia"/>
                <w:color w:val="auto"/>
                <w:sz w:val="22"/>
                <w:szCs w:val="22"/>
                <w:highlight w:val="none"/>
                <w:shd w:val="clear" w:color="auto" w:fill="FFFFFF"/>
              </w:rPr>
              <w:t>质疑供应商对采购人、采购代理机构的答复不满意或者采购人、采购代理机构未在规定的时间内作出答复的，可以在答复期满后十五个工作日内向同级政府采购监督管理部门投诉。</w:t>
            </w:r>
          </w:p>
        </w:tc>
      </w:tr>
      <w:tr w14:paraId="522386F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14" w:hRule="atLeast"/>
          <w:jc w:val="center"/>
        </w:trPr>
        <w:tc>
          <w:tcPr>
            <w:tcW w:w="325" w:type="pct"/>
            <w:noWrap w:val="0"/>
            <w:vAlign w:val="center"/>
          </w:tcPr>
          <w:p w14:paraId="7837BF4F">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22D7FF07">
            <w:pPr>
              <w:snapToGrid w:val="0"/>
              <w:spacing w:line="360" w:lineRule="exact"/>
              <w:jc w:val="center"/>
              <w:rPr>
                <w:rFonts w:hint="eastAsia"/>
                <w:color w:val="auto"/>
                <w:sz w:val="22"/>
                <w:szCs w:val="22"/>
                <w:highlight w:val="none"/>
              </w:rPr>
            </w:pPr>
            <w:r>
              <w:rPr>
                <w:rFonts w:hint="eastAsia"/>
                <w:color w:val="auto"/>
                <w:sz w:val="22"/>
                <w:szCs w:val="22"/>
                <w:highlight w:val="none"/>
              </w:rPr>
              <w:t>投诉受理联系方式</w:t>
            </w:r>
          </w:p>
        </w:tc>
        <w:tc>
          <w:tcPr>
            <w:tcW w:w="3838" w:type="pct"/>
            <w:noWrap w:val="0"/>
            <w:vAlign w:val="center"/>
          </w:tcPr>
          <w:p w14:paraId="06F9973E">
            <w:pPr>
              <w:snapToGrid w:val="0"/>
              <w:spacing w:line="360" w:lineRule="exact"/>
              <w:rPr>
                <w:rFonts w:hint="eastAsia"/>
                <w:color w:val="auto"/>
                <w:sz w:val="22"/>
                <w:szCs w:val="22"/>
                <w:highlight w:val="none"/>
              </w:rPr>
            </w:pPr>
            <w:r>
              <w:rPr>
                <w:rFonts w:hint="eastAsia"/>
                <w:color w:val="auto"/>
                <w:sz w:val="22"/>
                <w:szCs w:val="22"/>
                <w:highlight w:val="none"/>
              </w:rPr>
              <w:t>平阳县财政局政府采购监督管理科</w:t>
            </w:r>
          </w:p>
          <w:p w14:paraId="1337D598">
            <w:pPr>
              <w:snapToGrid w:val="0"/>
              <w:spacing w:line="360" w:lineRule="exact"/>
              <w:rPr>
                <w:rFonts w:hint="eastAsia" w:eastAsia="宋体"/>
                <w:color w:val="auto"/>
                <w:sz w:val="22"/>
                <w:szCs w:val="22"/>
                <w:highlight w:val="none"/>
                <w:lang w:eastAsia="zh-CN"/>
              </w:rPr>
            </w:pPr>
            <w:r>
              <w:rPr>
                <w:rFonts w:hint="eastAsia"/>
                <w:color w:val="auto"/>
                <w:sz w:val="22"/>
                <w:szCs w:val="22"/>
                <w:highlight w:val="none"/>
              </w:rPr>
              <w:t>联系人：</w:t>
            </w:r>
            <w:r>
              <w:rPr>
                <w:rFonts w:hint="eastAsia"/>
                <w:color w:val="auto"/>
                <w:sz w:val="22"/>
                <w:szCs w:val="22"/>
                <w:highlight w:val="none"/>
                <w:lang w:eastAsia="zh-CN"/>
              </w:rPr>
              <w:t>周女士</w:t>
            </w:r>
          </w:p>
          <w:p w14:paraId="212F48AA">
            <w:pPr>
              <w:snapToGrid w:val="0"/>
              <w:spacing w:line="360" w:lineRule="exact"/>
              <w:rPr>
                <w:rFonts w:hint="eastAsia" w:eastAsia="宋体"/>
                <w:color w:val="auto"/>
                <w:sz w:val="22"/>
                <w:szCs w:val="22"/>
                <w:highlight w:val="none"/>
                <w:lang w:eastAsia="zh-CN"/>
              </w:rPr>
            </w:pPr>
            <w:r>
              <w:rPr>
                <w:rFonts w:hint="eastAsia"/>
                <w:color w:val="auto"/>
                <w:sz w:val="22"/>
                <w:szCs w:val="22"/>
                <w:highlight w:val="none"/>
              </w:rPr>
              <w:t>监督投诉电话：</w:t>
            </w:r>
            <w:r>
              <w:rPr>
                <w:rFonts w:hint="eastAsia"/>
                <w:color w:val="auto"/>
                <w:sz w:val="22"/>
                <w:szCs w:val="22"/>
                <w:highlight w:val="none"/>
                <w:lang w:eastAsia="zh-CN"/>
              </w:rPr>
              <w:t>0577-63889763</w:t>
            </w:r>
          </w:p>
          <w:p w14:paraId="7468D007">
            <w:pPr>
              <w:snapToGrid w:val="0"/>
              <w:spacing w:line="360" w:lineRule="exact"/>
              <w:rPr>
                <w:rFonts w:hint="eastAsia"/>
                <w:color w:val="auto"/>
                <w:sz w:val="22"/>
                <w:szCs w:val="22"/>
                <w:highlight w:val="none"/>
              </w:rPr>
            </w:pPr>
            <w:r>
              <w:rPr>
                <w:rFonts w:hint="eastAsia"/>
                <w:color w:val="auto"/>
                <w:sz w:val="22"/>
                <w:szCs w:val="22"/>
                <w:highlight w:val="none"/>
              </w:rPr>
              <w:t>传真：/</w:t>
            </w:r>
          </w:p>
          <w:p w14:paraId="06307FF1">
            <w:pPr>
              <w:snapToGrid w:val="0"/>
              <w:spacing w:line="360" w:lineRule="exact"/>
              <w:rPr>
                <w:rFonts w:hint="eastAsia"/>
                <w:color w:val="auto"/>
                <w:sz w:val="22"/>
                <w:szCs w:val="22"/>
                <w:highlight w:val="none"/>
              </w:rPr>
            </w:pPr>
            <w:r>
              <w:rPr>
                <w:rFonts w:hint="eastAsia"/>
                <w:color w:val="auto"/>
                <w:sz w:val="22"/>
                <w:szCs w:val="22"/>
                <w:highlight w:val="none"/>
              </w:rPr>
              <w:t>地址：平阳县昆阳镇人民路平阳县财政局</w:t>
            </w:r>
          </w:p>
        </w:tc>
      </w:tr>
      <w:tr w14:paraId="7A245C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7" w:hRule="atLeast"/>
          <w:jc w:val="center"/>
        </w:trPr>
        <w:tc>
          <w:tcPr>
            <w:tcW w:w="325" w:type="pct"/>
            <w:noWrap w:val="0"/>
            <w:vAlign w:val="center"/>
          </w:tcPr>
          <w:p w14:paraId="3D980045">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1ACE15BC">
            <w:pPr>
              <w:spacing w:line="360" w:lineRule="exact"/>
              <w:jc w:val="center"/>
              <w:rPr>
                <w:rFonts w:hint="eastAsia"/>
                <w:color w:val="auto"/>
                <w:sz w:val="22"/>
                <w:szCs w:val="22"/>
                <w:highlight w:val="none"/>
              </w:rPr>
            </w:pPr>
            <w:r>
              <w:rPr>
                <w:rFonts w:hint="eastAsia"/>
                <w:color w:val="auto"/>
                <w:sz w:val="22"/>
                <w:szCs w:val="22"/>
                <w:highlight w:val="none"/>
              </w:rPr>
              <w:t>投标截止时间</w:t>
            </w:r>
          </w:p>
        </w:tc>
        <w:tc>
          <w:tcPr>
            <w:tcW w:w="3838" w:type="pct"/>
            <w:noWrap w:val="0"/>
            <w:vAlign w:val="center"/>
          </w:tcPr>
          <w:p w14:paraId="09A103D2">
            <w:pPr>
              <w:spacing w:line="360" w:lineRule="exact"/>
              <w:rPr>
                <w:rFonts w:hint="eastAsia" w:eastAsia="宋体"/>
                <w:color w:val="auto"/>
                <w:sz w:val="22"/>
                <w:szCs w:val="22"/>
                <w:highlight w:val="none"/>
              </w:rPr>
            </w:pPr>
            <w:r>
              <w:rPr>
                <w:rFonts w:hint="eastAsia" w:eastAsia="宋体"/>
                <w:color w:val="auto"/>
                <w:sz w:val="22"/>
                <w:szCs w:val="22"/>
                <w:highlight w:val="none"/>
                <w:lang w:eastAsia="zh-CN"/>
              </w:rPr>
              <w:t>2025年</w:t>
            </w:r>
            <w:r>
              <w:rPr>
                <w:rFonts w:hint="eastAsia"/>
                <w:color w:val="auto"/>
                <w:sz w:val="22"/>
                <w:szCs w:val="22"/>
                <w:highlight w:val="none"/>
                <w:lang w:val="en-US" w:eastAsia="zh-CN"/>
              </w:rPr>
              <w:t>03</w:t>
            </w:r>
            <w:r>
              <w:rPr>
                <w:rFonts w:hint="eastAsia" w:eastAsia="宋体"/>
                <w:color w:val="auto"/>
                <w:sz w:val="22"/>
                <w:szCs w:val="22"/>
                <w:highlight w:val="none"/>
                <w:lang w:eastAsia="zh-CN"/>
              </w:rPr>
              <w:t>月</w:t>
            </w:r>
            <w:r>
              <w:rPr>
                <w:rFonts w:hint="eastAsia"/>
                <w:color w:val="auto"/>
                <w:sz w:val="22"/>
                <w:szCs w:val="22"/>
                <w:highlight w:val="none"/>
                <w:lang w:val="en-US" w:eastAsia="zh-CN"/>
              </w:rPr>
              <w:t>26</w:t>
            </w:r>
            <w:r>
              <w:rPr>
                <w:rFonts w:hint="eastAsia" w:eastAsia="宋体"/>
                <w:color w:val="auto"/>
                <w:sz w:val="22"/>
                <w:szCs w:val="22"/>
                <w:highlight w:val="none"/>
                <w:lang w:eastAsia="zh-CN"/>
              </w:rPr>
              <w:t>日</w:t>
            </w:r>
            <w:r>
              <w:rPr>
                <w:rFonts w:hint="eastAsia"/>
                <w:color w:val="auto"/>
                <w:sz w:val="22"/>
                <w:szCs w:val="22"/>
                <w:highlight w:val="none"/>
                <w:lang w:val="en-US" w:eastAsia="zh-CN"/>
              </w:rPr>
              <w:t>14：30</w:t>
            </w:r>
            <w:r>
              <w:rPr>
                <w:rFonts w:hint="eastAsia" w:eastAsia="宋体"/>
                <w:color w:val="auto"/>
                <w:sz w:val="22"/>
                <w:szCs w:val="22"/>
                <w:highlight w:val="none"/>
              </w:rPr>
              <w:t>截止(北京时间)。</w:t>
            </w:r>
          </w:p>
        </w:tc>
      </w:tr>
      <w:tr w14:paraId="7E5AF3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86" w:hRule="atLeast"/>
          <w:jc w:val="center"/>
        </w:trPr>
        <w:tc>
          <w:tcPr>
            <w:tcW w:w="325" w:type="pct"/>
            <w:noWrap w:val="0"/>
            <w:vAlign w:val="center"/>
          </w:tcPr>
          <w:p w14:paraId="598E30E1">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3889EA50">
            <w:pPr>
              <w:spacing w:line="360" w:lineRule="exact"/>
              <w:jc w:val="center"/>
              <w:rPr>
                <w:rFonts w:hint="eastAsia"/>
                <w:color w:val="auto"/>
                <w:sz w:val="22"/>
                <w:szCs w:val="22"/>
                <w:highlight w:val="none"/>
              </w:rPr>
            </w:pPr>
            <w:r>
              <w:rPr>
                <w:rFonts w:hint="eastAsia"/>
                <w:color w:val="auto"/>
                <w:sz w:val="22"/>
                <w:szCs w:val="22"/>
                <w:highlight w:val="none"/>
              </w:rPr>
              <w:t>开标时间</w:t>
            </w:r>
          </w:p>
          <w:p w14:paraId="3F6E332C">
            <w:pPr>
              <w:spacing w:line="360" w:lineRule="exact"/>
              <w:jc w:val="center"/>
              <w:rPr>
                <w:rFonts w:hint="eastAsia"/>
                <w:color w:val="auto"/>
                <w:sz w:val="22"/>
                <w:szCs w:val="22"/>
                <w:highlight w:val="none"/>
              </w:rPr>
            </w:pPr>
            <w:r>
              <w:rPr>
                <w:rFonts w:hint="eastAsia"/>
                <w:color w:val="auto"/>
                <w:sz w:val="22"/>
                <w:szCs w:val="22"/>
                <w:highlight w:val="none"/>
              </w:rPr>
              <w:t>评标地点</w:t>
            </w:r>
          </w:p>
        </w:tc>
        <w:tc>
          <w:tcPr>
            <w:tcW w:w="3838" w:type="pct"/>
            <w:noWrap w:val="0"/>
            <w:vAlign w:val="center"/>
          </w:tcPr>
          <w:p w14:paraId="1DE16372">
            <w:pPr>
              <w:spacing w:line="360" w:lineRule="exact"/>
              <w:rPr>
                <w:rFonts w:hint="eastAsia" w:eastAsia="宋体"/>
                <w:color w:val="auto"/>
                <w:sz w:val="22"/>
                <w:szCs w:val="22"/>
                <w:highlight w:val="none"/>
              </w:rPr>
            </w:pPr>
            <w:r>
              <w:rPr>
                <w:rFonts w:hint="eastAsia" w:eastAsia="宋体"/>
                <w:color w:val="auto"/>
                <w:sz w:val="22"/>
                <w:szCs w:val="22"/>
                <w:highlight w:val="none"/>
              </w:rPr>
              <w:t>开标时间：</w:t>
            </w:r>
            <w:r>
              <w:rPr>
                <w:rFonts w:hint="eastAsia" w:eastAsia="宋体"/>
                <w:color w:val="auto"/>
                <w:sz w:val="22"/>
                <w:szCs w:val="22"/>
                <w:highlight w:val="none"/>
                <w:lang w:eastAsia="zh-CN"/>
              </w:rPr>
              <w:t>2025年</w:t>
            </w:r>
            <w:r>
              <w:rPr>
                <w:rFonts w:hint="eastAsia"/>
                <w:color w:val="auto"/>
                <w:sz w:val="22"/>
                <w:szCs w:val="22"/>
                <w:highlight w:val="none"/>
                <w:lang w:val="en-US" w:eastAsia="zh-CN"/>
              </w:rPr>
              <w:t>03</w:t>
            </w:r>
            <w:r>
              <w:rPr>
                <w:rFonts w:hint="eastAsia" w:eastAsia="宋体"/>
                <w:color w:val="auto"/>
                <w:sz w:val="22"/>
                <w:szCs w:val="22"/>
                <w:highlight w:val="none"/>
                <w:lang w:eastAsia="zh-CN"/>
              </w:rPr>
              <w:t>月</w:t>
            </w:r>
            <w:r>
              <w:rPr>
                <w:rFonts w:hint="eastAsia"/>
                <w:color w:val="auto"/>
                <w:sz w:val="22"/>
                <w:szCs w:val="22"/>
                <w:highlight w:val="none"/>
                <w:lang w:val="en-US" w:eastAsia="zh-CN"/>
              </w:rPr>
              <w:t>26</w:t>
            </w:r>
            <w:r>
              <w:rPr>
                <w:rFonts w:hint="eastAsia" w:eastAsia="宋体"/>
                <w:color w:val="auto"/>
                <w:sz w:val="22"/>
                <w:szCs w:val="22"/>
                <w:highlight w:val="none"/>
                <w:lang w:eastAsia="zh-CN"/>
              </w:rPr>
              <w:t>日</w:t>
            </w:r>
            <w:r>
              <w:rPr>
                <w:rFonts w:hint="eastAsia"/>
                <w:color w:val="auto"/>
                <w:sz w:val="22"/>
                <w:szCs w:val="22"/>
                <w:highlight w:val="none"/>
                <w:lang w:val="en-US" w:eastAsia="zh-CN"/>
              </w:rPr>
              <w:t>14</w:t>
            </w:r>
            <w:r>
              <w:rPr>
                <w:rFonts w:hint="eastAsia" w:eastAsia="宋体"/>
                <w:color w:val="auto"/>
                <w:sz w:val="22"/>
                <w:szCs w:val="22"/>
                <w:highlight w:val="none"/>
                <w:lang w:val="en-US" w:eastAsia="zh-CN"/>
              </w:rPr>
              <w:t xml:space="preserve"> :</w:t>
            </w:r>
            <w:r>
              <w:rPr>
                <w:rFonts w:hint="eastAsia" w:eastAsia="宋体"/>
                <w:color w:val="auto"/>
                <w:sz w:val="22"/>
                <w:szCs w:val="22"/>
                <w:highlight w:val="none"/>
              </w:rPr>
              <w:t>30整(北京时间)</w:t>
            </w:r>
          </w:p>
          <w:p w14:paraId="7468E89B">
            <w:pPr>
              <w:spacing w:line="360" w:lineRule="exact"/>
              <w:rPr>
                <w:rFonts w:hint="eastAsia" w:eastAsia="宋体"/>
                <w:color w:val="auto"/>
                <w:sz w:val="22"/>
                <w:szCs w:val="22"/>
                <w:highlight w:val="none"/>
              </w:rPr>
            </w:pPr>
            <w:r>
              <w:rPr>
                <w:rFonts w:hint="eastAsia" w:eastAsia="宋体"/>
                <w:color w:val="auto"/>
                <w:sz w:val="22"/>
                <w:szCs w:val="22"/>
                <w:highlight w:val="none"/>
              </w:rPr>
              <w:t>评标地点：</w:t>
            </w:r>
            <w:r>
              <w:rPr>
                <w:rFonts w:hint="eastAsia" w:ascii="宋体" w:hAnsi="宋体" w:eastAsia="宋体" w:cs="宋体"/>
                <w:b w:val="0"/>
                <w:bCs w:val="0"/>
                <w:color w:val="auto"/>
                <w:sz w:val="22"/>
                <w:szCs w:val="22"/>
                <w:highlight w:val="none"/>
                <w:lang w:val="en-US" w:eastAsia="zh-CN"/>
              </w:rPr>
              <w:t>平阳县鳌江镇站前小区17幢二单元202室</w:t>
            </w:r>
          </w:p>
        </w:tc>
      </w:tr>
      <w:tr w14:paraId="1F0422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325" w:type="pct"/>
            <w:noWrap w:val="0"/>
            <w:vAlign w:val="center"/>
          </w:tcPr>
          <w:p w14:paraId="11FB9357">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2CCBEEFE">
            <w:pPr>
              <w:spacing w:line="360" w:lineRule="exact"/>
              <w:jc w:val="center"/>
              <w:rPr>
                <w:rFonts w:hint="eastAsia"/>
                <w:color w:val="auto"/>
                <w:sz w:val="22"/>
                <w:szCs w:val="22"/>
                <w:highlight w:val="none"/>
              </w:rPr>
            </w:pPr>
            <w:r>
              <w:rPr>
                <w:rFonts w:hint="eastAsia"/>
                <w:color w:val="auto"/>
                <w:sz w:val="22"/>
                <w:szCs w:val="22"/>
                <w:highlight w:val="none"/>
              </w:rPr>
              <w:t>评审委员会的</w:t>
            </w:r>
          </w:p>
          <w:p w14:paraId="3E2E87CE">
            <w:pPr>
              <w:spacing w:line="360" w:lineRule="exact"/>
              <w:jc w:val="center"/>
              <w:rPr>
                <w:rFonts w:hint="eastAsia"/>
                <w:color w:val="auto"/>
                <w:sz w:val="22"/>
                <w:szCs w:val="22"/>
                <w:highlight w:val="none"/>
              </w:rPr>
            </w:pPr>
            <w:r>
              <w:rPr>
                <w:rFonts w:hint="eastAsia"/>
                <w:color w:val="auto"/>
                <w:sz w:val="22"/>
                <w:szCs w:val="22"/>
                <w:highlight w:val="none"/>
              </w:rPr>
              <w:t>组建</w:t>
            </w:r>
          </w:p>
        </w:tc>
        <w:tc>
          <w:tcPr>
            <w:tcW w:w="3838" w:type="pct"/>
            <w:noWrap w:val="0"/>
            <w:vAlign w:val="center"/>
          </w:tcPr>
          <w:p w14:paraId="4264B321">
            <w:pPr>
              <w:spacing w:line="360" w:lineRule="exact"/>
              <w:rPr>
                <w:rFonts w:hint="eastAsia"/>
                <w:color w:val="auto"/>
                <w:sz w:val="22"/>
                <w:szCs w:val="22"/>
                <w:highlight w:val="none"/>
              </w:rPr>
            </w:pPr>
            <w:r>
              <w:rPr>
                <w:rFonts w:hint="eastAsia"/>
                <w:color w:val="auto"/>
                <w:sz w:val="22"/>
                <w:szCs w:val="22"/>
                <w:highlight w:val="none"/>
              </w:rPr>
              <w:t>评审委员会构成：采购人依法组建，成员为5人及以上单数，其中评审专家不得少于总人数的2/3；评标专家确定方式：按相关规定从专家库中抽取。</w:t>
            </w:r>
          </w:p>
        </w:tc>
      </w:tr>
      <w:tr w14:paraId="26B587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73" w:hRule="atLeast"/>
          <w:jc w:val="center"/>
        </w:trPr>
        <w:tc>
          <w:tcPr>
            <w:tcW w:w="325" w:type="pct"/>
            <w:noWrap w:val="0"/>
            <w:vAlign w:val="center"/>
          </w:tcPr>
          <w:p w14:paraId="344B74F4">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07B9CAB6">
            <w:pPr>
              <w:adjustRightInd w:val="0"/>
              <w:spacing w:line="360" w:lineRule="exact"/>
              <w:jc w:val="center"/>
              <w:rPr>
                <w:rFonts w:hint="eastAsia"/>
                <w:color w:val="auto"/>
                <w:sz w:val="22"/>
                <w:szCs w:val="22"/>
                <w:highlight w:val="none"/>
              </w:rPr>
            </w:pPr>
            <w:r>
              <w:rPr>
                <w:rFonts w:hint="eastAsia"/>
                <w:color w:val="auto"/>
                <w:sz w:val="22"/>
                <w:szCs w:val="22"/>
                <w:highlight w:val="none"/>
              </w:rPr>
              <w:t>政府采购</w:t>
            </w:r>
          </w:p>
          <w:p w14:paraId="717D291A">
            <w:pPr>
              <w:adjustRightInd w:val="0"/>
              <w:spacing w:line="360" w:lineRule="exact"/>
              <w:jc w:val="center"/>
              <w:rPr>
                <w:rFonts w:hint="eastAsia"/>
                <w:color w:val="auto"/>
                <w:sz w:val="22"/>
                <w:szCs w:val="22"/>
                <w:highlight w:val="none"/>
              </w:rPr>
            </w:pPr>
            <w:r>
              <w:rPr>
                <w:rFonts w:hint="eastAsia"/>
                <w:color w:val="auto"/>
                <w:sz w:val="22"/>
                <w:szCs w:val="22"/>
                <w:highlight w:val="none"/>
              </w:rPr>
              <w:t>扶持政策</w:t>
            </w:r>
          </w:p>
        </w:tc>
        <w:tc>
          <w:tcPr>
            <w:tcW w:w="3838" w:type="pct"/>
            <w:noWrap w:val="0"/>
            <w:vAlign w:val="center"/>
          </w:tcPr>
          <w:p w14:paraId="277E4319">
            <w:pPr>
              <w:snapToGrid w:val="0"/>
              <w:spacing w:line="30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 xml:space="preserve">1、扶持中小企业（监狱企业、残疾人福利性单位）： </w:t>
            </w:r>
          </w:p>
          <w:p w14:paraId="08FBBE7A">
            <w:pPr>
              <w:snapToGrid w:val="0"/>
              <w:spacing w:line="3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（1）根据工信部等部委发布的《关于印发中小企业划型标准规定的通知》（工信部联企业〔2011〕300号），本项目属于</w:t>
            </w:r>
            <w:r>
              <w:rPr>
                <w:rFonts w:hint="eastAsia" w:ascii="宋体" w:hAnsi="宋体" w:eastAsia="宋体" w:cs="宋体"/>
                <w:b/>
                <w:bCs/>
                <w:i w:val="0"/>
                <w:iCs w:val="0"/>
                <w:color w:val="auto"/>
                <w:sz w:val="22"/>
                <w:szCs w:val="22"/>
                <w:highlight w:val="none"/>
                <w:u w:val="single"/>
              </w:rPr>
              <w:sym w:font="Wingdings" w:char="00FE"/>
            </w:r>
            <w:r>
              <w:rPr>
                <w:rFonts w:hint="eastAsia" w:ascii="宋体" w:hAnsi="宋体" w:eastAsia="宋体" w:cs="宋体"/>
                <w:b/>
                <w:bCs/>
                <w:i w:val="0"/>
                <w:iCs w:val="0"/>
                <w:color w:val="auto"/>
                <w:sz w:val="22"/>
                <w:szCs w:val="22"/>
                <w:highlight w:val="none"/>
                <w:u w:val="single"/>
                <w:lang w:val="en-US" w:eastAsia="zh-CN"/>
              </w:rPr>
              <w:t>工业</w:t>
            </w:r>
            <w:r>
              <w:rPr>
                <w:rFonts w:hint="eastAsia" w:ascii="宋体" w:hAnsi="宋体" w:eastAsia="宋体" w:cs="宋体"/>
                <w:color w:val="auto"/>
                <w:sz w:val="22"/>
                <w:szCs w:val="22"/>
                <w:highlight w:val="none"/>
              </w:rPr>
              <w:t>。</w:t>
            </w:r>
          </w:p>
          <w:p w14:paraId="0F6D0D89">
            <w:pPr>
              <w:snapToGrid w:val="0"/>
              <w:spacing w:line="300" w:lineRule="exac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0839B253">
            <w:pPr>
              <w:snapToGrid w:val="0"/>
              <w:spacing w:line="3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2、根据财政部发布的《政府采购促进中小企业发展管理办法》财库（2020）46号的相关规定：</w:t>
            </w:r>
          </w:p>
          <w:p w14:paraId="1CEC1C45">
            <w:pPr>
              <w:snapToGrid w:val="0"/>
              <w:spacing w:line="300" w:lineRule="exact"/>
              <w:ind w:firstLine="0"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2.1.是否为预留份额项目：</w:t>
            </w:r>
          </w:p>
          <w:p w14:paraId="067B55D8">
            <w:pPr>
              <w:snapToGrid w:val="0"/>
              <w:spacing w:line="30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lang w:eastAsia="zh-CN"/>
              </w:rPr>
              <w:t>□</w:t>
            </w:r>
            <w:r>
              <w:rPr>
                <w:rFonts w:hint="eastAsia" w:ascii="宋体" w:hAnsi="宋体" w:eastAsia="宋体" w:cs="宋体"/>
                <w:b w:val="0"/>
                <w:bCs w:val="0"/>
                <w:color w:val="auto"/>
                <w:sz w:val="22"/>
                <w:szCs w:val="22"/>
                <w:highlight w:val="none"/>
              </w:rPr>
              <w:t>本项目为预留份额项目，专门面向中小企业采购。</w:t>
            </w:r>
          </w:p>
          <w:p w14:paraId="79826367">
            <w:pPr>
              <w:snapToGrid w:val="0"/>
              <w:spacing w:line="300" w:lineRule="exact"/>
              <w:ind w:left="0" w:firstLine="0" w:firstLineChars="0"/>
              <w:rPr>
                <w:rFonts w:hint="eastAsia" w:ascii="宋体" w:hAnsi="宋体" w:eastAsia="宋体" w:cs="宋体"/>
                <w:b w:val="0"/>
                <w:bCs w:val="0"/>
                <w:color w:val="auto"/>
                <w:sz w:val="22"/>
                <w:szCs w:val="22"/>
                <w:highlight w:val="none"/>
              </w:rPr>
            </w:pPr>
            <w:r>
              <w:rPr>
                <w:rFonts w:hint="eastAsia" w:ascii="宋体" w:hAnsi="宋体" w:eastAsia="宋体" w:cs="宋体"/>
                <w:b/>
                <w:bCs/>
                <w:color w:val="auto"/>
                <w:sz w:val="22"/>
                <w:szCs w:val="22"/>
                <w:highlight w:val="none"/>
              </w:rPr>
              <w:sym w:font="Wingdings" w:char="00A8"/>
            </w:r>
            <w:r>
              <w:rPr>
                <w:rFonts w:hint="eastAsia" w:ascii="宋体" w:hAnsi="宋体" w:eastAsia="宋体" w:cs="宋体"/>
                <w:b w:val="0"/>
                <w:bCs w:val="0"/>
                <w:color w:val="auto"/>
                <w:sz w:val="22"/>
                <w:szCs w:val="22"/>
                <w:highlight w:val="none"/>
              </w:rPr>
              <w:t>本项目为非预留份额项目、非专门面向中小企业的项目</w:t>
            </w:r>
          </w:p>
          <w:p w14:paraId="3BBBD307">
            <w:pPr>
              <w:snapToGrid w:val="0"/>
              <w:spacing w:line="300" w:lineRule="exact"/>
              <w:ind w:left="0" w:firstLine="0" w:firstLineChars="0"/>
              <w:rPr>
                <w:rFonts w:hint="eastAsia" w:ascii="宋体" w:hAnsi="宋体" w:eastAsia="宋体" w:cs="宋体"/>
                <w:color w:val="auto"/>
                <w:sz w:val="22"/>
                <w:szCs w:val="22"/>
                <w:highlight w:val="none"/>
              </w:rPr>
            </w:pPr>
            <w:r>
              <w:rPr>
                <w:rFonts w:hint="eastAsia" w:ascii="宋体" w:hAnsi="宋体" w:eastAsia="宋体" w:cs="宋体"/>
                <w:b w:val="0"/>
                <w:bCs w:val="0"/>
                <w:color w:val="auto"/>
                <w:sz w:val="22"/>
                <w:szCs w:val="22"/>
                <w:highlight w:val="none"/>
              </w:rPr>
              <w:sym w:font="Wingdings" w:char="00FE"/>
            </w:r>
            <w:r>
              <w:rPr>
                <w:rFonts w:hint="eastAsia" w:ascii="宋体" w:hAnsi="宋体" w:eastAsia="宋体" w:cs="宋体"/>
                <w:b w:val="0"/>
                <w:bCs w:val="0"/>
                <w:color w:val="auto"/>
                <w:sz w:val="22"/>
                <w:szCs w:val="22"/>
                <w:highlight w:val="none"/>
              </w:rPr>
              <w:t>在评审时对小型和微型企业报价给予</w:t>
            </w:r>
            <w:r>
              <w:rPr>
                <w:rFonts w:hint="eastAsia" w:ascii="宋体" w:hAnsi="宋体" w:eastAsia="宋体" w:cs="宋体"/>
                <w:b w:val="0"/>
                <w:bCs w:val="0"/>
                <w:color w:val="auto"/>
                <w:sz w:val="22"/>
                <w:szCs w:val="22"/>
                <w:highlight w:val="none"/>
                <w:u w:val="single"/>
                <w:lang w:val="en-US" w:eastAsia="zh-CN"/>
              </w:rPr>
              <w:t>1</w:t>
            </w:r>
            <w:r>
              <w:rPr>
                <w:rFonts w:hint="eastAsia" w:ascii="宋体" w:hAnsi="宋体" w:eastAsia="宋体" w:cs="宋体"/>
                <w:b w:val="0"/>
                <w:bCs w:val="0"/>
                <w:color w:val="auto"/>
                <w:sz w:val="22"/>
                <w:szCs w:val="22"/>
                <w:highlight w:val="none"/>
                <w:u w:val="single"/>
                <w:lang w:eastAsia="zh-CN"/>
              </w:rPr>
              <w:t>0</w:t>
            </w:r>
            <w:r>
              <w:rPr>
                <w:rFonts w:hint="eastAsia" w:ascii="宋体" w:hAnsi="宋体" w:eastAsia="宋体" w:cs="宋体"/>
                <w:b w:val="0"/>
                <w:bCs w:val="0"/>
                <w:color w:val="auto"/>
                <w:sz w:val="22"/>
                <w:szCs w:val="22"/>
                <w:highlight w:val="none"/>
                <w:u w:val="single"/>
                <w:lang w:val="en-US" w:eastAsia="zh-CN"/>
              </w:rPr>
              <w:t>%</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的扣除，用扣除后的价格参加评审</w:t>
            </w:r>
            <w:r>
              <w:rPr>
                <w:rFonts w:hint="eastAsia" w:ascii="宋体" w:hAnsi="宋体" w:eastAsia="宋体" w:cs="宋体"/>
                <w:b/>
                <w:bCs/>
                <w:color w:val="auto"/>
                <w:sz w:val="22"/>
                <w:szCs w:val="22"/>
                <w:highlight w:val="none"/>
              </w:rPr>
              <w:t>。</w:t>
            </w:r>
            <w:r>
              <w:rPr>
                <w:rFonts w:hint="eastAsia" w:ascii="宋体" w:hAnsi="宋体" w:eastAsia="宋体" w:cs="宋体"/>
                <w:color w:val="auto"/>
                <w:sz w:val="22"/>
                <w:szCs w:val="22"/>
                <w:highlight w:val="none"/>
              </w:rPr>
              <w:t>适用招标投标法的政府采购工程建设项目，采用综合评估法但未采用低价优先法计算价格分，评标时在采用原报价进行评分的基础上增加其价格得分的</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val="en-US" w:eastAsia="zh-CN"/>
              </w:rPr>
              <w:t>/</w:t>
            </w:r>
            <w:r>
              <w:rPr>
                <w:rFonts w:hint="eastAsia" w:ascii="宋体" w:hAnsi="宋体" w:eastAsia="宋体" w:cs="宋体"/>
                <w:color w:val="auto"/>
                <w:sz w:val="22"/>
                <w:szCs w:val="22"/>
                <w:highlight w:val="none"/>
                <w:u w:val="single"/>
              </w:rPr>
              <w:t xml:space="preserve">  </w:t>
            </w:r>
            <w:r>
              <w:rPr>
                <w:rFonts w:hint="eastAsia" w:ascii="宋体" w:hAnsi="宋体" w:eastAsia="宋体" w:cs="宋体"/>
                <w:i/>
                <w:iCs/>
                <w:color w:val="auto"/>
                <w:sz w:val="22"/>
                <w:szCs w:val="22"/>
                <w:highlight w:val="none"/>
                <w:u w:val="single"/>
              </w:rPr>
              <w:t xml:space="preserve"> </w:t>
            </w:r>
            <w:r>
              <w:rPr>
                <w:rFonts w:hint="eastAsia" w:ascii="宋体" w:hAnsi="宋体" w:eastAsia="宋体" w:cs="宋体"/>
                <w:i/>
                <w:iCs/>
                <w:color w:val="auto"/>
                <w:sz w:val="22"/>
                <w:szCs w:val="22"/>
                <w:highlight w:val="none"/>
              </w:rPr>
              <w:t>%（3%-5%）</w:t>
            </w:r>
            <w:r>
              <w:rPr>
                <w:rFonts w:hint="eastAsia" w:ascii="宋体" w:hAnsi="宋体" w:eastAsia="宋体" w:cs="宋体"/>
                <w:color w:val="auto"/>
                <w:sz w:val="22"/>
                <w:szCs w:val="22"/>
                <w:highlight w:val="none"/>
              </w:rPr>
              <w:t>作为其价格分。</w:t>
            </w:r>
          </w:p>
          <w:p w14:paraId="7544011B">
            <w:pPr>
              <w:snapToGrid w:val="0"/>
              <w:spacing w:line="3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sym w:font="Wingdings" w:char="00A8"/>
            </w:r>
            <w:r>
              <w:rPr>
                <w:rFonts w:hint="eastAsia" w:ascii="宋体" w:hAnsi="宋体" w:eastAsia="宋体" w:cs="宋体"/>
                <w:color w:val="auto"/>
                <w:sz w:val="22"/>
                <w:szCs w:val="22"/>
                <w:highlight w:val="none"/>
              </w:rPr>
              <w:t>本项目为</w:t>
            </w:r>
            <w:r>
              <w:rPr>
                <w:rFonts w:hint="eastAsia" w:ascii="宋体" w:hAnsi="宋体" w:eastAsia="宋体" w:cs="宋体"/>
                <w:color w:val="auto"/>
                <w:sz w:val="22"/>
                <w:szCs w:val="22"/>
                <w:highlight w:val="none"/>
              </w:rPr>
              <w:sym w:font="Wingdings" w:char="00A8"/>
            </w:r>
            <w:r>
              <w:rPr>
                <w:rFonts w:hint="eastAsia" w:ascii="宋体" w:hAnsi="宋体" w:eastAsia="宋体" w:cs="宋体"/>
                <w:color w:val="auto"/>
                <w:sz w:val="22"/>
                <w:szCs w:val="22"/>
                <w:highlight w:val="none"/>
              </w:rPr>
              <w:t>接受大中型企业与小微企业组成联合体、</w:t>
            </w:r>
            <w:r>
              <w:rPr>
                <w:rFonts w:hint="eastAsia" w:ascii="宋体" w:hAnsi="宋体" w:eastAsia="宋体" w:cs="宋体"/>
                <w:color w:val="auto"/>
                <w:sz w:val="22"/>
                <w:szCs w:val="22"/>
                <w:highlight w:val="none"/>
              </w:rPr>
              <w:sym w:font="Wingdings" w:char="00A8"/>
            </w:r>
            <w:r>
              <w:rPr>
                <w:rFonts w:hint="eastAsia" w:ascii="宋体" w:hAnsi="宋体" w:eastAsia="宋体" w:cs="宋体"/>
                <w:color w:val="auto"/>
                <w:sz w:val="22"/>
                <w:szCs w:val="22"/>
                <w:highlight w:val="none"/>
              </w:rPr>
              <w:t>允许大中型企业向一家或者多家小微企业分包的采购项目，对于联合协议或者分包意向协议约定小微企业的合同份额占到合同总金额30%以上的，对联合体或者大中型企业的报价给予</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val="en-US" w:eastAsia="zh-CN"/>
              </w:rPr>
              <w:t>/</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w:t>
            </w:r>
            <w:r>
              <w:rPr>
                <w:rFonts w:hint="eastAsia" w:ascii="宋体" w:hAnsi="宋体" w:eastAsia="宋体" w:cs="宋体"/>
                <w:i/>
                <w:iCs/>
                <w:color w:val="auto"/>
                <w:sz w:val="22"/>
                <w:szCs w:val="22"/>
                <w:highlight w:val="none"/>
              </w:rPr>
              <w:t>（2%-3%）</w:t>
            </w:r>
            <w:r>
              <w:rPr>
                <w:rFonts w:hint="eastAsia" w:ascii="宋体" w:hAnsi="宋体" w:eastAsia="宋体" w:cs="宋体"/>
                <w:color w:val="auto"/>
                <w:sz w:val="22"/>
                <w:szCs w:val="22"/>
                <w:highlight w:val="none"/>
              </w:rPr>
              <w:t>，工程项目为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val="en-US" w:eastAsia="zh-CN"/>
              </w:rPr>
              <w:t>/</w:t>
            </w:r>
            <w:r>
              <w:rPr>
                <w:rFonts w:hint="eastAsia" w:ascii="宋体" w:hAnsi="宋体" w:eastAsia="宋体" w:cs="宋体"/>
                <w:color w:val="auto"/>
                <w:sz w:val="22"/>
                <w:szCs w:val="22"/>
                <w:highlight w:val="none"/>
                <w:u w:val="single"/>
              </w:rPr>
              <w:t xml:space="preserve"> </w:t>
            </w:r>
            <w:r>
              <w:rPr>
                <w:rFonts w:hint="eastAsia" w:ascii="宋体" w:hAnsi="宋体" w:eastAsia="宋体" w:cs="宋体"/>
                <w:i/>
                <w:iCs/>
                <w:color w:val="auto"/>
                <w:sz w:val="22"/>
                <w:szCs w:val="22"/>
                <w:highlight w:val="none"/>
                <w:u w:val="single"/>
              </w:rPr>
              <w:t xml:space="preserve"> %（1%—2%）</w:t>
            </w:r>
            <w:r>
              <w:rPr>
                <w:rFonts w:hint="eastAsia" w:ascii="宋体" w:hAnsi="宋体" w:eastAsia="宋体" w:cs="宋体"/>
                <w:color w:val="auto"/>
                <w:sz w:val="22"/>
                <w:szCs w:val="22"/>
                <w:highlight w:val="none"/>
              </w:rPr>
              <w:t>的扣除，用扣除后的价格参加评审。</w:t>
            </w:r>
            <w:r>
              <w:rPr>
                <w:rFonts w:hint="eastAsia" w:ascii="宋体" w:hAnsi="宋体" w:eastAsia="宋体" w:cs="宋体"/>
                <w:color w:val="auto"/>
                <w:sz w:val="22"/>
                <w:szCs w:val="22"/>
                <w:highlight w:val="none"/>
              </w:rPr>
              <w:sym w:font="Wingdings" w:char="00A8"/>
            </w:r>
            <w:r>
              <w:rPr>
                <w:rFonts w:hint="eastAsia" w:ascii="宋体" w:hAnsi="宋体" w:eastAsia="宋体" w:cs="宋体"/>
                <w:color w:val="auto"/>
                <w:sz w:val="22"/>
                <w:szCs w:val="22"/>
                <w:highlight w:val="none"/>
              </w:rPr>
              <w:t>本项目为适用招标投标法的政府采购工程建设项目，采用综合评估法但未采用低价优先法计算价格分，评标时在采用原报价进行评分的基础上增加其价格得分的</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val="en-US" w:eastAsia="zh-CN"/>
              </w:rPr>
              <w:t>/</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w:t>
            </w:r>
            <w:r>
              <w:rPr>
                <w:rFonts w:hint="eastAsia" w:ascii="宋体" w:hAnsi="宋体" w:eastAsia="宋体" w:cs="宋体"/>
                <w:i/>
                <w:iCs/>
                <w:color w:val="auto"/>
                <w:sz w:val="22"/>
                <w:szCs w:val="22"/>
                <w:highlight w:val="none"/>
              </w:rPr>
              <w:t>（1%—2%）</w:t>
            </w:r>
            <w:r>
              <w:rPr>
                <w:rFonts w:hint="eastAsia" w:ascii="宋体" w:hAnsi="宋体" w:eastAsia="宋体" w:cs="宋体"/>
                <w:color w:val="auto"/>
                <w:sz w:val="22"/>
                <w:szCs w:val="22"/>
                <w:highlight w:val="none"/>
              </w:rPr>
              <w:t>作为其价格分。</w:t>
            </w:r>
          </w:p>
          <w:p w14:paraId="33E745CB">
            <w:pPr>
              <w:snapToGrid w:val="0"/>
              <w:spacing w:line="3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2.2组成联合体或者接受分包的小微企业与联合体内其他企业、分包企业之间存在直接控股、管理关系的，不享受价格扣除优惠政策。</w:t>
            </w:r>
          </w:p>
          <w:p w14:paraId="51D4723C">
            <w:pPr>
              <w:snapToGrid w:val="0"/>
              <w:spacing w:line="3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2.3价格扣除比例或者价格分加分比例对小型企业和微型企业同等对待，不作区分。</w:t>
            </w:r>
          </w:p>
          <w:p w14:paraId="2F3E5154">
            <w:pPr>
              <w:snapToGrid w:val="0"/>
              <w:spacing w:line="3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2.4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7B005141">
            <w:pPr>
              <w:snapToGrid w:val="0"/>
              <w:spacing w:line="3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2.5接受分包的项目，享受扶持政策获得政府采购合同的，小微企业不得将合同分包给大中型企业，中型企业不得将合同分包给大型企业。</w:t>
            </w:r>
          </w:p>
          <w:p w14:paraId="39E2E866">
            <w:pPr>
              <w:snapToGrid w:val="0"/>
              <w:spacing w:line="3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根据财库〔2017〕141号的相关规定，在政府采购活动中，残疾人福利性单位视同小型、微型企业，享受评审中价格扣除政策。属于享受政府采购支持政策的残疾人福利性单位，应满足财库〔2017〕141号文件第一条的规定，并在响应文件中提供残疾人福利性单位声明函。</w:t>
            </w:r>
          </w:p>
          <w:p w14:paraId="24D27829">
            <w:pPr>
              <w:snapToGrid w:val="0"/>
              <w:spacing w:line="3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根据财库〔2014〕68号的相关规定，在政府采购活动中，监狱企业视同小型、微型企业，享受评审中价格扣除政策，并在响应文件中提供由省级以上监狱管理局、戒毒管理局（含新疆生产建设兵团）出具的属于监狱企业的证明文件。</w:t>
            </w:r>
          </w:p>
          <w:p w14:paraId="067AF620">
            <w:pPr>
              <w:spacing w:line="360" w:lineRule="exact"/>
              <w:rPr>
                <w:rFonts w:hint="eastAsia"/>
                <w:color w:val="auto"/>
                <w:sz w:val="22"/>
                <w:szCs w:val="22"/>
                <w:highlight w:val="none"/>
              </w:rPr>
            </w:pPr>
            <w:r>
              <w:rPr>
                <w:rFonts w:hint="eastAsia" w:eastAsia="宋体"/>
                <w:color w:val="auto"/>
                <w:sz w:val="22"/>
                <w:szCs w:val="22"/>
                <w:highlight w:val="none"/>
                <w:lang w:eastAsia="zh-CN"/>
              </w:rPr>
              <w:drawing>
                <wp:anchor distT="0" distB="0" distL="114300" distR="114300" simplePos="0" relativeHeight="251660288" behindDoc="0" locked="0" layoutInCell="1" allowOverlap="1">
                  <wp:simplePos x="0" y="0"/>
                  <wp:positionH relativeFrom="column">
                    <wp:posOffset>1905</wp:posOffset>
                  </wp:positionH>
                  <wp:positionV relativeFrom="paragraph">
                    <wp:posOffset>281305</wp:posOffset>
                  </wp:positionV>
                  <wp:extent cx="4761230" cy="1550670"/>
                  <wp:effectExtent l="0" t="0" r="8890" b="3810"/>
                  <wp:wrapSquare wrapText="bothSides"/>
                  <wp:docPr id="5" name="图片 5" descr="1723363571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723363571174"/>
                          <pic:cNvPicPr>
                            <a:picLocks noChangeAspect="1"/>
                          </pic:cNvPicPr>
                        </pic:nvPicPr>
                        <pic:blipFill>
                          <a:blip r:embed="rId19"/>
                          <a:stretch>
                            <a:fillRect/>
                          </a:stretch>
                        </pic:blipFill>
                        <pic:spPr>
                          <a:xfrm>
                            <a:off x="0" y="0"/>
                            <a:ext cx="4761230" cy="1550670"/>
                          </a:xfrm>
                          <a:prstGeom prst="rect">
                            <a:avLst/>
                          </a:prstGeom>
                        </pic:spPr>
                      </pic:pic>
                    </a:graphicData>
                  </a:graphic>
                </wp:anchor>
              </w:drawing>
            </w:r>
            <w:r>
              <w:rPr>
                <w:rFonts w:hint="eastAsia" w:ascii="宋体" w:hAnsi="宋体" w:eastAsia="宋体" w:cs="宋体"/>
                <w:b/>
                <w:bCs/>
                <w:color w:val="auto"/>
                <w:sz w:val="22"/>
                <w:szCs w:val="22"/>
                <w:highlight w:val="none"/>
              </w:rPr>
              <w:t>(注：未提供以上材料的，均不给予价格扣除，以上优惠政策只享受一次）。</w:t>
            </w:r>
          </w:p>
        </w:tc>
      </w:tr>
      <w:tr w14:paraId="03EA1A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73" w:hRule="atLeast"/>
          <w:jc w:val="center"/>
        </w:trPr>
        <w:tc>
          <w:tcPr>
            <w:tcW w:w="325" w:type="pct"/>
            <w:noWrap w:val="0"/>
            <w:vAlign w:val="center"/>
          </w:tcPr>
          <w:p w14:paraId="32823B42">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2715D673">
            <w:pPr>
              <w:keepNext w:val="0"/>
              <w:keepLines w:val="0"/>
              <w:pageBreakBefore w:val="0"/>
              <w:widowControl/>
              <w:kinsoku/>
              <w:wordWrap/>
              <w:overflowPunct/>
              <w:topLinePunct w:val="0"/>
              <w:autoSpaceDE/>
              <w:autoSpaceDN/>
              <w:bidi w:val="0"/>
              <w:adjustRightInd/>
              <w:snapToGrid w:val="0"/>
              <w:spacing w:before="0" w:after="0" w:line="360" w:lineRule="atLeast"/>
              <w:ind w:left="0" w:leftChars="0" w:firstLine="0" w:firstLineChars="0"/>
              <w:jc w:val="left"/>
              <w:textAlignment w:val="auto"/>
              <w:rPr>
                <w:rFonts w:hint="eastAsia"/>
                <w:color w:val="auto"/>
                <w:sz w:val="22"/>
                <w:szCs w:val="22"/>
                <w:highlight w:val="none"/>
              </w:rPr>
            </w:pPr>
            <w:r>
              <w:rPr>
                <w:rFonts w:hint="eastAsia" w:asciiTheme="minorEastAsia" w:hAnsiTheme="minorEastAsia" w:eastAsiaTheme="minorEastAsia" w:cstheme="minorEastAsia"/>
                <w:color w:val="auto"/>
                <w:sz w:val="22"/>
                <w:szCs w:val="22"/>
                <w:highlight w:val="none"/>
                <w:lang w:val="en-US" w:eastAsia="zh-CN"/>
              </w:rPr>
              <w:t>核心产品</w:t>
            </w:r>
            <w:r>
              <w:rPr>
                <w:rFonts w:hint="eastAsia" w:asciiTheme="minorEastAsia" w:hAnsiTheme="minorEastAsia" w:eastAsiaTheme="minorEastAsia" w:cstheme="minorEastAsia"/>
                <w:strike w:val="0"/>
                <w:dstrike w:val="0"/>
                <w:color w:val="auto"/>
                <w:sz w:val="22"/>
                <w:szCs w:val="22"/>
                <w:highlight w:val="none"/>
                <w:u w:val="none"/>
                <w:lang w:eastAsia="zh-CN"/>
              </w:rPr>
              <w:t>【采购货物项目适用】</w:t>
            </w:r>
          </w:p>
        </w:tc>
        <w:tc>
          <w:tcPr>
            <w:tcW w:w="3838" w:type="pct"/>
            <w:noWrap w:val="0"/>
            <w:vAlign w:val="center"/>
          </w:tcPr>
          <w:p w14:paraId="2B889BB3">
            <w:pPr>
              <w:keepNext w:val="0"/>
              <w:keepLines w:val="0"/>
              <w:pageBreakBefore w:val="0"/>
              <w:widowControl/>
              <w:kinsoku/>
              <w:wordWrap/>
              <w:overflowPunct/>
              <w:topLinePunct w:val="0"/>
              <w:autoSpaceDE/>
              <w:autoSpaceDN/>
              <w:bidi w:val="0"/>
              <w:adjustRightInd/>
              <w:snapToGrid w:val="0"/>
              <w:spacing w:before="0" w:after="0" w:line="360" w:lineRule="atLeast"/>
              <w:ind w:left="0" w:leftChars="0" w:firstLine="0" w:firstLineChars="0"/>
              <w:jc w:val="both"/>
              <w:textAlignment w:val="auto"/>
              <w:rPr>
                <w:rFonts w:hint="eastAsia" w:eastAsia="宋体"/>
                <w:color w:val="auto"/>
                <w:sz w:val="22"/>
                <w:szCs w:val="22"/>
                <w:highlight w:val="none"/>
                <w:lang w:eastAsia="zh-CN"/>
              </w:rPr>
            </w:pPr>
            <w:r>
              <w:rPr>
                <w:rFonts w:hint="eastAsia" w:asciiTheme="minorEastAsia" w:hAnsiTheme="minorEastAsia" w:eastAsiaTheme="minorEastAsia" w:cstheme="minorEastAsia"/>
                <w:b/>
                <w:bCs/>
                <w:color w:val="auto"/>
                <w:sz w:val="22"/>
                <w:szCs w:val="22"/>
                <w:highlight w:val="none"/>
                <w:lang w:val="en-US" w:eastAsia="zh-CN"/>
              </w:rPr>
              <w:t>本项目核心产品为：</w:t>
            </w:r>
            <w:r>
              <w:rPr>
                <w:rFonts w:hint="eastAsia" w:asciiTheme="minorEastAsia" w:hAnsiTheme="minorEastAsia" w:eastAsiaTheme="minorEastAsia" w:cstheme="minorEastAsia"/>
                <w:b/>
                <w:bCs/>
                <w:color w:val="auto"/>
                <w:sz w:val="22"/>
                <w:szCs w:val="22"/>
                <w:highlight w:val="none"/>
                <w:u w:val="single"/>
                <w:lang w:val="en-US" w:eastAsia="zh-CN"/>
              </w:rPr>
              <w:t>道路交通信号控制机(电子红绿灯控制系统）、机房主机。</w:t>
            </w:r>
          </w:p>
        </w:tc>
      </w:tr>
      <w:tr w14:paraId="4D8347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73" w:hRule="atLeast"/>
          <w:jc w:val="center"/>
        </w:trPr>
        <w:tc>
          <w:tcPr>
            <w:tcW w:w="325" w:type="pct"/>
            <w:noWrap w:val="0"/>
            <w:vAlign w:val="center"/>
          </w:tcPr>
          <w:p w14:paraId="25C04D18">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4B51FBED">
            <w:pPr>
              <w:keepNext w:val="0"/>
              <w:keepLines w:val="0"/>
              <w:pageBreakBefore w:val="0"/>
              <w:kinsoku/>
              <w:wordWrap/>
              <w:overflowPunct/>
              <w:topLinePunct w:val="0"/>
              <w:autoSpaceDE/>
              <w:autoSpaceDN/>
              <w:bidi w:val="0"/>
              <w:adjustRightInd w:val="0"/>
              <w:spacing w:line="260" w:lineRule="exact"/>
              <w:jc w:val="center"/>
              <w:textAlignment w:val="auto"/>
              <w:rPr>
                <w:rFonts w:hint="eastAsia" w:ascii="宋体" w:hAnsi="宋体" w:cs="宋体"/>
                <w:color w:val="auto"/>
                <w:sz w:val="22"/>
                <w:szCs w:val="22"/>
                <w:highlight w:val="none"/>
                <w:lang w:val="en-US" w:eastAsia="zh-CN" w:bidi="ar-SA"/>
              </w:rPr>
            </w:pPr>
            <w:r>
              <w:rPr>
                <w:rFonts w:hint="eastAsia" w:ascii="宋体" w:hAnsi="宋体" w:cs="宋体"/>
                <w:color w:val="auto"/>
                <w:sz w:val="22"/>
                <w:highlight w:val="none"/>
              </w:rPr>
              <w:t>支持创新发展</w:t>
            </w:r>
          </w:p>
        </w:tc>
        <w:tc>
          <w:tcPr>
            <w:tcW w:w="3838" w:type="pct"/>
            <w:noWrap w:val="0"/>
            <w:vAlign w:val="center"/>
          </w:tcPr>
          <w:p w14:paraId="5F714C47">
            <w:pPr>
              <w:keepNext w:val="0"/>
              <w:keepLines w:val="0"/>
              <w:pageBreakBefore w:val="0"/>
              <w:kinsoku/>
              <w:wordWrap/>
              <w:overflowPunct/>
              <w:topLinePunct w:val="0"/>
              <w:autoSpaceDE/>
              <w:autoSpaceDN/>
              <w:bidi w:val="0"/>
              <w:spacing w:line="260" w:lineRule="exact"/>
              <w:textAlignment w:val="auto"/>
              <w:rPr>
                <w:rFonts w:hint="eastAsia" w:ascii="宋体" w:hAnsi="宋体" w:eastAsia="宋体" w:cs="宋体"/>
                <w:b/>
                <w:bCs/>
                <w:color w:val="auto"/>
                <w:sz w:val="21"/>
                <w:szCs w:val="21"/>
                <w:highlight w:val="none"/>
                <w:lang w:val="en-US" w:eastAsia="zh-CN" w:bidi="ar-SA"/>
              </w:rPr>
            </w:pPr>
            <w:r>
              <w:rPr>
                <w:rFonts w:hint="eastAsia" w:ascii="宋体" w:hAnsi="宋体" w:cs="宋体"/>
                <w:color w:val="auto"/>
                <w:sz w:val="22"/>
                <w:highlight w:val="none"/>
              </w:rPr>
              <w:t>根据浙财采监〔2022〕8号文相关的规定，对省级以上主管部门认定的首台套产品，自纳入《省推广应用指导目录》起三年内参加政府采购活动，视同已具备相应销售业绩，业绩分为满分。</w:t>
            </w:r>
          </w:p>
        </w:tc>
      </w:tr>
      <w:tr w14:paraId="44B161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8" w:hRule="atLeast"/>
          <w:jc w:val="center"/>
        </w:trPr>
        <w:tc>
          <w:tcPr>
            <w:tcW w:w="325" w:type="pct"/>
            <w:noWrap w:val="0"/>
            <w:vAlign w:val="center"/>
          </w:tcPr>
          <w:p w14:paraId="04F98D7F">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4C6CFAAB">
            <w:pPr>
              <w:spacing w:line="360" w:lineRule="exact"/>
              <w:jc w:val="center"/>
              <w:rPr>
                <w:rFonts w:hint="eastAsia"/>
                <w:color w:val="auto"/>
                <w:sz w:val="22"/>
                <w:szCs w:val="22"/>
                <w:highlight w:val="none"/>
              </w:rPr>
            </w:pPr>
            <w:r>
              <w:rPr>
                <w:rFonts w:hint="eastAsia"/>
                <w:color w:val="auto"/>
                <w:sz w:val="22"/>
                <w:szCs w:val="22"/>
                <w:highlight w:val="none"/>
              </w:rPr>
              <w:t>供应商信用查询</w:t>
            </w:r>
          </w:p>
        </w:tc>
        <w:tc>
          <w:tcPr>
            <w:tcW w:w="3838" w:type="pct"/>
            <w:noWrap w:val="0"/>
            <w:vAlign w:val="center"/>
          </w:tcPr>
          <w:p w14:paraId="6E4FAEB6">
            <w:pPr>
              <w:spacing w:line="360" w:lineRule="exact"/>
              <w:rPr>
                <w:rFonts w:hint="eastAsia"/>
                <w:color w:val="auto"/>
                <w:sz w:val="22"/>
                <w:szCs w:val="22"/>
                <w:highlight w:val="none"/>
              </w:rPr>
            </w:pPr>
            <w:r>
              <w:rPr>
                <w:rFonts w:hint="eastAsia"/>
                <w:color w:val="auto"/>
                <w:sz w:val="22"/>
                <w:szCs w:val="22"/>
                <w:highlight w:val="none"/>
              </w:rPr>
              <w:t>1、供应商信用信息查询的查询渠道：“信用中国”(</w:t>
            </w:r>
            <w:r>
              <w:rPr>
                <w:rFonts w:hint="eastAsia"/>
                <w:color w:val="auto"/>
                <w:sz w:val="22"/>
                <w:szCs w:val="22"/>
                <w:highlight w:val="none"/>
              </w:rPr>
              <w:fldChar w:fldCharType="begin"/>
            </w:r>
            <w:r>
              <w:rPr>
                <w:rFonts w:hint="eastAsia"/>
                <w:color w:val="auto"/>
                <w:sz w:val="22"/>
                <w:szCs w:val="22"/>
                <w:highlight w:val="none"/>
              </w:rPr>
              <w:instrText xml:space="preserve"> HYPERLINK "http://www.creditchina.gov.cn" </w:instrText>
            </w:r>
            <w:r>
              <w:rPr>
                <w:rFonts w:hint="eastAsia"/>
                <w:color w:val="auto"/>
                <w:sz w:val="22"/>
                <w:szCs w:val="22"/>
                <w:highlight w:val="none"/>
              </w:rPr>
              <w:fldChar w:fldCharType="separate"/>
            </w:r>
            <w:r>
              <w:rPr>
                <w:rFonts w:hint="eastAsia"/>
                <w:color w:val="auto"/>
                <w:sz w:val="22"/>
                <w:szCs w:val="22"/>
                <w:highlight w:val="none"/>
              </w:rPr>
              <w:t>www.creditchina.gov.cn</w:t>
            </w:r>
            <w:r>
              <w:rPr>
                <w:rFonts w:hint="eastAsia"/>
                <w:color w:val="auto"/>
                <w:sz w:val="22"/>
                <w:szCs w:val="22"/>
                <w:highlight w:val="none"/>
              </w:rPr>
              <w:fldChar w:fldCharType="end"/>
            </w:r>
            <w:r>
              <w:rPr>
                <w:rFonts w:hint="eastAsia"/>
                <w:color w:val="auto"/>
                <w:sz w:val="22"/>
                <w:szCs w:val="22"/>
                <w:highlight w:val="none"/>
              </w:rPr>
              <w:t>)；“中国政府采购网”（http://www.ccgp.gov.cn/）；</w:t>
            </w:r>
          </w:p>
          <w:p w14:paraId="23FE840D">
            <w:pPr>
              <w:spacing w:line="360" w:lineRule="exact"/>
              <w:rPr>
                <w:rFonts w:hint="eastAsia"/>
                <w:color w:val="auto"/>
                <w:sz w:val="22"/>
                <w:szCs w:val="22"/>
                <w:highlight w:val="none"/>
              </w:rPr>
            </w:pPr>
            <w:r>
              <w:rPr>
                <w:rFonts w:hint="eastAsia"/>
                <w:color w:val="auto"/>
                <w:sz w:val="22"/>
                <w:szCs w:val="22"/>
                <w:highlight w:val="none"/>
              </w:rPr>
              <w:t>2、供应商信用信息查询截止时点：采购公告至本项目投标截止时间前均可。</w:t>
            </w:r>
          </w:p>
          <w:p w14:paraId="5380FFE3">
            <w:pPr>
              <w:spacing w:line="360" w:lineRule="exact"/>
              <w:rPr>
                <w:rFonts w:hint="eastAsia"/>
                <w:color w:val="auto"/>
                <w:sz w:val="22"/>
                <w:szCs w:val="22"/>
                <w:highlight w:val="none"/>
              </w:rPr>
            </w:pPr>
            <w:r>
              <w:rPr>
                <w:rFonts w:hint="eastAsia"/>
                <w:color w:val="auto"/>
                <w:sz w:val="22"/>
                <w:szCs w:val="22"/>
                <w:highlight w:val="none"/>
              </w:rPr>
              <w:t>3、供应商信用信息查询记录和证据留存的具体方式：网页截图打印；</w:t>
            </w:r>
          </w:p>
          <w:p w14:paraId="3AB22B41">
            <w:pPr>
              <w:spacing w:line="360" w:lineRule="exact"/>
              <w:rPr>
                <w:rFonts w:hint="eastAsia"/>
                <w:color w:val="auto"/>
                <w:sz w:val="22"/>
                <w:szCs w:val="22"/>
                <w:highlight w:val="none"/>
              </w:rPr>
            </w:pPr>
            <w:r>
              <w:rPr>
                <w:rFonts w:hint="eastAsia"/>
                <w:color w:val="auto"/>
                <w:sz w:val="22"/>
                <w:szCs w:val="22"/>
                <w:highlight w:val="none"/>
              </w:rPr>
              <w:t>4、信用信息的使用规则：截止评标当日，经查询“信用中国”“中国政府采购网”存在列入失信被执行人、重大税收违法案件当事人名单、政府采购严重违法失信行为记录名单及其他不符合《中华人民共和国政府采购法》第二十二条规定条件的供应商，其投标做无效投标处理。</w:t>
            </w:r>
          </w:p>
        </w:tc>
      </w:tr>
      <w:tr w14:paraId="361924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325" w:type="pct"/>
            <w:noWrap w:val="0"/>
            <w:vAlign w:val="center"/>
          </w:tcPr>
          <w:p w14:paraId="6BA50444">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3DC12FF4">
            <w:pPr>
              <w:spacing w:line="360" w:lineRule="exact"/>
              <w:jc w:val="center"/>
              <w:rPr>
                <w:rFonts w:hint="eastAsia"/>
                <w:color w:val="auto"/>
                <w:sz w:val="22"/>
                <w:szCs w:val="22"/>
                <w:highlight w:val="none"/>
              </w:rPr>
            </w:pPr>
            <w:r>
              <w:rPr>
                <w:rFonts w:hint="eastAsia"/>
                <w:color w:val="auto"/>
                <w:sz w:val="22"/>
                <w:szCs w:val="22"/>
                <w:highlight w:val="none"/>
              </w:rPr>
              <w:t>合同备案</w:t>
            </w:r>
          </w:p>
        </w:tc>
        <w:tc>
          <w:tcPr>
            <w:tcW w:w="3838" w:type="pct"/>
            <w:noWrap w:val="0"/>
            <w:vAlign w:val="center"/>
          </w:tcPr>
          <w:p w14:paraId="665D1C83">
            <w:pPr>
              <w:spacing w:line="360" w:lineRule="exact"/>
              <w:rPr>
                <w:rFonts w:hint="eastAsia"/>
                <w:color w:val="auto"/>
                <w:sz w:val="22"/>
                <w:szCs w:val="22"/>
                <w:highlight w:val="none"/>
              </w:rPr>
            </w:pPr>
            <w:r>
              <w:rPr>
                <w:rFonts w:hint="eastAsia"/>
                <w:color w:val="auto"/>
                <w:sz w:val="22"/>
                <w:szCs w:val="22"/>
                <w:highlight w:val="none"/>
              </w:rPr>
              <w:t>1、中标供应商须在中标通知书发出之日起30日内与采购人签订合同。</w:t>
            </w:r>
          </w:p>
          <w:p w14:paraId="1DB19C07">
            <w:pPr>
              <w:spacing w:line="360" w:lineRule="exact"/>
              <w:rPr>
                <w:rFonts w:hint="eastAsia"/>
                <w:color w:val="auto"/>
                <w:sz w:val="22"/>
                <w:szCs w:val="22"/>
                <w:highlight w:val="none"/>
              </w:rPr>
            </w:pPr>
            <w:r>
              <w:rPr>
                <w:rFonts w:hint="eastAsia"/>
                <w:color w:val="auto"/>
                <w:sz w:val="22"/>
                <w:szCs w:val="22"/>
                <w:highlight w:val="none"/>
              </w:rPr>
              <w:t>2、中标供应商与采购人签订合同后，2日历天内将合同扫描件电子版发给</w:t>
            </w:r>
            <w:r>
              <w:rPr>
                <w:rFonts w:hint="eastAsia"/>
                <w:color w:val="auto"/>
                <w:sz w:val="22"/>
                <w:szCs w:val="22"/>
                <w:highlight w:val="none"/>
                <w:lang w:eastAsia="zh-CN"/>
              </w:rPr>
              <w:t>温州元信工程项目管理有限公司</w:t>
            </w:r>
            <w:r>
              <w:rPr>
                <w:rFonts w:hint="eastAsia"/>
                <w:color w:val="auto"/>
                <w:sz w:val="22"/>
                <w:szCs w:val="22"/>
                <w:highlight w:val="none"/>
              </w:rPr>
              <w:t>：邮箱：</w:t>
            </w:r>
            <w:r>
              <w:rPr>
                <w:rFonts w:hint="eastAsia"/>
                <w:color w:val="auto"/>
                <w:sz w:val="22"/>
                <w:szCs w:val="22"/>
                <w:highlight w:val="none"/>
                <w:u w:val="single"/>
              </w:rPr>
              <w:fldChar w:fldCharType="begin"/>
            </w:r>
            <w:r>
              <w:rPr>
                <w:rFonts w:hint="eastAsia"/>
                <w:color w:val="auto"/>
                <w:sz w:val="22"/>
                <w:szCs w:val="22"/>
                <w:highlight w:val="none"/>
                <w:u w:val="single"/>
              </w:rPr>
              <w:instrText xml:space="preserve"> HYPERLINK "mailto: 309705385@qq.com" </w:instrText>
            </w:r>
            <w:r>
              <w:rPr>
                <w:rFonts w:hint="eastAsia"/>
                <w:color w:val="auto"/>
                <w:sz w:val="22"/>
                <w:szCs w:val="22"/>
                <w:highlight w:val="none"/>
                <w:u w:val="single"/>
              </w:rPr>
              <w:fldChar w:fldCharType="separate"/>
            </w:r>
            <w:r>
              <w:rPr>
                <w:rStyle w:val="75"/>
                <w:rFonts w:hint="eastAsia"/>
                <w:color w:val="auto"/>
                <w:sz w:val="22"/>
                <w:szCs w:val="22"/>
                <w:highlight w:val="none"/>
              </w:rPr>
              <w:t xml:space="preserve"> </w:t>
            </w:r>
            <w:r>
              <w:rPr>
                <w:rStyle w:val="75"/>
                <w:rFonts w:hint="eastAsia"/>
                <w:color w:val="auto"/>
                <w:sz w:val="22"/>
                <w:szCs w:val="22"/>
                <w:highlight w:val="none"/>
                <w:lang w:eastAsia="zh-CN"/>
              </w:rPr>
              <w:t>359842647</w:t>
            </w:r>
            <w:r>
              <w:rPr>
                <w:rStyle w:val="75"/>
                <w:rFonts w:hint="eastAsia"/>
                <w:color w:val="auto"/>
                <w:sz w:val="22"/>
                <w:szCs w:val="22"/>
                <w:highlight w:val="none"/>
              </w:rPr>
              <w:t>@qq.com</w:t>
            </w:r>
            <w:r>
              <w:rPr>
                <w:rFonts w:hint="eastAsia"/>
                <w:color w:val="auto"/>
                <w:sz w:val="22"/>
                <w:szCs w:val="22"/>
                <w:highlight w:val="none"/>
                <w:u w:val="single"/>
              </w:rPr>
              <w:fldChar w:fldCharType="end"/>
            </w:r>
            <w:r>
              <w:rPr>
                <w:rFonts w:hint="eastAsia"/>
                <w:color w:val="auto"/>
                <w:sz w:val="22"/>
                <w:szCs w:val="22"/>
                <w:highlight w:val="none"/>
              </w:rPr>
              <w:t>；</w:t>
            </w:r>
          </w:p>
          <w:p w14:paraId="0F5BB007">
            <w:pPr>
              <w:spacing w:line="360" w:lineRule="exact"/>
              <w:rPr>
                <w:rFonts w:hint="eastAsia"/>
                <w:color w:val="auto"/>
                <w:sz w:val="22"/>
                <w:szCs w:val="22"/>
                <w:highlight w:val="none"/>
              </w:rPr>
            </w:pPr>
            <w:r>
              <w:rPr>
                <w:rFonts w:hint="eastAsia"/>
                <w:color w:val="auto"/>
                <w:sz w:val="22"/>
                <w:szCs w:val="22"/>
                <w:highlight w:val="none"/>
              </w:rPr>
              <w:t>3、本项目政府采购合同按规定在浙江政府采购网（</w:t>
            </w:r>
            <w:r>
              <w:rPr>
                <w:rFonts w:hint="eastAsia"/>
                <w:color w:val="auto"/>
                <w:sz w:val="22"/>
                <w:szCs w:val="22"/>
                <w:highlight w:val="none"/>
              </w:rPr>
              <w:fldChar w:fldCharType="begin"/>
            </w:r>
            <w:r>
              <w:rPr>
                <w:rFonts w:hint="eastAsia"/>
                <w:color w:val="auto"/>
                <w:sz w:val="22"/>
                <w:szCs w:val="22"/>
                <w:highlight w:val="none"/>
              </w:rPr>
              <w:instrText xml:space="preserve"> HYPERLINK "http://www.zjzfcg.gov.cn" </w:instrText>
            </w:r>
            <w:r>
              <w:rPr>
                <w:rFonts w:hint="eastAsia"/>
                <w:color w:val="auto"/>
                <w:sz w:val="22"/>
                <w:szCs w:val="22"/>
                <w:highlight w:val="none"/>
              </w:rPr>
              <w:fldChar w:fldCharType="separate"/>
            </w:r>
            <w:r>
              <w:rPr>
                <w:rFonts w:hint="eastAsia"/>
                <w:color w:val="auto"/>
                <w:sz w:val="22"/>
                <w:szCs w:val="22"/>
                <w:highlight w:val="none"/>
              </w:rPr>
              <w:t>http://www.zjzfcg.gov.cn</w:t>
            </w:r>
            <w:r>
              <w:rPr>
                <w:rFonts w:hint="eastAsia"/>
                <w:color w:val="auto"/>
                <w:sz w:val="22"/>
                <w:szCs w:val="22"/>
                <w:highlight w:val="none"/>
              </w:rPr>
              <w:fldChar w:fldCharType="end"/>
            </w:r>
            <w:r>
              <w:rPr>
                <w:rFonts w:hint="eastAsia"/>
                <w:color w:val="auto"/>
                <w:sz w:val="22"/>
                <w:szCs w:val="22"/>
                <w:highlight w:val="none"/>
              </w:rPr>
              <w:t>）予以公告。</w:t>
            </w:r>
          </w:p>
        </w:tc>
      </w:tr>
      <w:tr w14:paraId="5EACBC3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325" w:type="pct"/>
            <w:noWrap w:val="0"/>
            <w:vAlign w:val="center"/>
          </w:tcPr>
          <w:p w14:paraId="36A12C9F">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1511112A">
            <w:pPr>
              <w:spacing w:line="360" w:lineRule="exact"/>
              <w:jc w:val="center"/>
              <w:rPr>
                <w:rFonts w:hint="eastAsia"/>
                <w:color w:val="auto"/>
                <w:sz w:val="22"/>
                <w:szCs w:val="22"/>
                <w:highlight w:val="none"/>
              </w:rPr>
            </w:pPr>
            <w:r>
              <w:rPr>
                <w:rFonts w:hint="eastAsia"/>
                <w:color w:val="auto"/>
                <w:sz w:val="22"/>
                <w:szCs w:val="22"/>
                <w:highlight w:val="none"/>
              </w:rPr>
              <w:t>合同履约管理</w:t>
            </w:r>
          </w:p>
        </w:tc>
        <w:tc>
          <w:tcPr>
            <w:tcW w:w="3838" w:type="pct"/>
            <w:noWrap w:val="0"/>
            <w:vAlign w:val="center"/>
          </w:tcPr>
          <w:p w14:paraId="3431848E">
            <w:pPr>
              <w:spacing w:line="360" w:lineRule="exact"/>
              <w:rPr>
                <w:rFonts w:hint="eastAsia"/>
                <w:color w:val="auto"/>
                <w:sz w:val="22"/>
                <w:szCs w:val="22"/>
                <w:highlight w:val="none"/>
              </w:rPr>
            </w:pPr>
            <w:r>
              <w:rPr>
                <w:rFonts w:hint="eastAsia"/>
                <w:color w:val="auto"/>
                <w:sz w:val="22"/>
                <w:szCs w:val="22"/>
                <w:highlight w:val="none"/>
              </w:rPr>
              <w:t>合同签订后，采购人依法加强对合同履约进行管理，并在中标单位供货、项目验收等重要关节，如实填写《合同验收报告》（或考核资料），并及时向同级财政部门报告验收过程中遇到的问题。</w:t>
            </w:r>
          </w:p>
        </w:tc>
      </w:tr>
      <w:tr w14:paraId="5E7761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325" w:type="pct"/>
            <w:noWrap w:val="0"/>
            <w:vAlign w:val="center"/>
          </w:tcPr>
          <w:p w14:paraId="048EC118">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793139F8">
            <w:pPr>
              <w:spacing w:line="360" w:lineRule="exact"/>
              <w:jc w:val="center"/>
              <w:rPr>
                <w:rFonts w:hint="eastAsia"/>
                <w:color w:val="auto"/>
                <w:sz w:val="22"/>
                <w:szCs w:val="22"/>
                <w:highlight w:val="none"/>
              </w:rPr>
            </w:pPr>
            <w:r>
              <w:rPr>
                <w:rFonts w:hint="eastAsia"/>
                <w:color w:val="auto"/>
                <w:sz w:val="22"/>
                <w:szCs w:val="22"/>
                <w:highlight w:val="none"/>
              </w:rPr>
              <w:t>免则声明</w:t>
            </w:r>
          </w:p>
        </w:tc>
        <w:tc>
          <w:tcPr>
            <w:tcW w:w="3838" w:type="pct"/>
            <w:noWrap w:val="0"/>
            <w:vAlign w:val="center"/>
          </w:tcPr>
          <w:p w14:paraId="2CEAADD4">
            <w:pPr>
              <w:spacing w:line="360" w:lineRule="exact"/>
              <w:rPr>
                <w:rFonts w:hint="eastAsia"/>
                <w:color w:val="auto"/>
                <w:sz w:val="22"/>
                <w:szCs w:val="22"/>
                <w:highlight w:val="none"/>
              </w:rPr>
            </w:pPr>
            <w:r>
              <w:rPr>
                <w:rFonts w:hint="eastAsia"/>
                <w:color w:val="auto"/>
                <w:sz w:val="22"/>
                <w:szCs w:val="22"/>
                <w:highlight w:val="none"/>
              </w:rPr>
              <w:t>1、供应商自行承担投标过程中产生的费用。无论何种因素导致采购项目延期开标、废标（流标）、供应商未中标、项目终止采购的，采购人与代理机构均不承担供应商投标费用。</w:t>
            </w:r>
          </w:p>
          <w:p w14:paraId="477692C1">
            <w:pPr>
              <w:spacing w:line="360" w:lineRule="exact"/>
              <w:rPr>
                <w:rFonts w:hint="eastAsia"/>
                <w:color w:val="auto"/>
                <w:sz w:val="22"/>
                <w:szCs w:val="22"/>
                <w:highlight w:val="none"/>
              </w:rPr>
            </w:pPr>
            <w:r>
              <w:rPr>
                <w:rFonts w:hint="eastAsia"/>
                <w:color w:val="auto"/>
                <w:sz w:val="22"/>
                <w:szCs w:val="22"/>
                <w:highlight w:val="none"/>
              </w:rPr>
              <w:t>2、供应商在投标、合同履行过程中必须做好安全保障工作，不因项目实施而危及自身及第三方人员、财产安全。若发生任何安全事故，由中标供应商自行承担一切责任并赔偿损失。</w:t>
            </w:r>
          </w:p>
        </w:tc>
      </w:tr>
      <w:tr w14:paraId="31382A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325" w:type="pct"/>
            <w:noWrap w:val="0"/>
            <w:vAlign w:val="center"/>
          </w:tcPr>
          <w:p w14:paraId="6C8EB5DF">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1AD4B6EA">
            <w:pPr>
              <w:spacing w:line="360" w:lineRule="exact"/>
              <w:jc w:val="center"/>
              <w:rPr>
                <w:rFonts w:hint="eastAsia"/>
                <w:color w:val="auto"/>
                <w:sz w:val="22"/>
                <w:szCs w:val="22"/>
                <w:highlight w:val="none"/>
              </w:rPr>
            </w:pPr>
            <w:r>
              <w:rPr>
                <w:rFonts w:hint="eastAsia"/>
                <w:color w:val="auto"/>
                <w:sz w:val="22"/>
                <w:szCs w:val="22"/>
                <w:highlight w:val="none"/>
              </w:rPr>
              <w:t>解释权</w:t>
            </w:r>
          </w:p>
        </w:tc>
        <w:tc>
          <w:tcPr>
            <w:tcW w:w="3838" w:type="pct"/>
            <w:noWrap w:val="0"/>
            <w:vAlign w:val="center"/>
          </w:tcPr>
          <w:p w14:paraId="5EC941EF">
            <w:pPr>
              <w:spacing w:line="360" w:lineRule="exact"/>
              <w:rPr>
                <w:rFonts w:hint="eastAsia"/>
                <w:color w:val="auto"/>
                <w:sz w:val="22"/>
                <w:szCs w:val="22"/>
                <w:highlight w:val="none"/>
              </w:rPr>
            </w:pPr>
            <w:r>
              <w:rPr>
                <w:rFonts w:hint="eastAsia"/>
                <w:color w:val="auto"/>
                <w:sz w:val="22"/>
                <w:szCs w:val="22"/>
                <w:highlight w:val="none"/>
              </w:rPr>
              <w:t>构成本招标文件的各个组成文件应互为解释，互为说明；如有不明确或不一致，构成合同文件组成内容的，以合同文件约定内容为准，且以专用合同条款约定的合同文件优先顺序解释；仅适用于招标投标阶段的约定，按招标公告、供应商须知、评标办法、投标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1FD753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325" w:type="pct"/>
            <w:noWrap w:val="0"/>
            <w:vAlign w:val="center"/>
          </w:tcPr>
          <w:p w14:paraId="1C33A788">
            <w:pPr>
              <w:numPr>
                <w:ilvl w:val="0"/>
                <w:numId w:val="14"/>
              </w:numPr>
              <w:tabs>
                <w:tab w:val="left" w:pos="420"/>
                <w:tab w:val="clear" w:pos="720"/>
              </w:tabs>
              <w:spacing w:line="360" w:lineRule="exact"/>
              <w:ind w:left="420" w:hanging="420"/>
              <w:jc w:val="right"/>
              <w:rPr>
                <w:rFonts w:hint="eastAsia"/>
                <w:color w:val="auto"/>
                <w:sz w:val="22"/>
                <w:szCs w:val="22"/>
                <w:highlight w:val="none"/>
              </w:rPr>
            </w:pPr>
          </w:p>
        </w:tc>
        <w:tc>
          <w:tcPr>
            <w:tcW w:w="835" w:type="pct"/>
            <w:noWrap w:val="0"/>
            <w:vAlign w:val="center"/>
          </w:tcPr>
          <w:p w14:paraId="086EEE37">
            <w:pPr>
              <w:spacing w:line="360" w:lineRule="exact"/>
              <w:jc w:val="center"/>
              <w:rPr>
                <w:rFonts w:hint="eastAsia"/>
                <w:color w:val="auto"/>
                <w:sz w:val="22"/>
                <w:szCs w:val="22"/>
                <w:highlight w:val="none"/>
              </w:rPr>
            </w:pPr>
            <w:r>
              <w:rPr>
                <w:rFonts w:hint="eastAsia"/>
                <w:color w:val="auto"/>
                <w:sz w:val="22"/>
                <w:szCs w:val="22"/>
                <w:highlight w:val="none"/>
              </w:rPr>
              <w:t>特别说明</w:t>
            </w:r>
          </w:p>
        </w:tc>
        <w:tc>
          <w:tcPr>
            <w:tcW w:w="3838" w:type="pct"/>
            <w:noWrap w:val="0"/>
            <w:vAlign w:val="center"/>
          </w:tcPr>
          <w:p w14:paraId="7BE06720">
            <w:pPr>
              <w:spacing w:line="360" w:lineRule="exact"/>
              <w:rPr>
                <w:rFonts w:hint="eastAsia"/>
                <w:color w:val="auto"/>
                <w:sz w:val="22"/>
                <w:szCs w:val="22"/>
                <w:highlight w:val="none"/>
              </w:rPr>
            </w:pPr>
            <w:r>
              <w:rPr>
                <w:rFonts w:hint="eastAsia"/>
                <w:color w:val="auto"/>
                <w:sz w:val="22"/>
                <w:szCs w:val="22"/>
                <w:highlight w:val="none"/>
              </w:rPr>
              <w:t>▲</w:t>
            </w:r>
            <w:r>
              <w:rPr>
                <w:rFonts w:hint="eastAsia"/>
                <w:b/>
                <w:bCs/>
                <w:color w:val="auto"/>
                <w:sz w:val="22"/>
                <w:szCs w:val="22"/>
                <w:highlight w:val="none"/>
                <w:u w:val="single"/>
              </w:rPr>
              <w:t>中标供应商在合同签订前，采购人有权要求中标供应商提供其投标文件中的相关文件资料的原件进行审核；如无法提供原件或提供的原件与其投标文件中的不符，采购人有权取消其中标资格，并提交主管部门处理。</w:t>
            </w:r>
          </w:p>
        </w:tc>
      </w:tr>
    </w:tbl>
    <w:p w14:paraId="55981D60">
      <w:pPr>
        <w:jc w:val="center"/>
        <w:rPr>
          <w:rFonts w:hint="eastAsia"/>
          <w:bCs/>
          <w:color w:val="auto"/>
          <w:highlight w:val="none"/>
        </w:rPr>
      </w:pPr>
      <w:r>
        <w:rPr>
          <w:rFonts w:hint="eastAsia"/>
          <w:bCs/>
          <w:color w:val="auto"/>
          <w:sz w:val="22"/>
          <w:szCs w:val="22"/>
          <w:highlight w:val="none"/>
        </w:rPr>
        <w:t xml:space="preserve">                                              </w:t>
      </w:r>
    </w:p>
    <w:p w14:paraId="0D6472CE">
      <w:pPr>
        <w:rPr>
          <w:rFonts w:hint="eastAsia"/>
          <w:color w:val="auto"/>
          <w:highlight w:val="none"/>
        </w:rPr>
      </w:pPr>
    </w:p>
    <w:p w14:paraId="20AD967B">
      <w:pPr>
        <w:autoSpaceDE w:val="0"/>
        <w:autoSpaceDN w:val="0"/>
        <w:spacing w:line="440" w:lineRule="atLeast"/>
        <w:jc w:val="center"/>
        <w:textAlignment w:val="bottom"/>
        <w:rPr>
          <w:rFonts w:hint="eastAsia"/>
          <w:color w:val="auto"/>
          <w:sz w:val="36"/>
          <w:highlight w:val="none"/>
        </w:rPr>
      </w:pPr>
      <w:r>
        <w:rPr>
          <w:rFonts w:hint="eastAsia"/>
          <w:color w:val="auto"/>
          <w:sz w:val="36"/>
          <w:highlight w:val="none"/>
        </w:rPr>
        <w:br w:type="page"/>
      </w:r>
      <w:r>
        <w:rPr>
          <w:rFonts w:hint="eastAsia"/>
          <w:color w:val="auto"/>
          <w:sz w:val="36"/>
          <w:highlight w:val="none"/>
        </w:rPr>
        <w:t>招标文件目录</w:t>
      </w:r>
    </w:p>
    <w:p w14:paraId="48366A7D">
      <w:pPr>
        <w:autoSpaceDE w:val="0"/>
        <w:autoSpaceDN w:val="0"/>
        <w:snapToGrid w:val="0"/>
        <w:spacing w:line="440" w:lineRule="atLeast"/>
        <w:textAlignment w:val="bottom"/>
        <w:rPr>
          <w:rFonts w:hint="eastAsia"/>
          <w:color w:val="auto"/>
          <w:sz w:val="28"/>
          <w:highlight w:val="none"/>
        </w:rPr>
      </w:pPr>
      <w:r>
        <w:rPr>
          <w:rFonts w:hint="eastAsia"/>
          <w:color w:val="auto"/>
          <w:sz w:val="28"/>
          <w:highlight w:val="none"/>
        </w:rPr>
        <w:t xml:space="preserve"> </w:t>
      </w:r>
    </w:p>
    <w:p w14:paraId="3B3615B5">
      <w:pPr>
        <w:autoSpaceDE w:val="0"/>
        <w:autoSpaceDN w:val="0"/>
        <w:spacing w:line="360" w:lineRule="auto"/>
        <w:ind w:firstLine="480" w:firstLineChars="200"/>
        <w:textAlignment w:val="bottom"/>
        <w:rPr>
          <w:rFonts w:hint="eastAsia"/>
          <w:color w:val="auto"/>
          <w:highlight w:val="none"/>
        </w:rPr>
      </w:pPr>
      <w:r>
        <w:rPr>
          <w:rFonts w:hint="eastAsia"/>
          <w:color w:val="auto"/>
          <w:highlight w:val="none"/>
        </w:rPr>
        <w:t>第一部分、项目简介</w:t>
      </w:r>
    </w:p>
    <w:p w14:paraId="6B1D476C">
      <w:pPr>
        <w:autoSpaceDE w:val="0"/>
        <w:autoSpaceDN w:val="0"/>
        <w:snapToGrid w:val="0"/>
        <w:spacing w:line="360" w:lineRule="auto"/>
        <w:ind w:firstLine="480" w:firstLineChars="200"/>
        <w:textAlignment w:val="bottom"/>
        <w:rPr>
          <w:rFonts w:hint="eastAsia"/>
          <w:color w:val="auto"/>
          <w:highlight w:val="none"/>
        </w:rPr>
      </w:pPr>
      <w:r>
        <w:rPr>
          <w:rFonts w:hint="eastAsia"/>
          <w:color w:val="auto"/>
          <w:highlight w:val="none"/>
        </w:rPr>
        <w:t>第二部分、招标内容及要求</w:t>
      </w:r>
    </w:p>
    <w:p w14:paraId="2306122F">
      <w:pPr>
        <w:autoSpaceDE w:val="0"/>
        <w:autoSpaceDN w:val="0"/>
        <w:snapToGrid w:val="0"/>
        <w:spacing w:line="360" w:lineRule="auto"/>
        <w:ind w:firstLine="480" w:firstLineChars="200"/>
        <w:textAlignment w:val="bottom"/>
        <w:rPr>
          <w:rFonts w:hint="eastAsia"/>
          <w:color w:val="auto"/>
          <w:highlight w:val="none"/>
        </w:rPr>
      </w:pPr>
      <w:r>
        <w:rPr>
          <w:rFonts w:hint="eastAsia"/>
          <w:color w:val="auto"/>
          <w:highlight w:val="none"/>
        </w:rPr>
        <w:t>第三部分、供应商须知</w:t>
      </w:r>
    </w:p>
    <w:p w14:paraId="0566044A">
      <w:pPr>
        <w:autoSpaceDE w:val="0"/>
        <w:autoSpaceDN w:val="0"/>
        <w:snapToGrid w:val="0"/>
        <w:spacing w:line="360" w:lineRule="auto"/>
        <w:ind w:firstLine="480" w:firstLineChars="200"/>
        <w:textAlignment w:val="bottom"/>
        <w:rPr>
          <w:rFonts w:hint="eastAsia"/>
          <w:color w:val="auto"/>
          <w:highlight w:val="none"/>
        </w:rPr>
      </w:pPr>
      <w:r>
        <w:rPr>
          <w:rFonts w:hint="eastAsia"/>
          <w:color w:val="auto"/>
          <w:highlight w:val="none"/>
        </w:rPr>
        <w:t>第四部分、政府采购政策功能相关说明</w:t>
      </w:r>
    </w:p>
    <w:p w14:paraId="5DD450A8">
      <w:pPr>
        <w:autoSpaceDE w:val="0"/>
        <w:autoSpaceDN w:val="0"/>
        <w:snapToGrid w:val="0"/>
        <w:spacing w:line="360" w:lineRule="auto"/>
        <w:ind w:firstLine="480" w:firstLineChars="200"/>
        <w:textAlignment w:val="bottom"/>
        <w:rPr>
          <w:rFonts w:hint="eastAsia"/>
          <w:color w:val="auto"/>
          <w:highlight w:val="none"/>
        </w:rPr>
      </w:pPr>
      <w:r>
        <w:rPr>
          <w:rFonts w:hint="eastAsia"/>
          <w:color w:val="auto"/>
          <w:highlight w:val="none"/>
        </w:rPr>
        <w:t>第五部分、合同格式</w:t>
      </w:r>
    </w:p>
    <w:p w14:paraId="23B419AC">
      <w:pPr>
        <w:autoSpaceDE w:val="0"/>
        <w:autoSpaceDN w:val="0"/>
        <w:snapToGrid w:val="0"/>
        <w:spacing w:line="360" w:lineRule="auto"/>
        <w:ind w:firstLine="480" w:firstLineChars="200"/>
        <w:textAlignment w:val="bottom"/>
        <w:rPr>
          <w:rFonts w:hint="eastAsia"/>
          <w:color w:val="auto"/>
          <w:highlight w:val="none"/>
        </w:rPr>
      </w:pPr>
      <w:r>
        <w:rPr>
          <w:rFonts w:hint="eastAsia"/>
          <w:color w:val="auto"/>
          <w:highlight w:val="none"/>
        </w:rPr>
        <w:t>第六部分、附件：投标文件格式</w:t>
      </w:r>
    </w:p>
    <w:p w14:paraId="12D002F6">
      <w:pPr>
        <w:autoSpaceDE w:val="0"/>
        <w:autoSpaceDN w:val="0"/>
        <w:snapToGrid w:val="0"/>
        <w:spacing w:line="360" w:lineRule="auto"/>
        <w:ind w:firstLine="480" w:firstLineChars="200"/>
        <w:textAlignment w:val="bottom"/>
        <w:rPr>
          <w:rFonts w:hint="eastAsia"/>
          <w:color w:val="auto"/>
          <w:highlight w:val="none"/>
        </w:rPr>
      </w:pPr>
      <w:r>
        <w:rPr>
          <w:rFonts w:hint="eastAsia"/>
          <w:color w:val="auto"/>
          <w:highlight w:val="none"/>
        </w:rPr>
        <w:t>第七部分、评标办法</w:t>
      </w:r>
    </w:p>
    <w:p w14:paraId="460092D4">
      <w:pPr>
        <w:autoSpaceDE w:val="0"/>
        <w:autoSpaceDN w:val="0"/>
        <w:snapToGrid w:val="0"/>
        <w:spacing w:line="360" w:lineRule="auto"/>
        <w:ind w:firstLine="480" w:firstLineChars="200"/>
        <w:textAlignment w:val="bottom"/>
        <w:rPr>
          <w:rFonts w:hint="eastAsia"/>
          <w:color w:val="auto"/>
          <w:highlight w:val="none"/>
        </w:rPr>
      </w:pPr>
      <w:r>
        <w:rPr>
          <w:rFonts w:hint="eastAsia"/>
          <w:color w:val="auto"/>
          <w:highlight w:val="none"/>
        </w:rPr>
        <w:t>附：质疑函范本</w:t>
      </w:r>
    </w:p>
    <w:p w14:paraId="00E5083D">
      <w:pPr>
        <w:pStyle w:val="63"/>
        <w:spacing w:before="0" w:after="0" w:line="360" w:lineRule="auto"/>
        <w:rPr>
          <w:rFonts w:hint="eastAsia" w:ascii="宋体" w:hAnsi="宋体" w:cs="宋体"/>
          <w:color w:val="auto"/>
          <w:szCs w:val="32"/>
          <w:highlight w:val="none"/>
          <w:lang w:val="zh-CN"/>
        </w:rPr>
      </w:pPr>
      <w:r>
        <w:rPr>
          <w:rFonts w:hint="eastAsia" w:ascii="宋体" w:hAnsi="宋体" w:cs="宋体"/>
          <w:color w:val="auto"/>
          <w:szCs w:val="32"/>
          <w:highlight w:val="none"/>
          <w:lang w:val="zh-CN"/>
        </w:rPr>
        <w:br w:type="page"/>
      </w:r>
      <w:r>
        <w:rPr>
          <w:rFonts w:hint="eastAsia" w:ascii="宋体" w:hAnsi="宋体" w:cs="宋体"/>
          <w:color w:val="auto"/>
          <w:szCs w:val="32"/>
          <w:highlight w:val="none"/>
          <w:lang w:val="zh-CN"/>
        </w:rPr>
        <w:t>第一部分     项目简介</w:t>
      </w:r>
    </w:p>
    <w:p w14:paraId="3354CE23">
      <w:pPr>
        <w:pStyle w:val="56"/>
        <w:adjustRightInd w:val="0"/>
        <w:snapToGrid w:val="0"/>
        <w:spacing w:line="360" w:lineRule="auto"/>
        <w:ind w:firstLine="0" w:firstLineChars="0"/>
        <w:textAlignment w:val="auto"/>
        <w:outlineLvl w:val="0"/>
        <w:rPr>
          <w:rFonts w:hint="eastAsia" w:ascii="宋体" w:hAnsi="宋体" w:eastAsia="宋体" w:cs="宋体"/>
          <w:b/>
          <w:color w:val="auto"/>
          <w:sz w:val="22"/>
          <w:szCs w:val="22"/>
          <w:highlight w:val="none"/>
        </w:rPr>
      </w:pPr>
      <w:bookmarkStart w:id="0" w:name="_Toc444066171"/>
      <w:r>
        <w:rPr>
          <w:rFonts w:hint="eastAsia" w:ascii="宋体" w:hAnsi="宋体" w:eastAsia="宋体" w:cs="宋体"/>
          <w:b/>
          <w:color w:val="auto"/>
          <w:sz w:val="22"/>
          <w:szCs w:val="22"/>
          <w:highlight w:val="none"/>
        </w:rPr>
        <w:t>一、项目简介</w:t>
      </w:r>
    </w:p>
    <w:p w14:paraId="3FFA1F19">
      <w:pPr>
        <w:snapToGrid w:val="0"/>
        <w:spacing w:line="360" w:lineRule="auto"/>
        <w:ind w:firstLine="541" w:firstLineChars="246"/>
        <w:rPr>
          <w:rFonts w:hint="eastAsia"/>
          <w:bCs/>
          <w:color w:val="auto"/>
          <w:sz w:val="22"/>
          <w:szCs w:val="22"/>
          <w:highlight w:val="none"/>
        </w:rPr>
      </w:pPr>
      <w:r>
        <w:rPr>
          <w:rFonts w:hint="eastAsia"/>
          <w:color w:val="auto"/>
          <w:sz w:val="22"/>
          <w:szCs w:val="22"/>
          <w:highlight w:val="none"/>
          <w:lang w:eastAsia="zh-CN"/>
        </w:rPr>
        <w:t>温州元信工程项目管理有限公司</w:t>
      </w:r>
      <w:r>
        <w:rPr>
          <w:rFonts w:hint="eastAsia"/>
          <w:color w:val="auto"/>
          <w:sz w:val="22"/>
          <w:szCs w:val="22"/>
          <w:highlight w:val="none"/>
        </w:rPr>
        <w:t>受平阳县鳌江镇人民政府委托，以公开招标方式采购</w:t>
      </w:r>
      <w:r>
        <w:rPr>
          <w:rFonts w:hint="eastAsia"/>
          <w:color w:val="auto"/>
          <w:sz w:val="22"/>
          <w:szCs w:val="22"/>
          <w:highlight w:val="none"/>
          <w:lang w:eastAsia="zh-CN"/>
        </w:rPr>
        <w:t>鳌江镇塘川高速互通路网交通安全设施项目</w:t>
      </w:r>
      <w:r>
        <w:rPr>
          <w:rFonts w:hint="eastAsia"/>
          <w:color w:val="auto"/>
          <w:sz w:val="22"/>
          <w:szCs w:val="22"/>
          <w:highlight w:val="none"/>
        </w:rPr>
        <w:t>，本次招标资金已经落实。</w:t>
      </w:r>
    </w:p>
    <w:p w14:paraId="66E281DB">
      <w:pPr>
        <w:autoSpaceDE w:val="0"/>
        <w:autoSpaceDN w:val="0"/>
        <w:adjustRightInd w:val="0"/>
        <w:snapToGrid w:val="0"/>
        <w:spacing w:line="360" w:lineRule="auto"/>
        <w:ind w:firstLine="545" w:firstLineChars="248"/>
        <w:rPr>
          <w:rFonts w:hint="eastAsia"/>
          <w:color w:val="auto"/>
          <w:sz w:val="22"/>
          <w:szCs w:val="22"/>
          <w:highlight w:val="none"/>
        </w:rPr>
      </w:pPr>
      <w:r>
        <w:rPr>
          <w:rFonts w:hint="eastAsia"/>
          <w:color w:val="auto"/>
          <w:sz w:val="22"/>
          <w:szCs w:val="22"/>
          <w:highlight w:val="none"/>
        </w:rPr>
        <w:t>我们热情欢迎有关公司（企业）前来进行投标。</w:t>
      </w:r>
    </w:p>
    <w:p w14:paraId="54ACF3DE">
      <w:pPr>
        <w:autoSpaceDE w:val="0"/>
        <w:autoSpaceDN w:val="0"/>
        <w:adjustRightInd w:val="0"/>
        <w:snapToGrid w:val="0"/>
        <w:spacing w:line="360" w:lineRule="auto"/>
        <w:jc w:val="center"/>
        <w:textAlignment w:val="bottom"/>
        <w:rPr>
          <w:rFonts w:hint="eastAsia"/>
          <w:b/>
          <w:color w:val="auto"/>
          <w:sz w:val="32"/>
          <w:szCs w:val="32"/>
          <w:highlight w:val="none"/>
        </w:rPr>
      </w:pPr>
    </w:p>
    <w:p w14:paraId="057A335B">
      <w:pPr>
        <w:autoSpaceDE w:val="0"/>
        <w:autoSpaceDN w:val="0"/>
        <w:adjustRightInd w:val="0"/>
        <w:snapToGrid w:val="0"/>
        <w:spacing w:line="360" w:lineRule="auto"/>
        <w:jc w:val="center"/>
        <w:textAlignment w:val="bottom"/>
        <w:rPr>
          <w:rFonts w:hint="eastAsia"/>
          <w:b/>
          <w:color w:val="auto"/>
          <w:sz w:val="32"/>
          <w:szCs w:val="32"/>
          <w:highlight w:val="none"/>
        </w:rPr>
      </w:pPr>
      <w:r>
        <w:rPr>
          <w:rFonts w:hint="eastAsia"/>
          <w:b/>
          <w:color w:val="auto"/>
          <w:sz w:val="32"/>
          <w:szCs w:val="32"/>
          <w:highlight w:val="none"/>
        </w:rPr>
        <w:t>第二部分     招标内容及技术要求</w:t>
      </w:r>
      <w:bookmarkStart w:id="1" w:name="_Toc142902564"/>
    </w:p>
    <w:bookmarkEnd w:id="0"/>
    <w:bookmarkEnd w:id="1"/>
    <w:p w14:paraId="587A4110">
      <w:pPr>
        <w:autoSpaceDE w:val="0"/>
        <w:autoSpaceDN w:val="0"/>
        <w:adjustRightInd w:val="0"/>
        <w:snapToGrid w:val="0"/>
        <w:spacing w:line="360" w:lineRule="auto"/>
        <w:outlineLvl w:val="0"/>
        <w:rPr>
          <w:rFonts w:hint="eastAsia"/>
          <w:b/>
          <w:color w:val="auto"/>
          <w:sz w:val="22"/>
          <w:szCs w:val="22"/>
          <w:highlight w:val="none"/>
        </w:rPr>
      </w:pPr>
      <w:r>
        <w:rPr>
          <w:rFonts w:hint="eastAsia"/>
          <w:b/>
          <w:color w:val="auto"/>
          <w:sz w:val="22"/>
          <w:szCs w:val="22"/>
          <w:highlight w:val="none"/>
        </w:rPr>
        <w:t>一、总则</w:t>
      </w:r>
    </w:p>
    <w:p w14:paraId="672F2E3A">
      <w:pPr>
        <w:pStyle w:val="37"/>
        <w:adjustRightInd w:val="0"/>
        <w:snapToGrid w:val="0"/>
        <w:spacing w:line="360" w:lineRule="auto"/>
        <w:ind w:firstLine="482"/>
        <w:rPr>
          <w:rFonts w:hint="eastAsia" w:hAnsi="宋体" w:cs="宋体"/>
          <w:color w:val="auto"/>
          <w:sz w:val="22"/>
          <w:szCs w:val="22"/>
          <w:highlight w:val="none"/>
        </w:rPr>
      </w:pPr>
      <w:r>
        <w:rPr>
          <w:rFonts w:hint="eastAsia" w:hAnsi="宋体" w:cs="宋体"/>
          <w:color w:val="auto"/>
          <w:sz w:val="22"/>
          <w:szCs w:val="22"/>
          <w:highlight w:val="none"/>
        </w:rPr>
        <w:t>1、本技术规范要求提出的是最低限度的基本技术要求，并未对所有技术细节作出规定，供应商应提供符合本技术要求和国家标准、行业标准的优质产品。</w:t>
      </w:r>
    </w:p>
    <w:p w14:paraId="36D1DBE4">
      <w:pPr>
        <w:pStyle w:val="37"/>
        <w:adjustRightInd w:val="0"/>
        <w:snapToGrid w:val="0"/>
        <w:spacing w:line="360" w:lineRule="auto"/>
        <w:ind w:firstLine="482"/>
        <w:rPr>
          <w:rFonts w:hint="eastAsia" w:hAnsi="宋体" w:cs="宋体"/>
          <w:color w:val="auto"/>
          <w:sz w:val="22"/>
          <w:szCs w:val="22"/>
          <w:highlight w:val="none"/>
        </w:rPr>
      </w:pPr>
      <w:r>
        <w:rPr>
          <w:rFonts w:hint="eastAsia" w:hAnsi="宋体" w:cs="宋体"/>
          <w:color w:val="auto"/>
          <w:sz w:val="22"/>
          <w:szCs w:val="22"/>
          <w:highlight w:val="none"/>
        </w:rPr>
        <w:t>2、供应商产品与本技术要求不一致时，供应商应在投标文件中予以说明，并由评标委员会鉴定供应商产品能否达到要求。如供应商没有在投标文件中提出异议，则视为供应商提供的产品完全按照本招标文件要求。</w:t>
      </w:r>
    </w:p>
    <w:p w14:paraId="6D62CF39">
      <w:pPr>
        <w:pStyle w:val="37"/>
        <w:adjustRightInd w:val="0"/>
        <w:snapToGrid w:val="0"/>
        <w:spacing w:line="360" w:lineRule="auto"/>
        <w:ind w:firstLine="482"/>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3、技术要求及标准的执行</w:t>
      </w:r>
    </w:p>
    <w:p w14:paraId="45242208">
      <w:pPr>
        <w:pStyle w:val="37"/>
        <w:adjustRightInd w:val="0"/>
        <w:snapToGrid w:val="0"/>
        <w:spacing w:line="360" w:lineRule="auto"/>
        <w:ind w:firstLine="482"/>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供应商提供的产品应标明所执行的质量标准，若同一标准已颁发新标准，则按最新标准执行。若同一产品同时有几个标准（国际标准、国家标准、行业标准、企业标准等），则按最高层次的标准执行。</w:t>
      </w:r>
    </w:p>
    <w:p w14:paraId="471E5B5A">
      <w:pPr>
        <w:pStyle w:val="37"/>
        <w:adjustRightInd w:val="0"/>
        <w:snapToGrid w:val="0"/>
        <w:spacing w:line="360" w:lineRule="auto"/>
        <w:ind w:firstLine="482"/>
        <w:rPr>
          <w:rFonts w:hint="eastAsia" w:hAnsi="宋体" w:cs="宋体"/>
          <w:color w:val="auto"/>
          <w:sz w:val="22"/>
          <w:szCs w:val="22"/>
          <w:highlight w:val="none"/>
        </w:rPr>
      </w:pPr>
      <w:r>
        <w:rPr>
          <w:rFonts w:hint="eastAsia" w:ascii="宋体" w:hAnsi="宋体" w:eastAsia="宋体" w:cs="宋体"/>
          <w:color w:val="auto"/>
          <w:sz w:val="22"/>
          <w:szCs w:val="22"/>
          <w:highlight w:val="none"/>
        </w:rPr>
        <w:t>供应商须按国家有关规定及标准完成本次采购产品的供货、运输、装卸、就位、安装、调试、技术培训、检验、通过有关部门验收、维保期服务、产品终身维修等各项工作，并保证投标产品使用的安全性能与检测结果的可靠性。如中标，中标供应商及制造商对中标产品使用的安全性能与可靠性负全部责任。中标供应商须随产品提供使用说明书与维保卡。供应商提供相关数据与说明，投标文件须对下列要求作出实质性回应。</w:t>
      </w:r>
    </w:p>
    <w:p w14:paraId="63550603">
      <w:pPr>
        <w:adjustRightInd w:val="0"/>
        <w:snapToGrid w:val="0"/>
        <w:spacing w:line="360" w:lineRule="auto"/>
        <w:outlineLvl w:val="0"/>
        <w:rPr>
          <w:rFonts w:hint="eastAsia"/>
          <w:b/>
          <w:bCs/>
          <w:color w:val="auto"/>
          <w:sz w:val="22"/>
          <w:szCs w:val="22"/>
          <w:highlight w:val="none"/>
        </w:rPr>
      </w:pPr>
      <w:r>
        <w:rPr>
          <w:rFonts w:hint="eastAsia"/>
          <w:b/>
          <w:bCs/>
          <w:color w:val="auto"/>
          <w:sz w:val="22"/>
          <w:szCs w:val="22"/>
          <w:highlight w:val="none"/>
        </w:rPr>
        <w:t>二、具体技术要求及内容</w:t>
      </w:r>
    </w:p>
    <w:p w14:paraId="74F0CC01">
      <w:pPr>
        <w:snapToGrid w:val="0"/>
        <w:spacing w:line="360" w:lineRule="auto"/>
        <w:ind w:firstLine="442" w:firstLineChars="200"/>
        <w:rPr>
          <w:rFonts w:hint="default"/>
          <w:b w:val="0"/>
          <w:bCs/>
          <w:color w:val="auto"/>
          <w:sz w:val="22"/>
          <w:szCs w:val="22"/>
          <w:highlight w:val="none"/>
          <w:lang w:val="en-US" w:eastAsia="zh-CN"/>
        </w:rPr>
      </w:pPr>
      <w:r>
        <w:rPr>
          <w:rFonts w:hint="eastAsia" w:ascii="宋体" w:hAnsi="宋体" w:eastAsia="宋体" w:cs="宋体"/>
          <w:b/>
          <w:color w:val="auto"/>
          <w:sz w:val="22"/>
          <w:szCs w:val="22"/>
          <w:highlight w:val="none"/>
          <w:lang w:val="en-US" w:eastAsia="zh-CN"/>
        </w:rPr>
        <w:t>1、采购内容：</w:t>
      </w:r>
      <w:r>
        <w:rPr>
          <w:rFonts w:hint="eastAsia"/>
          <w:b w:val="0"/>
          <w:bCs/>
          <w:color w:val="auto"/>
          <w:sz w:val="22"/>
          <w:szCs w:val="22"/>
          <w:highlight w:val="none"/>
          <w:lang w:val="en-US" w:eastAsia="zh-CN"/>
        </w:rPr>
        <w:t>鳌江镇塘川高速互通连接线园林路路口红绿灯、标牌交通设施、道路及井修补更换、维护等工作。</w:t>
      </w:r>
    </w:p>
    <w:p w14:paraId="43DD69E9">
      <w:pPr>
        <w:snapToGrid w:val="0"/>
        <w:spacing w:line="360" w:lineRule="auto"/>
        <w:ind w:firstLine="442" w:firstLineChars="200"/>
        <w:rPr>
          <w:rFonts w:hint="eastAsia"/>
          <w:b/>
          <w:color w:val="auto"/>
          <w:sz w:val="22"/>
          <w:szCs w:val="22"/>
          <w:highlight w:val="none"/>
          <w:lang w:eastAsia="zh-CN"/>
        </w:rPr>
      </w:pPr>
      <w:r>
        <w:rPr>
          <w:rFonts w:hint="eastAsia"/>
          <w:b/>
          <w:color w:val="auto"/>
          <w:sz w:val="22"/>
          <w:szCs w:val="22"/>
          <w:highlight w:val="none"/>
          <w:lang w:val="en-US" w:eastAsia="zh-CN"/>
        </w:rPr>
        <w:t>2、</w:t>
      </w:r>
      <w:r>
        <w:rPr>
          <w:rFonts w:hint="eastAsia"/>
          <w:b/>
          <w:color w:val="auto"/>
          <w:sz w:val="22"/>
          <w:szCs w:val="22"/>
          <w:highlight w:val="none"/>
          <w:lang w:eastAsia="zh-CN"/>
        </w:rPr>
        <w:t>采购</w:t>
      </w:r>
      <w:r>
        <w:rPr>
          <w:rFonts w:hint="eastAsia"/>
          <w:b/>
          <w:color w:val="auto"/>
          <w:sz w:val="22"/>
          <w:szCs w:val="22"/>
          <w:highlight w:val="none"/>
          <w:lang w:val="en-US" w:eastAsia="zh-CN"/>
        </w:rPr>
        <w:t>清单</w:t>
      </w:r>
      <w:r>
        <w:rPr>
          <w:rFonts w:hint="eastAsia"/>
          <w:b/>
          <w:color w:val="auto"/>
          <w:sz w:val="22"/>
          <w:szCs w:val="22"/>
          <w:highlight w:val="none"/>
          <w:lang w:eastAsia="zh-CN"/>
        </w:rPr>
        <w:t>及技术要求（</w:t>
      </w:r>
      <w:r>
        <w:rPr>
          <w:rFonts w:hint="eastAsia" w:ascii="宋体" w:hAnsi="宋体" w:eastAsia="宋体" w:cs="宋体"/>
          <w:color w:val="auto"/>
          <w:sz w:val="22"/>
          <w:szCs w:val="22"/>
          <w:highlight w:val="none"/>
          <w:lang w:val="zh-CN"/>
        </w:rPr>
        <w:t>采购数量以实际为准）</w:t>
      </w:r>
    </w:p>
    <w:tbl>
      <w:tblPr>
        <w:tblStyle w:val="66"/>
        <w:tblW w:w="940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41"/>
        <w:gridCol w:w="1258"/>
        <w:gridCol w:w="5529"/>
        <w:gridCol w:w="622"/>
        <w:gridCol w:w="578"/>
        <w:gridCol w:w="879"/>
      </w:tblGrid>
      <w:tr w14:paraId="2048BD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54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70D8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序号</w:t>
            </w:r>
          </w:p>
        </w:tc>
        <w:tc>
          <w:tcPr>
            <w:tcW w:w="1258"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8F355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名称</w:t>
            </w:r>
          </w:p>
        </w:tc>
        <w:tc>
          <w:tcPr>
            <w:tcW w:w="5529"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C79AD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特征（</w:t>
            </w:r>
            <w:r>
              <w:rPr>
                <w:rFonts w:hint="eastAsia" w:ascii="宋体" w:hAnsi="宋体"/>
                <w:color w:val="auto"/>
                <w:sz w:val="22"/>
                <w:szCs w:val="22"/>
                <w:highlight w:val="none"/>
              </w:rPr>
              <w:t>技术要求</w:t>
            </w:r>
            <w:r>
              <w:rPr>
                <w:rFonts w:hint="eastAsia" w:ascii="宋体" w:hAnsi="宋体" w:eastAsia="宋体" w:cs="宋体"/>
                <w:i w:val="0"/>
                <w:iCs w:val="0"/>
                <w:color w:val="auto"/>
                <w:kern w:val="0"/>
                <w:sz w:val="18"/>
                <w:szCs w:val="18"/>
                <w:highlight w:val="none"/>
                <w:u w:val="none"/>
                <w:lang w:val="en-US" w:eastAsia="zh-CN" w:bidi="ar"/>
              </w:rPr>
              <w:t>）</w:t>
            </w:r>
          </w:p>
        </w:tc>
        <w:tc>
          <w:tcPr>
            <w:tcW w:w="622"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9C2B6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单位</w:t>
            </w:r>
          </w:p>
        </w:tc>
        <w:tc>
          <w:tcPr>
            <w:tcW w:w="578"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9B425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预估数量</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4A85D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b w:val="0"/>
                <w:bCs w:val="0"/>
                <w:i w:val="0"/>
                <w:iCs w:val="0"/>
                <w:color w:val="auto"/>
                <w:kern w:val="0"/>
                <w:sz w:val="18"/>
                <w:szCs w:val="18"/>
                <w:highlight w:val="none"/>
                <w:u w:val="none"/>
                <w:lang w:val="en-US" w:eastAsia="zh-CN" w:bidi="ar"/>
              </w:rPr>
              <w:t>单价最高限价（元）</w:t>
            </w:r>
          </w:p>
        </w:tc>
      </w:tr>
      <w:tr w14:paraId="4A924E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54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E4565E">
            <w:pPr>
              <w:jc w:val="center"/>
              <w:rPr>
                <w:rFonts w:hint="eastAsia" w:ascii="宋体" w:hAnsi="宋体" w:eastAsia="宋体" w:cs="宋体"/>
                <w:i w:val="0"/>
                <w:iCs w:val="0"/>
                <w:color w:val="auto"/>
                <w:sz w:val="18"/>
                <w:szCs w:val="18"/>
                <w:highlight w:val="none"/>
                <w:u w:val="none"/>
              </w:rPr>
            </w:pPr>
          </w:p>
        </w:tc>
        <w:tc>
          <w:tcPr>
            <w:tcW w:w="1258"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DF4F1D">
            <w:pPr>
              <w:jc w:val="center"/>
              <w:rPr>
                <w:rFonts w:hint="eastAsia" w:ascii="宋体" w:hAnsi="宋体" w:eastAsia="宋体" w:cs="宋体"/>
                <w:i w:val="0"/>
                <w:iCs w:val="0"/>
                <w:color w:val="auto"/>
                <w:sz w:val="18"/>
                <w:szCs w:val="18"/>
                <w:highlight w:val="none"/>
                <w:u w:val="none"/>
              </w:rPr>
            </w:pPr>
          </w:p>
        </w:tc>
        <w:tc>
          <w:tcPr>
            <w:tcW w:w="552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93656D">
            <w:pPr>
              <w:jc w:val="center"/>
              <w:rPr>
                <w:rFonts w:hint="eastAsia" w:ascii="宋体" w:hAnsi="宋体" w:eastAsia="宋体" w:cs="宋体"/>
                <w:i w:val="0"/>
                <w:iCs w:val="0"/>
                <w:color w:val="auto"/>
                <w:sz w:val="18"/>
                <w:szCs w:val="18"/>
                <w:highlight w:val="none"/>
                <w:u w:val="none"/>
              </w:rPr>
            </w:pPr>
          </w:p>
        </w:tc>
        <w:tc>
          <w:tcPr>
            <w:tcW w:w="62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35E09">
            <w:pPr>
              <w:jc w:val="center"/>
              <w:rPr>
                <w:rFonts w:hint="eastAsia" w:ascii="宋体" w:hAnsi="宋体" w:eastAsia="宋体" w:cs="宋体"/>
                <w:i w:val="0"/>
                <w:iCs w:val="0"/>
                <w:color w:val="auto"/>
                <w:sz w:val="18"/>
                <w:szCs w:val="18"/>
                <w:highlight w:val="none"/>
                <w:u w:val="none"/>
              </w:rPr>
            </w:pPr>
          </w:p>
        </w:tc>
        <w:tc>
          <w:tcPr>
            <w:tcW w:w="578"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74EE6B">
            <w:pPr>
              <w:jc w:val="center"/>
              <w:rPr>
                <w:rFonts w:hint="eastAsia" w:ascii="宋体" w:hAnsi="宋体" w:eastAsia="宋体" w:cs="宋体"/>
                <w:i w:val="0"/>
                <w:iCs w:val="0"/>
                <w:color w:val="auto"/>
                <w:sz w:val="18"/>
                <w:szCs w:val="18"/>
                <w:highlight w:val="none"/>
                <w:u w:val="none"/>
              </w:rPr>
            </w:pP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415335">
            <w:pPr>
              <w:jc w:val="center"/>
              <w:rPr>
                <w:rFonts w:hint="eastAsia" w:ascii="宋体" w:hAnsi="宋体" w:eastAsia="宋体" w:cs="宋体"/>
                <w:i w:val="0"/>
                <w:iCs w:val="0"/>
                <w:color w:val="auto"/>
                <w:sz w:val="18"/>
                <w:szCs w:val="18"/>
                <w:highlight w:val="none"/>
                <w:u w:val="none"/>
              </w:rPr>
            </w:pPr>
          </w:p>
        </w:tc>
      </w:tr>
      <w:tr w14:paraId="58119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54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2E08F2">
            <w:pPr>
              <w:jc w:val="center"/>
              <w:rPr>
                <w:rFonts w:hint="eastAsia" w:ascii="宋体" w:hAnsi="宋体" w:eastAsia="宋体" w:cs="宋体"/>
                <w:i w:val="0"/>
                <w:iCs w:val="0"/>
                <w:color w:val="auto"/>
                <w:sz w:val="18"/>
                <w:szCs w:val="18"/>
                <w:highlight w:val="none"/>
                <w:u w:val="none"/>
              </w:rPr>
            </w:pPr>
          </w:p>
        </w:tc>
        <w:tc>
          <w:tcPr>
            <w:tcW w:w="1258"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9B478D">
            <w:pPr>
              <w:jc w:val="center"/>
              <w:rPr>
                <w:rFonts w:hint="eastAsia" w:ascii="宋体" w:hAnsi="宋体" w:eastAsia="宋体" w:cs="宋体"/>
                <w:i w:val="0"/>
                <w:iCs w:val="0"/>
                <w:color w:val="auto"/>
                <w:sz w:val="18"/>
                <w:szCs w:val="18"/>
                <w:highlight w:val="none"/>
                <w:u w:val="none"/>
              </w:rPr>
            </w:pPr>
          </w:p>
        </w:tc>
        <w:tc>
          <w:tcPr>
            <w:tcW w:w="552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5B0E16">
            <w:pPr>
              <w:jc w:val="center"/>
              <w:rPr>
                <w:rFonts w:hint="eastAsia" w:ascii="宋体" w:hAnsi="宋体" w:eastAsia="宋体" w:cs="宋体"/>
                <w:i w:val="0"/>
                <w:iCs w:val="0"/>
                <w:color w:val="auto"/>
                <w:sz w:val="18"/>
                <w:szCs w:val="18"/>
                <w:highlight w:val="none"/>
                <w:u w:val="none"/>
              </w:rPr>
            </w:pPr>
          </w:p>
        </w:tc>
        <w:tc>
          <w:tcPr>
            <w:tcW w:w="62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91F155">
            <w:pPr>
              <w:jc w:val="center"/>
              <w:rPr>
                <w:rFonts w:hint="eastAsia" w:ascii="宋体" w:hAnsi="宋体" w:eastAsia="宋体" w:cs="宋体"/>
                <w:i w:val="0"/>
                <w:iCs w:val="0"/>
                <w:color w:val="auto"/>
                <w:sz w:val="18"/>
                <w:szCs w:val="18"/>
                <w:highlight w:val="none"/>
                <w:u w:val="none"/>
              </w:rPr>
            </w:pPr>
          </w:p>
        </w:tc>
        <w:tc>
          <w:tcPr>
            <w:tcW w:w="578"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017A40">
            <w:pPr>
              <w:jc w:val="center"/>
              <w:rPr>
                <w:rFonts w:hint="eastAsia" w:ascii="宋体" w:hAnsi="宋体" w:eastAsia="宋体" w:cs="宋体"/>
                <w:i w:val="0"/>
                <w:iCs w:val="0"/>
                <w:color w:val="auto"/>
                <w:sz w:val="18"/>
                <w:szCs w:val="18"/>
                <w:highlight w:val="none"/>
                <w:u w:val="none"/>
              </w:rPr>
            </w:pP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141E86">
            <w:pPr>
              <w:jc w:val="center"/>
              <w:rPr>
                <w:rFonts w:hint="eastAsia" w:ascii="宋体" w:hAnsi="宋体" w:eastAsia="宋体" w:cs="宋体"/>
                <w:i w:val="0"/>
                <w:iCs w:val="0"/>
                <w:color w:val="auto"/>
                <w:sz w:val="18"/>
                <w:szCs w:val="18"/>
                <w:highlight w:val="none"/>
                <w:u w:val="none"/>
              </w:rPr>
            </w:pPr>
          </w:p>
        </w:tc>
      </w:tr>
      <w:tr w14:paraId="69B543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E23B1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B90BA0">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rPr>
            </w:pPr>
            <w:r>
              <w:rPr>
                <w:rFonts w:hint="eastAsia" w:ascii="宋体" w:hAnsi="宋体" w:eastAsia="宋体" w:cs="宋体"/>
                <w:i w:val="0"/>
                <w:iCs w:val="0"/>
                <w:color w:val="auto"/>
                <w:kern w:val="0"/>
                <w:sz w:val="18"/>
                <w:szCs w:val="18"/>
                <w:highlight w:val="none"/>
                <w:u w:val="none"/>
                <w:lang w:val="en-US" w:eastAsia="zh-CN" w:bidi="ar"/>
              </w:rPr>
              <w:t>标线（含人行横道标线、网格线）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1DFB4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1.材料品种及线型:黄（白）线</w:t>
            </w:r>
          </w:p>
          <w:p w14:paraId="6999161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p w14:paraId="08BB5D6B">
            <w:pPr>
              <w:pStyle w:val="37"/>
              <w:rPr>
                <w:rFonts w:hint="default"/>
                <w:color w:val="auto"/>
                <w:highlight w:val="none"/>
                <w:lang w:val="en-US"/>
              </w:rPr>
            </w:pPr>
            <w:r>
              <w:rPr>
                <w:rFonts w:hint="eastAsia" w:ascii="宋体" w:hAnsi="宋体" w:eastAsia="宋体" w:cs="宋体"/>
                <w:i w:val="0"/>
                <w:iCs w:val="0"/>
                <w:color w:val="auto"/>
                <w:kern w:val="0"/>
                <w:sz w:val="18"/>
                <w:szCs w:val="18"/>
                <w:highlight w:val="none"/>
                <w:u w:val="none"/>
                <w:lang w:val="en-US" w:eastAsia="zh-CN" w:bidi="ar"/>
              </w:rPr>
              <w:t>3、按实际图画面积计算，不采用外边线计量</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EC7BD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m2</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2C3CE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52FD3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50</w:t>
            </w:r>
          </w:p>
        </w:tc>
      </w:tr>
      <w:tr w14:paraId="430CE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866635">
            <w:pPr>
              <w:keepNext w:val="0"/>
              <w:keepLines w:val="0"/>
              <w:widowControl/>
              <w:suppressLineNumbers w:val="0"/>
              <w:jc w:val="center"/>
              <w:textAlignment w:val="center"/>
              <w:rPr>
                <w:rFonts w:hint="default"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CF4A2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直行箭头标记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44743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1.类型:直行箭头</w:t>
            </w:r>
          </w:p>
          <w:p w14:paraId="460E22FB">
            <w:pPr>
              <w:pStyle w:val="37"/>
              <w:rPr>
                <w:rFonts w:hint="eastAsia" w:ascii="宋体" w:hAnsi="Courier New" w:cs="Times New Roman"/>
                <w:color w:val="auto"/>
                <w:kern w:val="2"/>
                <w:sz w:val="21"/>
                <w:szCs w:val="20"/>
                <w:highlight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84FD8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2B2F8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333DD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160</w:t>
            </w:r>
          </w:p>
        </w:tc>
      </w:tr>
      <w:tr w14:paraId="27682A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4E47C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4E738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转弯箭头标记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7767A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1.类型:转弯箭头</w:t>
            </w:r>
          </w:p>
          <w:p w14:paraId="43DC383F">
            <w:pPr>
              <w:pStyle w:val="37"/>
              <w:rPr>
                <w:rFonts w:hint="default" w:ascii="宋体" w:hAnsi="Courier New" w:cs="Times New Roman"/>
                <w:color w:val="auto"/>
                <w:kern w:val="2"/>
                <w:sz w:val="21"/>
                <w:szCs w:val="20"/>
                <w:highlight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B7A42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D519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F7108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210</w:t>
            </w:r>
          </w:p>
        </w:tc>
      </w:tr>
      <w:tr w14:paraId="0A2B03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02CE5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633BE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直行转弯箭头标记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D94CA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1.类型:直行转弯箭头</w:t>
            </w:r>
          </w:p>
          <w:p w14:paraId="6C0C87F4">
            <w:pPr>
              <w:pStyle w:val="37"/>
              <w:rPr>
                <w:rFonts w:hint="eastAsia" w:ascii="宋体" w:hAnsi="Courier New" w:cs="Times New Roman"/>
                <w:color w:val="auto"/>
                <w:kern w:val="2"/>
                <w:sz w:val="21"/>
                <w:szCs w:val="20"/>
                <w:highlight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8D5A4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B43B6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925CB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270</w:t>
            </w:r>
          </w:p>
        </w:tc>
      </w:tr>
      <w:tr w14:paraId="547B99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3D744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F5FE2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非机动车标标记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DA3ED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1.类型:非机动车标记</w:t>
            </w:r>
          </w:p>
          <w:p w14:paraId="11CFBD09">
            <w:pPr>
              <w:keepNext w:val="0"/>
              <w:keepLines w:val="0"/>
              <w:widowControl/>
              <w:suppressLineNumbers w:val="0"/>
              <w:jc w:val="left"/>
              <w:textAlignment w:val="center"/>
              <w:rPr>
                <w:rFonts w:hint="eastAsia" w:ascii="宋体" w:hAnsi="宋体" w:cs="宋体"/>
                <w:color w:val="auto"/>
                <w:sz w:val="24"/>
                <w:szCs w:val="24"/>
                <w:highlight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40AA0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11EE6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CF76E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350</w:t>
            </w:r>
          </w:p>
        </w:tc>
      </w:tr>
      <w:tr w14:paraId="503293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CE531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5DD78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人行道预告标记标记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575AA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1.类型:人行道预告标记</w:t>
            </w:r>
          </w:p>
          <w:p w14:paraId="1FBF163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FD63F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98AD8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46A0C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180</w:t>
            </w:r>
          </w:p>
        </w:tc>
      </w:tr>
      <w:tr w14:paraId="75FAE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39CC0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5A607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文字标记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DF229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1.类型:文字(按外尺寸边对边计量）</w:t>
            </w:r>
          </w:p>
          <w:p w14:paraId="22B003F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FA77E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m2</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9DDD6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D249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75</w:t>
            </w:r>
          </w:p>
        </w:tc>
      </w:tr>
      <w:tr w14:paraId="599D32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A79D7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A4F48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水除线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4AD8C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水除线（文字图案按外尺寸边对边计量，箭头按规范规定的面积计量，其他按实地面积计量）</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A56C6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m2</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CA7D8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5C4AA8">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150</w:t>
            </w:r>
          </w:p>
        </w:tc>
      </w:tr>
      <w:tr w14:paraId="4A7BCF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5901A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F1EB1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指路牌标杆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16CC3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1.类型:悬臂式F杆φ273*10*7900单悬臂无缝钢管</w:t>
            </w:r>
          </w:p>
          <w:p w14:paraId="5C22A888">
            <w:pPr>
              <w:pStyle w:val="37"/>
              <w:rPr>
                <w:rFonts w:hint="eastAsia" w:ascii="宋体" w:hAnsi="Courier New" w:cs="Times New Roman"/>
                <w:color w:val="auto"/>
                <w:kern w:val="2"/>
                <w:sz w:val="21"/>
                <w:szCs w:val="20"/>
                <w:highlight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2.两条φ168*8*5000横挑无缝钢管，含法兰盘、抱箍、加劲肋、预埋件等，C25钢筋砼基础挖浇，以上构件全镀锌，镀锌要求柱体镀锌量为600g/m2，紧固件镀锌量为350g/m2，含土方挖、填、运、钢筋及模板等。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46CF3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FC2CD8">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629B9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24000</w:t>
            </w:r>
          </w:p>
        </w:tc>
      </w:tr>
      <w:tr w14:paraId="019700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5A124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F4E5C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分道牌杆件</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2F96A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1.类型:悬臂式L杆D320~360*10*6900单悬臂八角钢管</w:t>
            </w:r>
          </w:p>
          <w:p w14:paraId="6182937C">
            <w:pPr>
              <w:pStyle w:val="37"/>
              <w:rPr>
                <w:rFonts w:hint="default"/>
                <w:color w:val="auto"/>
                <w:highlight w:val="none"/>
                <w:lang w:val="en-US"/>
              </w:rPr>
            </w:pPr>
            <w:r>
              <w:rPr>
                <w:rFonts w:hint="eastAsia" w:ascii="宋体" w:hAnsi="宋体" w:eastAsia="宋体" w:cs="宋体"/>
                <w:i w:val="0"/>
                <w:iCs w:val="0"/>
                <w:color w:val="auto"/>
                <w:kern w:val="0"/>
                <w:sz w:val="18"/>
                <w:szCs w:val="18"/>
                <w:highlight w:val="none"/>
                <w:u w:val="none"/>
                <w:lang w:val="en-US" w:eastAsia="zh-CN" w:bidi="ar"/>
              </w:rPr>
              <w:t>2.一条D(110~280)*8*9000横挑无缝钢管，含法兰盘、抱箍、加劲肋、预埋件等，C25钢筋砼基础挖浇，以上构件全镀锌，镀锌要求柱体镀锌量为600g/m2，紧固件镀锌量为350g/m2，含土方挖、填、运、钢筋及模板等。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42AD4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ED845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1F909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17200</w:t>
            </w:r>
          </w:p>
        </w:tc>
      </w:tr>
      <w:tr w14:paraId="018632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8DA67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0B445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红路灯标杆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4C9D7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1.类型:悬臂式L杆D320~360*10*6900单悬臂八角钢管</w:t>
            </w:r>
          </w:p>
          <w:p w14:paraId="58814448">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2.一条D(110~280)*8*9000横挑无缝钢管，含法兰盘、抱箍、加劲肋、预埋件等，C25钢筋砼基础挖浇，以上构件全镀锌，镀锌要求柱体镀锌量为600g/m2，紧固件镀锌量为350g/m2，含土方挖、填、运、钢筋及模板等。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114D6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D3910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88699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17200</w:t>
            </w:r>
          </w:p>
        </w:tc>
      </w:tr>
      <w:tr w14:paraId="499AE3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A5E96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91503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电子警察标杆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E701E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1.类型:悬臂式L杆D320~360*10*6900单悬臂八角钢管</w:t>
            </w:r>
          </w:p>
          <w:p w14:paraId="0EEDD1C3">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2.一条D(110~280)*8*11000横挑无缝钢管，含法兰盘、抱箍、加劲肋、预埋件等，C25钢筋砼基础挖浇，以上构件全镀锌，镀锌要求柱体镀锌量为600g/m2，紧固件镀锌量为350g/m2，含土方挖、填、运、钢筋及模板等。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AA776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E09EA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2B599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17200</w:t>
            </w:r>
          </w:p>
        </w:tc>
      </w:tr>
      <w:tr w14:paraId="3AA8D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5BF27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20282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违停标杆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B304E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1.类型:悬臂式L杆φ219*10*8200单悬臂无缝钢管</w:t>
            </w:r>
          </w:p>
          <w:p w14:paraId="5769280E">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2.一条φ121*10*5000横挑无缝钢管，含法兰盘、抱箍、加劲肋、预埋件等，C25钢筋砼基础挖浇，以上构件全镀锌，镀锌要求柱体镀锌量为600g/m2，紧固件镀锌量为350g/m2，含土方挖、填、运、钢筋及模板等。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A9701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D15F1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43497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12000</w:t>
            </w:r>
          </w:p>
        </w:tc>
      </w:tr>
      <w:tr w14:paraId="6BA3B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E252F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00C1E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路铭牌标杆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BA0D9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1.类型:单柱式Φ89*4.5*2200钢管</w:t>
            </w:r>
          </w:p>
          <w:p w14:paraId="607CFE34">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含法兰盘、预埋件等，C30钢筋砼基础挖浇，以上构件全镀锌，镀锌要求柱体镀锌量为600g/m2，紧固件镀锌量为350g/m2，含土方挖、填、运、钢筋及模板等。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FC02F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F4877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8BE1B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1200</w:t>
            </w:r>
          </w:p>
        </w:tc>
      </w:tr>
      <w:tr w14:paraId="7FB229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BDC63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551C3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指路牌标志板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1C6B4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1.类型及规格尺寸:4000*2400mm指路牌，3mm铝板，抱箍连接</w:t>
            </w:r>
          </w:p>
          <w:p w14:paraId="622F0526">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6F496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165D6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F29C9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7000</w:t>
            </w:r>
          </w:p>
        </w:tc>
      </w:tr>
      <w:tr w14:paraId="507E5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C3DF0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DA736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分道标志板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CFC16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1.类型及规格尺寸:1000*1200mm分道牌，2mm铝板，抱箍连接</w:t>
            </w:r>
          </w:p>
          <w:p w14:paraId="11612AC9">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9A769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797E9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0478A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1200</w:t>
            </w:r>
          </w:p>
        </w:tc>
      </w:tr>
      <w:tr w14:paraId="48E3B4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B3971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180AE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违法牌标志板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77237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1.类型及规格尺寸:1000*800mm违法牌，2mm铝板，抱箍连接2.含安装及配件。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BF4A6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87AEC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62A69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750</w:t>
            </w:r>
          </w:p>
        </w:tc>
      </w:tr>
      <w:tr w14:paraId="215013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D0C37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3897D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指路牌标志板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8C9A0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1.类型及规格尺寸:360*1180mm指路牌，3mm铝板，抱箍连接2.含安装及配件。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7B777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FF31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0268E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500</w:t>
            </w:r>
          </w:p>
        </w:tc>
      </w:tr>
      <w:tr w14:paraId="3D8540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B0427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A305C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禁停牌标志板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E3EF1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1.类型及规格尺寸:∮800禁停牌，2mm铝板，抱箍连接</w:t>
            </w:r>
          </w:p>
          <w:p w14:paraId="37A41B9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2.含安装及配件</w:t>
            </w:r>
            <w:r>
              <w:rPr>
                <w:rFonts w:hint="eastAsia" w:cs="宋体"/>
                <w:i w:val="0"/>
                <w:iCs w:val="0"/>
                <w:color w:val="auto"/>
                <w:kern w:val="0"/>
                <w:sz w:val="18"/>
                <w:szCs w:val="18"/>
                <w:highlight w:val="none"/>
                <w:u w:val="none"/>
                <w:lang w:val="en-US" w:eastAsia="zh-CN" w:bidi="ar"/>
              </w:rPr>
              <w:t>。</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E8B6D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4A225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29AB6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580</w:t>
            </w:r>
          </w:p>
        </w:tc>
      </w:tr>
      <w:tr w14:paraId="35CD5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51DE3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C097E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人行道牌标志板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8FBE3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1.类型及规格尺寸:∮800*800人行道牌，mm2铝板，抱箍连接.</w:t>
            </w:r>
          </w:p>
          <w:p w14:paraId="19A0B65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6299F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631F7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1E080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780</w:t>
            </w:r>
          </w:p>
        </w:tc>
      </w:tr>
      <w:tr w14:paraId="40DA3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ADFC5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078C5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信号灯1</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E58AA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类型:一体式人行横道信号灯</w:t>
            </w:r>
          </w:p>
          <w:p w14:paraId="40883AE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工作温度：-40 ~ +85℃，相对湿度≤93%；</w:t>
            </w:r>
          </w:p>
          <w:p w14:paraId="6C7A816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防护等级：IP54；</w:t>
            </w:r>
          </w:p>
          <w:p w14:paraId="5BC4AD0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中心光强：150cd ~ 400cd；</w:t>
            </w:r>
          </w:p>
          <w:p w14:paraId="4A73461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LED数量：人行灯：红60，绿65；倒计时：红140，绿140；；</w:t>
            </w:r>
          </w:p>
          <w:p w14:paraId="6D118F0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LED寿命：≥70000小时；</w:t>
            </w:r>
          </w:p>
          <w:p w14:paraId="757206B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LED波长：红：625 nm绿：505 nm；</w:t>
            </w:r>
          </w:p>
          <w:p w14:paraId="33EA980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可视距离：&gt;300m 可视角度 &gt;30°；</w:t>
            </w:r>
          </w:p>
          <w:p w14:paraId="0792ADA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面罩规格：300mm，面罩材质，耐力板，玻璃</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45DBF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8FD23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10436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9500</w:t>
            </w:r>
          </w:p>
        </w:tc>
      </w:tr>
      <w:tr w14:paraId="5CD8FF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9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AE8F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6F77E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信号灯2</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F569D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面罩：Φ400mm </w:t>
            </w:r>
          </w:p>
          <w:p w14:paraId="46D206D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外壳材质：铸铝</w:t>
            </w:r>
          </w:p>
          <w:p w14:paraId="0EBC2F8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LED数量：信号灯：红90，黄170，绿90；倒计时：红98，绿98</w:t>
            </w:r>
          </w:p>
          <w:p w14:paraId="55AFA3B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可视距离：&gt;450m，可视角度&gt;30°</w:t>
            </w:r>
          </w:p>
          <w:p w14:paraId="63E6105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防护等级：IP53</w:t>
            </w:r>
          </w:p>
          <w:p w14:paraId="2C02DD3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工作电压：AC176～264V，功率≤20W</w:t>
            </w:r>
          </w:p>
          <w:p w14:paraId="3F61C31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重量：≤20KG</w:t>
            </w:r>
          </w:p>
          <w:p w14:paraId="513D90E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工作温度：-40 ~ +85℃，相对湿度≤93%</w:t>
            </w:r>
          </w:p>
          <w:p w14:paraId="6FF21E7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尺寸：1380×455×130 mm（灯体部分）</w:t>
            </w:r>
          </w:p>
          <w:p w14:paraId="261B50D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计时方式：学习/触发/RS485通信</w:t>
            </w:r>
          </w:p>
          <w:p w14:paraId="2BCA7AA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LED使用寿命：≥100000小时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DBC6D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BF5D6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88471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2800</w:t>
            </w:r>
          </w:p>
        </w:tc>
      </w:tr>
      <w:tr w14:paraId="1FFCDE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A7465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D6DFE9">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违停摄像机</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ED8D1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采用400万像素1/1.8英寸CMOS 传感器，内置GPU芯片</w:t>
            </w:r>
          </w:p>
          <w:p w14:paraId="1D27251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光学变倍检验:不小于40倍，最大补光距离：250m（红外）</w:t>
            </w:r>
          </w:p>
          <w:p w14:paraId="0A7C300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支持违停抓拍、卡口抓拍、电子警察，实现道路违法事件的抓拍</w:t>
            </w:r>
          </w:p>
          <w:p w14:paraId="120EEAE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支持1路音频输入和1路音频输出，内置7路报警输入和2路报警输出，支持报警联动功能，支持雨刷功能</w:t>
            </w:r>
          </w:p>
          <w:p w14:paraId="2AF696B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支持快速智能切换，当更换当前智能模式时设备不需重启，新智能使能后即可生效</w:t>
            </w:r>
          </w:p>
          <w:p w14:paraId="7590AC6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多场景分别配置不同智能后,可进行多场景智能巡航,进行不同智能功能的分时复用。切换码流可继续支持原来的智能,支持跟踪抓拍</w:t>
            </w:r>
          </w:p>
          <w:p w14:paraId="414C5EB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在天气晴朗无雾，号牌无遮挡，无污染的条件下进行测试，白天测试时的环境光照度不低于200lx，晚上不高于50lx，球机处于设定的预制场景，且开启违法停车抓拍规则时，能够对违法停车行为进行抓拍，白天和晚上各测试100次，捕获次数均应不少于99次，图片模式应符合GA/T832-2014(道路交通安全违法行为图像取证技术规范）中模式九的相关规定</w:t>
            </w:r>
          </w:p>
          <w:p w14:paraId="275673E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可准确抓拍车辆压白线、逆行、欠速、超速、不按车道行驶、压黄线、违法变道、加塞、黄牌车辆占道、机动车占非机动车道等可体现违章过程图片，当预置点场景内有违法规则被触发时，设备可联动报警输出和上传图片</w:t>
            </w:r>
          </w:p>
          <w:p w14:paraId="5349C4E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设备支持违法停车监视,当镜头倍率为1倍时,白天有效监视距离最大为150米,当镜头倍率为最大倍率时,白天有效监视距离为400米。</w:t>
            </w:r>
          </w:p>
          <w:p w14:paraId="5819351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 设备支持对机动车辆监视、行人监视、非机动车监视、违停、逆行、压线、变道、占用非机动车道、抛洒物、拥堵、路障、事故、浓雾等监视,支持交通数据采集,并可上传报警信息</w:t>
            </w:r>
          </w:p>
          <w:p w14:paraId="5366CEA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 可按设定的时间对预置行人、非机动车、车辆监视场景进行巡航监视可选择全天或分段模式。全天模式下，将对选择的行人、非机动车、车辆监视场景按照其监视规则进行全天监视;分段模式下，可按设定的时间自动切换监视场景，按照相应场景的监视规则进行行人、非机动车、车辆监视</w:t>
            </w:r>
          </w:p>
          <w:p w14:paraId="30B4B7E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 可识别正向和反向通过观测画面中的28种机动车车型，支持15种车身颜色识别，支持12种车牌类型识别，机动车子品牌及对应年款不少于5000种</w:t>
            </w:r>
          </w:p>
          <w:p w14:paraId="6D1626D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 在天气晴朗无雾，车身无污损、无大面积遮挡的条件下进行测试，日间测试时的环境光照度不低于200lx，夜间测试时辅助照明光照度不高于30lx:白天车身颜色识别准确率≥99%:晚上车身颜色识别准确率≥99%。</w:t>
            </w:r>
          </w:p>
          <w:p w14:paraId="49EFFFC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14. 可识别通过观测画面中的机动车品牌标志。在天气晴朗无雾，车身无污损、无大面积遮挡的条件下进行测试，日间测试时的环境光照度不低于200lx，夜间测试时辅助照明光照度不高于30lx:白天车辆品牌标志识别准确率≥99%:晚上车辆品牌标志识别准确率≥99%。</w:t>
            </w:r>
          </w:p>
          <w:p w14:paraId="7AA223E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15. 支持AC24V±25%宽电压输入，支持IP67防护等级，8000V防雷、防浪涌和防突波保护</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CF507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CEA45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3F7DC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8900</w:t>
            </w:r>
          </w:p>
        </w:tc>
      </w:tr>
      <w:tr w14:paraId="10049C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E4202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E9BF7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音柱</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5855F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1、采用可寻址全数字解码，接收上级远程控制，根据不同使用环境实现多级分区，支持全区播放、分区播放、单点播放。</w:t>
            </w:r>
          </w:p>
          <w:p w14:paraId="2C7A7E4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2、支持2G、3G、4G/IP全模式接收解码。</w:t>
            </w:r>
          </w:p>
          <w:p w14:paraId="04AD911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3、支持多任务接收，终端可根据任务优先级选择高优先级的优先播放。</w:t>
            </w:r>
          </w:p>
          <w:p w14:paraId="608C475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4、支持设备断电广播自动恢复功能。</w:t>
            </w:r>
          </w:p>
          <w:p w14:paraId="3C62F49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5、支持工作状态指示，产品带LED指示灯，可指示不同状态。</w:t>
            </w:r>
          </w:p>
          <w:p w14:paraId="41C8447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6、支持通过APP及WEB客户端配置、查询终端参数。</w:t>
            </w:r>
          </w:p>
          <w:p w14:paraId="3DFEFB9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7、支持通过WEB客户端远程升级。</w:t>
            </w:r>
          </w:p>
          <w:p w14:paraId="3B02725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8、支持远程重启。</w:t>
            </w:r>
          </w:p>
          <w:p w14:paraId="374335D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9、支持远程调取日志功能。</w:t>
            </w:r>
          </w:p>
          <w:p w14:paraId="7188A57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10、支持功放过热、过压、过流保护功能。</w:t>
            </w:r>
          </w:p>
          <w:p w14:paraId="28AAFD3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11、支持地理位置信息，可在APP/平台上显示终端位置，并可通过APP 直接导航到终端安装位置。（提供省级及以上国家职能部门下属检测机构出具符合国标（GD/J079-2018 至 GD/J089-2018）检测报告复印件并加盖原厂商公章）</w:t>
            </w:r>
          </w:p>
          <w:p w14:paraId="0469D3C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12、支持自动设备状态回传功能。</w:t>
            </w:r>
          </w:p>
          <w:p w14:paraId="7AF7BEB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技术参数1、输出功率：30W。</w:t>
            </w:r>
          </w:p>
          <w:p w14:paraId="09D6484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2、频率响应：100Hz～16kHz。</w:t>
            </w:r>
          </w:p>
          <w:p w14:paraId="48A9932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3、信噪比：≥80dB。</w:t>
            </w:r>
          </w:p>
          <w:p w14:paraId="3D5E47B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4、失真度：≤1%(@1W)。</w:t>
            </w:r>
          </w:p>
          <w:p w14:paraId="2108602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5、音频采样率：8kHz～96kHz。</w:t>
            </w:r>
          </w:p>
          <w:p w14:paraId="36B5178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6、音频位率：8kbps～320kbps自适应。</w:t>
            </w:r>
          </w:p>
          <w:p w14:paraId="002F4A3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7、音频格式： AAC、MP3。</w:t>
            </w:r>
          </w:p>
          <w:p w14:paraId="41D66F6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8、支持协议：UDP、TCP、ARP、RTMP。</w:t>
            </w:r>
          </w:p>
          <w:p w14:paraId="6AAF878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9、电源电压：AC 100～280V/50Hz。</w:t>
            </w:r>
          </w:p>
          <w:p w14:paraId="48EBD08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10、工作温度：-30～70℃。</w:t>
            </w:r>
          </w:p>
          <w:p w14:paraId="3A19A38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11、工作湿度：10%～90%。12、需接入现交警大队平台</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FB6C4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D18F8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628BC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4500</w:t>
            </w:r>
          </w:p>
        </w:tc>
      </w:tr>
      <w:tr w14:paraId="0DA68B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87118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0975C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落地式控制箱</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9643F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1.不锈钢信号控制箱（650*450*1470），含法兰盘及预埋件、C25砼基础、碎石找平层、片石夯实（灌砂）、模板和防雷器等2.含安装及配件。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459C9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873FE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BFC61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5300</w:t>
            </w:r>
          </w:p>
        </w:tc>
      </w:tr>
      <w:tr w14:paraId="1CB7A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843DD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DC6A2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杆上控制箱</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DD3FC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1.尺寸规格：箱体厚度≥1.2mm，镀锌板喷塑，箱体外尺寸(含雨帽):430(宽)*535(高)*220(深)mm。</w:t>
            </w:r>
          </w:p>
          <w:p w14:paraId="281FCDA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外观要求：设备顶部具有圆弧形防雨帽，四边圆弧形；U形主体机壳，无棱角；柜门与机箱采用四杆风勾机构，设有限位装置，箱门打开后可自动限位，防止柜门转动回位；箱体内部预置可移动托板。（需提供公安部检测报告证明）</w:t>
            </w:r>
          </w:p>
          <w:p w14:paraId="0800331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接口规格：整机一体化设计，内部集成物联终端、2P16A空开、20KA电源防雷、5路AC220V远程可控5孔插座、1路AC220V远程可控输出端子、姿态检测模块（撞击/震动/倾斜）、DC12V风扇、柜门检测开关、熔纤盘及光纤固定器；1路DC5V和1路DC12V 网络输出接口，2路DC12V输出（1路预留电磁锁控制）、3路DI开关量输入、1路RJ45接口、1路RS485、1路RS232接口、1个复位按键。</w:t>
            </w:r>
          </w:p>
          <w:p w14:paraId="7F291AD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AC220V供电：支持≥5路AC220V输出，支持独立每路电压、电流检测、远程控制、实时发送每路电压电流值到客户端显示，支持通过客户端实时监测设备输出是否断电，并在客户端界面提示告警。（需提供公安部检测报告证明）</w:t>
            </w:r>
          </w:p>
          <w:p w14:paraId="5EDE145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用电检测与统计：支持供电电压、电流、功率、电量监测，支持远程清空电量值；支持过压、欠压、过流、低载联动关闭指定输出接口；交流输出接口具有定时控制、远程控制功能，可远程设定工作模式；当供电断开时，提示供电异常告警；支持手动开启学习接入设备的功率，在当前设备的功率基础上接入其他设备时，自动关闭供电输出并且客户端提示非法取电告警。（需提供公安部检测报告证明）</w:t>
            </w:r>
          </w:p>
          <w:p w14:paraId="1F61C11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设备检测：支持≥8路检测摄像机工作状态，并设置定时/手动开启，当接入的摄像机断电或网络断开时，可通过客户端提示告警，支持在客户端内实现外接摄像机视频图像的播放；支持WEB及客户端显示网络传输工作状态，可设置定时/手动重启，当网络传输断开时，可自动进行重启网络传输设备电源，重启次数和时间可设置；支持多路补光灯检测，可设置定时/手动开启电源，支持补光灯功率自学习功能，手动开启自动学习多个补光灯设备的工作电流，区分补光灯白天异常亮起和晚上无法开启，支持≥4个时间段的分时控制。（需提供公安部检测报告证明）</w:t>
            </w:r>
          </w:p>
          <w:p w14:paraId="121821C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7.断电检测：支持在不使用外部蓄电池情况下，实时监测设备供电电源，并在客户端提示设备供电电源掉电告警。</w:t>
            </w:r>
          </w:p>
          <w:p w14:paraId="4B92294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8.环境检测：支持箱内实时温度、湿度、防雷状态、门开关状态、风扇工作状态、风扇故障监测和告警。</w:t>
            </w:r>
          </w:p>
          <w:p w14:paraId="73F805B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姿态检测：实时显示当前设备姿态信息（包括XYZ三个方向的角度）；当设备受到震动或撞击时，客户端提示震动或撞击告警，并显示震动加速度值，支持配置震动告警等级；当智能设备箱倾斜时，客户端提示倾斜告警，并显示倾斜角度，支持默认角度校正，支持配置倾斜角度上限；支持箱门打开后，支持联动球机转向监控箱位置录像，可配置开始球机转动时间和停留录像时长。（需提供公安部检测报告证明）</w:t>
            </w:r>
          </w:p>
          <w:p w14:paraId="3294BF3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10.网页配置：支持通过WEB直接查看实时数据、配置IP地址、客户端地址、传输模式、进行远程固件升级，支持IP地址冲突提示、MAC地址冲突提示；支持802.1x设置，可设置验证用户密码。</w:t>
            </w:r>
          </w:p>
          <w:p w14:paraId="014ABAD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工作环境：工作温度范围-40℃～+85℃，工作电压范围AC74V～AC280V（50Hz/60Hz范围内变化），外壳防护等级≥IP55，机械碰撞防护等级≥IK08，盐雾测试≥120小时，泄漏电流应不大于5mA(a.c.峰值)，绝缘电阻不小于2MΩ。（需提供公安部检测报告证明）</w:t>
            </w:r>
          </w:p>
          <w:p w14:paraId="14001D3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抗扰度试验：通过抗电强度试验、静电放电抗扰度试验、浪涌(冲击)抗扰度试验、电快速瞬变脉冲群抗扰度试验、射频电磁场辐射抗扰度试验、电源电压暂降和短时中断抗扰度试验。（需提供公安部检测报告证明）</w:t>
            </w:r>
          </w:p>
          <w:p w14:paraId="7D54C04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运维平台：提供运维管理平台软件，B/S架构，具有概述信息、电子地图、设备管理、点位管理、告警管理、工单管理、报表统计、考核计费等功能，支持报表包含：每日台账、视频无故障率统计、故障及时修复率统计、故障类型统计、考核计费统计、超期工单统计、区域用电量统计。</w:t>
            </w:r>
          </w:p>
          <w:p w14:paraId="610F2C8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14.工单考核：支持自动派单和手动派单，工单记录故障产生时间、派单时间及修复时长等信息；工单状态包含待接单、维修中、待确认、已结束、挂起中、挂起待确认等；工单流程包含指派、接单、转派、挂起、确认挂起、拒绝挂起、重启、维修完成、确认完等；支持设备一机一档信息记录，包含设备名称、编号、国标编码、安装时间、品牌、类型、安装时间、质保期、到期时间等；支持设置设备运维、网络运维、电力运维并生成考核计费报表，支持设置考核标准、考核申诉，可根据不同故障类型设置不同考核模板，支持设定超过10个考核模板，支持自定义故障分类。（需提供公安部检测报告证明）</w:t>
            </w:r>
          </w:p>
          <w:p w14:paraId="3DB6372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15.安全等级保护：运维管理平台需符合《GB/T 22239-2019信息安全技术网络安全等级保护基本要求》第三级安全计算环境指标中应用系统相关要求，具有第三方测评机构出具的安全检测报告复印件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0D6BE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C4DB48">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E366C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1250</w:t>
            </w:r>
          </w:p>
        </w:tc>
      </w:tr>
      <w:tr w14:paraId="1616B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4CA8D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BC8B7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控制电缆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DAF7D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线圈馈线（KVVP 2*1.5），含配件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46BD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E9DBC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F94A1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6.7</w:t>
            </w:r>
          </w:p>
        </w:tc>
      </w:tr>
      <w:tr w14:paraId="547284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0CC0A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744992">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配线1</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8E87E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电源线RVV  3*1.5</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22A92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E1134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F0D86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8.5</w:t>
            </w:r>
          </w:p>
        </w:tc>
      </w:tr>
      <w:tr w14:paraId="046B45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FAC1F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DA5FA9">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配线2</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00E26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电源线RVV  16*1.5</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9655E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7A8E3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2369A6">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40</w:t>
            </w:r>
          </w:p>
        </w:tc>
      </w:tr>
      <w:tr w14:paraId="11461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D931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4FE1BB">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配线3</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47851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控制线RVVP  2*3</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E2135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F9ADC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5118D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14</w:t>
            </w:r>
          </w:p>
        </w:tc>
      </w:tr>
      <w:tr w14:paraId="1E791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34BCB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308D4A">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配线4</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D56C8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电源线RVV  3*6</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D8ACF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4A007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B82B0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16</w:t>
            </w:r>
          </w:p>
        </w:tc>
      </w:tr>
      <w:tr w14:paraId="4B4D4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E2BB7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D16890">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双绞线缆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51EBB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室外超五类屏蔽线  HSYV-5E4*2*0.5(灰)</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C70B8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9FE01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82DEB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5.4</w:t>
            </w:r>
          </w:p>
        </w:tc>
      </w:tr>
      <w:tr w14:paraId="0CA730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602E0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B5819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人(手)孔井</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97AA0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1.规格尺寸:交通信号工作井500*500</w:t>
            </w:r>
          </w:p>
          <w:p w14:paraId="40DC7C5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2.含土方挖、填、运、模板等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7CEDA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座</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BEA9A6">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D3696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780</w:t>
            </w:r>
          </w:p>
        </w:tc>
      </w:tr>
      <w:tr w14:paraId="38AB86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AAFF4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FCEB72">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塑料管（开挖）</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2D09E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1.名称:PE管地埋敷设 </w:t>
            </w:r>
          </w:p>
          <w:p w14:paraId="49222D6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2.规格:2*De75（壁厚4.5mm）</w:t>
            </w:r>
          </w:p>
          <w:p w14:paraId="2C50982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3.含人行道拆除、土方挖、填、运等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9C2AF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0349E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D2D756">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90</w:t>
            </w:r>
          </w:p>
        </w:tc>
      </w:tr>
      <w:tr w14:paraId="74D5C8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CC0F8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3299D3">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塑料管（水平导向钻进）</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32EB1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1.名称:PE管牵引敷设 </w:t>
            </w:r>
          </w:p>
          <w:p w14:paraId="65B2E3A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2.规格:2*De75（壁厚4.5mm）</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B9B84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620C9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8651B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320</w:t>
            </w:r>
          </w:p>
        </w:tc>
      </w:tr>
      <w:tr w14:paraId="102C1D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1D761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8FDD7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保护钢套管</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18F2C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过街管道∮100镀锌管，土方挖，填，恢复</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AE54A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DF725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32E59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480</w:t>
            </w:r>
          </w:p>
        </w:tc>
      </w:tr>
      <w:tr w14:paraId="62203C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15F04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E3BA3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红绿灯控制电缆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77D7A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红绿灯电缆线采用KVV22 25*1.5mm</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C49DD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E6EAF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723CB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45</w:t>
            </w:r>
          </w:p>
        </w:tc>
      </w:tr>
      <w:tr w14:paraId="0B7F5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08E2E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E6DD1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人行横道灯电缆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0F9B1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人行横道灯电缆采用KVV 4*1.5mm</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6F6FE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5CB73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7791D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11</w:t>
            </w:r>
          </w:p>
        </w:tc>
      </w:tr>
      <w:tr w14:paraId="37A1D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81DCE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096FD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警示柱（钢管）</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1FE1C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1.钢管警示柱（地理式）Φ80*3*1200</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19630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5CBA28">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7FD43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130</w:t>
            </w:r>
          </w:p>
        </w:tc>
      </w:tr>
      <w:tr w14:paraId="69CB6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3564D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40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FDF210">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警示柱（塑料）</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CD464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1.塑料管警示柱（膨胀螺栓安装）Φ80*1200</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1621A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4608B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865A7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80</w:t>
            </w:r>
          </w:p>
        </w:tc>
      </w:tr>
      <w:tr w14:paraId="614BF4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2"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F1357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41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7E4D8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高杆照明灯</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254B2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1.高杆灯D(100~252)*6.5*15000热镀锌钢管，经静电喷塑白色</w:t>
            </w:r>
          </w:p>
          <w:p w14:paraId="79847DE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2.带3盏130W LED灯，含法兰盘、预埋件等，C25钢筋砼基础挖浇，以上构件全镀锌，镀锌要求柱体镀锌量为600g/m2，紧固件镀锌量为350g/m2，含土方挖、填、运、钢筋及模板等。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C0118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615FE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39179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13800</w:t>
            </w:r>
          </w:p>
        </w:tc>
      </w:tr>
      <w:tr w14:paraId="28AD6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18"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528EF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42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A80D2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900万电警抓拍摄像设备</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C1753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900万像素生态环保相机，采用先进的图像融合技术，夜间无需使用白光爆闪灯,即可输出高质量全彩图像</w:t>
            </w:r>
          </w:p>
          <w:p w14:paraId="7F24BC2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支持1.1英寸传感器</w:t>
            </w:r>
          </w:p>
          <w:p w14:paraId="2AA8DC5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支持对机动车、非机动车、行人等混合目标进行检测。样机能同时检测不少于130个混合的静态目标并对这些目标进行绿框跟踪；可同时对至少130个混合的静态目标进行优选、抓拍及属性分析</w:t>
            </w:r>
          </w:p>
          <w:p w14:paraId="38828A4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支持主辅码流平滑设置功能，可分别设置主副码流平滑度0~100可调</w:t>
            </w:r>
          </w:p>
          <w:p w14:paraId="0DF98BB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支持单张图与合成图的OSD叠加，并可根据RGB分量值对叠加的字体颜色进行更改</w:t>
            </w:r>
          </w:p>
          <w:p w14:paraId="2DC708F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支持自动画线功能，可自动识别并画出车道线、抓拍检测线</w:t>
            </w:r>
          </w:p>
          <w:p w14:paraId="529FD2A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分别支持爆闪灯（含多合一灯）、频闪灯、常亮灯连接；可获取灯的工作模式（白天、夜晚、傍晚/清晨）、点亮时长、LED爆闪次数、氙气爆闪次数等状态进行监测和记录；可分别设置氙气爆闪灯亮度、氙气延时时间、LED频闪亮度、LED爆闪脉宽</w:t>
            </w:r>
          </w:p>
          <w:p w14:paraId="2AD44AA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支持TCP/IP、HTTP、HTTPS、FTP、DNS、RTP、RTSP、RTC、NTP、UpnP、IPV6、DHCP、802.1x等网络协议</w:t>
            </w:r>
          </w:p>
          <w:p w14:paraId="737B1A0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支持图片字符OSD叠加功能，可在抓拍的图片上叠加设备编号、地点、车道号、限速值、车速、车长、超速比、车牌号、车牌颜色、车辆品牌、车身颜色、车辆大小、时间（精确到毫秒）、 通行方向欠速比时间（精确到毫秒）、 通行方向、欠速比、安全带状态、遮阳板状态、车系、抽烟状态、打电话状态、GPS地点信息、年检标志、挂件、香水盒、纸巾盒等</w:t>
            </w:r>
          </w:p>
          <w:p w14:paraId="707A3FF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 支持识别并抓拍垂直倾斜角度≤55°、水平倾斜角度≤35°、俯仰角度≤40°的机动车车牌号码</w:t>
            </w:r>
          </w:p>
          <w:p w14:paraId="7ED0543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 支持闯禁行记录功能，可对4种普通车型(包括大货车、中货车、小货车、皮卡车)及8种特种车型(包括危化品车辆、普通罐车、渣土车、混凝土搅拌车、工程车、粉粒物料运输车、吸污车、环卫车)进行检测、抓拍记录、识别及图片存储</w:t>
            </w:r>
          </w:p>
          <w:p w14:paraId="0ABEA6F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  卡口模式：支持黄牌占道、超速、欠速、压白线、逆行、有车占道、违法变道、压黄线、不按车道行驶、主驾驶员不系安全带、副驾驶员不系安全带、驾驶员抽烟、驾驶员打电话、车辆排队加塞、禁货、违法停车、禁摩抓拍</w:t>
            </w:r>
          </w:p>
          <w:p w14:paraId="02313F7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 电警模式：支持闯红灯、压白线、逆行、超速、黄牌占道、违法停车、不按导向箭头行驶、违法变道、压黄线、有车占道、不按车道行驶、违法左转、违法右转、违法掉头、压停止线、左转不礼让直行、右转不礼让横向直行、大弯小转、车辆排队加塞、右转不礼让直行行人、禁货、黄网格违法停车、禁摩抓拍</w:t>
            </w:r>
          </w:p>
          <w:p w14:paraId="3AD95FE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14. 设备支持智能高级设置，可在设备中直接进行输入算法表达式并保存。</w:t>
            </w:r>
          </w:p>
          <w:p w14:paraId="04F4B18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15. 支持暗光引擎功能，开启后可增加视频画面感光度</w:t>
            </w:r>
          </w:p>
          <w:p w14:paraId="20D6898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16. 具有FPN功能设置选项，开启后可减少图像噪声</w:t>
            </w:r>
          </w:p>
          <w:p w14:paraId="5F5DBD9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17. 支持帧率1~50fps可调</w:t>
            </w:r>
          </w:p>
          <w:p w14:paraId="3394F365">
            <w:pPr>
              <w:keepNext w:val="0"/>
              <w:keepLines w:val="0"/>
              <w:widowControl/>
              <w:suppressLineNumbers w:val="0"/>
              <w:jc w:val="left"/>
              <w:textAlignment w:val="center"/>
              <w:rPr>
                <w:rFonts w:hint="eastAsia"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18. 工作温度：-45℃~65℃，防护等级：IP67，支持在100V~240V供电的条件下正常工作</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6FAEE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FDA80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45F34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17500</w:t>
            </w:r>
          </w:p>
        </w:tc>
      </w:tr>
      <w:tr w14:paraId="08CAD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7"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FA974B">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43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3D565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1600万电警抓拍摄像设备</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A36E9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高分辨率：采用1.1英寸GS-CMOS图像传感器，最大输出 5320*3032@25fps高清图像</w:t>
            </w:r>
          </w:p>
          <w:p w14:paraId="534AF3A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像素检查：1600万像素(5320×3032)。</w:t>
            </w:r>
          </w:p>
          <w:p w14:paraId="339E1D6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支持车长≤16米的大货车违法行为抓拍</w:t>
            </w:r>
          </w:p>
          <w:p w14:paraId="5495551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具有FPN功能设置选项，开启后可减少图像噪声。</w:t>
            </w:r>
          </w:p>
          <w:p w14:paraId="612ECB0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支持暗光引擎功能，开启后可增加视频画面感光度。</w:t>
            </w:r>
          </w:p>
          <w:p w14:paraId="0B01215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支持在补光照度80lx的环境下输出全彩照片，图片中车内人像清晰可见。</w:t>
            </w:r>
          </w:p>
          <w:p w14:paraId="25A08BE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支持1~5车道车辆抓拍、车牌识别和车辆结构化信息提取（5车道小车抓拍建议立杆距离25米，3车道大小车兼顾抓拍建议立杆距离31米）</w:t>
            </w:r>
          </w:p>
          <w:p w14:paraId="3478FF5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支持自动白平衡、自动电子快门、自动光圈，适应多种监控环境</w:t>
            </w:r>
          </w:p>
          <w:p w14:paraId="2298662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支持单快门、双快门、三快门</w:t>
            </w:r>
          </w:p>
          <w:p w14:paraId="34E8DD0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 支持机动车过车记录、违法抓拍、车牌识别、车辆类型识别、车身颜色识别、图片合成、OSD信息叠加</w:t>
            </w:r>
          </w:p>
          <w:p w14:paraId="1C68934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 支持非机动车过车记录、违法抓拍、车辆类型识别、人脸抠图、图片合成、OSD信息叠加</w:t>
            </w:r>
          </w:p>
          <w:p w14:paraId="083BFCC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 支持车辆流量、平均速度、占有率等流量信息采集</w:t>
            </w:r>
          </w:p>
          <w:p w14:paraId="66ABAEF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 支持视频检测、线圈两种触发方式</w:t>
            </w:r>
          </w:p>
          <w:p w14:paraId="6F50AB75">
            <w:pPr>
              <w:keepNext w:val="0"/>
              <w:keepLines w:val="0"/>
              <w:widowControl/>
              <w:suppressLineNumbers w:val="0"/>
              <w:jc w:val="left"/>
              <w:textAlignment w:val="center"/>
              <w:rPr>
                <w:rFonts w:hint="eastAsia"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14. 支持最大256GB TF卡本地存储，抓拍图片可断网续传</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86CC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56184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27313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25000</w:t>
            </w:r>
          </w:p>
        </w:tc>
      </w:tr>
      <w:tr w14:paraId="45D165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2"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1C9938">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44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73255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流量相机</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FC0C3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1.400万像素微卡，采用星光级1/1.8英寸CMOS图像传感器，支持1~4车道车辆抓拍、车牌识别和车辆结构化信息提取</w:t>
            </w:r>
          </w:p>
          <w:p w14:paraId="33FF3D8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2.具有1个100M/1000M以太网口，1个CVBS接口，2个RS232接口，3个RS485接口，1个TF卡槽，1路DC12V电源输出接口，1路音频输入接口，1路音频输出接口，3路报警输入接口，2路报警输出接口，1路USB接口，1个reset 接口。</w:t>
            </w:r>
          </w:p>
          <w:p w14:paraId="47FBB19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支持对设定区域内的机动车、行人、非机动车进行检测、目标框跟踪和抓拍；支持实时图像中的多目标框显示，检测区域内最大支持同时对80个机动车、行人、非机动车进行检测盒目标框跟踪。</w:t>
            </w:r>
          </w:p>
          <w:p w14:paraId="74D90E6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支持车型识别，白天识别准确率≥99%；晚上识别准确率≥99%。</w:t>
            </w:r>
          </w:p>
          <w:p w14:paraId="37CC106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可根据设置车道个数（车道个数1～4可设），自动调节画面远近，并进行自动聚焦。</w:t>
            </w:r>
          </w:p>
          <w:p w14:paraId="161379F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支持图形化展示人脸信息，可根据识别的不同信息展示不同图形，包括性别、年龄、表情、是否戴口罩等。</w:t>
            </w:r>
          </w:p>
          <w:p w14:paraId="476D4CA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支持事件检测的业务类型设置，并可配置15 种事件，包括交通区域入侵、交通火焰检测、烟雾报警、逆行、超速、欠速、违法停车、违法变道、压黄线、交通拥堵、行人事件、交通抛洒物、交通道路施工、交通路障、交通事故等。</w:t>
            </w:r>
          </w:p>
          <w:p w14:paraId="0B40305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8.帧率检查:50fps</w:t>
            </w:r>
          </w:p>
          <w:p w14:paraId="5B03B51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9. 工作温度：-45℃~+90℃。"</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3682F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B3A4A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B8EBD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9500</w:t>
            </w:r>
          </w:p>
        </w:tc>
      </w:tr>
      <w:tr w14:paraId="0E8428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9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BAE74B">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45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C7A982">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诱导屏</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866AF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1. 材质：外壳不锈钢，表面喷塑哑光处理； </w:t>
            </w:r>
          </w:p>
          <w:p w14:paraId="6B733FA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显示内容：可直接显示8个32×32汉字或者图片内容，支持动态显示；发布内容和节目时长可由软件设置；</w:t>
            </w:r>
          </w:p>
          <w:p w14:paraId="435B0DD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像素：（宽高）256×48；间距10mm；</w:t>
            </w:r>
          </w:p>
          <w:p w14:paraId="6BD4766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外形尺寸：260×52×15cm（本体宽高厚）</w:t>
            </w:r>
          </w:p>
          <w:p w14:paraId="7BC94B5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输入电源：220±20% V AC;</w:t>
            </w:r>
          </w:p>
          <w:p w14:paraId="70C06DD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LED屏功率（最高亮度状态）：全屏点亮&lt;950W；全屏点亮绿灯&lt;250W；全屏点亮红灯&lt;700W；</w:t>
            </w:r>
          </w:p>
          <w:p w14:paraId="04DF21E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输入信号：220V交通信号，带RJ45口</w:t>
            </w:r>
          </w:p>
          <w:p w14:paraId="5D6E59E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待行信号触发方式： 220V交通信号输入；</w:t>
            </w:r>
          </w:p>
          <w:p w14:paraId="2E2A0F0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LED屏显示内容设定：远程设定或内置存储；</w:t>
            </w:r>
          </w:p>
          <w:p w14:paraId="5A9725C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 模组参数：a) 红LED：420mcd &lt;红&lt;614mcd；波长620-625nm；b) 绿LED：1500mcd&lt;绿&lt;3296mcd；波长520-530nm；c) 像素密度 10000Dots；d) 像素构成 1R1G；e) 模组分辨率 32*16=512Dots；f) 最大电流3.2A±0.1A；g) 驱动方式  1/4恒流驱动；h) 模组功率&lt;16W；i) 套件材料 聚碳酸脂PC；j) 模组尺寸（长*宽*厚） 320*160*26mm；k) 重量 0.95±0.05kg；输入电压 4.8-5.5V；</w:t>
            </w:r>
          </w:p>
          <w:p w14:paraId="2BB3943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 屏幕水平视角：80±15度。</w:t>
            </w:r>
          </w:p>
          <w:p w14:paraId="567FC78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 亮度：&gt;3000cd/㎡。</w:t>
            </w:r>
          </w:p>
          <w:p w14:paraId="59BC3B6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 最佳视距：&gt;10m。</w:t>
            </w:r>
          </w:p>
          <w:p w14:paraId="4186BCA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14. 可视距离：&gt;400m</w:t>
            </w:r>
          </w:p>
          <w:p w14:paraId="18A201E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15. 亮度均匀性：&gt;0.8。</w:t>
            </w:r>
          </w:p>
          <w:p w14:paraId="5D0AD7D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16. 屏幕垂直视角：45±10度。</w:t>
            </w:r>
          </w:p>
          <w:p w14:paraId="5830DA4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17. 盲点率：小于万分之三。</w:t>
            </w:r>
          </w:p>
          <w:p w14:paraId="3F38FC7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18. 使用环境：户外-20 ~ +85 ℃；湿度≤93%</w:t>
            </w:r>
          </w:p>
          <w:p w14:paraId="16947EE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19. 安装模式：横放。</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9D58A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1076E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0FF61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12900</w:t>
            </w:r>
          </w:p>
        </w:tc>
      </w:tr>
      <w:tr w14:paraId="12B991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1"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C9288A">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586B0A">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rPr>
            </w:pPr>
            <w:r>
              <w:rPr>
                <w:rFonts w:hint="eastAsia" w:ascii="宋体" w:hAnsi="宋体" w:eastAsia="宋体" w:cs="宋体"/>
                <w:i w:val="0"/>
                <w:iCs w:val="0"/>
                <w:color w:val="auto"/>
                <w:kern w:val="0"/>
                <w:sz w:val="18"/>
                <w:szCs w:val="18"/>
                <w:highlight w:val="none"/>
                <w:u w:val="none"/>
                <w:lang w:val="en-US" w:eastAsia="zh-CN" w:bidi="ar"/>
              </w:rPr>
              <w:t>取电(包干）</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89596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路口取电施工（含配电箱、空开、漏保等包工包料），施工完成后按一个路口一个电表，并资料报备（不包含电费）。</w:t>
            </w:r>
          </w:p>
          <w:p w14:paraId="031CA6DE">
            <w:pPr>
              <w:pStyle w:val="37"/>
              <w:rPr>
                <w:rFonts w:hint="default"/>
                <w:color w:val="auto"/>
                <w:highlight w:val="none"/>
                <w:lang w:val="en-US"/>
              </w:rPr>
            </w:pPr>
            <w:r>
              <w:rPr>
                <w:rFonts w:hint="eastAsia" w:ascii="宋体" w:hAnsi="宋体" w:eastAsia="宋体" w:cs="宋体"/>
                <w:i w:val="0"/>
                <w:iCs w:val="0"/>
                <w:color w:val="auto"/>
                <w:kern w:val="0"/>
                <w:sz w:val="18"/>
                <w:szCs w:val="18"/>
                <w:highlight w:val="none"/>
                <w:u w:val="none"/>
                <w:lang w:val="en-US" w:eastAsia="zh-CN" w:bidi="ar"/>
              </w:rPr>
              <w:t>不含强电电力电缆。</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AF45C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053AA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1DC91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5000</w:t>
            </w:r>
          </w:p>
        </w:tc>
      </w:tr>
      <w:tr w14:paraId="759735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495825">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47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42A2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杆件拆除</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82365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杆件拆除：包含外运、所需车辆设备，路面开挖及恢复，车辆，人工。</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294CD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198CA6">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055AD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2600</w:t>
            </w:r>
          </w:p>
        </w:tc>
      </w:tr>
      <w:tr w14:paraId="36348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07837D">
            <w:pPr>
              <w:keepNext w:val="0"/>
              <w:keepLines w:val="0"/>
              <w:widowControl/>
              <w:suppressLineNumbers w:val="0"/>
              <w:jc w:val="center"/>
              <w:textAlignment w:val="center"/>
              <w:rPr>
                <w:rFonts w:hint="default" w:ascii="宋体" w:hAnsi="宋体" w:eastAsia="宋体" w:cs="宋体"/>
                <w:i w:val="0"/>
                <w:iCs w:val="0"/>
                <w:color w:val="auto"/>
                <w:sz w:val="16"/>
                <w:szCs w:val="16"/>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48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0DA34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标牌拆除</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56458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标牌拆除：包含外运、所需车辆设备，车辆，人工。</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0F966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63B2A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95CD1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220</w:t>
            </w:r>
          </w:p>
        </w:tc>
      </w:tr>
      <w:tr w14:paraId="4A21A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FD165A">
            <w:pPr>
              <w:keepNext w:val="0"/>
              <w:keepLines w:val="0"/>
              <w:widowControl/>
              <w:suppressLineNumbers w:val="0"/>
              <w:jc w:val="center"/>
              <w:textAlignment w:val="center"/>
              <w:rPr>
                <w:rFonts w:hint="default" w:ascii="宋体" w:hAnsi="宋体" w:eastAsia="宋体" w:cs="宋体"/>
                <w:i w:val="0"/>
                <w:iCs w:val="0"/>
                <w:color w:val="auto"/>
                <w:sz w:val="16"/>
                <w:szCs w:val="16"/>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49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ECC26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多合一补光灯</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17A52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1、集成LED和气体放电光源 ；</w:t>
            </w:r>
          </w:p>
          <w:p w14:paraId="28C3082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2、支持暖光LED频闪、暖光LED爆闪、白光氙气爆闪、红外氙气爆闪四种模式；</w:t>
            </w:r>
          </w:p>
          <w:p w14:paraId="6FE8280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3、支持LED亮度等级0~99级可调；</w:t>
            </w:r>
          </w:p>
          <w:p w14:paraId="79F2C6C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4、LED光源色温：3000K~6500K；</w:t>
            </w:r>
          </w:p>
          <w:p w14:paraId="491AF91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5、支持通过光敏进行红外和白光切换；</w:t>
            </w:r>
          </w:p>
          <w:p w14:paraId="671ED88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6、支持在红外模式下气体放电爆闪时，LED爆闪同步闪光；</w:t>
            </w:r>
          </w:p>
          <w:p w14:paraId="10A0000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7、支持LED频闪熄灭时，叶片自动切换成白光模式；</w:t>
            </w:r>
          </w:p>
          <w:p w14:paraId="014F12F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8、在距离补光灯20米处，LED频闪亮度等级20级时，中心光斑的照度不得超过40lx；</w:t>
            </w:r>
          </w:p>
          <w:p w14:paraId="0F2A02A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9、支持在白光模式下触发氙气爆闪时，LED爆闪不闪光；</w:t>
            </w:r>
          </w:p>
          <w:p w14:paraId="660267C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10、符合GA/T1202-2022《交通技术监控成像补光装置通用技术规范》的要求；</w:t>
            </w:r>
          </w:p>
          <w:p w14:paraId="022A8DC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11、支持通过光敏进行红外和白光切换；</w:t>
            </w:r>
          </w:p>
          <w:p w14:paraId="6425DE1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12、在AC220V±44V、50Hz±2Hz的电源条件下，补光装置应能正常工作，基准轴上光照度的变化幅度应小于等于额定电压下的15%；</w:t>
            </w:r>
          </w:p>
          <w:p w14:paraId="61C4CD5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13、支持在LED频闪开启时，气体放电红外叶片自动切换成红外模式；</w:t>
            </w:r>
          </w:p>
          <w:p w14:paraId="2A55102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14、支持气体放电模式切换功能，可通过开关量或电平量或RS485信号控制红外透光叶片转动，切换成对应的红外或白光模式；</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E4FDF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A59F0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2A8B3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3400</w:t>
            </w:r>
          </w:p>
        </w:tc>
      </w:tr>
      <w:tr w14:paraId="1F9088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4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9FB886">
            <w:pPr>
              <w:keepNext w:val="0"/>
              <w:keepLines w:val="0"/>
              <w:widowControl/>
              <w:suppressLineNumbers w:val="0"/>
              <w:jc w:val="center"/>
              <w:textAlignment w:val="center"/>
              <w:rPr>
                <w:rFonts w:hint="default" w:ascii="宋体" w:hAnsi="宋体" w:eastAsia="宋体" w:cs="宋体"/>
                <w:i w:val="0"/>
                <w:iCs w:val="0"/>
                <w:color w:val="auto"/>
                <w:sz w:val="16"/>
                <w:szCs w:val="16"/>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50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0A310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频闪补光灯</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F1A6DD">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数字式照度传感器，补光装置的发光方式宜采用频闪方式、脉冲方式或持续点亮方式，频闪方式补光装置的闪烁频率应大于等于50Hz，符合GA/T1202-2022《交通技术监控成像补光装置通用技术规范》</w:t>
            </w:r>
          </w:p>
          <w:p w14:paraId="724B09A8">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可根据环境亮度自动点亮或者熄灭补光灯，环境亮度阀值10档可调（公安检测报告证明）</w:t>
            </w:r>
          </w:p>
          <w:p w14:paraId="1D5E4A8C">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要求具备符合GB/T 37958-2019《视频监控系统主动照明部件光辐射安全要求》的检测报告，且不超过1类危险。（公安检测报告证明）</w:t>
            </w:r>
          </w:p>
          <w:p w14:paraId="4C170B47">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在距补光灯20m处，亮度等级30、频闪频率100Hz时光斑的照度不得超过40lx</w:t>
            </w:r>
          </w:p>
          <w:p w14:paraId="51FDA3DD">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支持远程控制亮度等级，亮度等级1~30级可设置</w:t>
            </w:r>
          </w:p>
          <w:p w14:paraId="6A01BBEE">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支持通过特定摄像机远程控制补光灯亮度、熄灭及点亮</w:t>
            </w:r>
          </w:p>
          <w:p w14:paraId="03E4FF20">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频闪信号输出至LED灯板响应的时间≤45us；</w:t>
            </w:r>
          </w:p>
          <w:p w14:paraId="213A409A">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频闪频率：20、25、30、50、60、75、90、100、120Hz 9档可调，频闪脉宽1ms~6ms可调，频闪延时0ms~4ms可调；</w:t>
            </w:r>
          </w:p>
          <w:p w14:paraId="5C0464D9">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色温范围3000k~5500k</w:t>
            </w:r>
          </w:p>
          <w:p w14:paraId="46903B5E">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10. 工作温度-40℃~70℃；</w:t>
            </w:r>
          </w:p>
          <w:p w14:paraId="44125C1F">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11. 外壳防护等级IP66</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D7BBC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398C16">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A9F54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2200</w:t>
            </w:r>
          </w:p>
        </w:tc>
      </w:tr>
      <w:tr w14:paraId="05217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34613D">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51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ABE33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道路交通信号控制机(电子红绿灯控制系统）</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06F966">
            <w:pPr>
              <w:keepNext w:val="0"/>
              <w:keepLines w:val="0"/>
              <w:widowControl/>
              <w:suppressLineNumbers w:val="0"/>
              <w:jc w:val="left"/>
              <w:textAlignment w:val="center"/>
              <w:rPr>
                <w:rFonts w:hint="eastAsia" w:cs="宋体"/>
                <w:b/>
                <w:bCs/>
                <w:i w:val="0"/>
                <w:iCs w:val="0"/>
                <w:color w:val="auto"/>
                <w:kern w:val="0"/>
                <w:sz w:val="18"/>
                <w:szCs w:val="18"/>
                <w:highlight w:val="none"/>
                <w:u w:val="none"/>
                <w:lang w:val="en-US" w:eastAsia="zh-CN" w:bidi="ar"/>
              </w:rPr>
            </w:pPr>
            <w:r>
              <w:rPr>
                <w:rFonts w:hint="eastAsia" w:cs="宋体"/>
                <w:b/>
                <w:bCs/>
                <w:i w:val="0"/>
                <w:iCs w:val="0"/>
                <w:color w:val="auto"/>
                <w:kern w:val="0"/>
                <w:sz w:val="18"/>
                <w:szCs w:val="18"/>
                <w:highlight w:val="none"/>
                <w:u w:val="none"/>
                <w:lang w:val="en-US" w:eastAsia="zh-CN" w:bidi="ar"/>
              </w:rPr>
              <w:t>（核心产品）</w:t>
            </w:r>
          </w:p>
          <w:p w14:paraId="2BED9EE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最大支持16组车行相位， 16组跟随相位，并支持主相位重复运行，满足周期内交通流重复放行及参数独立设置</w:t>
            </w:r>
          </w:p>
          <w:p w14:paraId="0C3DCAC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最大支持112个日计划方案设置；最大支持48个时段定时控制；最大支持20个周计划方案；最大支持16个日常调度和16个特殊调度</w:t>
            </w:r>
          </w:p>
          <w:p w14:paraId="1D77582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最大支持16路环形线圈检测器输入；最大支持64路视频检测器输入；支持单车道双检测器配置</w:t>
            </w:r>
          </w:p>
          <w:p w14:paraId="424D5E1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支持手动控制、时间表控制、无电缆线协调控制、感应控制、自适应控制、路段行人过街协调控制</w:t>
            </w:r>
          </w:p>
          <w:p w14:paraId="3075EA7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支持默认灯色设置（全红、黄闪、关灯、红闪），方案中相位未启用及未配置通道均运行默认灯色</w:t>
            </w:r>
          </w:p>
          <w:p w14:paraId="2B79FBB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特殊状态：支持方案放行灯色特殊控制，如时段式禁行功能（特殊状态：全红、黄闪、关灯、红闪）</w:t>
            </w:r>
          </w:p>
          <w:p w14:paraId="0520B88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支持潮汐车道控制功能、可按参数配置(执行时段、潮汐车道行驶方向、清空时间、指示牌数)完成潮汐车道定时切换，支持人工实施切换方案，支持进行潮汐车道状态监控，支持多路段潮汐车道级联控制</w:t>
            </w:r>
          </w:p>
          <w:p w14:paraId="0B39E20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8.支持客户端锁定可变车道的某个方向</w:t>
            </w:r>
          </w:p>
          <w:p w14:paraId="7E8575F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工作温度：-40～+80︒C，防护等级：IP54</w:t>
            </w:r>
          </w:p>
          <w:p w14:paraId="38534E4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10.日志定向功能：具有日志定向功能，可以将信号机的日志定向到U盘。</w:t>
            </w:r>
          </w:p>
          <w:p w14:paraId="5763BFB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11.支持信号机支持同时控制两个交叉口，且两个交叉口的周期方案独立运行</w:t>
            </w:r>
          </w:p>
          <w:p w14:paraId="1881416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olor w:val="auto"/>
                <w:highlight w:val="none"/>
                <w:lang w:val="en-US" w:eastAsia="zh-CN"/>
              </w:rPr>
              <w:t>▲</w:t>
            </w:r>
            <w:r>
              <w:rPr>
                <w:rFonts w:hint="eastAsia" w:ascii="宋体" w:hAnsi="宋体" w:eastAsia="宋体" w:cs="宋体"/>
                <w:i w:val="0"/>
                <w:iCs w:val="0"/>
                <w:color w:val="auto"/>
                <w:kern w:val="0"/>
                <w:sz w:val="18"/>
                <w:szCs w:val="18"/>
                <w:highlight w:val="none"/>
                <w:u w:val="none"/>
                <w:lang w:val="en-US" w:eastAsia="zh-CN" w:bidi="ar"/>
              </w:rPr>
              <w:t>12. 需与交警大队现有的信号机系统无缝对接（</w:t>
            </w:r>
            <w:r>
              <w:rPr>
                <w:rFonts w:hint="eastAsia" w:cs="宋体"/>
                <w:i w:val="0"/>
                <w:iCs w:val="0"/>
                <w:color w:val="auto"/>
                <w:kern w:val="0"/>
                <w:sz w:val="18"/>
                <w:szCs w:val="18"/>
                <w:highlight w:val="none"/>
                <w:u w:val="none"/>
                <w:lang w:val="en-US" w:eastAsia="zh-CN" w:bidi="ar"/>
              </w:rPr>
              <w:t>投标时</w:t>
            </w:r>
            <w:r>
              <w:rPr>
                <w:rFonts w:hint="eastAsia" w:ascii="宋体" w:hAnsi="宋体" w:eastAsia="宋体" w:cs="宋体"/>
                <w:i w:val="0"/>
                <w:iCs w:val="0"/>
                <w:color w:val="auto"/>
                <w:kern w:val="0"/>
                <w:sz w:val="18"/>
                <w:szCs w:val="18"/>
                <w:highlight w:val="none"/>
                <w:u w:val="none"/>
                <w:lang w:val="en-US" w:eastAsia="zh-CN" w:bidi="ar"/>
              </w:rPr>
              <w:t>要求提供承诺函</w:t>
            </w:r>
            <w:r>
              <w:rPr>
                <w:rFonts w:hint="eastAsia" w:cs="宋体"/>
                <w:i w:val="0"/>
                <w:iCs w:val="0"/>
                <w:color w:val="auto"/>
                <w:kern w:val="0"/>
                <w:sz w:val="18"/>
                <w:szCs w:val="18"/>
                <w:highlight w:val="none"/>
                <w:u w:val="none"/>
                <w:lang w:val="en-US" w:eastAsia="zh-CN" w:bidi="ar"/>
              </w:rPr>
              <w:t>并加盖供应商公章，格式自拟</w:t>
            </w:r>
            <w:r>
              <w:rPr>
                <w:rFonts w:hint="eastAsia" w:ascii="宋体" w:hAnsi="宋体" w:eastAsia="宋体" w:cs="宋体"/>
                <w:i w:val="0"/>
                <w:iCs w:val="0"/>
                <w:color w:val="auto"/>
                <w:kern w:val="0"/>
                <w:sz w:val="18"/>
                <w:szCs w:val="18"/>
                <w:highlight w:val="none"/>
                <w:u w:val="none"/>
                <w:lang w:val="en-US" w:eastAsia="zh-CN" w:bidi="ar"/>
              </w:rPr>
              <w:t>）</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CACB5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0C6AC8">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31ABC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54000</w:t>
            </w:r>
          </w:p>
        </w:tc>
      </w:tr>
      <w:tr w14:paraId="02470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9EBE72">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239BE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红绿灯信号检测器</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ACFCD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1. 支持16路信号灯状态输入，输入电压范围AC100V~AC270V，支持16路信号灯状态通断检测，具备对应指示灯显示 </w:t>
            </w:r>
          </w:p>
          <w:p w14:paraId="4F22EBE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RS485口输出≥4路，RS232接口≥1路</w:t>
            </w:r>
          </w:p>
          <w:p w14:paraId="2197960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具备八位拨码开关，支持红/绿灯信号检测模式切换，支持参数设置</w:t>
            </w:r>
            <w:r>
              <w:rPr>
                <w:rFonts w:hint="eastAsia" w:cs="宋体"/>
                <w:i w:val="0"/>
                <w:iCs w:val="0"/>
                <w:color w:val="auto"/>
                <w:kern w:val="0"/>
                <w:sz w:val="18"/>
                <w:szCs w:val="18"/>
                <w:highlight w:val="none"/>
                <w:u w:val="none"/>
                <w:lang w:val="en-US" w:eastAsia="zh-CN" w:bidi="ar"/>
              </w:rPr>
              <w:t>。</w:t>
            </w:r>
            <w:r>
              <w:rPr>
                <w:rFonts w:hint="eastAsia" w:ascii="宋体" w:hAnsi="宋体" w:eastAsia="宋体" w:cs="宋体"/>
                <w:i w:val="0"/>
                <w:iCs w:val="0"/>
                <w:color w:val="auto"/>
                <w:kern w:val="0"/>
                <w:sz w:val="18"/>
                <w:szCs w:val="18"/>
                <w:highlight w:val="none"/>
                <w:u w:val="none"/>
                <w:lang w:val="en-US" w:eastAsia="zh-CN" w:bidi="ar"/>
              </w:rPr>
              <w:t xml:space="preserve"> </w:t>
            </w:r>
          </w:p>
          <w:p w14:paraId="7B3A258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支持8台设备串联使用，可同时检测128路信号灯状态输入的通断</w:t>
            </w:r>
            <w:r>
              <w:rPr>
                <w:rFonts w:hint="eastAsia" w:cs="宋体"/>
                <w:i w:val="0"/>
                <w:iCs w:val="0"/>
                <w:color w:val="auto"/>
                <w:kern w:val="0"/>
                <w:sz w:val="18"/>
                <w:szCs w:val="18"/>
                <w:highlight w:val="none"/>
                <w:u w:val="none"/>
                <w:lang w:val="en-US" w:eastAsia="zh-CN" w:bidi="ar"/>
              </w:rPr>
              <w:t>。</w:t>
            </w:r>
            <w:r>
              <w:rPr>
                <w:rFonts w:hint="eastAsia" w:ascii="宋体" w:hAnsi="宋体" w:eastAsia="宋体" w:cs="宋体"/>
                <w:i w:val="0"/>
                <w:iCs w:val="0"/>
                <w:color w:val="auto"/>
                <w:kern w:val="0"/>
                <w:sz w:val="18"/>
                <w:szCs w:val="18"/>
                <w:highlight w:val="none"/>
                <w:u w:val="none"/>
                <w:lang w:val="en-US" w:eastAsia="zh-CN" w:bidi="ar"/>
              </w:rPr>
              <w:t xml:space="preserve"> </w:t>
            </w:r>
          </w:p>
          <w:p w14:paraId="640FBB5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5. 支持红/绿信号灯状态检测手动切换 </w:t>
            </w:r>
          </w:p>
          <w:p w14:paraId="41DEE5A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6. 具有16组红绿灯状态指示灯，当信号灯状态变化时，对应接入检测器的指示灯有相应变化  </w:t>
            </w:r>
          </w:p>
          <w:p w14:paraId="52EAA58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支持通过内部线路切换，切换额定输入电压DC12V/AC220V</w:t>
            </w:r>
          </w:p>
          <w:p w14:paraId="7D09451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8. 红绿灯检测时间&lt;1ms，红绿灯上报时间&lt;1s</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34BBE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D46BE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6F500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8800</w:t>
            </w:r>
          </w:p>
        </w:tc>
      </w:tr>
      <w:tr w14:paraId="78DC6F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1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C89E64">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D7E7A2">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rPr>
            </w:pPr>
            <w:r>
              <w:rPr>
                <w:rFonts w:hint="eastAsia" w:ascii="宋体" w:hAnsi="宋体" w:eastAsia="宋体" w:cs="宋体"/>
                <w:i w:val="0"/>
                <w:iCs w:val="0"/>
                <w:color w:val="auto"/>
                <w:kern w:val="0"/>
                <w:sz w:val="18"/>
                <w:szCs w:val="18"/>
                <w:highlight w:val="none"/>
                <w:u w:val="none"/>
                <w:lang w:val="en-US" w:eastAsia="zh-CN" w:bidi="ar"/>
              </w:rPr>
              <w:t>智能终端管理设备(电子警察系统）</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1D1B5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标配1个2T硬盘，最大支持4个SATA接口3.5" 4T硬盘；</w:t>
            </w:r>
          </w:p>
          <w:p w14:paraId="5ED51C8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接口检查：硬盘接口：4个，3.5英寸；一键复位按钮：1个，长按复位键可恢复系统到出厂默认配置；SIM卡槽:1个；天线接口:1个3G/4G模块天线接口、1个GPS模块天线接口；RS232串口：3个；RS485接口：4个；报警输入接口：4个；报警输出接口：4个；音频输入接口:1个；音频输出接口：1个；状态指示灯:4个；USB3.0接口：2个；电源开关：1个；DC12V输出接口：1个。</w:t>
            </w:r>
          </w:p>
          <w:p w14:paraId="7F272C6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支持视频接入和卡口合成两种工作模式切换，视频接入模式支持16路高清视频及图片输入，无图片合成功能，卡口合成模式支持12路高清视频及图片输入，同时支持图片合成；</w:t>
            </w:r>
          </w:p>
          <w:p w14:paraId="35F9B2B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内置16个10M/100M自适应以太网口，视频接入模式最大码流支持288Mbps，卡口合成模式最大码流支持240Mbps；</w:t>
            </w:r>
          </w:p>
          <w:p w14:paraId="4E3A174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1/2/3/4/5/6张图片普通合成和关联合成，支持两通道、三通道、多通道关联匹配并将图片合成或编组，支持ID匹配、车牌匹配、先ID后车牌匹配方式，支持以车型、车道、车牌颜色、车身颜色进行模糊匹配，支持多匹配方案独立设置，合成形状、顺序和特写图片序号可自定义设置；</w:t>
            </w:r>
          </w:p>
          <w:p w14:paraId="42D9A0E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支持数据直存，可将视频流直接写入存储，采用自动分段记录格式，相邻两段间最大记录间隔时间≤0.3s.；</w:t>
            </w:r>
          </w:p>
          <w:p w14:paraId="09BC5DE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支持手动上传图片至平台和FTP服务器，通道、时间、图片类型可自定义设置；</w:t>
            </w:r>
          </w:p>
          <w:p w14:paraId="7D0546A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支持跨网段远程升级、配置前端摄像机；</w:t>
            </w:r>
          </w:p>
          <w:p w14:paraId="37685BE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支持同时对接4个屏幕，支持按通道设置对应的屏号，支持按行驶方向将不同方向的车辆信息发布到不同屏幕上；</w:t>
            </w:r>
          </w:p>
          <w:p w14:paraId="62571322">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10. 支持硬盘图片和录像配额比例设置，支持盘满循环覆盖；</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5CD7E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73357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DB75F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13500</w:t>
            </w:r>
          </w:p>
        </w:tc>
      </w:tr>
      <w:tr w14:paraId="514898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A24A4B">
            <w:pPr>
              <w:keepNext w:val="0"/>
              <w:keepLines w:val="0"/>
              <w:widowControl/>
              <w:suppressLineNumbers w:val="0"/>
              <w:jc w:val="center"/>
              <w:textAlignment w:val="center"/>
              <w:rPr>
                <w:rFonts w:hint="default"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58B29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光纤收发器</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7D2E7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电口速率：1个10/100/1000Mbps Base-T；</w:t>
            </w:r>
          </w:p>
          <w:p w14:paraId="55EDEB5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光口速率：1个1000BASE-SC接口；</w:t>
            </w:r>
          </w:p>
          <w:p w14:paraId="2213675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光接口类型：SC；</w:t>
            </w:r>
          </w:p>
          <w:p w14:paraId="35B59C7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形态：盒式；</w:t>
            </w:r>
          </w:p>
          <w:p w14:paraId="0CF41D0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传输距离：20km；</w:t>
            </w:r>
          </w:p>
          <w:p w14:paraId="52D37EB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光纤类型：单模单纤；</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6131D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633B1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2241D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500</w:t>
            </w:r>
          </w:p>
        </w:tc>
      </w:tr>
      <w:tr w14:paraId="740027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D6FCAC">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35BB6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交换机</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9D022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1、端口类型：千兆电口≥8个， 千兆 SFP光口≥4个；</w:t>
            </w:r>
          </w:p>
          <w:p w14:paraId="0148E99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2、交换机性能：交换容量≥330Gbps；包转发率≥20Mpps；（若存在双参数，以官网最小值为准）提供官网截图及链接证明</w:t>
            </w:r>
          </w:p>
          <w:p w14:paraId="77B8345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3、支持MAC地址自动学习；支持源MAC地址过滤；支持接口MAC地址学习个数限制；</w:t>
            </w:r>
          </w:p>
          <w:p w14:paraId="5C0FC3D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4、支持防网关ARP欺骗，支持端口保护、隔离，支持防止DOS、ARP攻击功能，支持CPU保护功能；</w:t>
            </w:r>
          </w:p>
          <w:p w14:paraId="3D0520E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5、支持M-LAG技术，跨设备链路聚合（非堆叠技术实现），要求配对的设备有独立的控制平面，要求提供工信部或下属实验室出具的第三方测试报告</w:t>
            </w:r>
          </w:p>
          <w:p w14:paraId="12523B3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6、支持IEEE 802.3az 标准的 EEE节能技术：当EEE使能时，从而大幅度的减小端口在该阶段的功耗，达到了节能的目的。</w:t>
            </w:r>
          </w:p>
          <w:p w14:paraId="2BC00D7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7、支持智能交换机和普通交换机两种工作模式，可以根据不同的组网需要，随时在控制器平台灵活的进行切换；提供官网截图及链接证明；</w:t>
            </w:r>
          </w:p>
          <w:p w14:paraId="5ECF928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8、上线到管理平台的方式：支持二层广播自动发现平台；支持配置静态IP地址三层发现平台；支持DHCP Option43方式发现平台；支持DNS域名发现平台；以上方式提供官网截图及链接证明；</w:t>
            </w:r>
          </w:p>
          <w:p w14:paraId="7D8DB58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9、支持通过APP进行远程管理，并且可以修改交换机网络配置</w:t>
            </w:r>
          </w:p>
          <w:p w14:paraId="3242F5C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10、支持通过平台的Web页面对交换机进行可视化管理查看，包括交换机的端口状态及配置、vlan信息；</w:t>
            </w:r>
          </w:p>
          <w:p w14:paraId="6609A1E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11、支持通过平台查看交换机处于工作端口的最近5分钟、1小时、最近1天、最近1周发送与接收的流量趋势；提供功能截图证明；</w:t>
            </w:r>
          </w:p>
          <w:p w14:paraId="3C9540A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12、支持终端类型库，可在平台上自动识别所接入的PC、路由器、摄像头设备等，提供平台终端类型识别库截图证明，要求提供工信部或下属实验室出具的第三方测试报告</w:t>
            </w:r>
          </w:p>
          <w:p w14:paraId="7F652DE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13、支持基于终端类型自动识别结果，禁止非法终端(例如私接路由器)接入</w:t>
            </w:r>
          </w:p>
          <w:p w14:paraId="5E91B662">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14、支持终端的MAC与交换机端口变更检测；支持终端发生安全策略事件后，交换机将终端加入黑名单；支持交换机端口终端类型变更后，通过APP、短信告警；可以自定义交换机端口接入终端类型，及MAC黑白名单；</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35417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CDF30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82F67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900</w:t>
            </w:r>
          </w:p>
        </w:tc>
      </w:tr>
      <w:tr w14:paraId="34DDD8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5DBDF8">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627B86">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存储设备</w:t>
            </w:r>
            <w:r>
              <w:rPr>
                <w:rFonts w:hint="eastAsia" w:cs="宋体"/>
                <w:i w:val="0"/>
                <w:iCs w:val="0"/>
                <w:color w:val="auto"/>
                <w:kern w:val="0"/>
                <w:sz w:val="18"/>
                <w:szCs w:val="18"/>
                <w:highlight w:val="none"/>
                <w:u w:val="none"/>
                <w:lang w:val="en-US" w:eastAsia="zh-CN" w:bidi="ar"/>
              </w:rPr>
              <w:t>A</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60BA6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单盘容量：</w:t>
            </w:r>
            <w:r>
              <w:rPr>
                <w:rFonts w:hint="eastAsia" w:cs="宋体"/>
                <w:i w:val="0"/>
                <w:iCs w:val="0"/>
                <w:color w:val="auto"/>
                <w:kern w:val="0"/>
                <w:sz w:val="18"/>
                <w:szCs w:val="18"/>
                <w:highlight w:val="none"/>
                <w:u w:val="none"/>
                <w:lang w:val="en-US" w:eastAsia="zh-CN" w:bidi="ar"/>
              </w:rPr>
              <w:t>10</w:t>
            </w:r>
            <w:r>
              <w:rPr>
                <w:rFonts w:hint="eastAsia" w:ascii="宋体" w:hAnsi="宋体" w:eastAsia="宋体" w:cs="宋体"/>
                <w:i w:val="0"/>
                <w:iCs w:val="0"/>
                <w:color w:val="auto"/>
                <w:kern w:val="0"/>
                <w:sz w:val="18"/>
                <w:szCs w:val="18"/>
                <w:highlight w:val="none"/>
                <w:u w:val="none"/>
                <w:lang w:val="en-US" w:eastAsia="zh-CN" w:bidi="ar"/>
              </w:rPr>
              <w:t>TB；</w:t>
            </w:r>
          </w:p>
          <w:p w14:paraId="6AE0CF8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硬盘接口：SATA；</w:t>
            </w:r>
          </w:p>
          <w:p w14:paraId="512B1C7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转速：7200RPM；</w:t>
            </w:r>
          </w:p>
          <w:p w14:paraId="60C60D0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缓存：256MB；</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82CDF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15B44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94D5D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1600</w:t>
            </w:r>
          </w:p>
        </w:tc>
      </w:tr>
      <w:tr w14:paraId="01D17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8"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F3CBA8">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4DF6AE">
            <w:pPr>
              <w:keepNext w:val="0"/>
              <w:keepLines w:val="0"/>
              <w:widowControl/>
              <w:suppressLineNumbers w:val="0"/>
              <w:jc w:val="left"/>
              <w:textAlignment w:val="center"/>
              <w:rPr>
                <w:rFonts w:hint="default"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存储设备B</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4A28A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单盘容量：6TB；</w:t>
            </w:r>
          </w:p>
          <w:p w14:paraId="1C6713A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硬盘接口：SATA；</w:t>
            </w:r>
          </w:p>
          <w:p w14:paraId="514271E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转速：7200RPM；</w:t>
            </w:r>
          </w:p>
          <w:p w14:paraId="58449250">
            <w:pPr>
              <w:keepNext w:val="0"/>
              <w:keepLines w:val="0"/>
              <w:widowControl/>
              <w:suppressLineNumbers w:val="0"/>
              <w:jc w:val="left"/>
              <w:textAlignment w:val="center"/>
              <w:rPr>
                <w:rFonts w:hint="default"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缓存：256MB；</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58BBCA">
            <w:pPr>
              <w:keepNext w:val="0"/>
              <w:keepLines w:val="0"/>
              <w:widowControl/>
              <w:suppressLineNumbers w:val="0"/>
              <w:jc w:val="center"/>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9F5718">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D4B2DA">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900</w:t>
            </w:r>
          </w:p>
        </w:tc>
      </w:tr>
      <w:tr w14:paraId="34F422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08067C">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DBD26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机房主机</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177362">
            <w:pPr>
              <w:keepNext w:val="0"/>
              <w:keepLines w:val="0"/>
              <w:widowControl/>
              <w:suppressLineNumbers w:val="0"/>
              <w:jc w:val="left"/>
              <w:textAlignment w:val="center"/>
              <w:rPr>
                <w:rFonts w:hint="eastAsia" w:cs="宋体"/>
                <w:b/>
                <w:bCs/>
                <w:i w:val="0"/>
                <w:iCs w:val="0"/>
                <w:color w:val="auto"/>
                <w:kern w:val="0"/>
                <w:sz w:val="18"/>
                <w:szCs w:val="18"/>
                <w:highlight w:val="none"/>
                <w:u w:val="none"/>
                <w:lang w:val="en-US" w:eastAsia="zh-CN" w:bidi="ar"/>
              </w:rPr>
            </w:pPr>
            <w:r>
              <w:rPr>
                <w:rFonts w:hint="eastAsia" w:cs="宋体"/>
                <w:b/>
                <w:bCs/>
                <w:i w:val="0"/>
                <w:iCs w:val="0"/>
                <w:color w:val="auto"/>
                <w:kern w:val="0"/>
                <w:sz w:val="18"/>
                <w:szCs w:val="18"/>
                <w:highlight w:val="none"/>
                <w:u w:val="none"/>
                <w:lang w:val="en-US" w:eastAsia="zh-CN" w:bidi="ar"/>
              </w:rPr>
              <w:t>（核心产品）</w:t>
            </w:r>
          </w:p>
          <w:p w14:paraId="6625CBC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主处理器：高性能六核处理器；</w:t>
            </w:r>
          </w:p>
          <w:p w14:paraId="33FA4E4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控制器：单控制器；</w:t>
            </w:r>
          </w:p>
          <w:p w14:paraId="0D90D33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高速缓存：16GB DDR4 主频2666MHz；</w:t>
            </w:r>
          </w:p>
          <w:p w14:paraId="034ED91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电源冗余：1+1冗余电源；</w:t>
            </w:r>
          </w:p>
          <w:p w14:paraId="15BC983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网络接口：8个千兆数据电口；</w:t>
            </w:r>
          </w:p>
          <w:p w14:paraId="187ABF2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eSATA接口：1个；RS-232接口：1个；USB接口：2个USB 3.0接口，2个USB 2.0接口；</w:t>
            </w:r>
          </w:p>
          <w:p w14:paraId="43FBBC8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硬盘个数：标配内置 1块 512G 企业级固态硬盘最大支持36个2.5""或3.5""的SATA硬盘或者SAS硬盘；</w:t>
            </w:r>
          </w:p>
          <w:p w14:paraId="07FE9AC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云存储系统支持全自动数据校验和数据恢复功能，支持包括快速校验、深度校验等20种数据自动校验策略和10种自动修复策略。支持将数据校验和元数据校验分开配置，支持指定数据校验和恢复的时间窗口，支持指定数据校验优先级和校验速率。支持数据检出不一致后自动触发数据恢复功能，自动选择数据副本进行恢复。支持全自动数据校验和恢复全程，无需人为干预，提升数据存储可靠性。（公安部检测报告证明）</w:t>
            </w:r>
          </w:p>
          <w:p w14:paraId="0657FBE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同一套存量云存储系统架构支持持续异构节点扩容，同一套集群中支持15种异构存储节点。其中，异构存储节点同时支持6种不同盘位，包括12/24/36/48/72/84盘位；同时支持11种不同硬盘容量混插或者不同硬盘大小节点，不同硬盘容量大小包括1T/2T/4T/6T/8T/12T/14T/16T/18T/20T/24T；同时支持CMR盘和SMR盘；同时支持3种异构CPU扩容节点，包括X86 CPU（包含海光CPU）、鲲鹏ARM CPU、龙芯CPU节点；同时支持5种操作系统扩容节点，包括欧拉系统节点、麒麟系统节点、统信系统节点、CentOS系统节点和自研系统节点。同一套集群内的异构节点最高容量比最低容量差20倍时，也支持容量负载均衡。（公安部检测报告证明）</w:t>
            </w:r>
          </w:p>
          <w:p w14:paraId="71C32D8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 云存储集群支持网络亚健康监测管理，支持6种网络异常监测，包括支持监测网卡丢包、网卡低于千兆速率（降速）、流量瞬时波峰数、网络重连数、ping大包丢失、网络超时数。支持主动网络健康检测，同时对业务、存储双网检测和隔离，最多支持隔离N-1台网络异常节点（N为存储节点数量），异常网络恢复之后自动开启存储节点服务，自动上线，业务自动负载均衡。同时自动探测网络丢包，当节点服务器存储网或者业务网丢包率高于10%时，自动将该节点进行网络隔离。当丢包率恢复到容忍阈值之内时，自动将该节点重新加入集群，承担业务写入。（公安部检测报告证明）</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BAC1C2">
            <w:pPr>
              <w:keepNext w:val="0"/>
              <w:keepLines w:val="0"/>
              <w:widowControl/>
              <w:suppressLineNumbers w:val="0"/>
              <w:jc w:val="both"/>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BCB507">
            <w:pPr>
              <w:keepNext w:val="0"/>
              <w:keepLines w:val="0"/>
              <w:widowControl/>
              <w:suppressLineNumbers w:val="0"/>
              <w:jc w:val="righ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A5C013">
            <w:pPr>
              <w:keepNext w:val="0"/>
              <w:keepLines w:val="0"/>
              <w:widowControl/>
              <w:suppressLineNumbers w:val="0"/>
              <w:jc w:val="righ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85000</w:t>
            </w:r>
          </w:p>
        </w:tc>
      </w:tr>
      <w:tr w14:paraId="71A913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E47A5">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3FCC55">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道路修补(沥青混凝土）</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581C0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AC-13沥青混凝土路面修补</w:t>
            </w:r>
          </w:p>
          <w:p w14:paraId="528B4545">
            <w:pPr>
              <w:pStyle w:val="37"/>
              <w:rPr>
                <w:rFonts w:hint="default" w:ascii="宋体" w:hAnsi="Courier New" w:eastAsia="宋体" w:cs="Times New Roman"/>
                <w:color w:val="auto"/>
                <w:kern w:val="2"/>
                <w:sz w:val="21"/>
                <w:szCs w:val="20"/>
                <w:highlight w:val="none"/>
                <w:lang w:val="en-US" w:eastAsia="zh-CN" w:bidi="ar-SA"/>
              </w:rPr>
            </w:pPr>
            <w:r>
              <w:rPr>
                <w:rFonts w:hint="eastAsia" w:ascii="宋体" w:hAnsi="宋体" w:eastAsia="宋体" w:cs="宋体"/>
                <w:i w:val="0"/>
                <w:iCs w:val="0"/>
                <w:color w:val="auto"/>
                <w:sz w:val="18"/>
                <w:szCs w:val="18"/>
                <w:highlight w:val="none"/>
                <w:u w:val="none"/>
                <w:lang w:val="en-US" w:eastAsia="zh-CN" w:bidi="ar-SA"/>
              </w:rPr>
              <w:t>按实地平方面积计量</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F40E84">
            <w:pPr>
              <w:keepNext w:val="0"/>
              <w:keepLines w:val="0"/>
              <w:widowControl/>
              <w:suppressLineNumbers w:val="0"/>
              <w:jc w:val="center"/>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M2</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C048BD">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FA7B06">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200</w:t>
            </w:r>
          </w:p>
        </w:tc>
      </w:tr>
      <w:tr w14:paraId="1AAFD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EBE65B">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8D27E5">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道路修补(水泥混凝土）</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92E91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C35水泥混凝土路面修补</w:t>
            </w:r>
          </w:p>
          <w:p w14:paraId="6957A437">
            <w:pPr>
              <w:pStyle w:val="37"/>
              <w:rPr>
                <w:rFonts w:hint="default" w:ascii="宋体" w:hAnsi="Courier New" w:eastAsia="宋体" w:cs="Times New Roman"/>
                <w:color w:val="auto"/>
                <w:kern w:val="2"/>
                <w:sz w:val="21"/>
                <w:szCs w:val="20"/>
                <w:highlight w:val="none"/>
                <w:lang w:val="en-US" w:eastAsia="zh-CN" w:bidi="ar-SA"/>
              </w:rPr>
            </w:pPr>
            <w:r>
              <w:rPr>
                <w:rFonts w:hint="eastAsia" w:ascii="宋体" w:hAnsi="宋体" w:eastAsia="宋体" w:cs="宋体"/>
                <w:i w:val="0"/>
                <w:iCs w:val="0"/>
                <w:color w:val="auto"/>
                <w:sz w:val="18"/>
                <w:szCs w:val="18"/>
                <w:highlight w:val="none"/>
                <w:u w:val="none"/>
                <w:lang w:val="en-US" w:eastAsia="zh-CN" w:bidi="ar-SA"/>
              </w:rPr>
              <w:t>按实地平方面积计量</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6DBC57">
            <w:pPr>
              <w:keepNext w:val="0"/>
              <w:keepLines w:val="0"/>
              <w:widowControl/>
              <w:suppressLineNumbers w:val="0"/>
              <w:jc w:val="center"/>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M3</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2FED6A">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EB3D64">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700</w:t>
            </w:r>
          </w:p>
        </w:tc>
      </w:tr>
      <w:tr w14:paraId="0C92D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BC493E">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0E3A4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水泥稳定层</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0F49CC">
            <w:pPr>
              <w:pStyle w:val="37"/>
              <w:rPr>
                <w:rFonts w:hint="default"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含施工、养护。</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D2BAA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M3</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08126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5A92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350</w:t>
            </w:r>
          </w:p>
        </w:tc>
      </w:tr>
      <w:tr w14:paraId="0DB1A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D24FDE">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BF95D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路面井座修补(更换井盖）</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7815D1">
            <w:pPr>
              <w:pStyle w:val="37"/>
              <w:rPr>
                <w:rFonts w:hint="eastAsia"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综合考虑各种路口井座修补,井盖更换包干</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4154C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座</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C4B64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26E6EC">
            <w:pPr>
              <w:keepNext w:val="0"/>
              <w:keepLines w:val="0"/>
              <w:widowControl/>
              <w:suppressLineNumbers w:val="0"/>
              <w:jc w:val="right"/>
              <w:textAlignment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1500</w:t>
            </w:r>
          </w:p>
        </w:tc>
      </w:tr>
      <w:tr w14:paraId="00C802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7CEF51">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FCDDD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路面井座修补(不更换井盖）</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39DC44">
            <w:pPr>
              <w:pStyle w:val="37"/>
              <w:rPr>
                <w:rFonts w:hint="eastAsia"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综合考虑各种路口井座修补,井盖利旧。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8A817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座</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FF58F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0F0593">
            <w:pPr>
              <w:keepNext w:val="0"/>
              <w:keepLines w:val="0"/>
              <w:widowControl/>
              <w:suppressLineNumbers w:val="0"/>
              <w:jc w:val="right"/>
              <w:textAlignment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i w:val="0"/>
                <w:iCs w:val="0"/>
                <w:color w:val="auto"/>
                <w:sz w:val="18"/>
                <w:szCs w:val="18"/>
                <w:highlight w:val="none"/>
                <w:u w:val="none"/>
                <w:lang w:val="en-US" w:eastAsia="zh-CN" w:bidi="ar-SA"/>
              </w:rPr>
              <w:t>600</w:t>
            </w:r>
          </w:p>
        </w:tc>
      </w:tr>
    </w:tbl>
    <w:p w14:paraId="6EE6C742">
      <w:pPr>
        <w:pStyle w:val="38"/>
        <w:numPr>
          <w:ilvl w:val="0"/>
          <w:numId w:val="0"/>
        </w:numPr>
        <w:jc w:val="center"/>
        <w:rPr>
          <w:rFonts w:hint="eastAsia"/>
          <w:color w:val="auto"/>
          <w:highlight w:val="none"/>
        </w:rPr>
      </w:pPr>
    </w:p>
    <w:p w14:paraId="0CC7F3AF">
      <w:pPr>
        <w:spacing w:line="360" w:lineRule="auto"/>
        <w:ind w:firstLine="442" w:firstLineChars="200"/>
        <w:rPr>
          <w:rFonts w:hint="eastAsia" w:cs="宋体"/>
          <w:b/>
          <w:bCs w:val="0"/>
          <w:color w:val="auto"/>
          <w:sz w:val="22"/>
          <w:szCs w:val="22"/>
          <w:highlight w:val="none"/>
          <w:lang w:val="en-US" w:eastAsia="zh-CN"/>
        </w:rPr>
      </w:pPr>
      <w:r>
        <w:rPr>
          <w:rFonts w:hint="eastAsia" w:cs="宋体"/>
          <w:b/>
          <w:bCs w:val="0"/>
          <w:color w:val="auto"/>
          <w:sz w:val="22"/>
          <w:szCs w:val="22"/>
          <w:highlight w:val="none"/>
          <w:lang w:val="en-US" w:eastAsia="zh-CN"/>
        </w:rPr>
        <w:t>3、报价说明</w:t>
      </w:r>
    </w:p>
    <w:p w14:paraId="1462CF8C">
      <w:pPr>
        <w:spacing w:line="360" w:lineRule="auto"/>
        <w:ind w:firstLine="440" w:firstLineChars="200"/>
        <w:rPr>
          <w:rFonts w:hint="default"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rPr>
        <w:t>▲</w:t>
      </w:r>
      <w:r>
        <w:rPr>
          <w:rFonts w:hint="eastAsia" w:cs="宋体"/>
          <w:b/>
          <w:bCs w:val="0"/>
          <w:color w:val="auto"/>
          <w:sz w:val="22"/>
          <w:szCs w:val="22"/>
          <w:highlight w:val="none"/>
          <w:lang w:val="en-US" w:eastAsia="zh-CN"/>
        </w:rPr>
        <w:t>（1）</w:t>
      </w:r>
      <w:r>
        <w:rPr>
          <w:rFonts w:hint="eastAsia" w:ascii="宋体" w:hAnsi="宋体" w:eastAsia="宋体" w:cs="宋体"/>
          <w:bCs/>
          <w:color w:val="auto"/>
          <w:sz w:val="22"/>
          <w:szCs w:val="22"/>
          <w:highlight w:val="none"/>
        </w:rPr>
        <w:t>以上单价包含</w:t>
      </w:r>
      <w:r>
        <w:rPr>
          <w:rFonts w:hint="eastAsia" w:cs="宋体"/>
          <w:bCs/>
          <w:color w:val="auto"/>
          <w:sz w:val="22"/>
          <w:szCs w:val="22"/>
          <w:highlight w:val="none"/>
          <w:lang w:val="en-US" w:eastAsia="zh-CN"/>
        </w:rPr>
        <w:t>货款、</w:t>
      </w:r>
      <w:r>
        <w:rPr>
          <w:rFonts w:hint="eastAsia" w:ascii="宋体" w:hAnsi="宋体" w:eastAsia="宋体" w:cs="宋体"/>
          <w:color w:val="auto"/>
          <w:kern w:val="0"/>
          <w:sz w:val="22"/>
          <w:szCs w:val="22"/>
          <w:highlight w:val="none"/>
          <w:lang w:val="en-US" w:eastAsia="zh-CN"/>
        </w:rPr>
        <w:t>标准附件、</w:t>
      </w:r>
      <w:r>
        <w:rPr>
          <w:rFonts w:hint="eastAsia" w:ascii="宋体" w:hAnsi="宋体" w:eastAsia="宋体" w:cs="宋体"/>
          <w:bCs/>
          <w:color w:val="auto"/>
          <w:sz w:val="22"/>
          <w:szCs w:val="22"/>
          <w:highlight w:val="none"/>
        </w:rPr>
        <w:t>人工、材料、机械、税金、管理费、规费及运保、安全文明施工、保险（包括工程一切险、人员意外险等，）、</w:t>
      </w:r>
      <w:r>
        <w:rPr>
          <w:rFonts w:hint="eastAsia" w:ascii="宋体" w:hAnsi="宋体" w:eastAsia="宋体" w:cs="宋体"/>
          <w:color w:val="auto"/>
          <w:kern w:val="0"/>
          <w:sz w:val="22"/>
          <w:szCs w:val="22"/>
          <w:highlight w:val="none"/>
          <w:lang w:val="en-US" w:eastAsia="zh-CN"/>
        </w:rPr>
        <w:t>供货、运输、安装、调试和试运行、技术服务及培训、备品备件、售后服务、维修</w:t>
      </w:r>
      <w:r>
        <w:rPr>
          <w:rFonts w:hint="eastAsia" w:cs="宋体"/>
          <w:color w:val="auto"/>
          <w:kern w:val="0"/>
          <w:sz w:val="22"/>
          <w:szCs w:val="22"/>
          <w:highlight w:val="none"/>
          <w:lang w:val="en-US" w:eastAsia="zh-CN"/>
        </w:rPr>
        <w:t>、</w:t>
      </w:r>
      <w:r>
        <w:rPr>
          <w:rFonts w:hint="eastAsia" w:ascii="宋体" w:hAnsi="宋体" w:eastAsia="宋体" w:cs="宋体"/>
          <w:bCs/>
          <w:color w:val="auto"/>
          <w:sz w:val="22"/>
          <w:szCs w:val="22"/>
          <w:highlight w:val="none"/>
        </w:rPr>
        <w:t>项目措施费、招标代理费、验收费等一切费用等相关其他费用，完成合同所需的一切本身和不可或缺的所有工作开支、政策性文件规定及合同包含的所有风险、责任等各项全部费用并承担一切风险责任。</w:t>
      </w:r>
    </w:p>
    <w:p w14:paraId="17D81D9A">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w:t>
      </w:r>
      <w:r>
        <w:rPr>
          <w:rFonts w:hint="eastAsia" w:cs="宋体"/>
          <w:bCs/>
          <w:color w:val="auto"/>
          <w:sz w:val="22"/>
          <w:szCs w:val="22"/>
          <w:highlight w:val="none"/>
          <w:lang w:eastAsia="zh-CN"/>
        </w:rPr>
        <w:t>（</w:t>
      </w:r>
      <w:r>
        <w:rPr>
          <w:rFonts w:hint="eastAsia" w:cs="宋体"/>
          <w:bCs/>
          <w:color w:val="auto"/>
          <w:sz w:val="22"/>
          <w:szCs w:val="22"/>
          <w:highlight w:val="none"/>
          <w:lang w:val="en-US" w:eastAsia="zh-CN"/>
        </w:rPr>
        <w:t>2）</w:t>
      </w:r>
      <w:r>
        <w:rPr>
          <w:rFonts w:hint="eastAsia" w:ascii="宋体" w:hAnsi="宋体" w:eastAsia="宋体" w:cs="宋体"/>
          <w:bCs/>
          <w:color w:val="auto"/>
          <w:sz w:val="22"/>
          <w:szCs w:val="22"/>
          <w:highlight w:val="none"/>
        </w:rPr>
        <w:t>本项目实行统一折扣率报价方式。采用固定单价包干的方式，实际发生金额以采购人结算审核后的实际完成</w:t>
      </w:r>
      <w:r>
        <w:rPr>
          <w:rFonts w:hint="eastAsia" w:cs="宋体"/>
          <w:bCs/>
          <w:color w:val="auto"/>
          <w:sz w:val="22"/>
          <w:szCs w:val="22"/>
          <w:highlight w:val="none"/>
          <w:lang w:eastAsia="zh-CN"/>
        </w:rPr>
        <w:t>数量</w:t>
      </w:r>
      <w:r>
        <w:rPr>
          <w:rFonts w:hint="eastAsia" w:ascii="宋体" w:hAnsi="宋体" w:eastAsia="宋体" w:cs="宋体"/>
          <w:bCs/>
          <w:color w:val="auto"/>
          <w:sz w:val="22"/>
          <w:szCs w:val="22"/>
          <w:highlight w:val="none"/>
        </w:rPr>
        <w:t>为准，但不能超过采购预算。最终根据各项服务项目(内容)、工作量及其所对应的中标折扣率下浮后的单价进行结算。结算综合单价=单价最高限价*中标折扣率。（</w:t>
      </w:r>
      <w:r>
        <w:rPr>
          <w:rFonts w:hint="eastAsia" w:ascii="宋体" w:hAnsi="宋体" w:eastAsia="宋体" w:cs="宋体"/>
          <w:bCs/>
          <w:color w:val="auto"/>
          <w:sz w:val="22"/>
          <w:szCs w:val="22"/>
          <w:highlight w:val="none"/>
          <w:lang w:eastAsia="zh-CN"/>
        </w:rPr>
        <w:t>折扣率</w:t>
      </w:r>
      <w:r>
        <w:rPr>
          <w:rFonts w:hint="eastAsia" w:ascii="宋体" w:hAnsi="宋体" w:eastAsia="宋体" w:cs="宋体"/>
          <w:bCs/>
          <w:color w:val="auto"/>
          <w:sz w:val="22"/>
          <w:szCs w:val="22"/>
          <w:highlight w:val="none"/>
        </w:rPr>
        <w:t>小数点后</w:t>
      </w:r>
      <w:r>
        <w:rPr>
          <w:rFonts w:hint="eastAsia" w:cs="宋体"/>
          <w:bCs/>
          <w:color w:val="auto"/>
          <w:sz w:val="22"/>
          <w:szCs w:val="22"/>
          <w:highlight w:val="none"/>
          <w:lang w:val="en-US" w:eastAsia="zh-CN"/>
        </w:rPr>
        <w:t>建议</w:t>
      </w:r>
      <w:r>
        <w:rPr>
          <w:rFonts w:hint="eastAsia" w:ascii="宋体" w:hAnsi="宋体" w:eastAsia="宋体" w:cs="宋体"/>
          <w:bCs/>
          <w:color w:val="auto"/>
          <w:sz w:val="22"/>
          <w:szCs w:val="22"/>
          <w:highlight w:val="none"/>
        </w:rPr>
        <w:t>最多保留两位，</w:t>
      </w:r>
      <w:r>
        <w:rPr>
          <w:rFonts w:hint="eastAsia" w:ascii="宋体" w:hAnsi="宋体" w:eastAsia="宋体" w:cs="宋体"/>
          <w:bCs/>
          <w:color w:val="auto"/>
          <w:sz w:val="22"/>
          <w:szCs w:val="22"/>
          <w:highlight w:val="none"/>
          <w:lang w:eastAsia="zh-CN"/>
        </w:rPr>
        <w:t>第三位</w:t>
      </w:r>
      <w:r>
        <w:rPr>
          <w:rFonts w:hint="eastAsia" w:ascii="宋体" w:hAnsi="宋体" w:eastAsia="宋体" w:cs="宋体"/>
          <w:bCs/>
          <w:color w:val="auto"/>
          <w:sz w:val="22"/>
          <w:szCs w:val="22"/>
          <w:highlight w:val="none"/>
        </w:rPr>
        <w:t>四舍五入）</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投标</w:t>
      </w:r>
      <w:r>
        <w:rPr>
          <w:rFonts w:hint="eastAsia" w:ascii="宋体" w:hAnsi="宋体" w:eastAsia="宋体" w:cs="宋体"/>
          <w:bCs/>
          <w:color w:val="auto"/>
          <w:sz w:val="22"/>
          <w:szCs w:val="22"/>
          <w:highlight w:val="none"/>
          <w:lang w:val="en-US" w:eastAsia="zh-CN"/>
        </w:rPr>
        <w:t>折扣</w:t>
      </w:r>
      <w:r>
        <w:rPr>
          <w:rFonts w:hint="eastAsia" w:ascii="宋体" w:hAnsi="宋体" w:eastAsia="宋体" w:cs="宋体"/>
          <w:bCs/>
          <w:color w:val="auto"/>
          <w:sz w:val="22"/>
          <w:szCs w:val="22"/>
          <w:highlight w:val="none"/>
        </w:rPr>
        <w:t>率大于100%或小于0%或未填写的，作无效标处理。</w:t>
      </w:r>
    </w:p>
    <w:p w14:paraId="4110EFCF">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w:t>
      </w:r>
      <w:r>
        <w:rPr>
          <w:rFonts w:hint="eastAsia" w:cs="宋体"/>
          <w:bCs/>
          <w:color w:val="auto"/>
          <w:sz w:val="22"/>
          <w:szCs w:val="22"/>
          <w:highlight w:val="none"/>
          <w:lang w:val="en-US" w:eastAsia="zh-CN"/>
        </w:rPr>
        <w:t>（3）本项目</w:t>
      </w:r>
      <w:r>
        <w:rPr>
          <w:rFonts w:hint="eastAsia" w:ascii="宋体" w:hAnsi="宋体" w:eastAsia="宋体" w:cs="宋体"/>
          <w:bCs/>
          <w:color w:val="auto"/>
          <w:sz w:val="22"/>
          <w:szCs w:val="22"/>
          <w:highlight w:val="none"/>
          <w:lang w:val="en-US" w:eastAsia="zh-CN"/>
        </w:rPr>
        <w:t>工作量暂定，结算按实际工作量*</w:t>
      </w:r>
      <w:r>
        <w:rPr>
          <w:rFonts w:hint="eastAsia" w:ascii="宋体" w:hAnsi="宋体" w:eastAsia="宋体" w:cs="宋体"/>
          <w:bCs/>
          <w:color w:val="auto"/>
          <w:sz w:val="22"/>
          <w:szCs w:val="22"/>
          <w:highlight w:val="none"/>
        </w:rPr>
        <w:t>中标</w:t>
      </w:r>
      <w:r>
        <w:rPr>
          <w:rFonts w:hint="eastAsia" w:ascii="宋体" w:hAnsi="宋体" w:eastAsia="宋体" w:cs="宋体"/>
          <w:bCs/>
          <w:color w:val="auto"/>
          <w:sz w:val="22"/>
          <w:szCs w:val="22"/>
          <w:highlight w:val="none"/>
          <w:lang w:eastAsia="zh-CN"/>
        </w:rPr>
        <w:t>折扣率</w:t>
      </w:r>
      <w:r>
        <w:rPr>
          <w:rFonts w:hint="eastAsia" w:ascii="宋体" w:hAnsi="宋体" w:eastAsia="宋体" w:cs="宋体"/>
          <w:bCs/>
          <w:color w:val="auto"/>
          <w:sz w:val="22"/>
          <w:szCs w:val="22"/>
          <w:highlight w:val="none"/>
        </w:rPr>
        <w:t>下浮后的单价办理，但不能超过采购预算</w:t>
      </w:r>
      <w:r>
        <w:rPr>
          <w:rFonts w:hint="eastAsia" w:cs="宋体"/>
          <w:bCs/>
          <w:color w:val="auto"/>
          <w:sz w:val="22"/>
          <w:szCs w:val="22"/>
          <w:highlight w:val="none"/>
          <w:lang w:val="en-US" w:eastAsia="zh-CN"/>
        </w:rPr>
        <w:t>金额</w:t>
      </w:r>
      <w:r>
        <w:rPr>
          <w:rFonts w:hint="eastAsia" w:ascii="宋体" w:hAnsi="宋体" w:eastAsia="宋体" w:cs="宋体"/>
          <w:bCs/>
          <w:color w:val="auto"/>
          <w:sz w:val="22"/>
          <w:szCs w:val="22"/>
          <w:highlight w:val="none"/>
          <w:lang w:val="en-US" w:eastAsia="zh-CN"/>
        </w:rPr>
        <w:t>150万元</w:t>
      </w:r>
      <w:r>
        <w:rPr>
          <w:rFonts w:hint="eastAsia" w:ascii="宋体" w:hAnsi="宋体" w:eastAsia="宋体" w:cs="宋体"/>
          <w:bCs/>
          <w:color w:val="auto"/>
          <w:sz w:val="22"/>
          <w:szCs w:val="22"/>
          <w:highlight w:val="none"/>
        </w:rPr>
        <w:t>人民币。</w:t>
      </w:r>
      <w:r>
        <w:rPr>
          <w:rFonts w:hint="eastAsia" w:ascii="宋体" w:hAnsi="宋体" w:eastAsia="宋体" w:cs="宋体"/>
          <w:bCs/>
          <w:color w:val="auto"/>
          <w:sz w:val="22"/>
          <w:szCs w:val="22"/>
          <w:highlight w:val="none"/>
          <w:lang w:val="en-US" w:eastAsia="zh-CN"/>
        </w:rPr>
        <w:t>采购方不承担最终完成量达不到合同金额的责任，中标供应商应充分考虑该风险。</w:t>
      </w:r>
      <w:r>
        <w:rPr>
          <w:rFonts w:hint="eastAsia" w:ascii="宋体" w:hAnsi="宋体" w:eastAsia="宋体" w:cs="宋体"/>
          <w:bCs/>
          <w:color w:val="auto"/>
          <w:sz w:val="22"/>
          <w:szCs w:val="22"/>
          <w:highlight w:val="none"/>
        </w:rPr>
        <w:t>投标人须现场踏勘考虑风险因素。投标人报价不得超过上表单价最高限价，超过上表单价最高限价的报价按无效投标处理。</w:t>
      </w:r>
    </w:p>
    <w:p w14:paraId="24429C40">
      <w:pPr>
        <w:spacing w:line="360" w:lineRule="auto"/>
        <w:ind w:firstLine="442" w:firstLineChars="200"/>
        <w:rPr>
          <w:rFonts w:hint="eastAsia" w:ascii="宋体" w:hAnsi="宋体" w:eastAsia="宋体" w:cs="宋体"/>
          <w:bCs/>
          <w:color w:val="auto"/>
          <w:sz w:val="22"/>
          <w:szCs w:val="22"/>
          <w:highlight w:val="none"/>
          <w:lang w:val="en-US" w:eastAsia="zh-CN"/>
        </w:rPr>
      </w:pPr>
      <w:r>
        <w:rPr>
          <w:rFonts w:hint="eastAsia" w:cs="宋体"/>
          <w:b/>
          <w:bCs w:val="0"/>
          <w:color w:val="auto"/>
          <w:sz w:val="22"/>
          <w:szCs w:val="22"/>
          <w:highlight w:val="none"/>
          <w:lang w:val="en-US" w:eastAsia="zh-CN"/>
        </w:rPr>
        <w:t>4</w:t>
      </w:r>
      <w:r>
        <w:rPr>
          <w:rFonts w:hint="eastAsia" w:ascii="宋体" w:hAnsi="宋体" w:eastAsia="宋体" w:cs="宋体"/>
          <w:b/>
          <w:bCs w:val="0"/>
          <w:color w:val="auto"/>
          <w:sz w:val="22"/>
          <w:szCs w:val="22"/>
          <w:highlight w:val="none"/>
          <w:lang w:val="en-US" w:eastAsia="zh-CN"/>
        </w:rPr>
        <w:t>、质量要求</w:t>
      </w:r>
    </w:p>
    <w:p w14:paraId="49886DB5">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（1）为保证</w:t>
      </w:r>
      <w:r>
        <w:rPr>
          <w:rFonts w:hint="eastAsia" w:cs="宋体"/>
          <w:bCs/>
          <w:color w:val="auto"/>
          <w:sz w:val="22"/>
          <w:szCs w:val="22"/>
          <w:highlight w:val="none"/>
          <w:lang w:val="en-US" w:eastAsia="zh-CN"/>
        </w:rPr>
        <w:t>项目</w:t>
      </w:r>
      <w:r>
        <w:rPr>
          <w:rFonts w:hint="eastAsia" w:ascii="宋体" w:hAnsi="宋体" w:eastAsia="宋体" w:cs="宋体"/>
          <w:bCs/>
          <w:color w:val="auto"/>
          <w:sz w:val="22"/>
          <w:szCs w:val="22"/>
          <w:highlight w:val="none"/>
          <w:lang w:val="en-US" w:eastAsia="zh-CN"/>
        </w:rPr>
        <w:t>质量，投标供应商需保证投标产品参数的真实性，供货时采购人及监理单位将进行如实核对，如查实投标产品技术参数有弄虚作假，将上报采购主管部门，废除其中标人资格并保留追究责任的权利。</w:t>
      </w:r>
    </w:p>
    <w:p w14:paraId="2B73C044">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（2）为保证</w:t>
      </w:r>
      <w:r>
        <w:rPr>
          <w:rFonts w:hint="eastAsia" w:cs="宋体"/>
          <w:bCs/>
          <w:color w:val="auto"/>
          <w:sz w:val="22"/>
          <w:szCs w:val="22"/>
          <w:highlight w:val="none"/>
          <w:lang w:val="en-US" w:eastAsia="zh-CN"/>
        </w:rPr>
        <w:t>项目</w:t>
      </w:r>
      <w:r>
        <w:rPr>
          <w:rFonts w:hint="eastAsia" w:ascii="宋体" w:hAnsi="宋体" w:eastAsia="宋体" w:cs="宋体"/>
          <w:bCs/>
          <w:color w:val="auto"/>
          <w:sz w:val="22"/>
          <w:szCs w:val="22"/>
          <w:highlight w:val="none"/>
          <w:lang w:val="en-US" w:eastAsia="zh-CN"/>
        </w:rPr>
        <w:t>质量，本项目采购人（监理）将对到货设备进行严格验收，如实际安装设备达不到招标文件技术要求或安装型号参数与投标文件不一致的，做验收不通过处理，对此采购人有权无条件取消合同并不予退还履约保证金；供应商到货及安装、退货等所造成的损失自行承担。</w:t>
      </w:r>
    </w:p>
    <w:p w14:paraId="00D180C4">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（3）▲本次建设的交通信号机系统、电警抓拍系统、诱导屏和后端存储设备必须能够与温州市平阳县交警大队智能交通控制平台实现无缝对接，平台接入遇有技术性问题或费用问题由中标供应商自行解决；</w:t>
      </w:r>
    </w:p>
    <w:p w14:paraId="5A30E9B6">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cs="宋体"/>
          <w:bCs/>
          <w:color w:val="auto"/>
          <w:sz w:val="22"/>
          <w:szCs w:val="22"/>
          <w:highlight w:val="none"/>
          <w:lang w:val="en-US" w:eastAsia="zh-CN"/>
        </w:rPr>
        <w:t>（4）</w:t>
      </w:r>
      <w:r>
        <w:rPr>
          <w:rFonts w:hint="eastAsia" w:ascii="宋体" w:hAnsi="宋体" w:eastAsia="宋体" w:cs="宋体"/>
          <w:bCs/>
          <w:color w:val="auto"/>
          <w:sz w:val="22"/>
          <w:szCs w:val="22"/>
          <w:highlight w:val="none"/>
          <w:lang w:val="en-US" w:eastAsia="zh-CN"/>
        </w:rPr>
        <w:t>所有产品须符合国家强制认证要求，国家暂无规定的，应符合行业或企业标准。</w:t>
      </w:r>
    </w:p>
    <w:p w14:paraId="259C635E">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cs="宋体"/>
          <w:bCs/>
          <w:color w:val="auto"/>
          <w:sz w:val="22"/>
          <w:szCs w:val="22"/>
          <w:highlight w:val="none"/>
          <w:lang w:val="en-US" w:eastAsia="zh-CN"/>
        </w:rPr>
        <w:t>（5）</w:t>
      </w:r>
      <w:r>
        <w:rPr>
          <w:rFonts w:hint="eastAsia" w:ascii="宋体" w:hAnsi="宋体" w:eastAsia="宋体" w:cs="宋体"/>
          <w:bCs/>
          <w:color w:val="auto"/>
          <w:sz w:val="22"/>
          <w:szCs w:val="22"/>
          <w:highlight w:val="none"/>
          <w:lang w:val="en-US" w:eastAsia="zh-CN"/>
        </w:rPr>
        <w:t>投标供应商需保证投标资料的真实性，合法性，合同签订前，采购人有权要求中标供应商提供相关投标文件材料原件进行核实核对，如查实投标产品技术参数或投标资料文件有不符或弄虚作假行为的，将上报采购主管部门，废除其中标人资格并有保留追究责任的权利。</w:t>
      </w:r>
    </w:p>
    <w:p w14:paraId="4A0D6588">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cs="宋体"/>
          <w:bCs/>
          <w:color w:val="auto"/>
          <w:sz w:val="22"/>
          <w:szCs w:val="22"/>
          <w:highlight w:val="none"/>
          <w:lang w:val="en-US" w:eastAsia="zh-CN"/>
        </w:rPr>
        <w:t>（6）</w:t>
      </w:r>
      <w:r>
        <w:rPr>
          <w:rFonts w:hint="eastAsia" w:ascii="宋体" w:hAnsi="宋体" w:eastAsia="宋体" w:cs="宋体"/>
          <w:bCs/>
          <w:color w:val="auto"/>
          <w:sz w:val="22"/>
          <w:szCs w:val="22"/>
          <w:highlight w:val="none"/>
          <w:lang w:val="en-US" w:eastAsia="zh-CN"/>
        </w:rPr>
        <w:t>供应商需保证</w:t>
      </w:r>
      <w:r>
        <w:rPr>
          <w:rFonts w:hint="eastAsia" w:cs="宋体"/>
          <w:bCs/>
          <w:color w:val="auto"/>
          <w:sz w:val="22"/>
          <w:szCs w:val="22"/>
          <w:highlight w:val="none"/>
          <w:lang w:val="en-US" w:eastAsia="zh-CN"/>
        </w:rPr>
        <w:t>所投</w:t>
      </w:r>
      <w:r>
        <w:rPr>
          <w:rFonts w:hint="eastAsia" w:ascii="宋体" w:hAnsi="宋体" w:eastAsia="宋体" w:cs="宋体"/>
          <w:bCs/>
          <w:color w:val="auto"/>
          <w:sz w:val="22"/>
          <w:szCs w:val="22"/>
          <w:highlight w:val="none"/>
          <w:lang w:val="en-US" w:eastAsia="zh-CN"/>
        </w:rPr>
        <w:t>设备均为制造商原产原装产品，保证所提供设备是全新的、未使用过的，并完全符合采购文件规定的质量、规格和性能的要求。</w:t>
      </w:r>
    </w:p>
    <w:p w14:paraId="03EE17B1">
      <w:pPr>
        <w:tabs>
          <w:tab w:val="left" w:pos="2101"/>
        </w:tabs>
        <w:spacing w:line="360" w:lineRule="auto"/>
        <w:ind w:firstLine="442" w:firstLineChars="200"/>
        <w:rPr>
          <w:rFonts w:hint="default" w:eastAsia="宋体"/>
          <w:b/>
          <w:color w:val="auto"/>
          <w:sz w:val="22"/>
          <w:szCs w:val="22"/>
          <w:highlight w:val="none"/>
          <w:lang w:val="en-US" w:eastAsia="zh-CN"/>
        </w:rPr>
      </w:pPr>
      <w:r>
        <w:rPr>
          <w:rFonts w:hint="eastAsia"/>
          <w:b/>
          <w:color w:val="auto"/>
          <w:sz w:val="22"/>
          <w:szCs w:val="22"/>
          <w:highlight w:val="none"/>
          <w:lang w:val="en-US" w:eastAsia="zh-CN"/>
        </w:rPr>
        <w:t>5</w:t>
      </w:r>
      <w:r>
        <w:rPr>
          <w:rFonts w:hint="eastAsia"/>
          <w:b/>
          <w:color w:val="auto"/>
          <w:sz w:val="22"/>
          <w:szCs w:val="22"/>
          <w:highlight w:val="none"/>
        </w:rPr>
        <w:t>、</w:t>
      </w:r>
      <w:r>
        <w:rPr>
          <w:rFonts w:hint="eastAsia"/>
          <w:b/>
          <w:color w:val="auto"/>
          <w:sz w:val="22"/>
          <w:szCs w:val="22"/>
          <w:highlight w:val="none"/>
          <w:lang w:val="en-US" w:eastAsia="zh-CN"/>
        </w:rPr>
        <w:t>设备安装相关要求</w:t>
      </w:r>
    </w:p>
    <w:p w14:paraId="0C619D8E">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（1）</w:t>
      </w:r>
      <w:r>
        <w:rPr>
          <w:rFonts w:hint="eastAsia"/>
          <w:bCs/>
          <w:color w:val="auto"/>
          <w:sz w:val="22"/>
          <w:szCs w:val="22"/>
          <w:highlight w:val="none"/>
          <w:lang w:eastAsia="zh-CN"/>
        </w:rPr>
        <w:t>实施</w:t>
      </w:r>
      <w:r>
        <w:rPr>
          <w:rFonts w:hint="eastAsia"/>
          <w:bCs/>
          <w:color w:val="auto"/>
          <w:sz w:val="22"/>
          <w:szCs w:val="22"/>
          <w:highlight w:val="none"/>
        </w:rPr>
        <w:t>条件：</w:t>
      </w:r>
      <w:r>
        <w:rPr>
          <w:rFonts w:hint="eastAsia"/>
          <w:bCs/>
          <w:color w:val="auto"/>
          <w:sz w:val="22"/>
          <w:szCs w:val="22"/>
          <w:highlight w:val="none"/>
          <w:lang w:eastAsia="zh-CN"/>
        </w:rPr>
        <w:t>实施</w:t>
      </w:r>
      <w:r>
        <w:rPr>
          <w:rFonts w:hint="eastAsia"/>
          <w:bCs/>
          <w:color w:val="auto"/>
          <w:sz w:val="22"/>
          <w:szCs w:val="22"/>
          <w:highlight w:val="none"/>
        </w:rPr>
        <w:t>条件由中标供应商负责并承担费用，接电接水由中标供应商负责并承担费用，根据工程需要，所有</w:t>
      </w:r>
      <w:r>
        <w:rPr>
          <w:rFonts w:hint="eastAsia"/>
          <w:bCs/>
          <w:color w:val="auto"/>
          <w:sz w:val="22"/>
          <w:szCs w:val="22"/>
          <w:highlight w:val="none"/>
          <w:lang w:eastAsia="zh-CN"/>
        </w:rPr>
        <w:t>实施</w:t>
      </w:r>
      <w:r>
        <w:rPr>
          <w:rFonts w:hint="eastAsia"/>
          <w:bCs/>
          <w:color w:val="auto"/>
          <w:sz w:val="22"/>
          <w:szCs w:val="22"/>
          <w:highlight w:val="none"/>
        </w:rPr>
        <w:t>使用的照明、围护等安全文明施工所需设施，以及安全保卫，由中标供应商负责并承担此项费用。</w:t>
      </w:r>
      <w:r>
        <w:rPr>
          <w:rFonts w:hint="eastAsia"/>
          <w:bCs/>
          <w:color w:val="auto"/>
          <w:sz w:val="22"/>
          <w:szCs w:val="22"/>
          <w:highlight w:val="none"/>
          <w:lang w:eastAsia="zh-CN"/>
        </w:rPr>
        <w:t>实施</w:t>
      </w:r>
      <w:r>
        <w:rPr>
          <w:rFonts w:hint="eastAsia"/>
          <w:bCs/>
          <w:color w:val="auto"/>
          <w:sz w:val="22"/>
          <w:szCs w:val="22"/>
          <w:highlight w:val="none"/>
        </w:rPr>
        <w:t>所产生建筑垃圾由中标供应商负责及时清理及外运。</w:t>
      </w:r>
    </w:p>
    <w:p w14:paraId="2D9D9218">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w:t>
      </w:r>
      <w:r>
        <w:rPr>
          <w:rFonts w:hint="eastAsia"/>
          <w:bCs/>
          <w:color w:val="auto"/>
          <w:sz w:val="22"/>
          <w:szCs w:val="22"/>
          <w:highlight w:val="none"/>
          <w:lang w:val="en-US" w:eastAsia="zh-CN"/>
        </w:rPr>
        <w:t>2</w:t>
      </w:r>
      <w:r>
        <w:rPr>
          <w:rFonts w:hint="eastAsia"/>
          <w:bCs/>
          <w:color w:val="auto"/>
          <w:sz w:val="22"/>
          <w:szCs w:val="22"/>
          <w:highlight w:val="none"/>
        </w:rPr>
        <w:t>）拟投入本项目的所有设备供应商自备。设备要求：供应商自有或租赁或承诺项目实施期间提供满足本项目要求的相关设备与设施。</w:t>
      </w:r>
    </w:p>
    <w:p w14:paraId="646E543E">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w:t>
      </w:r>
      <w:r>
        <w:rPr>
          <w:rFonts w:hint="eastAsia"/>
          <w:bCs/>
          <w:color w:val="auto"/>
          <w:sz w:val="22"/>
          <w:szCs w:val="22"/>
          <w:highlight w:val="none"/>
          <w:lang w:val="en-US" w:eastAsia="zh-CN"/>
        </w:rPr>
        <w:t>3</w:t>
      </w:r>
      <w:r>
        <w:rPr>
          <w:rFonts w:hint="eastAsia"/>
          <w:bCs/>
          <w:color w:val="auto"/>
          <w:sz w:val="22"/>
          <w:szCs w:val="22"/>
          <w:highlight w:val="none"/>
        </w:rPr>
        <w:t>）</w:t>
      </w:r>
      <w:r>
        <w:rPr>
          <w:rFonts w:hint="eastAsia"/>
          <w:bCs/>
          <w:color w:val="auto"/>
          <w:sz w:val="22"/>
          <w:szCs w:val="22"/>
          <w:highlight w:val="none"/>
          <w:lang w:val="en-US" w:eastAsia="zh-CN"/>
        </w:rPr>
        <w:t>实施</w:t>
      </w:r>
      <w:r>
        <w:rPr>
          <w:rFonts w:hint="eastAsia"/>
          <w:bCs/>
          <w:color w:val="auto"/>
          <w:sz w:val="22"/>
          <w:szCs w:val="22"/>
          <w:highlight w:val="none"/>
        </w:rPr>
        <w:t>响应时间：考虑到实际情况有时紧急，中标供应商在接到采购人要求</w:t>
      </w:r>
      <w:r>
        <w:rPr>
          <w:rFonts w:hint="eastAsia"/>
          <w:bCs/>
          <w:color w:val="auto"/>
          <w:sz w:val="22"/>
          <w:szCs w:val="22"/>
          <w:highlight w:val="none"/>
          <w:lang w:eastAsia="zh-CN"/>
        </w:rPr>
        <w:t>实施</w:t>
      </w:r>
      <w:r>
        <w:rPr>
          <w:rFonts w:hint="eastAsia"/>
          <w:bCs/>
          <w:color w:val="auto"/>
          <w:sz w:val="22"/>
          <w:szCs w:val="22"/>
          <w:highlight w:val="none"/>
        </w:rPr>
        <w:t>电话后须在1小时内响应，并在2小时内派人及安排设备到达现场开始处理问题，提供不间断的</w:t>
      </w:r>
      <w:r>
        <w:rPr>
          <w:rFonts w:hint="eastAsia"/>
          <w:bCs/>
          <w:color w:val="auto"/>
          <w:sz w:val="22"/>
          <w:szCs w:val="22"/>
          <w:highlight w:val="none"/>
          <w:lang w:val="en-US" w:eastAsia="zh-CN"/>
        </w:rPr>
        <w:t>实施安装</w:t>
      </w:r>
      <w:r>
        <w:rPr>
          <w:rFonts w:hint="eastAsia"/>
          <w:bCs/>
          <w:color w:val="auto"/>
          <w:sz w:val="22"/>
          <w:szCs w:val="22"/>
          <w:highlight w:val="none"/>
        </w:rPr>
        <w:t>直到结束。若未在1小时内响应或未在2小时内赶到现场处理问题的将在履约保证金中扣除1000元/次。若连续发生三次采购人有权终止取消承包合同，同时履约保证金将不予退还。</w:t>
      </w:r>
    </w:p>
    <w:p w14:paraId="60CD043F">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w:t>
      </w:r>
      <w:r>
        <w:rPr>
          <w:rFonts w:hint="eastAsia"/>
          <w:bCs/>
          <w:color w:val="auto"/>
          <w:sz w:val="22"/>
          <w:szCs w:val="22"/>
          <w:highlight w:val="none"/>
          <w:lang w:val="en-US" w:eastAsia="zh-CN"/>
        </w:rPr>
        <w:t>4</w:t>
      </w:r>
      <w:r>
        <w:rPr>
          <w:rFonts w:hint="eastAsia"/>
          <w:bCs/>
          <w:color w:val="auto"/>
          <w:sz w:val="22"/>
          <w:szCs w:val="22"/>
          <w:highlight w:val="none"/>
        </w:rPr>
        <w:t>）因中标供应商安全生产、文明施工、工程质量等未到位等原因引起的投诉事件或不良事件等，则按事件严重情况给予500-5000元的罚款（从</w:t>
      </w:r>
      <w:r>
        <w:rPr>
          <w:rFonts w:hint="eastAsia"/>
          <w:bCs/>
          <w:color w:val="auto"/>
          <w:sz w:val="22"/>
          <w:szCs w:val="22"/>
          <w:highlight w:val="none"/>
          <w:lang w:val="en-US" w:eastAsia="zh-CN"/>
        </w:rPr>
        <w:t>货款</w:t>
      </w:r>
      <w:r>
        <w:rPr>
          <w:rFonts w:hint="eastAsia"/>
          <w:bCs/>
          <w:color w:val="auto"/>
          <w:sz w:val="22"/>
          <w:szCs w:val="22"/>
          <w:highlight w:val="none"/>
        </w:rPr>
        <w:t>中扣除，并赔偿相应损失）。</w:t>
      </w:r>
    </w:p>
    <w:p w14:paraId="4583A651">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w:t>
      </w:r>
      <w:r>
        <w:rPr>
          <w:rFonts w:hint="eastAsia"/>
          <w:bCs/>
          <w:color w:val="auto"/>
          <w:sz w:val="22"/>
          <w:szCs w:val="22"/>
          <w:highlight w:val="none"/>
          <w:lang w:val="en-US" w:eastAsia="zh-CN"/>
        </w:rPr>
        <w:t>5</w:t>
      </w:r>
      <w:r>
        <w:rPr>
          <w:rFonts w:hint="eastAsia"/>
          <w:bCs/>
          <w:color w:val="auto"/>
          <w:sz w:val="22"/>
          <w:szCs w:val="22"/>
          <w:highlight w:val="none"/>
        </w:rPr>
        <w:t>）在履行合同中，如中标供应商未按采购人要求的时间保质保量完工，不服从采购人的指导检查或拒绝履行合同规定的任何义务，经催告后在合理期限内仍不履行的，采购人有权没收全部履约保证金。由中标供应商承担违约责任，并另行赔偿采购人全部损失。</w:t>
      </w:r>
    </w:p>
    <w:p w14:paraId="0A31AB02">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w:t>
      </w:r>
      <w:r>
        <w:rPr>
          <w:rFonts w:hint="eastAsia"/>
          <w:bCs/>
          <w:color w:val="auto"/>
          <w:sz w:val="22"/>
          <w:szCs w:val="22"/>
          <w:highlight w:val="none"/>
          <w:lang w:val="en-US" w:eastAsia="zh-CN"/>
        </w:rPr>
        <w:t>6</w:t>
      </w:r>
      <w:r>
        <w:rPr>
          <w:rFonts w:hint="eastAsia"/>
          <w:bCs/>
          <w:color w:val="auto"/>
          <w:sz w:val="22"/>
          <w:szCs w:val="22"/>
          <w:highlight w:val="none"/>
        </w:rPr>
        <w:t>）在履行合同中，如中标供应商未按采购人要求的时间保质保量完工，不服从采购人的指导检查，采购人有权终止合同，同时履约保证金将不予退还。</w:t>
      </w:r>
    </w:p>
    <w:p w14:paraId="3F319195">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w:t>
      </w:r>
      <w:r>
        <w:rPr>
          <w:rFonts w:hint="eastAsia"/>
          <w:bCs/>
          <w:color w:val="auto"/>
          <w:sz w:val="22"/>
          <w:szCs w:val="22"/>
          <w:highlight w:val="none"/>
          <w:lang w:val="en-US" w:eastAsia="zh-CN"/>
        </w:rPr>
        <w:t>7</w:t>
      </w:r>
      <w:r>
        <w:rPr>
          <w:rFonts w:hint="eastAsia"/>
          <w:bCs/>
          <w:color w:val="auto"/>
          <w:sz w:val="22"/>
          <w:szCs w:val="22"/>
          <w:highlight w:val="none"/>
        </w:rPr>
        <w:t>）</w:t>
      </w:r>
      <w:r>
        <w:rPr>
          <w:rFonts w:hint="eastAsia"/>
          <w:bCs/>
          <w:color w:val="auto"/>
          <w:sz w:val="22"/>
          <w:szCs w:val="22"/>
          <w:highlight w:val="none"/>
          <w:lang w:val="en-US" w:eastAsia="zh-CN"/>
        </w:rPr>
        <w:t>实施工作</w:t>
      </w:r>
      <w:r>
        <w:rPr>
          <w:rFonts w:hint="eastAsia"/>
          <w:bCs/>
          <w:color w:val="auto"/>
          <w:sz w:val="22"/>
          <w:szCs w:val="22"/>
          <w:highlight w:val="none"/>
        </w:rPr>
        <w:t>人员要求：根据实际情况投入</w:t>
      </w:r>
      <w:r>
        <w:rPr>
          <w:rFonts w:hint="eastAsia"/>
          <w:bCs/>
          <w:color w:val="auto"/>
          <w:sz w:val="22"/>
          <w:szCs w:val="22"/>
          <w:highlight w:val="none"/>
          <w:lang w:val="en-US" w:eastAsia="zh-CN"/>
        </w:rPr>
        <w:t>所需的实施</w:t>
      </w:r>
      <w:r>
        <w:rPr>
          <w:rFonts w:hint="eastAsia"/>
          <w:bCs/>
          <w:color w:val="auto"/>
          <w:sz w:val="22"/>
          <w:szCs w:val="22"/>
          <w:highlight w:val="none"/>
        </w:rPr>
        <w:t>工作人员。</w:t>
      </w:r>
    </w:p>
    <w:p w14:paraId="08711587">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w:t>
      </w:r>
      <w:r>
        <w:rPr>
          <w:rFonts w:hint="eastAsia"/>
          <w:bCs/>
          <w:color w:val="auto"/>
          <w:sz w:val="22"/>
          <w:szCs w:val="22"/>
          <w:highlight w:val="none"/>
          <w:lang w:val="en-US" w:eastAsia="zh-CN"/>
        </w:rPr>
        <w:t>8</w:t>
      </w:r>
      <w:r>
        <w:rPr>
          <w:rFonts w:hint="eastAsia"/>
          <w:bCs/>
          <w:color w:val="auto"/>
          <w:sz w:val="22"/>
          <w:szCs w:val="22"/>
          <w:highlight w:val="none"/>
        </w:rPr>
        <w:t>）供应商在投标文件中说明提供的服务计划。</w:t>
      </w:r>
    </w:p>
    <w:p w14:paraId="4C40135A">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w:t>
      </w:r>
      <w:r>
        <w:rPr>
          <w:rFonts w:hint="eastAsia" w:ascii="宋体" w:eastAsia="宋体"/>
          <w:b w:val="0"/>
          <w:color w:val="auto"/>
          <w:sz w:val="22"/>
          <w:szCs w:val="22"/>
          <w:highlight w:val="none"/>
          <w:lang w:val="en-US" w:eastAsia="zh-CN"/>
        </w:rPr>
        <w:t>9</w:t>
      </w:r>
      <w:r>
        <w:rPr>
          <w:rFonts w:hint="eastAsia" w:ascii="宋体" w:eastAsia="宋体"/>
          <w:b w:val="0"/>
          <w:color w:val="auto"/>
          <w:sz w:val="22"/>
          <w:szCs w:val="22"/>
          <w:highlight w:val="none"/>
        </w:rPr>
        <w:t>）投标人在合同履行期间必须接受</w:t>
      </w:r>
      <w:r>
        <w:rPr>
          <w:rFonts w:hint="eastAsia" w:ascii="宋体" w:eastAsia="宋体"/>
          <w:b w:val="0"/>
          <w:color w:val="auto"/>
          <w:sz w:val="22"/>
          <w:szCs w:val="22"/>
          <w:highlight w:val="none"/>
          <w:lang w:val="en-US" w:eastAsia="zh-CN"/>
        </w:rPr>
        <w:t>采购人</w:t>
      </w:r>
      <w:r>
        <w:rPr>
          <w:rFonts w:hint="eastAsia" w:ascii="宋体" w:eastAsia="宋体"/>
          <w:b w:val="0"/>
          <w:color w:val="auto"/>
          <w:sz w:val="22"/>
          <w:szCs w:val="22"/>
          <w:highlight w:val="none"/>
        </w:rPr>
        <w:t>的业务指导和监督管理。</w:t>
      </w:r>
    </w:p>
    <w:p w14:paraId="7CFDC9F4">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w:t>
      </w:r>
      <w:r>
        <w:rPr>
          <w:rFonts w:hint="eastAsia" w:ascii="宋体" w:eastAsia="宋体"/>
          <w:b w:val="0"/>
          <w:color w:val="auto"/>
          <w:sz w:val="22"/>
          <w:szCs w:val="22"/>
          <w:highlight w:val="none"/>
          <w:lang w:val="en-US" w:eastAsia="zh-CN"/>
        </w:rPr>
        <w:t>10</w:t>
      </w:r>
      <w:r>
        <w:rPr>
          <w:rFonts w:hint="eastAsia" w:ascii="宋体" w:eastAsia="宋体"/>
          <w:b w:val="0"/>
          <w:color w:val="auto"/>
          <w:sz w:val="22"/>
          <w:szCs w:val="22"/>
          <w:highlight w:val="none"/>
        </w:rPr>
        <w:t>）</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为本项目投入的专业相关</w:t>
      </w:r>
      <w:r>
        <w:rPr>
          <w:rFonts w:hint="eastAsia"/>
          <w:b w:val="0"/>
          <w:color w:val="auto"/>
          <w:sz w:val="22"/>
          <w:szCs w:val="22"/>
          <w:highlight w:val="none"/>
          <w:lang w:val="en-US" w:eastAsia="zh-CN"/>
        </w:rPr>
        <w:t>工作</w:t>
      </w:r>
      <w:r>
        <w:rPr>
          <w:rFonts w:hint="eastAsia" w:ascii="宋体" w:eastAsia="宋体"/>
          <w:b w:val="0"/>
          <w:color w:val="auto"/>
          <w:sz w:val="22"/>
          <w:szCs w:val="22"/>
          <w:highlight w:val="none"/>
        </w:rPr>
        <w:t>人员不少于3名。</w:t>
      </w:r>
    </w:p>
    <w:p w14:paraId="57441C2B">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w:t>
      </w:r>
      <w:r>
        <w:rPr>
          <w:rFonts w:hint="eastAsia" w:ascii="宋体" w:eastAsia="宋体"/>
          <w:b w:val="0"/>
          <w:color w:val="auto"/>
          <w:sz w:val="22"/>
          <w:szCs w:val="22"/>
          <w:highlight w:val="none"/>
          <w:lang w:val="en-US" w:eastAsia="zh-CN"/>
        </w:rPr>
        <w:t>11</w:t>
      </w:r>
      <w:r>
        <w:rPr>
          <w:rFonts w:hint="eastAsia" w:ascii="宋体" w:eastAsia="宋体"/>
          <w:b w:val="0"/>
          <w:color w:val="auto"/>
          <w:sz w:val="22"/>
          <w:szCs w:val="22"/>
          <w:highlight w:val="none"/>
        </w:rPr>
        <w:t>）若线路井盖及线箱损坏或被盗时，</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必须负责更换；如在更换或维</w:t>
      </w:r>
      <w:r>
        <w:rPr>
          <w:rFonts w:hint="eastAsia" w:ascii="宋体" w:eastAsia="宋体"/>
          <w:b w:val="0"/>
          <w:color w:val="auto"/>
          <w:sz w:val="22"/>
          <w:szCs w:val="22"/>
          <w:highlight w:val="none"/>
          <w:lang w:val="en-US" w:eastAsia="zh-CN"/>
        </w:rPr>
        <w:t>护</w:t>
      </w:r>
      <w:r>
        <w:rPr>
          <w:rFonts w:hint="eastAsia" w:ascii="宋体" w:eastAsia="宋体"/>
          <w:b w:val="0"/>
          <w:color w:val="auto"/>
          <w:sz w:val="22"/>
          <w:szCs w:val="22"/>
          <w:highlight w:val="none"/>
        </w:rPr>
        <w:t>交通信号灯时对绿化造成损害，</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必须负责补种，补种费用由</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负责。</w:t>
      </w:r>
    </w:p>
    <w:p w14:paraId="3729936F">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w:t>
      </w:r>
      <w:r>
        <w:rPr>
          <w:rFonts w:hint="eastAsia" w:ascii="宋体" w:eastAsia="宋体"/>
          <w:b w:val="0"/>
          <w:color w:val="auto"/>
          <w:sz w:val="22"/>
          <w:szCs w:val="22"/>
          <w:highlight w:val="none"/>
          <w:lang w:val="en-US" w:eastAsia="zh-CN"/>
        </w:rPr>
        <w:t>12</w:t>
      </w:r>
      <w:r>
        <w:rPr>
          <w:rFonts w:hint="eastAsia" w:ascii="宋体" w:eastAsia="宋体"/>
          <w:b w:val="0"/>
          <w:color w:val="auto"/>
          <w:sz w:val="22"/>
          <w:szCs w:val="22"/>
          <w:highlight w:val="none"/>
        </w:rPr>
        <w:t>）如果线路维修需要开凿路面的，须经有关部门批准后，</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才能施行路面开凿工作。</w:t>
      </w:r>
    </w:p>
    <w:p w14:paraId="442DE2B1">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w:t>
      </w:r>
      <w:r>
        <w:rPr>
          <w:rFonts w:hint="eastAsia" w:ascii="宋体" w:eastAsia="宋体"/>
          <w:b w:val="0"/>
          <w:color w:val="auto"/>
          <w:sz w:val="22"/>
          <w:szCs w:val="22"/>
          <w:highlight w:val="none"/>
          <w:lang w:val="en-US" w:eastAsia="zh-CN"/>
        </w:rPr>
        <w:t>13</w:t>
      </w:r>
      <w:r>
        <w:rPr>
          <w:rFonts w:hint="eastAsia" w:ascii="宋体" w:eastAsia="宋体"/>
          <w:b w:val="0"/>
          <w:color w:val="auto"/>
          <w:sz w:val="22"/>
          <w:szCs w:val="22"/>
          <w:highlight w:val="none"/>
        </w:rPr>
        <w:t>）对承包项目内的电子警察、卡口、视频监控、交通信号灯，</w:t>
      </w:r>
      <w:r>
        <w:rPr>
          <w:rFonts w:hint="eastAsia"/>
          <w:b w:val="0"/>
          <w:color w:val="auto"/>
          <w:sz w:val="22"/>
          <w:szCs w:val="22"/>
          <w:highlight w:val="none"/>
          <w:lang w:val="en-US" w:eastAsia="zh-CN"/>
        </w:rPr>
        <w:t>在实施期及质保期内，中标供应商</w:t>
      </w:r>
      <w:r>
        <w:rPr>
          <w:rFonts w:hint="eastAsia" w:ascii="宋体" w:eastAsia="宋体"/>
          <w:b w:val="0"/>
          <w:color w:val="auto"/>
          <w:sz w:val="22"/>
          <w:szCs w:val="22"/>
          <w:highlight w:val="none"/>
        </w:rPr>
        <w:t>必须定期保养以便其正常运转。</w:t>
      </w:r>
    </w:p>
    <w:p w14:paraId="7A2E7AB0">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w:t>
      </w:r>
      <w:r>
        <w:rPr>
          <w:rFonts w:hint="eastAsia" w:ascii="宋体" w:eastAsia="宋体"/>
          <w:b w:val="0"/>
          <w:color w:val="auto"/>
          <w:sz w:val="22"/>
          <w:szCs w:val="22"/>
          <w:highlight w:val="none"/>
          <w:lang w:val="en-US" w:eastAsia="zh-CN"/>
        </w:rPr>
        <w:t>14</w:t>
      </w:r>
      <w:r>
        <w:rPr>
          <w:rFonts w:hint="eastAsia" w:ascii="宋体" w:eastAsia="宋体"/>
          <w:b w:val="0"/>
          <w:color w:val="auto"/>
          <w:sz w:val="22"/>
          <w:szCs w:val="22"/>
          <w:highlight w:val="none"/>
        </w:rPr>
        <w:t>）在设施维修</w:t>
      </w:r>
      <w:r>
        <w:rPr>
          <w:rFonts w:hint="eastAsia"/>
          <w:b w:val="0"/>
          <w:color w:val="auto"/>
          <w:sz w:val="22"/>
          <w:szCs w:val="22"/>
          <w:highlight w:val="none"/>
          <w:lang w:eastAsia="zh-CN"/>
        </w:rPr>
        <w:t>实施</w:t>
      </w:r>
      <w:r>
        <w:rPr>
          <w:rFonts w:hint="eastAsia" w:ascii="宋体" w:eastAsia="宋体"/>
          <w:b w:val="0"/>
          <w:color w:val="auto"/>
          <w:sz w:val="22"/>
          <w:szCs w:val="22"/>
          <w:highlight w:val="none"/>
        </w:rPr>
        <w:t>过程中，</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必须做好安全防护措施，并且遵守和执行安全、文明施工等规定，尽可能不影响道路交通。必须为所有维修人员购买人身意外保险，</w:t>
      </w:r>
      <w:r>
        <w:rPr>
          <w:rFonts w:hint="eastAsia" w:ascii="宋体" w:eastAsia="宋体"/>
          <w:b w:val="0"/>
          <w:color w:val="auto"/>
          <w:sz w:val="22"/>
          <w:szCs w:val="22"/>
          <w:highlight w:val="none"/>
          <w:lang w:val="en-US" w:eastAsia="zh-CN"/>
        </w:rPr>
        <w:t>服务</w:t>
      </w:r>
      <w:r>
        <w:rPr>
          <w:rFonts w:hint="eastAsia" w:ascii="宋体" w:eastAsia="宋体"/>
          <w:b w:val="0"/>
          <w:color w:val="auto"/>
          <w:sz w:val="22"/>
          <w:szCs w:val="22"/>
          <w:highlight w:val="none"/>
        </w:rPr>
        <w:t>期</w:t>
      </w:r>
      <w:r>
        <w:rPr>
          <w:rFonts w:hint="eastAsia" w:ascii="宋体" w:eastAsia="宋体"/>
          <w:b w:val="0"/>
          <w:color w:val="auto"/>
          <w:sz w:val="22"/>
          <w:szCs w:val="22"/>
          <w:highlight w:val="none"/>
          <w:lang w:val="en-US" w:eastAsia="zh-CN"/>
        </w:rPr>
        <w:t>及售后阶段</w:t>
      </w:r>
      <w:r>
        <w:rPr>
          <w:rFonts w:hint="eastAsia" w:ascii="宋体" w:eastAsia="宋体"/>
          <w:b w:val="0"/>
          <w:color w:val="auto"/>
          <w:sz w:val="22"/>
          <w:szCs w:val="22"/>
          <w:highlight w:val="none"/>
        </w:rPr>
        <w:t>所有发生的安全事故均由</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自行承担，采购人不承担任何责任。</w:t>
      </w:r>
    </w:p>
    <w:p w14:paraId="5C5BE502">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（1</w:t>
      </w:r>
      <w:r>
        <w:rPr>
          <w:rFonts w:hint="eastAsia" w:ascii="宋体" w:eastAsia="宋体"/>
          <w:b w:val="0"/>
          <w:color w:val="auto"/>
          <w:sz w:val="22"/>
          <w:szCs w:val="22"/>
          <w:highlight w:val="none"/>
          <w:lang w:val="en-US" w:eastAsia="zh-CN"/>
        </w:rPr>
        <w:t>5</w:t>
      </w:r>
      <w:r>
        <w:rPr>
          <w:rFonts w:hint="eastAsia" w:ascii="宋体" w:eastAsia="宋体"/>
          <w:b w:val="0"/>
          <w:color w:val="auto"/>
          <w:sz w:val="22"/>
          <w:szCs w:val="22"/>
          <w:highlight w:val="none"/>
        </w:rPr>
        <w:t>）在维护管理期间，</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必须购置相应的维修应急配件一批，承包费用不作增减，由</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在报价中考虑。</w:t>
      </w:r>
    </w:p>
    <w:p w14:paraId="21E59533">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（1</w:t>
      </w:r>
      <w:r>
        <w:rPr>
          <w:rFonts w:hint="eastAsia" w:ascii="宋体" w:eastAsia="宋体"/>
          <w:b w:val="0"/>
          <w:color w:val="auto"/>
          <w:sz w:val="22"/>
          <w:szCs w:val="22"/>
          <w:highlight w:val="none"/>
          <w:lang w:val="en-US" w:eastAsia="zh-CN"/>
        </w:rPr>
        <w:t>6</w:t>
      </w:r>
      <w:r>
        <w:rPr>
          <w:rFonts w:hint="eastAsia" w:ascii="宋体" w:eastAsia="宋体"/>
          <w:b w:val="0"/>
          <w:color w:val="auto"/>
          <w:sz w:val="22"/>
          <w:szCs w:val="22"/>
          <w:highlight w:val="none"/>
        </w:rPr>
        <w:t>）</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必须接受</w:t>
      </w:r>
      <w:r>
        <w:rPr>
          <w:rFonts w:hint="eastAsia" w:ascii="宋体" w:eastAsia="宋体"/>
          <w:b w:val="0"/>
          <w:color w:val="auto"/>
          <w:sz w:val="22"/>
          <w:szCs w:val="22"/>
          <w:highlight w:val="none"/>
          <w:lang w:val="en-US" w:eastAsia="zh-CN"/>
        </w:rPr>
        <w:t>采购</w:t>
      </w:r>
      <w:r>
        <w:rPr>
          <w:rFonts w:hint="eastAsia" w:ascii="宋体" w:eastAsia="宋体"/>
          <w:b w:val="0"/>
          <w:color w:val="auto"/>
          <w:sz w:val="22"/>
          <w:szCs w:val="22"/>
          <w:highlight w:val="none"/>
        </w:rPr>
        <w:t>的业务指导，及时处理和改正提出的存在问题。</w:t>
      </w:r>
    </w:p>
    <w:p w14:paraId="7C1241B1">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（1</w:t>
      </w:r>
      <w:r>
        <w:rPr>
          <w:rFonts w:hint="eastAsia" w:ascii="宋体" w:eastAsia="宋体"/>
          <w:b w:val="0"/>
          <w:color w:val="auto"/>
          <w:sz w:val="22"/>
          <w:szCs w:val="22"/>
          <w:highlight w:val="none"/>
          <w:lang w:val="en-US" w:eastAsia="zh-CN"/>
        </w:rPr>
        <w:t>7</w:t>
      </w:r>
      <w:r>
        <w:rPr>
          <w:rFonts w:hint="eastAsia" w:ascii="宋体" w:eastAsia="宋体"/>
          <w:b w:val="0"/>
          <w:color w:val="auto"/>
          <w:sz w:val="22"/>
          <w:szCs w:val="22"/>
          <w:highlight w:val="none"/>
        </w:rPr>
        <w:t>）各路口如设备损坏后，无法修复，必须更换新的设备时，更换设备应与原有设备同系列同型号，如原型号的产品停产或不再销售时，需更换为同系列更高级别的产品，不得以次充好，设备更换前需征得</w:t>
      </w:r>
      <w:r>
        <w:rPr>
          <w:rFonts w:hint="eastAsia" w:ascii="宋体" w:eastAsia="宋体"/>
          <w:b w:val="0"/>
          <w:color w:val="auto"/>
          <w:sz w:val="22"/>
          <w:szCs w:val="22"/>
          <w:highlight w:val="none"/>
          <w:lang w:val="en-US" w:eastAsia="zh-CN"/>
        </w:rPr>
        <w:t>采购人</w:t>
      </w:r>
      <w:r>
        <w:rPr>
          <w:rFonts w:hint="eastAsia" w:ascii="宋体" w:eastAsia="宋体"/>
          <w:b w:val="0"/>
          <w:color w:val="auto"/>
          <w:sz w:val="22"/>
          <w:szCs w:val="22"/>
          <w:highlight w:val="none"/>
        </w:rPr>
        <w:t>的同意。</w:t>
      </w:r>
    </w:p>
    <w:p w14:paraId="5C384EE0">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（1</w:t>
      </w:r>
      <w:r>
        <w:rPr>
          <w:rFonts w:hint="eastAsia" w:ascii="宋体" w:eastAsia="宋体"/>
          <w:b w:val="0"/>
          <w:color w:val="auto"/>
          <w:sz w:val="22"/>
          <w:szCs w:val="22"/>
          <w:highlight w:val="none"/>
          <w:lang w:val="en-US" w:eastAsia="zh-CN"/>
        </w:rPr>
        <w:t>8</w:t>
      </w:r>
      <w:r>
        <w:rPr>
          <w:rFonts w:hint="eastAsia" w:ascii="宋体" w:eastAsia="宋体"/>
          <w:b w:val="0"/>
          <w:color w:val="auto"/>
          <w:sz w:val="22"/>
          <w:szCs w:val="22"/>
          <w:highlight w:val="none"/>
        </w:rPr>
        <w:t>）为保证</w:t>
      </w:r>
      <w:r>
        <w:rPr>
          <w:rFonts w:hint="eastAsia"/>
          <w:b w:val="0"/>
          <w:color w:val="auto"/>
          <w:sz w:val="22"/>
          <w:szCs w:val="22"/>
          <w:highlight w:val="none"/>
          <w:lang w:val="en-US" w:eastAsia="zh-CN"/>
        </w:rPr>
        <w:t>项目</w:t>
      </w:r>
      <w:r>
        <w:rPr>
          <w:rFonts w:hint="eastAsia" w:ascii="宋体" w:eastAsia="宋体"/>
          <w:b w:val="0"/>
          <w:color w:val="auto"/>
          <w:sz w:val="22"/>
          <w:szCs w:val="22"/>
          <w:highlight w:val="none"/>
        </w:rPr>
        <w:t>质量，</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须自行根据项目实际情况提供</w:t>
      </w:r>
      <w:r>
        <w:rPr>
          <w:rFonts w:hint="eastAsia"/>
          <w:b w:val="0"/>
          <w:color w:val="auto"/>
          <w:sz w:val="22"/>
          <w:szCs w:val="22"/>
          <w:highlight w:val="none"/>
          <w:lang w:val="en-US" w:eastAsia="zh-CN"/>
        </w:rPr>
        <w:t>符合要求的相关</w:t>
      </w:r>
      <w:r>
        <w:rPr>
          <w:rFonts w:hint="eastAsia" w:ascii="宋体" w:eastAsia="宋体"/>
          <w:b w:val="0"/>
          <w:color w:val="auto"/>
          <w:sz w:val="22"/>
          <w:szCs w:val="22"/>
          <w:highlight w:val="none"/>
        </w:rPr>
        <w:t>软件，能够与</w:t>
      </w:r>
      <w:r>
        <w:rPr>
          <w:rFonts w:hint="eastAsia" w:ascii="宋体" w:eastAsia="宋体"/>
          <w:b w:val="0"/>
          <w:color w:val="auto"/>
          <w:sz w:val="22"/>
          <w:szCs w:val="22"/>
          <w:highlight w:val="none"/>
          <w:lang w:val="en-US" w:eastAsia="zh-CN"/>
        </w:rPr>
        <w:t>采购人或</w:t>
      </w:r>
      <w:r>
        <w:rPr>
          <w:rFonts w:hint="eastAsia" w:ascii="宋体" w:eastAsia="宋体"/>
          <w:b w:val="0"/>
          <w:color w:val="auto"/>
          <w:sz w:val="22"/>
          <w:szCs w:val="22"/>
          <w:highlight w:val="none"/>
        </w:rPr>
        <w:t>交警大队实时通讯，能够实现与</w:t>
      </w:r>
      <w:r>
        <w:rPr>
          <w:rFonts w:hint="eastAsia" w:ascii="宋体" w:eastAsia="宋体"/>
          <w:b w:val="0"/>
          <w:color w:val="auto"/>
          <w:sz w:val="22"/>
          <w:szCs w:val="22"/>
          <w:highlight w:val="none"/>
          <w:lang w:val="en-US" w:eastAsia="zh-CN"/>
        </w:rPr>
        <w:t>采购人</w:t>
      </w:r>
      <w:r>
        <w:rPr>
          <w:rFonts w:hint="eastAsia" w:ascii="宋体" w:eastAsia="宋体"/>
          <w:b w:val="0"/>
          <w:color w:val="auto"/>
          <w:sz w:val="22"/>
          <w:szCs w:val="22"/>
          <w:highlight w:val="none"/>
        </w:rPr>
        <w:t>的实时通讯。系统要求具有网络派单、网络接收派单、派单反馈、派单确认、信息查询等相关功能，能够对每次</w:t>
      </w:r>
      <w:r>
        <w:rPr>
          <w:rFonts w:hint="eastAsia" w:ascii="宋体" w:eastAsia="宋体"/>
          <w:b w:val="0"/>
          <w:color w:val="auto"/>
          <w:sz w:val="22"/>
          <w:szCs w:val="22"/>
          <w:highlight w:val="none"/>
          <w:lang w:val="en-US" w:eastAsia="zh-CN"/>
        </w:rPr>
        <w:t>安装及维护</w:t>
      </w:r>
      <w:r>
        <w:rPr>
          <w:rFonts w:hint="eastAsia" w:ascii="宋体" w:eastAsia="宋体"/>
          <w:b w:val="0"/>
          <w:color w:val="auto"/>
          <w:sz w:val="22"/>
          <w:szCs w:val="22"/>
          <w:highlight w:val="none"/>
        </w:rPr>
        <w:t>须做好相应的</w:t>
      </w:r>
      <w:r>
        <w:rPr>
          <w:rFonts w:hint="eastAsia" w:ascii="宋体" w:eastAsia="宋体"/>
          <w:b w:val="0"/>
          <w:color w:val="auto"/>
          <w:sz w:val="22"/>
          <w:szCs w:val="22"/>
          <w:highlight w:val="none"/>
          <w:lang w:val="en-US" w:eastAsia="zh-CN"/>
        </w:rPr>
        <w:t>维护</w:t>
      </w:r>
      <w:r>
        <w:rPr>
          <w:rFonts w:hint="eastAsia" w:ascii="宋体" w:eastAsia="宋体"/>
          <w:b w:val="0"/>
          <w:color w:val="auto"/>
          <w:sz w:val="22"/>
          <w:szCs w:val="22"/>
          <w:highlight w:val="none"/>
        </w:rPr>
        <w:t>记录。投标时各投标单位自行考虑该部分相关费用，综合报价。</w:t>
      </w:r>
    </w:p>
    <w:p w14:paraId="130A654D">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eastAsia="zh-CN"/>
        </w:rPr>
        <w:t>（</w:t>
      </w:r>
      <w:r>
        <w:rPr>
          <w:rFonts w:hint="eastAsia" w:ascii="宋体" w:eastAsia="宋体"/>
          <w:b w:val="0"/>
          <w:color w:val="auto"/>
          <w:sz w:val="22"/>
          <w:szCs w:val="22"/>
          <w:highlight w:val="none"/>
          <w:lang w:val="en-US" w:eastAsia="zh-CN"/>
        </w:rPr>
        <w:t>19）</w:t>
      </w:r>
      <w:r>
        <w:rPr>
          <w:rFonts w:hint="eastAsia" w:ascii="宋体" w:eastAsia="宋体"/>
          <w:b w:val="0"/>
          <w:color w:val="auto"/>
          <w:sz w:val="22"/>
          <w:szCs w:val="22"/>
          <w:highlight w:val="none"/>
        </w:rPr>
        <w:t>电子警察、卡口、视频监控、交通信号灯维护内容及范围：</w:t>
      </w:r>
    </w:p>
    <w:p w14:paraId="7D16804B">
      <w:pPr>
        <w:widowControl/>
        <w:autoSpaceDE w:val="0"/>
        <w:autoSpaceDN w:val="0"/>
        <w:adjustRightInd w:val="0"/>
        <w:spacing w:line="420" w:lineRule="atLeast"/>
        <w:ind w:firstLine="660" w:firstLineChars="3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1）在期限内维保内容包括各灯控路口的电子警察、卡口、视频监控、交通信号机、信号灯（车道灯、非机动车道灯、人行横道灯）倒计时器以及地下管道、馈线、窨井等。</w:t>
      </w:r>
    </w:p>
    <w:p w14:paraId="67123AEA">
      <w:pPr>
        <w:widowControl/>
        <w:autoSpaceDE w:val="0"/>
        <w:autoSpaceDN w:val="0"/>
        <w:adjustRightInd w:val="0"/>
        <w:spacing w:line="420" w:lineRule="atLeast"/>
        <w:ind w:firstLine="660" w:firstLineChars="3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2）电子警察、卡口、视频监控、交通信号灯线缆短路、断路及交通信号灯配件、附件损坏的，信号机自然损坏、烧毁以及电子元件故障的，凡影响设备正常运转的都在维护之列。</w:t>
      </w:r>
    </w:p>
    <w:p w14:paraId="31AAD5D7">
      <w:pPr>
        <w:widowControl/>
        <w:autoSpaceDE w:val="0"/>
        <w:autoSpaceDN w:val="0"/>
        <w:adjustRightInd w:val="0"/>
        <w:spacing w:line="420" w:lineRule="atLeast"/>
        <w:ind w:firstLine="660" w:firstLineChars="3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3）如网络信号机损坏，经厂方检测无法修复，需重新购置的，在维护之列。</w:t>
      </w:r>
    </w:p>
    <w:p w14:paraId="0B7C042D">
      <w:pPr>
        <w:widowControl/>
        <w:autoSpaceDE w:val="0"/>
        <w:autoSpaceDN w:val="0"/>
        <w:adjustRightInd w:val="0"/>
        <w:spacing w:line="420" w:lineRule="atLeast"/>
        <w:ind w:firstLine="660" w:firstLineChars="3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4）设备设施因交通事故、他人施工、故意破坏及盗窃等因素导致损坏的，在维护之列。</w:t>
      </w:r>
    </w:p>
    <w:p w14:paraId="2872E913">
      <w:pPr>
        <w:widowControl/>
        <w:autoSpaceDE w:val="0"/>
        <w:autoSpaceDN w:val="0"/>
        <w:adjustRightInd w:val="0"/>
        <w:spacing w:line="420" w:lineRule="atLeast"/>
        <w:ind w:firstLine="660" w:firstLineChars="300"/>
        <w:textAlignment w:val="bottom"/>
        <w:rPr>
          <w:rFonts w:hint="eastAsia" w:ascii="宋体" w:eastAsia="宋体"/>
          <w:bCs/>
          <w:color w:val="auto"/>
          <w:sz w:val="22"/>
          <w:szCs w:val="22"/>
          <w:highlight w:val="none"/>
        </w:rPr>
      </w:pPr>
      <w:r>
        <w:rPr>
          <w:rFonts w:hint="eastAsia" w:ascii="宋体" w:eastAsia="宋体"/>
          <w:bCs/>
          <w:color w:val="auto"/>
          <w:sz w:val="22"/>
          <w:szCs w:val="22"/>
          <w:highlight w:val="none"/>
        </w:rPr>
        <w:t>5）因不可抗拒力如遇自然灾害（指台风、火灾、地震、雷击等）在维护范围。</w:t>
      </w:r>
    </w:p>
    <w:p w14:paraId="0516A7EF">
      <w:pPr>
        <w:widowControl/>
        <w:autoSpaceDE w:val="0"/>
        <w:autoSpaceDN w:val="0"/>
        <w:adjustRightInd w:val="0"/>
        <w:spacing w:line="420" w:lineRule="atLeast"/>
        <w:ind w:firstLine="660" w:firstLineChars="3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6）因道路改造、交通重新组织需移动或改变设备设施的，其修复费用不在维护范围之内。</w:t>
      </w:r>
    </w:p>
    <w:p w14:paraId="3A2A1E91">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eastAsia="zh-CN"/>
        </w:rPr>
        <w:t>（</w:t>
      </w:r>
      <w:r>
        <w:rPr>
          <w:rFonts w:hint="eastAsia" w:ascii="宋体" w:eastAsia="宋体"/>
          <w:b w:val="0"/>
          <w:color w:val="auto"/>
          <w:sz w:val="22"/>
          <w:szCs w:val="22"/>
          <w:highlight w:val="none"/>
          <w:lang w:val="en-US" w:eastAsia="zh-CN"/>
        </w:rPr>
        <w:t>20）</w:t>
      </w:r>
      <w:r>
        <w:rPr>
          <w:rFonts w:hint="eastAsia" w:ascii="宋体" w:eastAsia="宋体"/>
          <w:b w:val="0"/>
          <w:color w:val="auto"/>
          <w:sz w:val="22"/>
          <w:szCs w:val="22"/>
          <w:highlight w:val="none"/>
        </w:rPr>
        <w:t xml:space="preserve"> 质量安全责任：</w:t>
      </w:r>
      <w:r>
        <w:rPr>
          <w:rFonts w:hint="eastAsia"/>
          <w:b w:val="0"/>
          <w:color w:val="auto"/>
          <w:sz w:val="22"/>
          <w:szCs w:val="22"/>
          <w:highlight w:val="none"/>
          <w:lang w:val="en-US" w:eastAsia="zh-CN"/>
        </w:rPr>
        <w:t>中标供应商</w:t>
      </w:r>
      <w:r>
        <w:rPr>
          <w:rFonts w:hint="eastAsia"/>
          <w:b w:val="0"/>
          <w:color w:val="auto"/>
          <w:sz w:val="22"/>
          <w:szCs w:val="22"/>
          <w:highlight w:val="none"/>
          <w:lang w:eastAsia="zh-CN"/>
        </w:rPr>
        <w:t>实施</w:t>
      </w:r>
      <w:r>
        <w:rPr>
          <w:rFonts w:hint="eastAsia" w:ascii="宋体" w:eastAsia="宋体"/>
          <w:b w:val="0"/>
          <w:color w:val="auto"/>
          <w:sz w:val="22"/>
          <w:szCs w:val="22"/>
          <w:highlight w:val="none"/>
        </w:rPr>
        <w:t>安装期间严格按照国家有关规定安装</w:t>
      </w:r>
      <w:r>
        <w:rPr>
          <w:rFonts w:hint="eastAsia"/>
          <w:b w:val="0"/>
          <w:color w:val="auto"/>
          <w:sz w:val="22"/>
          <w:szCs w:val="22"/>
          <w:highlight w:val="none"/>
          <w:lang w:eastAsia="zh-CN"/>
        </w:rPr>
        <w:t>实施</w:t>
      </w:r>
      <w:r>
        <w:rPr>
          <w:rFonts w:hint="eastAsia" w:ascii="宋体" w:eastAsia="宋体"/>
          <w:b w:val="0"/>
          <w:color w:val="auto"/>
          <w:sz w:val="22"/>
          <w:szCs w:val="22"/>
          <w:highlight w:val="none"/>
        </w:rPr>
        <w:t>，确保安装质量和生产安全，自行承担全部责任。因</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质量原因造成人身和财产损害的，</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应承担损害赔偿责任。在日常新建和维修隐蔽（地下）管道中不得有电源接头并且保证交通信号灯是一灯一线的要求或者乱拉电线，隐蔽工程</w:t>
      </w:r>
      <w:r>
        <w:rPr>
          <w:rFonts w:hint="eastAsia"/>
          <w:b w:val="0"/>
          <w:color w:val="auto"/>
          <w:sz w:val="22"/>
          <w:szCs w:val="22"/>
          <w:highlight w:val="none"/>
          <w:lang w:eastAsia="zh-CN"/>
        </w:rPr>
        <w:t>实施</w:t>
      </w:r>
      <w:r>
        <w:rPr>
          <w:rFonts w:hint="eastAsia" w:ascii="宋体" w:eastAsia="宋体"/>
          <w:b w:val="0"/>
          <w:color w:val="auto"/>
          <w:sz w:val="22"/>
          <w:szCs w:val="22"/>
          <w:highlight w:val="none"/>
        </w:rPr>
        <w:t>要求达到相关技术标注。</w:t>
      </w:r>
    </w:p>
    <w:p w14:paraId="32020486">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eastAsia="zh-CN"/>
        </w:rPr>
        <w:t>（</w:t>
      </w:r>
      <w:r>
        <w:rPr>
          <w:rFonts w:hint="eastAsia" w:ascii="宋体" w:eastAsia="宋体"/>
          <w:b w:val="0"/>
          <w:color w:val="auto"/>
          <w:sz w:val="22"/>
          <w:szCs w:val="22"/>
          <w:highlight w:val="none"/>
          <w:lang w:val="en-US" w:eastAsia="zh-CN"/>
        </w:rPr>
        <w:t>21）</w:t>
      </w:r>
      <w:r>
        <w:rPr>
          <w:rFonts w:hint="eastAsia" w:ascii="宋体" w:eastAsia="宋体"/>
          <w:b w:val="0"/>
          <w:color w:val="auto"/>
          <w:sz w:val="22"/>
          <w:szCs w:val="22"/>
          <w:highlight w:val="none"/>
        </w:rPr>
        <w:t xml:space="preserve"> </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提供维修备件。交警大队重新渠化路口时，</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负责对相关设施进行拆除、增加、修改，保证交通信号灯适应新的路口渠化方案。</w:t>
      </w:r>
    </w:p>
    <w:p w14:paraId="1E0E4C9C">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eastAsia="zh-CN"/>
        </w:rPr>
        <w:t>（</w:t>
      </w:r>
      <w:r>
        <w:rPr>
          <w:rFonts w:hint="eastAsia" w:ascii="宋体" w:eastAsia="宋体"/>
          <w:b w:val="0"/>
          <w:color w:val="auto"/>
          <w:sz w:val="22"/>
          <w:szCs w:val="22"/>
          <w:highlight w:val="none"/>
          <w:lang w:val="en-US" w:eastAsia="zh-CN"/>
        </w:rPr>
        <w:t>22）</w:t>
      </w:r>
      <w:r>
        <w:rPr>
          <w:rFonts w:hint="eastAsia" w:ascii="宋体" w:eastAsia="宋体"/>
          <w:b w:val="0"/>
          <w:color w:val="auto"/>
          <w:sz w:val="22"/>
          <w:szCs w:val="22"/>
          <w:highlight w:val="none"/>
        </w:rPr>
        <w:t xml:space="preserve"> 因</w:t>
      </w:r>
      <w:r>
        <w:rPr>
          <w:rFonts w:hint="eastAsia"/>
          <w:b w:val="0"/>
          <w:color w:val="auto"/>
          <w:sz w:val="22"/>
          <w:szCs w:val="22"/>
          <w:highlight w:val="none"/>
          <w:lang w:val="en-US" w:eastAsia="zh-CN"/>
        </w:rPr>
        <w:t>项目</w:t>
      </w:r>
      <w:r>
        <w:rPr>
          <w:rFonts w:hint="eastAsia" w:ascii="宋体" w:eastAsia="宋体"/>
          <w:b w:val="0"/>
          <w:color w:val="auto"/>
          <w:sz w:val="22"/>
          <w:szCs w:val="22"/>
          <w:highlight w:val="none"/>
        </w:rPr>
        <w:t>验收不合格或出现重大质量安全隐患问题，</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应无条件进行返工，直至验收合格或隐患消除，由此而产生的一切责任由</w:t>
      </w:r>
      <w:r>
        <w:rPr>
          <w:rFonts w:hint="eastAsia"/>
          <w:b w:val="0"/>
          <w:color w:val="auto"/>
          <w:sz w:val="22"/>
          <w:szCs w:val="22"/>
          <w:highlight w:val="none"/>
          <w:lang w:val="en-US" w:eastAsia="zh-CN"/>
        </w:rPr>
        <w:t>中标供应商</w:t>
      </w:r>
      <w:r>
        <w:rPr>
          <w:rFonts w:hint="eastAsia" w:ascii="宋体" w:eastAsia="宋体"/>
          <w:b w:val="0"/>
          <w:color w:val="auto"/>
          <w:sz w:val="22"/>
          <w:szCs w:val="22"/>
          <w:highlight w:val="none"/>
        </w:rPr>
        <w:t>负责，产生的费用，</w:t>
      </w:r>
      <w:r>
        <w:rPr>
          <w:rFonts w:hint="eastAsia" w:ascii="宋体" w:eastAsia="宋体"/>
          <w:b w:val="0"/>
          <w:color w:val="auto"/>
          <w:sz w:val="22"/>
          <w:szCs w:val="22"/>
          <w:highlight w:val="none"/>
          <w:lang w:val="en-US" w:eastAsia="zh-CN"/>
        </w:rPr>
        <w:t>采购人</w:t>
      </w:r>
      <w:r>
        <w:rPr>
          <w:rFonts w:hint="eastAsia" w:ascii="宋体" w:eastAsia="宋体"/>
          <w:b w:val="0"/>
          <w:color w:val="auto"/>
          <w:sz w:val="22"/>
          <w:szCs w:val="22"/>
          <w:highlight w:val="none"/>
        </w:rPr>
        <w:t>不予支付。</w:t>
      </w:r>
    </w:p>
    <w:p w14:paraId="49B9B304">
      <w:pPr>
        <w:spacing w:line="360" w:lineRule="auto"/>
        <w:ind w:firstLine="442" w:firstLineChars="200"/>
        <w:rPr>
          <w:rFonts w:hint="eastAsia"/>
          <w:b/>
          <w:color w:val="auto"/>
          <w:sz w:val="22"/>
          <w:szCs w:val="22"/>
          <w:highlight w:val="none"/>
          <w:lang w:val="en-US" w:eastAsia="zh-CN"/>
        </w:rPr>
      </w:pPr>
      <w:r>
        <w:rPr>
          <w:rFonts w:hint="eastAsia"/>
          <w:b/>
          <w:color w:val="auto"/>
          <w:sz w:val="22"/>
          <w:szCs w:val="22"/>
          <w:highlight w:val="none"/>
          <w:lang w:val="en-US" w:eastAsia="zh-CN"/>
        </w:rPr>
        <w:t>6、其他要求</w:t>
      </w:r>
    </w:p>
    <w:p w14:paraId="3A4E2759">
      <w:pPr>
        <w:keepNext w:val="0"/>
        <w:keepLines w:val="0"/>
        <w:pageBreakBefore w:val="0"/>
        <w:numPr>
          <w:ilvl w:val="0"/>
          <w:numId w:val="17"/>
        </w:numPr>
        <w:kinsoku/>
        <w:wordWrap/>
        <w:overflowPunct/>
        <w:topLinePunct w:val="0"/>
        <w:bidi w:val="0"/>
        <w:adjustRightInd w:val="0"/>
        <w:snapToGrid w:val="0"/>
        <w:spacing w:line="420" w:lineRule="exact"/>
        <w:ind w:left="0" w:leftChars="0" w:firstLine="440" w:firstLineChars="0"/>
        <w:outlineLvl w:val="9"/>
        <w:rPr>
          <w:rFonts w:ascii="宋体" w:hAnsi="宋体" w:cs="Arial"/>
          <w:b w:val="0"/>
          <w:bCs/>
          <w:color w:val="auto"/>
          <w:sz w:val="22"/>
          <w:szCs w:val="22"/>
          <w:highlight w:val="none"/>
        </w:rPr>
      </w:pPr>
      <w:r>
        <w:rPr>
          <w:rFonts w:hint="eastAsia" w:ascii="宋体" w:hAnsi="宋体" w:cs="Arial"/>
          <w:b w:val="0"/>
          <w:bCs/>
          <w:color w:val="auto"/>
          <w:sz w:val="22"/>
          <w:szCs w:val="22"/>
          <w:highlight w:val="none"/>
          <w:lang w:val="en-US" w:eastAsia="zh-CN"/>
        </w:rPr>
        <w:t>采购</w:t>
      </w:r>
      <w:r>
        <w:rPr>
          <w:rFonts w:hint="eastAsia" w:ascii="宋体" w:hAnsi="宋体" w:cs="Arial"/>
          <w:b w:val="0"/>
          <w:bCs/>
          <w:color w:val="auto"/>
          <w:sz w:val="22"/>
          <w:szCs w:val="22"/>
          <w:highlight w:val="none"/>
        </w:rPr>
        <w:t>文件的配置要求仅是本项目的关键技术要求，供应商需对整体</w:t>
      </w:r>
      <w:r>
        <w:rPr>
          <w:rFonts w:hint="eastAsia" w:ascii="宋体" w:hAnsi="宋体" w:cs="Arial"/>
          <w:b w:val="0"/>
          <w:bCs/>
          <w:color w:val="auto"/>
          <w:sz w:val="22"/>
          <w:szCs w:val="22"/>
          <w:highlight w:val="none"/>
          <w:lang w:val="en-US" w:eastAsia="zh-CN"/>
        </w:rPr>
        <w:t>项目</w:t>
      </w:r>
      <w:r>
        <w:rPr>
          <w:rFonts w:hint="eastAsia" w:ascii="宋体" w:hAnsi="宋体" w:cs="Arial"/>
          <w:b w:val="0"/>
          <w:bCs/>
          <w:color w:val="auto"/>
          <w:sz w:val="22"/>
          <w:szCs w:val="22"/>
          <w:highlight w:val="none"/>
        </w:rPr>
        <w:t>负责，如在</w:t>
      </w:r>
      <w:r>
        <w:rPr>
          <w:rFonts w:hint="eastAsia" w:cs="Arial"/>
          <w:b w:val="0"/>
          <w:bCs/>
          <w:color w:val="auto"/>
          <w:sz w:val="22"/>
          <w:szCs w:val="22"/>
          <w:highlight w:val="none"/>
          <w:lang w:val="en-US" w:eastAsia="zh-CN"/>
        </w:rPr>
        <w:t>实施</w:t>
      </w:r>
      <w:r>
        <w:rPr>
          <w:rFonts w:hint="eastAsia" w:ascii="宋体" w:hAnsi="宋体" w:cs="Arial"/>
          <w:b w:val="0"/>
          <w:bCs/>
          <w:color w:val="auto"/>
          <w:sz w:val="22"/>
          <w:szCs w:val="22"/>
          <w:highlight w:val="none"/>
        </w:rPr>
        <w:t>过程中出现无法实施或者缺少相关设备和配件的情况，供应商应免费予以更换或补充同档次或更高档次的相关设备和配件。</w:t>
      </w:r>
    </w:p>
    <w:p w14:paraId="67C6FE92">
      <w:pPr>
        <w:keepNext w:val="0"/>
        <w:keepLines w:val="0"/>
        <w:pageBreakBefore w:val="0"/>
        <w:numPr>
          <w:ilvl w:val="0"/>
          <w:numId w:val="17"/>
        </w:numPr>
        <w:kinsoku/>
        <w:wordWrap/>
        <w:overflowPunct/>
        <w:topLinePunct w:val="0"/>
        <w:bidi w:val="0"/>
        <w:spacing w:line="420" w:lineRule="exact"/>
        <w:ind w:left="0" w:leftChars="0" w:firstLine="440" w:firstLineChars="0"/>
        <w:outlineLvl w:val="9"/>
        <w:rPr>
          <w:rFonts w:hint="eastAsia" w:ascii="宋体" w:hAnsi="宋体" w:cs="Arial"/>
          <w:b w:val="0"/>
          <w:bCs/>
          <w:color w:val="auto"/>
          <w:sz w:val="22"/>
          <w:szCs w:val="22"/>
          <w:highlight w:val="none"/>
        </w:rPr>
      </w:pPr>
      <w:r>
        <w:rPr>
          <w:rFonts w:hint="eastAsia" w:ascii="宋体" w:hAnsi="宋体" w:cs="Arial"/>
          <w:b w:val="0"/>
          <w:bCs/>
          <w:color w:val="auto"/>
          <w:sz w:val="22"/>
          <w:szCs w:val="22"/>
          <w:highlight w:val="none"/>
        </w:rPr>
        <w:t>供应商应明确参投货物的品牌型号，如果该品牌型号中有分不同系列的，还应明确系列的型号，否则在供货验收时以该品牌型号的最高系列最高配置验收。</w:t>
      </w:r>
    </w:p>
    <w:p w14:paraId="7DB2DE6F">
      <w:pPr>
        <w:keepNext w:val="0"/>
        <w:keepLines w:val="0"/>
        <w:pageBreakBefore w:val="0"/>
        <w:numPr>
          <w:ilvl w:val="0"/>
          <w:numId w:val="17"/>
        </w:numPr>
        <w:kinsoku/>
        <w:wordWrap/>
        <w:overflowPunct/>
        <w:topLinePunct w:val="0"/>
        <w:bidi w:val="0"/>
        <w:spacing w:line="420" w:lineRule="exact"/>
        <w:ind w:left="0" w:leftChars="0" w:firstLine="440" w:firstLineChars="0"/>
        <w:outlineLvl w:val="9"/>
        <w:rPr>
          <w:rFonts w:hint="eastAsia" w:ascii="宋体" w:hAnsi="宋体" w:cs="Arial"/>
          <w:b w:val="0"/>
          <w:bCs/>
          <w:color w:val="auto"/>
          <w:sz w:val="22"/>
          <w:szCs w:val="22"/>
          <w:highlight w:val="none"/>
        </w:rPr>
      </w:pPr>
      <w:r>
        <w:rPr>
          <w:rFonts w:hint="eastAsia" w:ascii="宋体" w:hAnsi="宋体" w:cs="Arial"/>
          <w:b w:val="0"/>
          <w:bCs/>
          <w:color w:val="auto"/>
          <w:sz w:val="22"/>
          <w:szCs w:val="22"/>
          <w:highlight w:val="none"/>
        </w:rPr>
        <w:t>供应商须充分考虑到完成该项目的运输费，搬运费，质保期间人员的安装费和维修维护费，住宿餐饮费等均由中标供应商负责。考虑到货物在搬运过程中有可能有损坏现象，供应商需做</w:t>
      </w:r>
      <w:r>
        <w:rPr>
          <w:rFonts w:hint="eastAsia" w:cs="Arial"/>
          <w:b w:val="0"/>
          <w:bCs/>
          <w:color w:val="auto"/>
          <w:sz w:val="22"/>
          <w:szCs w:val="22"/>
          <w:highlight w:val="none"/>
          <w:lang w:val="en-US" w:eastAsia="zh-CN"/>
        </w:rPr>
        <w:t>好</w:t>
      </w:r>
      <w:r>
        <w:rPr>
          <w:rFonts w:hint="eastAsia" w:ascii="宋体" w:hAnsi="宋体" w:cs="Arial"/>
          <w:b w:val="0"/>
          <w:bCs/>
          <w:color w:val="auto"/>
          <w:sz w:val="22"/>
          <w:szCs w:val="22"/>
          <w:highlight w:val="none"/>
        </w:rPr>
        <w:t>货物的运输包装，损害严重的</w:t>
      </w:r>
      <w:r>
        <w:rPr>
          <w:rFonts w:hint="eastAsia" w:ascii="宋体" w:hAnsi="宋体" w:cs="Arial"/>
          <w:b w:val="0"/>
          <w:bCs/>
          <w:color w:val="auto"/>
          <w:sz w:val="22"/>
          <w:szCs w:val="22"/>
          <w:highlight w:val="none"/>
          <w:lang w:val="en-US" w:eastAsia="zh-CN"/>
        </w:rPr>
        <w:t>货物设备</w:t>
      </w:r>
      <w:r>
        <w:rPr>
          <w:rFonts w:hint="eastAsia" w:ascii="宋体" w:hAnsi="宋体" w:cs="Arial"/>
          <w:b w:val="0"/>
          <w:bCs/>
          <w:color w:val="auto"/>
          <w:sz w:val="22"/>
          <w:szCs w:val="22"/>
          <w:highlight w:val="none"/>
        </w:rPr>
        <w:t>采购人有权拒绝收货。</w:t>
      </w:r>
    </w:p>
    <w:p w14:paraId="525FAF4D">
      <w:pPr>
        <w:keepNext w:val="0"/>
        <w:keepLines w:val="0"/>
        <w:pageBreakBefore w:val="0"/>
        <w:numPr>
          <w:ilvl w:val="0"/>
          <w:numId w:val="17"/>
        </w:numPr>
        <w:kinsoku/>
        <w:wordWrap/>
        <w:overflowPunct/>
        <w:topLinePunct w:val="0"/>
        <w:bidi w:val="0"/>
        <w:spacing w:line="420" w:lineRule="exact"/>
        <w:ind w:left="0" w:leftChars="0" w:firstLine="440" w:firstLineChars="0"/>
        <w:rPr>
          <w:rFonts w:hint="eastAsia" w:ascii="宋体" w:hAnsi="宋体" w:eastAsia="宋体" w:cs="Arial"/>
          <w:b w:val="0"/>
          <w:bCs/>
          <w:color w:val="auto"/>
          <w:sz w:val="22"/>
          <w:szCs w:val="22"/>
          <w:highlight w:val="none"/>
        </w:rPr>
      </w:pPr>
      <w:r>
        <w:rPr>
          <w:rFonts w:hint="eastAsia" w:ascii="宋体" w:hAnsi="宋体" w:cs="Arial"/>
          <w:b w:val="0"/>
          <w:bCs/>
          <w:color w:val="auto"/>
          <w:sz w:val="22"/>
          <w:szCs w:val="22"/>
          <w:highlight w:val="none"/>
        </w:rPr>
        <w:t>招标内容所要求的</w:t>
      </w:r>
      <w:r>
        <w:rPr>
          <w:rFonts w:hint="eastAsia" w:ascii="宋体" w:hAnsi="宋体" w:eastAsia="宋体" w:cs="Arial"/>
          <w:b w:val="0"/>
          <w:bCs/>
          <w:color w:val="auto"/>
          <w:sz w:val="22"/>
          <w:szCs w:val="22"/>
          <w:highlight w:val="none"/>
        </w:rPr>
        <w:t>指标参数是根据实际业务需要所提出，如供应商有不满足的指标，需如实说明，不允许参数作出模糊的应答，发现有虚假应标行为的将做无效投标处理。</w:t>
      </w:r>
    </w:p>
    <w:p w14:paraId="4331D159">
      <w:pPr>
        <w:keepNext w:val="0"/>
        <w:keepLines w:val="0"/>
        <w:pageBreakBefore w:val="0"/>
        <w:widowControl w:val="0"/>
        <w:numPr>
          <w:ilvl w:val="0"/>
          <w:numId w:val="17"/>
        </w:numPr>
        <w:kinsoku/>
        <w:wordWrap/>
        <w:overflowPunct/>
        <w:topLinePunct w:val="0"/>
        <w:bidi w:val="0"/>
        <w:spacing w:line="420" w:lineRule="exact"/>
        <w:ind w:left="0" w:leftChars="0" w:firstLine="440" w:firstLineChars="0"/>
        <w:rPr>
          <w:rFonts w:hint="eastAsia" w:ascii="宋体" w:hAnsi="宋体" w:eastAsia="宋体" w:cs="宋体"/>
          <w:b/>
          <w:bCs w:val="0"/>
          <w:i w:val="0"/>
          <w:iCs w:val="0"/>
          <w:color w:val="auto"/>
          <w:sz w:val="22"/>
          <w:szCs w:val="22"/>
          <w:highlight w:val="none"/>
          <w:u w:val="none"/>
          <w:lang w:val="en-US" w:eastAsia="zh-CN"/>
        </w:rPr>
      </w:pPr>
      <w:r>
        <w:rPr>
          <w:rFonts w:hint="eastAsia" w:ascii="宋体" w:hAnsi="宋体" w:eastAsia="宋体" w:cs="宋体"/>
          <w:b/>
          <w:bCs w:val="0"/>
          <w:i w:val="0"/>
          <w:iCs w:val="0"/>
          <w:color w:val="auto"/>
          <w:sz w:val="22"/>
          <w:szCs w:val="22"/>
          <w:highlight w:val="none"/>
          <w:u w:val="none"/>
          <w:lang w:val="en-US" w:eastAsia="zh-CN"/>
        </w:rPr>
        <w:t>中标供应商须在采购人对上述货物验收时提供相关证书证明资料，否则按验收不能通过，采购人给予退货、解除合同或经采购人同意换货处理，中标供应商自行承担由此造成的损失。</w:t>
      </w:r>
    </w:p>
    <w:p w14:paraId="15B1C72B">
      <w:pPr>
        <w:keepNext w:val="0"/>
        <w:keepLines w:val="0"/>
        <w:pageBreakBefore w:val="0"/>
        <w:widowControl w:val="0"/>
        <w:numPr>
          <w:ilvl w:val="0"/>
          <w:numId w:val="17"/>
        </w:numPr>
        <w:kinsoku/>
        <w:wordWrap/>
        <w:overflowPunct/>
        <w:topLinePunct w:val="0"/>
        <w:bidi w:val="0"/>
        <w:spacing w:line="420" w:lineRule="exact"/>
        <w:ind w:left="0" w:leftChars="0" w:firstLine="440" w:firstLineChars="0"/>
        <w:rPr>
          <w:rFonts w:hint="eastAsia" w:asciiTheme="minorEastAsia" w:hAnsiTheme="minorEastAsia" w:eastAsiaTheme="minorEastAsia" w:cstheme="minorEastAsia"/>
          <w:strike w:val="0"/>
          <w:dstrike w:val="0"/>
          <w:color w:val="auto"/>
          <w:sz w:val="22"/>
          <w:szCs w:val="22"/>
          <w:highlight w:val="none"/>
        </w:rPr>
      </w:pPr>
      <w:r>
        <w:rPr>
          <w:rFonts w:hint="eastAsia" w:ascii="宋体" w:hAnsi="宋体" w:eastAsia="宋体" w:cs="宋体"/>
          <w:b/>
          <w:bCs w:val="0"/>
          <w:i w:val="0"/>
          <w:iCs w:val="0"/>
          <w:color w:val="auto"/>
          <w:sz w:val="22"/>
          <w:szCs w:val="22"/>
          <w:highlight w:val="none"/>
          <w:u w:val="none"/>
          <w:lang w:val="en-US" w:eastAsia="zh-CN"/>
        </w:rPr>
        <w:t>中标</w:t>
      </w:r>
      <w:r>
        <w:rPr>
          <w:rFonts w:hint="eastAsia" w:ascii="宋体" w:hAnsi="宋体" w:cs="宋体"/>
          <w:b/>
          <w:bCs w:val="0"/>
          <w:i w:val="0"/>
          <w:iCs w:val="0"/>
          <w:color w:val="auto"/>
          <w:sz w:val="22"/>
          <w:szCs w:val="22"/>
          <w:highlight w:val="none"/>
          <w:u w:val="none"/>
          <w:lang w:val="en-US" w:eastAsia="zh-CN"/>
        </w:rPr>
        <w:t>供</w:t>
      </w:r>
      <w:r>
        <w:rPr>
          <w:rFonts w:hint="eastAsia" w:ascii="宋体" w:hAnsi="宋体" w:eastAsia="宋体" w:cs="宋体"/>
          <w:b/>
          <w:bCs w:val="0"/>
          <w:i w:val="0"/>
          <w:iCs w:val="0"/>
          <w:color w:val="auto"/>
          <w:sz w:val="22"/>
          <w:szCs w:val="22"/>
          <w:highlight w:val="none"/>
          <w:u w:val="none"/>
          <w:lang w:val="en-US" w:eastAsia="zh-CN"/>
        </w:rPr>
        <w:t>应商须和采购人确定最终参数及实际采购数量后再进行供货，否则采购人有权拒收。</w:t>
      </w:r>
    </w:p>
    <w:p w14:paraId="046A5926">
      <w:pPr>
        <w:keepNext w:val="0"/>
        <w:keepLines w:val="0"/>
        <w:pageBreakBefore w:val="0"/>
        <w:widowControl w:val="0"/>
        <w:numPr>
          <w:ilvl w:val="0"/>
          <w:numId w:val="17"/>
        </w:numPr>
        <w:kinsoku/>
        <w:wordWrap/>
        <w:overflowPunct/>
        <w:topLinePunct w:val="0"/>
        <w:bidi w:val="0"/>
        <w:spacing w:line="420" w:lineRule="exact"/>
        <w:ind w:left="0" w:leftChars="0" w:firstLine="440" w:firstLineChars="0"/>
        <w:rPr>
          <w:rFonts w:hint="eastAsia" w:asciiTheme="minorEastAsia" w:hAnsiTheme="minorEastAsia" w:eastAsiaTheme="minorEastAsia" w:cstheme="minorEastAsia"/>
          <w:strike w:val="0"/>
          <w:dstrike w:val="0"/>
          <w:color w:val="auto"/>
          <w:sz w:val="22"/>
          <w:szCs w:val="22"/>
          <w:highlight w:val="none"/>
        </w:rPr>
      </w:pPr>
      <w:r>
        <w:rPr>
          <w:rFonts w:hint="eastAsia" w:asciiTheme="minorEastAsia" w:hAnsiTheme="minorEastAsia" w:eastAsiaTheme="minorEastAsia" w:cstheme="minorEastAsia"/>
          <w:strike w:val="0"/>
          <w:dstrike w:val="0"/>
          <w:color w:val="auto"/>
          <w:sz w:val="22"/>
          <w:szCs w:val="22"/>
          <w:highlight w:val="none"/>
        </w:rPr>
        <w:t>供应商所提供的货物必须严格按国家最新的行业或部门规定执行，并满足本需求中的参数及性能要求。</w:t>
      </w:r>
    </w:p>
    <w:p w14:paraId="4D8330D3">
      <w:pPr>
        <w:keepNext w:val="0"/>
        <w:keepLines w:val="0"/>
        <w:pageBreakBefore w:val="0"/>
        <w:widowControl w:val="0"/>
        <w:numPr>
          <w:ilvl w:val="0"/>
          <w:numId w:val="17"/>
        </w:numPr>
        <w:kinsoku/>
        <w:wordWrap/>
        <w:overflowPunct/>
        <w:topLinePunct w:val="0"/>
        <w:bidi w:val="0"/>
        <w:spacing w:line="420" w:lineRule="exact"/>
        <w:ind w:left="0" w:leftChars="0" w:firstLine="440" w:firstLineChars="0"/>
        <w:rPr>
          <w:rFonts w:hint="eastAsia" w:asciiTheme="minorEastAsia" w:hAnsiTheme="minorEastAsia" w:eastAsiaTheme="minorEastAsia" w:cstheme="minorEastAsia"/>
          <w:strike w:val="0"/>
          <w:dstrike w:val="0"/>
          <w:color w:val="auto"/>
          <w:sz w:val="22"/>
          <w:szCs w:val="22"/>
          <w:highlight w:val="none"/>
        </w:rPr>
      </w:pPr>
      <w:r>
        <w:rPr>
          <w:rFonts w:hint="eastAsia" w:asciiTheme="minorEastAsia" w:hAnsiTheme="minorEastAsia" w:eastAsiaTheme="minorEastAsia" w:cstheme="minorEastAsia"/>
          <w:strike w:val="0"/>
          <w:dstrike w:val="0"/>
          <w:color w:val="auto"/>
          <w:sz w:val="22"/>
          <w:szCs w:val="22"/>
          <w:highlight w:val="none"/>
        </w:rPr>
        <w:t>供应商需向采购人提供技术成熟、功能齐全先进，品牌在行业中较认可的全新产品，不得使用库存或功能严重落后或淘汰的产品。</w:t>
      </w:r>
    </w:p>
    <w:p w14:paraId="79BCB332">
      <w:pPr>
        <w:keepNext w:val="0"/>
        <w:keepLines w:val="0"/>
        <w:pageBreakBefore w:val="0"/>
        <w:widowControl w:val="0"/>
        <w:numPr>
          <w:ilvl w:val="0"/>
          <w:numId w:val="17"/>
        </w:numPr>
        <w:kinsoku/>
        <w:wordWrap/>
        <w:overflowPunct/>
        <w:topLinePunct w:val="0"/>
        <w:bidi w:val="0"/>
        <w:spacing w:line="420" w:lineRule="exact"/>
        <w:ind w:left="0" w:leftChars="0" w:firstLine="440" w:firstLineChars="0"/>
        <w:rPr>
          <w:rFonts w:hint="eastAsia" w:asciiTheme="minorEastAsia" w:hAnsiTheme="minorEastAsia" w:eastAsiaTheme="minorEastAsia" w:cstheme="minorEastAsia"/>
          <w:strike w:val="0"/>
          <w:dstrike w:val="0"/>
          <w:color w:val="auto"/>
          <w:sz w:val="22"/>
          <w:szCs w:val="22"/>
          <w:highlight w:val="none"/>
        </w:rPr>
      </w:pPr>
      <w:r>
        <w:rPr>
          <w:rFonts w:hint="eastAsia" w:asciiTheme="minorEastAsia" w:hAnsiTheme="minorEastAsia" w:eastAsiaTheme="minorEastAsia" w:cstheme="minorEastAsia"/>
          <w:strike w:val="0"/>
          <w:dstrike w:val="0"/>
          <w:color w:val="auto"/>
          <w:sz w:val="22"/>
          <w:szCs w:val="22"/>
          <w:highlight w:val="none"/>
        </w:rPr>
        <w:t>供应商须保证所供货物全新、原包装，若事后发现所供货物不符要求并引起纠纷的，采购人保留对供应商索赔的权利。</w:t>
      </w:r>
    </w:p>
    <w:p w14:paraId="30BBBEFF">
      <w:pPr>
        <w:spacing w:line="360" w:lineRule="auto"/>
        <w:ind w:firstLine="442" w:firstLineChars="200"/>
        <w:rPr>
          <w:rFonts w:hint="eastAsia"/>
          <w:b/>
          <w:color w:val="auto"/>
          <w:sz w:val="22"/>
          <w:szCs w:val="22"/>
          <w:highlight w:val="none"/>
        </w:rPr>
      </w:pPr>
      <w:r>
        <w:rPr>
          <w:rFonts w:hint="eastAsia"/>
          <w:b/>
          <w:color w:val="auto"/>
          <w:sz w:val="22"/>
          <w:szCs w:val="22"/>
          <w:highlight w:val="none"/>
        </w:rPr>
        <w:t>三、商务条款</w:t>
      </w:r>
    </w:p>
    <w:p w14:paraId="23C8EA42">
      <w:pPr>
        <w:snapToGrid w:val="0"/>
        <w:spacing w:line="360" w:lineRule="auto"/>
        <w:ind w:firstLine="442" w:firstLineChars="200"/>
        <w:rPr>
          <w:rFonts w:hint="eastAsia"/>
          <w:bCs/>
          <w:color w:val="auto"/>
          <w:sz w:val="22"/>
          <w:szCs w:val="22"/>
          <w:highlight w:val="none"/>
        </w:rPr>
      </w:pPr>
      <w:r>
        <w:rPr>
          <w:rFonts w:hint="eastAsia"/>
          <w:b/>
          <w:bCs w:val="0"/>
          <w:color w:val="auto"/>
          <w:sz w:val="22"/>
          <w:szCs w:val="22"/>
          <w:highlight w:val="none"/>
        </w:rPr>
        <w:t>1、履约保证金：</w:t>
      </w:r>
      <w:r>
        <w:rPr>
          <w:rFonts w:hint="eastAsia"/>
          <w:bCs/>
          <w:color w:val="auto"/>
          <w:sz w:val="22"/>
          <w:szCs w:val="22"/>
          <w:highlight w:val="none"/>
        </w:rPr>
        <w:t>合同签订后7个工作日内中标供应商应当向采购人提供合同金额1%作为履约保证金</w:t>
      </w:r>
      <w:r>
        <w:rPr>
          <w:rFonts w:hint="eastAsia"/>
          <w:bCs/>
          <w:color w:val="auto"/>
          <w:sz w:val="22"/>
          <w:szCs w:val="22"/>
          <w:highlight w:val="none"/>
          <w:lang w:eastAsia="zh-CN"/>
        </w:rPr>
        <w:t>（</w:t>
      </w:r>
      <w:r>
        <w:rPr>
          <w:rFonts w:hint="eastAsia"/>
          <w:bCs/>
          <w:color w:val="auto"/>
          <w:sz w:val="22"/>
          <w:szCs w:val="22"/>
          <w:highlight w:val="none"/>
        </w:rPr>
        <w:t>以银行转账、支票、汇票、本票或者金融机构、担保机构出具的保函</w:t>
      </w:r>
      <w:r>
        <w:rPr>
          <w:rFonts w:hint="eastAsia"/>
          <w:bCs/>
          <w:color w:val="auto"/>
          <w:sz w:val="22"/>
          <w:szCs w:val="22"/>
          <w:highlight w:val="none"/>
          <w:lang w:val="en-US" w:eastAsia="zh-CN"/>
        </w:rPr>
        <w:t>的非现金方式</w:t>
      </w:r>
      <w:r>
        <w:rPr>
          <w:rFonts w:hint="eastAsia"/>
          <w:bCs/>
          <w:color w:val="auto"/>
          <w:sz w:val="22"/>
          <w:szCs w:val="22"/>
          <w:highlight w:val="none"/>
          <w:lang w:eastAsia="zh-CN"/>
        </w:rPr>
        <w:t>）</w:t>
      </w:r>
      <w:r>
        <w:rPr>
          <w:rFonts w:hint="eastAsia"/>
          <w:bCs/>
          <w:color w:val="auto"/>
          <w:sz w:val="22"/>
          <w:szCs w:val="22"/>
          <w:highlight w:val="none"/>
        </w:rPr>
        <w:t>。如中标供应商未在规定的时间内提交履约保证金则采购人有权终止合同。</w:t>
      </w:r>
    </w:p>
    <w:p w14:paraId="0C2B8463">
      <w:pPr>
        <w:shd w:val="clear" w:color="auto" w:fill="FFFFFF"/>
        <w:spacing w:line="360" w:lineRule="auto"/>
        <w:ind w:firstLine="442" w:firstLineChars="200"/>
        <w:rPr>
          <w:rFonts w:hint="eastAsia"/>
          <w:b/>
          <w:bCs w:val="0"/>
          <w:color w:val="auto"/>
          <w:sz w:val="22"/>
          <w:szCs w:val="22"/>
          <w:highlight w:val="none"/>
        </w:rPr>
      </w:pPr>
      <w:r>
        <w:rPr>
          <w:rFonts w:hint="eastAsia"/>
          <w:b/>
          <w:bCs w:val="0"/>
          <w:color w:val="auto"/>
          <w:sz w:val="22"/>
          <w:szCs w:val="22"/>
          <w:highlight w:val="none"/>
        </w:rPr>
        <w:t>2、支付方式和时间：</w:t>
      </w:r>
    </w:p>
    <w:p w14:paraId="1115181E">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付款方式</w:t>
      </w:r>
      <w:r>
        <w:rPr>
          <w:rFonts w:hint="eastAsia"/>
          <w:bCs/>
          <w:color w:val="auto"/>
          <w:sz w:val="22"/>
          <w:szCs w:val="22"/>
          <w:highlight w:val="none"/>
          <w:u w:val="single"/>
        </w:rPr>
        <w:t>（具体按财政资金拨款情况或按实际签订的合同约定（须符合浙江省财政厅关于进一步发挥政府采购政策功能全力推动经济稳进提质的通知(浙财采监〔2022〕3号)相关规定）</w:t>
      </w:r>
      <w:r>
        <w:rPr>
          <w:rFonts w:hint="eastAsia"/>
          <w:bCs/>
          <w:color w:val="auto"/>
          <w:sz w:val="22"/>
          <w:szCs w:val="22"/>
          <w:highlight w:val="none"/>
        </w:rPr>
        <w:t>：</w:t>
      </w:r>
    </w:p>
    <w:p w14:paraId="15B1C16F">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1）签订合同后七个工作日内，采购人向供应商支付合同价的40%作为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w:t>
      </w:r>
    </w:p>
    <w:p w14:paraId="05375CBB">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（2）中标供应商按采购人要求进行</w:t>
      </w:r>
      <w:r>
        <w:rPr>
          <w:rFonts w:hint="eastAsia"/>
          <w:bCs/>
          <w:color w:val="auto"/>
          <w:sz w:val="22"/>
          <w:szCs w:val="22"/>
          <w:highlight w:val="none"/>
          <w:lang w:eastAsia="zh-CN"/>
        </w:rPr>
        <w:t>实施</w:t>
      </w:r>
      <w:r>
        <w:rPr>
          <w:rFonts w:hint="eastAsia"/>
          <w:bCs/>
          <w:color w:val="auto"/>
          <w:sz w:val="22"/>
          <w:szCs w:val="22"/>
          <w:highlight w:val="none"/>
        </w:rPr>
        <w:t>，每次</w:t>
      </w:r>
      <w:r>
        <w:rPr>
          <w:rFonts w:hint="eastAsia"/>
          <w:bCs/>
          <w:color w:val="auto"/>
          <w:sz w:val="22"/>
          <w:szCs w:val="22"/>
          <w:highlight w:val="none"/>
          <w:lang w:eastAsia="zh-CN"/>
        </w:rPr>
        <w:t>实施</w:t>
      </w:r>
      <w:r>
        <w:rPr>
          <w:rFonts w:hint="eastAsia"/>
          <w:bCs/>
          <w:color w:val="auto"/>
          <w:sz w:val="22"/>
          <w:szCs w:val="22"/>
          <w:highlight w:val="none"/>
        </w:rPr>
        <w:t>完毕后，采购人安排对其验收。如验收达不到相关规定的质量标准，中标供应商须返工至符合要求为止，否则采购人不予支付。</w:t>
      </w:r>
    </w:p>
    <w:p w14:paraId="0045C092">
      <w:pPr>
        <w:spacing w:line="360" w:lineRule="auto"/>
        <w:ind w:firstLine="440" w:firstLineChars="200"/>
        <w:rPr>
          <w:bCs/>
          <w:color w:val="auto"/>
          <w:sz w:val="22"/>
          <w:szCs w:val="22"/>
          <w:highlight w:val="none"/>
        </w:rPr>
      </w:pPr>
      <w:r>
        <w:rPr>
          <w:rFonts w:hint="eastAsia"/>
          <w:bCs/>
          <w:color w:val="auto"/>
          <w:sz w:val="22"/>
          <w:szCs w:val="22"/>
          <w:highlight w:val="none"/>
          <w:lang w:eastAsia="zh-CN"/>
        </w:rPr>
        <w:t>（</w:t>
      </w:r>
      <w:r>
        <w:rPr>
          <w:rFonts w:hint="eastAsia"/>
          <w:bCs/>
          <w:color w:val="auto"/>
          <w:sz w:val="22"/>
          <w:szCs w:val="22"/>
          <w:highlight w:val="none"/>
          <w:lang w:val="en-US" w:eastAsia="zh-CN"/>
        </w:rPr>
        <w:t>3</w:t>
      </w:r>
      <w:r>
        <w:rPr>
          <w:rFonts w:hint="eastAsia"/>
          <w:bCs/>
          <w:color w:val="auto"/>
          <w:sz w:val="22"/>
          <w:szCs w:val="22"/>
          <w:highlight w:val="none"/>
          <w:lang w:eastAsia="zh-CN"/>
        </w:rPr>
        <w:t>）</w:t>
      </w:r>
      <w:r>
        <w:rPr>
          <w:rFonts w:hint="eastAsia"/>
          <w:bCs/>
          <w:color w:val="auto"/>
          <w:sz w:val="22"/>
          <w:szCs w:val="22"/>
          <w:highlight w:val="none"/>
          <w:lang w:val="en-US" w:eastAsia="zh-CN"/>
        </w:rPr>
        <w:t>按采购人要求</w:t>
      </w:r>
      <w:r>
        <w:rPr>
          <w:rFonts w:hint="eastAsia"/>
          <w:bCs/>
          <w:color w:val="auto"/>
          <w:sz w:val="22"/>
          <w:szCs w:val="22"/>
          <w:highlight w:val="none"/>
        </w:rPr>
        <w:t>进行</w:t>
      </w:r>
      <w:r>
        <w:rPr>
          <w:rFonts w:hint="eastAsia"/>
          <w:bCs/>
          <w:color w:val="auto"/>
          <w:sz w:val="22"/>
          <w:szCs w:val="22"/>
          <w:highlight w:val="none"/>
          <w:lang w:eastAsia="zh-CN"/>
        </w:rPr>
        <w:t>实施，</w:t>
      </w:r>
      <w:r>
        <w:rPr>
          <w:rFonts w:hint="eastAsia"/>
          <w:bCs/>
          <w:color w:val="auto"/>
          <w:sz w:val="22"/>
          <w:szCs w:val="22"/>
          <w:highlight w:val="none"/>
          <w:lang w:val="en-US" w:eastAsia="zh-CN"/>
        </w:rPr>
        <w:t>待整个项目履约验收合格后</w:t>
      </w:r>
      <w:r>
        <w:rPr>
          <w:rFonts w:hint="eastAsia"/>
          <w:bCs/>
          <w:color w:val="auto"/>
          <w:sz w:val="22"/>
          <w:szCs w:val="22"/>
          <w:highlight w:val="none"/>
        </w:rPr>
        <w:t>并办理项目结算核审后</w:t>
      </w:r>
      <w:r>
        <w:rPr>
          <w:rFonts w:hint="eastAsia"/>
          <w:bCs/>
          <w:color w:val="auto"/>
          <w:sz w:val="22"/>
          <w:szCs w:val="22"/>
          <w:highlight w:val="none"/>
          <w:lang w:val="en-US" w:eastAsia="zh-CN"/>
        </w:rPr>
        <w:t>支付</w:t>
      </w:r>
      <w:r>
        <w:rPr>
          <w:rFonts w:hint="eastAsia"/>
          <w:bCs/>
          <w:color w:val="auto"/>
          <w:sz w:val="22"/>
          <w:szCs w:val="22"/>
          <w:highlight w:val="none"/>
        </w:rPr>
        <w:t>至该结算价的</w:t>
      </w:r>
      <w:r>
        <w:rPr>
          <w:rFonts w:hint="eastAsia"/>
          <w:bCs/>
          <w:color w:val="auto"/>
          <w:sz w:val="22"/>
          <w:szCs w:val="22"/>
          <w:highlight w:val="none"/>
          <w:lang w:val="en-US" w:eastAsia="zh-CN"/>
        </w:rPr>
        <w:t>100</w:t>
      </w:r>
      <w:r>
        <w:rPr>
          <w:rFonts w:hint="eastAsia"/>
          <w:bCs/>
          <w:color w:val="auto"/>
          <w:sz w:val="22"/>
          <w:szCs w:val="22"/>
          <w:highlight w:val="none"/>
        </w:rPr>
        <w:t>%。</w:t>
      </w:r>
    </w:p>
    <w:p w14:paraId="5764A57A">
      <w:pPr>
        <w:pStyle w:val="4"/>
        <w:spacing w:line="360" w:lineRule="auto"/>
        <w:ind w:firstLine="442" w:firstLineChars="200"/>
        <w:rPr>
          <w:rFonts w:hint="eastAsia"/>
          <w:b w:val="0"/>
          <w:bCs w:val="0"/>
          <w:color w:val="auto"/>
          <w:sz w:val="22"/>
          <w:szCs w:val="22"/>
          <w:highlight w:val="none"/>
        </w:rPr>
      </w:pPr>
      <w:r>
        <w:rPr>
          <w:rFonts w:hint="eastAsia"/>
          <w:b/>
          <w:bCs/>
          <w:color w:val="auto"/>
          <w:sz w:val="22"/>
          <w:szCs w:val="22"/>
          <w:highlight w:val="none"/>
          <w:lang w:val="en-US" w:eastAsia="zh-CN"/>
        </w:rPr>
        <w:t>3、</w:t>
      </w:r>
      <w:r>
        <w:rPr>
          <w:rFonts w:hint="eastAsia"/>
          <w:b/>
          <w:color w:val="auto"/>
          <w:highlight w:val="none"/>
        </w:rPr>
        <w:t>▲</w:t>
      </w:r>
      <w:r>
        <w:rPr>
          <w:rFonts w:hint="eastAsia"/>
          <w:b/>
          <w:bCs/>
          <w:color w:val="auto"/>
          <w:sz w:val="22"/>
          <w:szCs w:val="22"/>
          <w:highlight w:val="none"/>
        </w:rPr>
        <w:t>承包期限：供货期为签订项目合同之日起一年或实际结算金额达到预算金额150万元（以先到者为准）则合同履约结束。</w:t>
      </w:r>
      <w:r>
        <w:rPr>
          <w:rFonts w:ascii="Times New Roman" w:hAnsi="Times New Roman"/>
          <w:b w:val="0"/>
          <w:bCs w:val="0"/>
          <w:color w:val="auto"/>
          <w:sz w:val="22"/>
          <w:szCs w:val="22"/>
          <w:highlight w:val="none"/>
          <w:u w:val="single"/>
        </w:rPr>
        <w:t>供应商必须在</w:t>
      </w:r>
      <w:r>
        <w:rPr>
          <w:rFonts w:hint="eastAsia" w:ascii="Times New Roman" w:hAnsi="Times New Roman"/>
          <w:b w:val="0"/>
          <w:bCs w:val="0"/>
          <w:color w:val="auto"/>
          <w:sz w:val="22"/>
          <w:szCs w:val="22"/>
          <w:highlight w:val="none"/>
          <w:u w:val="single"/>
        </w:rPr>
        <w:t>与采购人</w:t>
      </w:r>
      <w:r>
        <w:rPr>
          <w:rFonts w:ascii="Times New Roman" w:hAnsi="Times New Roman"/>
          <w:b w:val="0"/>
          <w:bCs w:val="0"/>
          <w:color w:val="auto"/>
          <w:sz w:val="22"/>
          <w:szCs w:val="22"/>
          <w:highlight w:val="none"/>
          <w:u w:val="single"/>
        </w:rPr>
        <w:t>签订</w:t>
      </w:r>
      <w:r>
        <w:rPr>
          <w:rFonts w:hint="eastAsia" w:ascii="Times New Roman" w:hAnsi="Times New Roman"/>
          <w:b w:val="0"/>
          <w:bCs w:val="0"/>
          <w:color w:val="auto"/>
          <w:sz w:val="22"/>
          <w:szCs w:val="22"/>
          <w:highlight w:val="none"/>
          <w:u w:val="single"/>
        </w:rPr>
        <w:t>完</w:t>
      </w:r>
      <w:r>
        <w:rPr>
          <w:rFonts w:ascii="Times New Roman" w:hAnsi="Times New Roman"/>
          <w:b w:val="0"/>
          <w:bCs w:val="0"/>
          <w:color w:val="auto"/>
          <w:sz w:val="22"/>
          <w:szCs w:val="22"/>
          <w:highlight w:val="none"/>
          <w:u w:val="single"/>
        </w:rPr>
        <w:t>合同</w:t>
      </w:r>
      <w:r>
        <w:rPr>
          <w:rFonts w:hint="eastAsia" w:ascii="Times New Roman" w:hAnsi="Times New Roman"/>
          <w:b w:val="0"/>
          <w:bCs w:val="0"/>
          <w:color w:val="auto"/>
          <w:sz w:val="22"/>
          <w:szCs w:val="22"/>
          <w:highlight w:val="none"/>
          <w:u w:val="single"/>
          <w:lang w:eastAsia="zh-CN"/>
        </w:rPr>
        <w:t>后</w:t>
      </w:r>
      <w:r>
        <w:rPr>
          <w:rFonts w:hint="eastAsia" w:ascii="Times New Roman" w:hAnsi="Times New Roman"/>
          <w:b w:val="0"/>
          <w:bCs w:val="0"/>
          <w:color w:val="auto"/>
          <w:sz w:val="22"/>
          <w:szCs w:val="22"/>
          <w:highlight w:val="none"/>
          <w:u w:val="single"/>
          <w:lang w:val="en-US" w:eastAsia="zh-CN"/>
        </w:rPr>
        <w:t>10天内具备实施条件。</w:t>
      </w:r>
      <w:r>
        <w:rPr>
          <w:rFonts w:hint="eastAsia"/>
          <w:b w:val="0"/>
          <w:bCs w:val="0"/>
          <w:color w:val="auto"/>
          <w:sz w:val="22"/>
          <w:szCs w:val="22"/>
          <w:highlight w:val="none"/>
        </w:rPr>
        <w:t>若成交方有违约行为，采购人有权单方面解除合同。</w:t>
      </w:r>
    </w:p>
    <w:p w14:paraId="4B29D31E">
      <w:pPr>
        <w:shd w:val="clear" w:color="auto" w:fill="FFFFFF"/>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lang w:val="en-US" w:eastAsia="zh-CN"/>
        </w:rPr>
        <w:t>四、</w:t>
      </w:r>
      <w:r>
        <w:rPr>
          <w:rFonts w:hint="eastAsia" w:ascii="宋体" w:hAnsi="宋体" w:eastAsia="宋体" w:cs="宋体"/>
          <w:b/>
          <w:color w:val="auto"/>
          <w:sz w:val="22"/>
          <w:szCs w:val="22"/>
          <w:highlight w:val="none"/>
        </w:rPr>
        <w:t>质保要求：</w:t>
      </w:r>
    </w:p>
    <w:p w14:paraId="04340543">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1、</w:t>
      </w:r>
      <w:r>
        <w:rPr>
          <w:rFonts w:hint="eastAsia" w:ascii="宋体" w:hAnsi="宋体" w:eastAsia="宋体" w:cs="宋体"/>
          <w:bCs/>
          <w:color w:val="auto"/>
          <w:sz w:val="22"/>
          <w:szCs w:val="22"/>
          <w:highlight w:val="none"/>
        </w:rPr>
        <w:t>保质期与售后服务：</w:t>
      </w:r>
    </w:p>
    <w:p w14:paraId="530FD798">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1</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本项目所有设备质保期</w:t>
      </w:r>
      <w:r>
        <w:rPr>
          <w:rFonts w:hint="eastAsia" w:cs="宋体"/>
          <w:bCs/>
          <w:color w:val="auto"/>
          <w:sz w:val="22"/>
          <w:szCs w:val="22"/>
          <w:highlight w:val="none"/>
          <w:lang w:val="en-US" w:eastAsia="zh-CN"/>
        </w:rPr>
        <w:t>不少于</w:t>
      </w:r>
      <w:r>
        <w:rPr>
          <w:rFonts w:hint="eastAsia" w:ascii="宋体" w:hAnsi="宋体" w:eastAsia="宋体" w:cs="宋体"/>
          <w:bCs/>
          <w:color w:val="auto"/>
          <w:sz w:val="22"/>
          <w:szCs w:val="22"/>
          <w:highlight w:val="none"/>
        </w:rPr>
        <w:t>两年（技术参数中有详细说明的除外），质保期从验收合格交付使用之日起算；保质期内因产品本身缺陷（非人为因素）造成各种故障应由成交供应商免费技术服务和维修及维护。</w:t>
      </w:r>
    </w:p>
    <w:p w14:paraId="685F00CF">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（2）</w:t>
      </w:r>
      <w:r>
        <w:rPr>
          <w:rFonts w:hint="eastAsia" w:ascii="宋体" w:hAnsi="宋体" w:eastAsia="宋体" w:cs="宋体"/>
          <w:bCs/>
          <w:color w:val="auto"/>
          <w:sz w:val="22"/>
          <w:szCs w:val="22"/>
          <w:highlight w:val="none"/>
        </w:rPr>
        <w:t>在质保期内，成交供应商应负责对其提供的设备进行现场维修、损坏件更换，不收取额外费用，响应时间必须满足系统正常运行的要求。</w:t>
      </w:r>
    </w:p>
    <w:p w14:paraId="18F05881">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（3）</w:t>
      </w:r>
      <w:r>
        <w:rPr>
          <w:rFonts w:hint="eastAsia" w:ascii="宋体" w:hAnsi="宋体" w:eastAsia="宋体" w:cs="宋体"/>
          <w:bCs/>
          <w:color w:val="auto"/>
          <w:sz w:val="22"/>
          <w:szCs w:val="22"/>
          <w:highlight w:val="none"/>
        </w:rPr>
        <w:t>质量保修期内，要求供应商7×24小时电话响应技术咨询；除非采购文件另有规定，供应商须在接到采购人维修要求电话后，8小时内派技术人员到现场维修，如果在24小时内不能修复，则提供同样备机供采购人使用，直至设备修复。</w:t>
      </w:r>
    </w:p>
    <w:p w14:paraId="7317292C">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（4）</w:t>
      </w:r>
      <w:r>
        <w:rPr>
          <w:rFonts w:hint="eastAsia" w:ascii="宋体" w:hAnsi="宋体" w:eastAsia="宋体" w:cs="宋体"/>
          <w:bCs/>
          <w:color w:val="auto"/>
          <w:sz w:val="22"/>
          <w:szCs w:val="22"/>
          <w:highlight w:val="none"/>
        </w:rPr>
        <w:t>供应商在</w:t>
      </w:r>
      <w:r>
        <w:rPr>
          <w:rFonts w:hint="eastAsia" w:ascii="宋体" w:hAnsi="宋体" w:eastAsia="宋体" w:cs="宋体"/>
          <w:bCs/>
          <w:color w:val="auto"/>
          <w:sz w:val="22"/>
          <w:szCs w:val="22"/>
          <w:highlight w:val="none"/>
          <w:lang w:val="en-US" w:eastAsia="zh-CN"/>
        </w:rPr>
        <w:t>商务技术</w:t>
      </w:r>
      <w:r>
        <w:rPr>
          <w:rFonts w:hint="eastAsia" w:ascii="宋体" w:hAnsi="宋体" w:eastAsia="宋体" w:cs="宋体"/>
          <w:bCs/>
          <w:color w:val="auto"/>
          <w:sz w:val="22"/>
          <w:szCs w:val="22"/>
          <w:highlight w:val="none"/>
        </w:rPr>
        <w:t>文件中须说明保修期内提供的服务计划。</w:t>
      </w:r>
    </w:p>
    <w:p w14:paraId="71638D79">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2</w:t>
      </w:r>
      <w:r>
        <w:rPr>
          <w:rFonts w:hint="eastAsia" w:ascii="宋体" w:hAnsi="宋体" w:eastAsia="宋体" w:cs="宋体"/>
          <w:bCs/>
          <w:color w:val="auto"/>
          <w:sz w:val="22"/>
          <w:szCs w:val="22"/>
          <w:highlight w:val="none"/>
        </w:rPr>
        <w:t>、培训：</w:t>
      </w:r>
    </w:p>
    <w:p w14:paraId="57D593CD">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1</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中标供应商应对采购人的维修人员提供培训，使其能对设备进行日常的维护保养及能对一般故障进行维修。</w:t>
      </w:r>
    </w:p>
    <w:p w14:paraId="27CBD188">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3</w:t>
      </w:r>
      <w:r>
        <w:rPr>
          <w:rFonts w:hint="eastAsia" w:ascii="宋体" w:hAnsi="宋体" w:eastAsia="宋体" w:cs="宋体"/>
          <w:bCs/>
          <w:color w:val="auto"/>
          <w:sz w:val="22"/>
          <w:szCs w:val="22"/>
          <w:highlight w:val="none"/>
        </w:rPr>
        <w:t>、安装调试</w:t>
      </w:r>
    </w:p>
    <w:p w14:paraId="58383E42">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1</w:t>
      </w:r>
      <w:r>
        <w:rPr>
          <w:rFonts w:hint="eastAsia" w:ascii="宋体" w:hAnsi="宋体" w:eastAsia="宋体" w:cs="宋体"/>
          <w:bCs/>
          <w:color w:val="auto"/>
          <w:sz w:val="22"/>
          <w:szCs w:val="22"/>
          <w:highlight w:val="none"/>
          <w:lang w:eastAsia="zh-CN"/>
        </w:rPr>
        <w:t>）</w:t>
      </w:r>
      <w:r>
        <w:rPr>
          <w:rFonts w:hint="eastAsia" w:cs="宋体"/>
          <w:bCs/>
          <w:color w:val="auto"/>
          <w:sz w:val="22"/>
          <w:szCs w:val="22"/>
          <w:highlight w:val="none"/>
          <w:lang w:val="en-US" w:eastAsia="zh-CN"/>
        </w:rPr>
        <w:t>签</w:t>
      </w:r>
      <w:r>
        <w:rPr>
          <w:rFonts w:hint="eastAsia" w:ascii="宋体" w:hAnsi="宋体" w:eastAsia="宋体" w:cs="宋体"/>
          <w:bCs/>
          <w:color w:val="auto"/>
          <w:sz w:val="22"/>
          <w:szCs w:val="22"/>
          <w:highlight w:val="none"/>
        </w:rPr>
        <w:t>订合同后，接到</w:t>
      </w:r>
      <w:r>
        <w:rPr>
          <w:rFonts w:hint="eastAsia" w:cs="宋体"/>
          <w:bCs/>
          <w:color w:val="auto"/>
          <w:sz w:val="22"/>
          <w:szCs w:val="22"/>
          <w:highlight w:val="none"/>
          <w:lang w:val="en-US" w:eastAsia="zh-CN"/>
        </w:rPr>
        <w:t>采购人通知后进行</w:t>
      </w:r>
      <w:r>
        <w:rPr>
          <w:rFonts w:hint="eastAsia" w:cs="宋体"/>
          <w:bCs/>
          <w:color w:val="auto"/>
          <w:sz w:val="22"/>
          <w:szCs w:val="22"/>
          <w:highlight w:val="none"/>
          <w:lang w:eastAsia="zh-CN"/>
        </w:rPr>
        <w:t>实施</w:t>
      </w:r>
      <w:r>
        <w:rPr>
          <w:rFonts w:hint="eastAsia" w:ascii="宋体" w:hAnsi="宋体" w:eastAsia="宋体" w:cs="宋体"/>
          <w:bCs/>
          <w:color w:val="auto"/>
          <w:sz w:val="22"/>
          <w:szCs w:val="22"/>
          <w:highlight w:val="none"/>
        </w:rPr>
        <w:t>安装调试。</w:t>
      </w:r>
    </w:p>
    <w:p w14:paraId="7DD4A093">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2</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安装地点：按采购单位要求。</w:t>
      </w:r>
    </w:p>
    <w:p w14:paraId="443C3E72">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3</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质量标准：符合我国国家有关技术规范要求和技术标准。</w:t>
      </w:r>
    </w:p>
    <w:p w14:paraId="01BC271A">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4</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供应商须派技术人员提供送货及安装服务。送货、安装全过程中发生的所有费用由中标供应商负责。</w:t>
      </w:r>
    </w:p>
    <w:p w14:paraId="5999FD94">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5</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供应商应在报价文件中提出其安装调试过程中使用单位需配合的内容。</w:t>
      </w:r>
    </w:p>
    <w:p w14:paraId="3BD6832B">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6</w:t>
      </w: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rPr>
        <w:t>供应商安装完毕后要恢复安装现场并保持安装现场清洁。</w:t>
      </w:r>
    </w:p>
    <w:p w14:paraId="023B4DD1">
      <w:pPr>
        <w:pStyle w:val="38"/>
        <w:rPr>
          <w:color w:val="auto"/>
          <w:highlight w:val="none"/>
        </w:rPr>
      </w:pPr>
    </w:p>
    <w:p w14:paraId="7129936E">
      <w:pPr>
        <w:shd w:val="clear" w:color="auto" w:fill="FFFFFF"/>
        <w:spacing w:line="360" w:lineRule="auto"/>
        <w:rPr>
          <w:rFonts w:hint="eastAsia"/>
          <w:b/>
          <w:color w:val="auto"/>
          <w:sz w:val="22"/>
          <w:szCs w:val="22"/>
          <w:highlight w:val="none"/>
        </w:rPr>
      </w:pPr>
      <w:r>
        <w:rPr>
          <w:rFonts w:hint="eastAsia"/>
          <w:b/>
          <w:color w:val="auto"/>
          <w:sz w:val="22"/>
          <w:szCs w:val="22"/>
          <w:highlight w:val="none"/>
          <w:lang w:val="en-US" w:eastAsia="zh-CN"/>
        </w:rPr>
        <w:t>五</w:t>
      </w:r>
      <w:r>
        <w:rPr>
          <w:rFonts w:hint="eastAsia"/>
          <w:b/>
          <w:color w:val="auto"/>
          <w:sz w:val="22"/>
          <w:szCs w:val="22"/>
          <w:highlight w:val="none"/>
        </w:rPr>
        <w:t>、验收</w:t>
      </w:r>
    </w:p>
    <w:p w14:paraId="1E32C8C0">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1）政府采购项目无论金额大小，都要进行履约验收，履约验收工作由采购人负责。采购人可以根据采购项目具体情况自行组织验收，采购人自行组织验收的，该项目招标代理负责人须在场作出有关解答；也可委托采购代理机构组织验收，但委托验收不能免除采购人应当承担的法律责任。</w:t>
      </w:r>
    </w:p>
    <w:p w14:paraId="033DA077">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w:t>
      </w:r>
      <w:r>
        <w:rPr>
          <w:rFonts w:hint="eastAsia"/>
          <w:bCs/>
          <w:color w:val="auto"/>
          <w:sz w:val="22"/>
          <w:szCs w:val="22"/>
          <w:highlight w:val="none"/>
        </w:rPr>
        <w:t>2</w:t>
      </w:r>
      <w:r>
        <w:rPr>
          <w:rFonts w:hint="eastAsia"/>
          <w:bCs/>
          <w:color w:val="auto"/>
          <w:sz w:val="22"/>
          <w:szCs w:val="22"/>
          <w:highlight w:val="none"/>
          <w:lang w:val="zh-CN"/>
        </w:rPr>
        <w:t>）采购人对中标人的履约验收应按《温州市政府采购履约验收办法》执行。</w:t>
      </w:r>
    </w:p>
    <w:p w14:paraId="1105066E">
      <w:pPr>
        <w:shd w:val="clear" w:color="auto" w:fill="FFFFFF"/>
        <w:spacing w:line="360" w:lineRule="auto"/>
        <w:rPr>
          <w:rFonts w:hint="eastAsia"/>
          <w:b/>
          <w:color w:val="auto"/>
          <w:sz w:val="22"/>
          <w:szCs w:val="22"/>
          <w:highlight w:val="none"/>
        </w:rPr>
      </w:pPr>
      <w:r>
        <w:rPr>
          <w:rFonts w:hint="eastAsia"/>
          <w:b/>
          <w:color w:val="auto"/>
          <w:sz w:val="22"/>
          <w:szCs w:val="22"/>
          <w:highlight w:val="none"/>
          <w:lang w:val="en-US" w:eastAsia="zh-CN"/>
        </w:rPr>
        <w:t>六</w:t>
      </w:r>
      <w:r>
        <w:rPr>
          <w:rFonts w:hint="eastAsia"/>
          <w:b/>
          <w:color w:val="auto"/>
          <w:sz w:val="22"/>
          <w:szCs w:val="22"/>
          <w:highlight w:val="none"/>
        </w:rPr>
        <w:t>、本项目有下列情形的，采购人有权终止合同：</w:t>
      </w:r>
    </w:p>
    <w:p w14:paraId="7F69B788">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（一）合同生效：本合同自甲乙双方法定代表人签字、盖章之日起生效。</w:t>
      </w:r>
    </w:p>
    <w:p w14:paraId="48D9207C">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（二）合同终止：本项目有下列情形的，采购人有权终止合同：</w:t>
      </w:r>
    </w:p>
    <w:p w14:paraId="2F69A56C">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 xml:space="preserve">1）本项目遇不可抗力影响或法律、法规、国家政策重大调整影响合同无法执行的； </w:t>
      </w:r>
    </w:p>
    <w:p w14:paraId="0A5015E9">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2）中标供应商对监管人员，考核成员有行贿或其它利益输送行为的。</w:t>
      </w:r>
    </w:p>
    <w:p w14:paraId="1EC3B2CF">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3）按相关法律、法规、</w:t>
      </w:r>
      <w:r>
        <w:rPr>
          <w:rFonts w:hint="eastAsia"/>
          <w:color w:val="auto"/>
          <w:sz w:val="22"/>
          <w:szCs w:val="22"/>
          <w:highlight w:val="none"/>
        </w:rPr>
        <w:t>招标文件</w:t>
      </w:r>
      <w:r>
        <w:rPr>
          <w:rFonts w:hint="eastAsia"/>
          <w:bCs/>
          <w:color w:val="auto"/>
          <w:sz w:val="22"/>
          <w:szCs w:val="22"/>
          <w:highlight w:val="none"/>
          <w:lang w:val="zh-CN"/>
        </w:rPr>
        <w:t>规定及考核办法，有下列情形之一的，采购人有权终止合同：</w:t>
      </w:r>
    </w:p>
    <w:p w14:paraId="516630A5">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（1）全年有两次被严重警告或三次被警告（含一次严重警告，两次警告）的承包单位，采购人有权无责任终止采购合同。</w:t>
      </w:r>
    </w:p>
    <w:p w14:paraId="6237246F">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（2）二次平均考核得分率低于</w:t>
      </w:r>
      <w:r>
        <w:rPr>
          <w:rFonts w:hint="eastAsia"/>
          <w:bCs/>
          <w:color w:val="auto"/>
          <w:sz w:val="22"/>
          <w:szCs w:val="22"/>
          <w:highlight w:val="none"/>
        </w:rPr>
        <w:t>75</w:t>
      </w:r>
      <w:r>
        <w:rPr>
          <w:rFonts w:hint="eastAsia"/>
          <w:bCs/>
          <w:color w:val="auto"/>
          <w:sz w:val="22"/>
          <w:szCs w:val="22"/>
          <w:highlight w:val="none"/>
          <w:lang w:val="zh-CN"/>
        </w:rPr>
        <w:t>%（不含）的，采购人有权无责任终止采购合同。</w:t>
      </w:r>
    </w:p>
    <w:p w14:paraId="71006E15">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（3）经有关部门认定严重违反劳动法，造成恶劣影响的；或其它因违法经营受到刑事处罚或者责令停产停业、吊销许可证或者执照、较大数额罚款等行政处罚的。</w:t>
      </w:r>
    </w:p>
    <w:p w14:paraId="071377CD">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（4）其它弄虚作假及其他不正当行为。</w:t>
      </w:r>
    </w:p>
    <w:p w14:paraId="324FFC45">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（5）合同履约期间，中标供应商法人组织破产，或重组变更法人主体的；</w:t>
      </w:r>
    </w:p>
    <w:p w14:paraId="054ABB9A">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（6）根据招标文件及合同约定，其它终止合同的规定，其它法律规定的终止情形。</w:t>
      </w:r>
    </w:p>
    <w:p w14:paraId="495DBAAB">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（7）中标供应商</w:t>
      </w:r>
      <w:r>
        <w:rPr>
          <w:rFonts w:hint="eastAsia"/>
          <w:bCs/>
          <w:color w:val="auto"/>
          <w:sz w:val="22"/>
          <w:szCs w:val="22"/>
          <w:highlight w:val="none"/>
          <w:lang w:val="en-US" w:eastAsia="zh-CN"/>
        </w:rPr>
        <w:t>若</w:t>
      </w:r>
      <w:r>
        <w:rPr>
          <w:rFonts w:hint="eastAsia"/>
          <w:bCs/>
          <w:color w:val="auto"/>
          <w:sz w:val="22"/>
          <w:szCs w:val="22"/>
          <w:highlight w:val="none"/>
          <w:lang w:val="zh-CN"/>
        </w:rPr>
        <w:t>承诺在中标后为此项目在平阳县内设立服务机构，但在中标后1个月内未设置相关服务机构的。</w:t>
      </w:r>
    </w:p>
    <w:p w14:paraId="606913E2">
      <w:pPr>
        <w:spacing w:line="360" w:lineRule="auto"/>
        <w:ind w:firstLine="440" w:firstLineChars="200"/>
        <w:rPr>
          <w:rFonts w:hint="eastAsia"/>
          <w:bCs/>
          <w:color w:val="auto"/>
          <w:sz w:val="22"/>
          <w:szCs w:val="22"/>
          <w:highlight w:val="none"/>
          <w:lang w:val="zh-CN"/>
        </w:rPr>
      </w:pPr>
      <w:r>
        <w:rPr>
          <w:rFonts w:hint="eastAsia"/>
          <w:bCs/>
          <w:color w:val="auto"/>
          <w:sz w:val="22"/>
          <w:szCs w:val="22"/>
          <w:highlight w:val="none"/>
          <w:lang w:val="zh-CN"/>
        </w:rPr>
        <w:t>（8）由于中标供应商原因造成采购人经济损失的，所造成的损失由中标供应商承担；同时采购人有权终止合同。</w:t>
      </w:r>
    </w:p>
    <w:p w14:paraId="540FC53F">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b/>
          <w:color w:val="auto"/>
          <w:sz w:val="22"/>
          <w:szCs w:val="22"/>
          <w:highlight w:val="none"/>
          <w:lang w:val="en-US" w:eastAsia="zh-CN"/>
        </w:rPr>
      </w:pPr>
      <w:r>
        <w:rPr>
          <w:rFonts w:hint="eastAsia" w:ascii="宋体" w:hAnsi="宋体" w:eastAsia="宋体" w:cs="宋体"/>
          <w:b/>
          <w:color w:val="auto"/>
          <w:sz w:val="22"/>
          <w:szCs w:val="22"/>
          <w:highlight w:val="none"/>
          <w:lang w:val="en-US" w:eastAsia="zh-CN"/>
        </w:rPr>
        <w:t>七、考核要求</w:t>
      </w:r>
    </w:p>
    <w:p w14:paraId="1DE490C6">
      <w:pPr>
        <w:adjustRightInd w:val="0"/>
        <w:snapToGrid w:val="0"/>
        <w:spacing w:line="420" w:lineRule="exact"/>
        <w:ind w:firstLine="440" w:firstLineChars="200"/>
        <w:jc w:val="both"/>
        <w:rPr>
          <w:rFonts w:hint="eastAsia" w:ascii="宋体" w:hAnsi="宋体"/>
          <w:color w:val="auto"/>
          <w:sz w:val="36"/>
          <w:highlight w:val="none"/>
        </w:rPr>
      </w:pPr>
      <w:r>
        <w:rPr>
          <w:rFonts w:hint="eastAsia" w:ascii="宋体" w:hAnsi="宋体" w:eastAsia="宋体" w:cs="宋体"/>
          <w:color w:val="auto"/>
          <w:sz w:val="22"/>
          <w:szCs w:val="22"/>
          <w:highlight w:val="none"/>
          <w:u w:val="none"/>
          <w:lang w:val="en-US" w:eastAsia="zh-CN"/>
        </w:rPr>
        <w:t>服务期间按季度进行考核，进度款支付与考核结果挂钩。验收考核标准及办法参如下附件。</w:t>
      </w:r>
    </w:p>
    <w:p w14:paraId="23FAAE1A">
      <w:pPr>
        <w:snapToGrid w:val="0"/>
        <w:spacing w:line="360" w:lineRule="auto"/>
        <w:jc w:val="center"/>
        <w:rPr>
          <w:rFonts w:hint="eastAsia"/>
          <w:b/>
          <w:color w:val="auto"/>
          <w:sz w:val="22"/>
          <w:szCs w:val="22"/>
          <w:highlight w:val="none"/>
        </w:rPr>
      </w:pPr>
      <w:r>
        <w:rPr>
          <w:rFonts w:hint="eastAsia"/>
          <w:b/>
          <w:color w:val="auto"/>
          <w:sz w:val="22"/>
          <w:szCs w:val="22"/>
          <w:highlight w:val="none"/>
        </w:rPr>
        <w:t>附件：《</w:t>
      </w:r>
      <w:r>
        <w:rPr>
          <w:rFonts w:hint="eastAsia"/>
          <w:b/>
          <w:color w:val="auto"/>
          <w:sz w:val="22"/>
          <w:szCs w:val="22"/>
          <w:highlight w:val="none"/>
          <w:lang w:eastAsia="zh-CN"/>
        </w:rPr>
        <w:t>鳌江镇塘川高速互通路网交通安全设施项目</w:t>
      </w:r>
      <w:r>
        <w:rPr>
          <w:rFonts w:hint="eastAsia"/>
          <w:b/>
          <w:color w:val="auto"/>
          <w:sz w:val="22"/>
          <w:szCs w:val="22"/>
          <w:highlight w:val="none"/>
        </w:rPr>
        <w:t>实时动态考核评分细则》</w:t>
      </w:r>
    </w:p>
    <w:p w14:paraId="6890938A">
      <w:pPr>
        <w:snapToGrid w:val="0"/>
        <w:spacing w:line="360" w:lineRule="auto"/>
        <w:jc w:val="center"/>
        <w:rPr>
          <w:rFonts w:hint="eastAsia"/>
          <w:b/>
          <w:color w:val="auto"/>
          <w:sz w:val="22"/>
          <w:szCs w:val="22"/>
          <w:highlight w:val="none"/>
        </w:rPr>
      </w:pPr>
      <w:r>
        <w:rPr>
          <w:rFonts w:hint="eastAsia"/>
          <w:b/>
          <w:color w:val="auto"/>
          <w:sz w:val="22"/>
          <w:szCs w:val="22"/>
          <w:highlight w:val="none"/>
        </w:rPr>
        <w:t>（采购人可根据项目实际进行调整）</w:t>
      </w:r>
    </w:p>
    <w:tbl>
      <w:tblPr>
        <w:tblStyle w:val="6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24"/>
        <w:gridCol w:w="1058"/>
        <w:gridCol w:w="1815"/>
        <w:gridCol w:w="1365"/>
      </w:tblGrid>
      <w:tr w14:paraId="3DFBD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4"/>
            <w:tcBorders>
              <w:top w:val="single" w:color="auto" w:sz="4" w:space="0"/>
              <w:left w:val="single" w:color="auto" w:sz="4" w:space="0"/>
              <w:bottom w:val="single" w:color="auto" w:sz="4" w:space="0"/>
              <w:right w:val="single" w:color="auto" w:sz="4" w:space="0"/>
            </w:tcBorders>
            <w:noWrap w:val="0"/>
            <w:vAlign w:val="top"/>
          </w:tcPr>
          <w:p w14:paraId="1A0E069F">
            <w:pPr>
              <w:spacing w:line="360" w:lineRule="exact"/>
              <w:outlineLvl w:val="0"/>
              <w:rPr>
                <w:rFonts w:hint="eastAsia"/>
                <w:color w:val="auto"/>
                <w:sz w:val="22"/>
                <w:szCs w:val="22"/>
                <w:highlight w:val="none"/>
              </w:rPr>
            </w:pPr>
            <w:r>
              <w:rPr>
                <w:rFonts w:hint="eastAsia"/>
                <w:color w:val="auto"/>
                <w:sz w:val="22"/>
                <w:szCs w:val="22"/>
                <w:highlight w:val="none"/>
              </w:rPr>
              <w:t>被考核单位：</w:t>
            </w:r>
          </w:p>
        </w:tc>
      </w:tr>
      <w:tr w14:paraId="7C89B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4"/>
            <w:tcBorders>
              <w:top w:val="single" w:color="auto" w:sz="4" w:space="0"/>
              <w:left w:val="single" w:color="auto" w:sz="4" w:space="0"/>
              <w:bottom w:val="single" w:color="auto" w:sz="4" w:space="0"/>
              <w:right w:val="single" w:color="auto" w:sz="4" w:space="0"/>
            </w:tcBorders>
            <w:noWrap w:val="0"/>
            <w:vAlign w:val="top"/>
          </w:tcPr>
          <w:p w14:paraId="01993F63">
            <w:pPr>
              <w:spacing w:line="360" w:lineRule="exact"/>
              <w:outlineLvl w:val="0"/>
              <w:rPr>
                <w:rFonts w:hint="eastAsia" w:eastAsia="宋体"/>
                <w:color w:val="auto"/>
                <w:sz w:val="22"/>
                <w:szCs w:val="22"/>
                <w:highlight w:val="none"/>
                <w:lang w:eastAsia="zh-CN"/>
              </w:rPr>
            </w:pPr>
            <w:r>
              <w:rPr>
                <w:rFonts w:hint="eastAsia"/>
                <w:color w:val="auto"/>
                <w:sz w:val="22"/>
                <w:szCs w:val="22"/>
                <w:highlight w:val="none"/>
              </w:rPr>
              <w:t>项目名称：</w:t>
            </w:r>
            <w:r>
              <w:rPr>
                <w:rFonts w:hint="eastAsia"/>
                <w:color w:val="auto"/>
                <w:sz w:val="22"/>
                <w:szCs w:val="22"/>
                <w:highlight w:val="none"/>
                <w:lang w:eastAsia="zh-CN"/>
              </w:rPr>
              <w:t>鳌江镇塘川高速互通路网交通安全设施项目</w:t>
            </w:r>
          </w:p>
        </w:tc>
      </w:tr>
      <w:tr w14:paraId="13348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4"/>
            <w:tcBorders>
              <w:top w:val="single" w:color="auto" w:sz="4" w:space="0"/>
              <w:left w:val="single" w:color="auto" w:sz="4" w:space="0"/>
              <w:bottom w:val="single" w:color="auto" w:sz="4" w:space="0"/>
              <w:right w:val="single" w:color="auto" w:sz="4" w:space="0"/>
            </w:tcBorders>
            <w:noWrap w:val="0"/>
            <w:vAlign w:val="top"/>
          </w:tcPr>
          <w:p w14:paraId="5D107E9B">
            <w:pPr>
              <w:spacing w:line="360" w:lineRule="exact"/>
              <w:outlineLvl w:val="0"/>
              <w:rPr>
                <w:rFonts w:hint="eastAsia"/>
                <w:color w:val="auto"/>
                <w:sz w:val="22"/>
                <w:szCs w:val="22"/>
                <w:highlight w:val="none"/>
              </w:rPr>
            </w:pPr>
            <w:r>
              <w:rPr>
                <w:rFonts w:hint="eastAsia"/>
                <w:color w:val="auto"/>
                <w:sz w:val="22"/>
                <w:szCs w:val="22"/>
                <w:highlight w:val="none"/>
              </w:rPr>
              <w:t>考核人：</w:t>
            </w:r>
          </w:p>
        </w:tc>
      </w:tr>
      <w:tr w14:paraId="1F136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73" w:type="pct"/>
            <w:noWrap w:val="0"/>
            <w:vAlign w:val="center"/>
          </w:tcPr>
          <w:p w14:paraId="34D964CC">
            <w:pPr>
              <w:spacing w:line="360" w:lineRule="exact"/>
              <w:jc w:val="center"/>
              <w:outlineLvl w:val="0"/>
              <w:rPr>
                <w:rFonts w:hint="eastAsia"/>
                <w:color w:val="auto"/>
                <w:sz w:val="22"/>
                <w:szCs w:val="22"/>
                <w:highlight w:val="none"/>
              </w:rPr>
            </w:pPr>
            <w:r>
              <w:rPr>
                <w:rFonts w:hint="eastAsia"/>
                <w:color w:val="auto"/>
                <w:sz w:val="22"/>
                <w:szCs w:val="22"/>
                <w:highlight w:val="none"/>
              </w:rPr>
              <w:t>考核内容</w:t>
            </w:r>
          </w:p>
        </w:tc>
        <w:tc>
          <w:tcPr>
            <w:tcW w:w="531" w:type="pct"/>
            <w:noWrap w:val="0"/>
            <w:vAlign w:val="center"/>
          </w:tcPr>
          <w:p w14:paraId="37A9B960">
            <w:pPr>
              <w:spacing w:line="360" w:lineRule="exact"/>
              <w:jc w:val="center"/>
              <w:outlineLvl w:val="0"/>
              <w:rPr>
                <w:rFonts w:hint="eastAsia"/>
                <w:color w:val="auto"/>
                <w:sz w:val="22"/>
                <w:szCs w:val="22"/>
                <w:highlight w:val="none"/>
              </w:rPr>
            </w:pPr>
            <w:r>
              <w:rPr>
                <w:rFonts w:hint="eastAsia"/>
                <w:color w:val="auto"/>
                <w:sz w:val="22"/>
                <w:szCs w:val="22"/>
                <w:highlight w:val="none"/>
              </w:rPr>
              <w:t>分值</w:t>
            </w:r>
          </w:p>
        </w:tc>
        <w:tc>
          <w:tcPr>
            <w:tcW w:w="911" w:type="pct"/>
            <w:noWrap w:val="0"/>
            <w:vAlign w:val="center"/>
          </w:tcPr>
          <w:p w14:paraId="0524BF04">
            <w:pPr>
              <w:spacing w:line="360" w:lineRule="exact"/>
              <w:jc w:val="center"/>
              <w:outlineLvl w:val="0"/>
              <w:rPr>
                <w:rFonts w:hint="eastAsia"/>
                <w:color w:val="auto"/>
                <w:sz w:val="22"/>
                <w:szCs w:val="22"/>
                <w:highlight w:val="none"/>
              </w:rPr>
            </w:pPr>
            <w:r>
              <w:rPr>
                <w:rFonts w:hint="eastAsia"/>
                <w:color w:val="auto"/>
                <w:sz w:val="22"/>
                <w:szCs w:val="22"/>
                <w:highlight w:val="none"/>
              </w:rPr>
              <w:t>扣分原因</w:t>
            </w:r>
          </w:p>
        </w:tc>
        <w:tc>
          <w:tcPr>
            <w:tcW w:w="682" w:type="pct"/>
            <w:noWrap w:val="0"/>
            <w:vAlign w:val="center"/>
          </w:tcPr>
          <w:p w14:paraId="49DF79C8">
            <w:pPr>
              <w:spacing w:line="360" w:lineRule="exact"/>
              <w:jc w:val="center"/>
              <w:outlineLvl w:val="0"/>
              <w:rPr>
                <w:rFonts w:hint="eastAsia"/>
                <w:color w:val="auto"/>
                <w:sz w:val="22"/>
                <w:szCs w:val="22"/>
                <w:highlight w:val="none"/>
              </w:rPr>
            </w:pPr>
            <w:r>
              <w:rPr>
                <w:rFonts w:hint="eastAsia"/>
                <w:color w:val="auto"/>
                <w:sz w:val="22"/>
                <w:szCs w:val="22"/>
                <w:highlight w:val="none"/>
              </w:rPr>
              <w:t>得分</w:t>
            </w:r>
          </w:p>
        </w:tc>
      </w:tr>
      <w:tr w14:paraId="2CDEE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73" w:type="pct"/>
            <w:noWrap w:val="0"/>
            <w:vAlign w:val="top"/>
          </w:tcPr>
          <w:p w14:paraId="7D09C8AE">
            <w:pPr>
              <w:spacing w:line="400" w:lineRule="exact"/>
              <w:outlineLvl w:val="0"/>
              <w:rPr>
                <w:rFonts w:hint="eastAsia"/>
                <w:color w:val="auto"/>
                <w:sz w:val="22"/>
                <w:szCs w:val="22"/>
                <w:highlight w:val="none"/>
              </w:rPr>
            </w:pPr>
            <w:r>
              <w:rPr>
                <w:rFonts w:hint="eastAsia"/>
                <w:color w:val="auto"/>
                <w:sz w:val="22"/>
                <w:szCs w:val="22"/>
                <w:highlight w:val="none"/>
              </w:rPr>
              <w:t>1、是否在规定的时限内完成</w:t>
            </w:r>
            <w:r>
              <w:rPr>
                <w:rFonts w:hint="eastAsia"/>
                <w:color w:val="auto"/>
                <w:sz w:val="22"/>
                <w:szCs w:val="22"/>
                <w:highlight w:val="none"/>
                <w:lang w:eastAsia="zh-CN"/>
              </w:rPr>
              <w:t>交通安全整治</w:t>
            </w:r>
            <w:r>
              <w:rPr>
                <w:rFonts w:hint="eastAsia"/>
                <w:color w:val="auto"/>
                <w:sz w:val="22"/>
                <w:szCs w:val="22"/>
                <w:highlight w:val="none"/>
              </w:rPr>
              <w:t>项目工作、</w:t>
            </w:r>
            <w:r>
              <w:rPr>
                <w:rFonts w:hint="eastAsia" w:cs="Arial"/>
                <w:color w:val="auto"/>
                <w:sz w:val="22"/>
                <w:szCs w:val="22"/>
                <w:highlight w:val="none"/>
              </w:rPr>
              <w:t>紧急项目未按采购指令要求时间完成</w:t>
            </w:r>
          </w:p>
        </w:tc>
        <w:tc>
          <w:tcPr>
            <w:tcW w:w="531" w:type="pct"/>
            <w:noWrap w:val="0"/>
            <w:vAlign w:val="center"/>
          </w:tcPr>
          <w:p w14:paraId="2861D1B2">
            <w:pPr>
              <w:spacing w:line="400" w:lineRule="exact"/>
              <w:jc w:val="center"/>
              <w:outlineLvl w:val="0"/>
              <w:rPr>
                <w:rFonts w:hint="eastAsia"/>
                <w:color w:val="auto"/>
                <w:sz w:val="22"/>
                <w:szCs w:val="22"/>
                <w:highlight w:val="none"/>
              </w:rPr>
            </w:pPr>
            <w:r>
              <w:rPr>
                <w:rFonts w:hint="eastAsia"/>
                <w:color w:val="auto"/>
                <w:sz w:val="22"/>
                <w:szCs w:val="22"/>
                <w:highlight w:val="none"/>
              </w:rPr>
              <w:t>20</w:t>
            </w:r>
          </w:p>
        </w:tc>
        <w:tc>
          <w:tcPr>
            <w:tcW w:w="911" w:type="pct"/>
            <w:noWrap w:val="0"/>
            <w:vAlign w:val="top"/>
          </w:tcPr>
          <w:p w14:paraId="70DF0E20">
            <w:pPr>
              <w:spacing w:line="360" w:lineRule="exact"/>
              <w:outlineLvl w:val="0"/>
              <w:rPr>
                <w:rFonts w:hint="eastAsia"/>
                <w:color w:val="auto"/>
                <w:sz w:val="22"/>
                <w:szCs w:val="22"/>
                <w:highlight w:val="none"/>
              </w:rPr>
            </w:pPr>
          </w:p>
        </w:tc>
        <w:tc>
          <w:tcPr>
            <w:tcW w:w="682" w:type="pct"/>
            <w:noWrap w:val="0"/>
            <w:vAlign w:val="top"/>
          </w:tcPr>
          <w:p w14:paraId="1FF50515">
            <w:pPr>
              <w:spacing w:line="360" w:lineRule="exact"/>
              <w:outlineLvl w:val="0"/>
              <w:rPr>
                <w:rFonts w:hint="eastAsia"/>
                <w:color w:val="auto"/>
                <w:sz w:val="22"/>
                <w:szCs w:val="22"/>
                <w:highlight w:val="none"/>
              </w:rPr>
            </w:pPr>
          </w:p>
        </w:tc>
      </w:tr>
      <w:tr w14:paraId="5C000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73" w:type="pct"/>
            <w:noWrap w:val="0"/>
            <w:vAlign w:val="top"/>
          </w:tcPr>
          <w:p w14:paraId="6B141105">
            <w:pPr>
              <w:spacing w:line="400" w:lineRule="exact"/>
              <w:outlineLvl w:val="0"/>
              <w:rPr>
                <w:rFonts w:hint="eastAsia"/>
                <w:color w:val="auto"/>
                <w:sz w:val="22"/>
                <w:szCs w:val="22"/>
                <w:highlight w:val="none"/>
              </w:rPr>
            </w:pPr>
            <w:r>
              <w:rPr>
                <w:rFonts w:hint="eastAsia"/>
                <w:color w:val="auto"/>
                <w:sz w:val="22"/>
                <w:szCs w:val="22"/>
                <w:highlight w:val="none"/>
              </w:rPr>
              <w:t>2、是否有固定人员承担本项目联系人</w:t>
            </w:r>
          </w:p>
        </w:tc>
        <w:tc>
          <w:tcPr>
            <w:tcW w:w="531" w:type="pct"/>
            <w:noWrap w:val="0"/>
            <w:vAlign w:val="center"/>
          </w:tcPr>
          <w:p w14:paraId="67D6EDB5">
            <w:pPr>
              <w:spacing w:line="400" w:lineRule="exact"/>
              <w:jc w:val="center"/>
              <w:outlineLvl w:val="0"/>
              <w:rPr>
                <w:rFonts w:hint="eastAsia"/>
                <w:color w:val="auto"/>
                <w:sz w:val="22"/>
                <w:szCs w:val="22"/>
                <w:highlight w:val="none"/>
              </w:rPr>
            </w:pPr>
            <w:r>
              <w:rPr>
                <w:rFonts w:hint="eastAsia"/>
                <w:color w:val="auto"/>
                <w:sz w:val="22"/>
                <w:szCs w:val="22"/>
                <w:highlight w:val="none"/>
              </w:rPr>
              <w:t>10</w:t>
            </w:r>
          </w:p>
        </w:tc>
        <w:tc>
          <w:tcPr>
            <w:tcW w:w="911" w:type="pct"/>
            <w:noWrap w:val="0"/>
            <w:vAlign w:val="top"/>
          </w:tcPr>
          <w:p w14:paraId="09D29643">
            <w:pPr>
              <w:spacing w:line="360" w:lineRule="exact"/>
              <w:outlineLvl w:val="0"/>
              <w:rPr>
                <w:rFonts w:hint="eastAsia"/>
                <w:color w:val="auto"/>
                <w:sz w:val="22"/>
                <w:szCs w:val="22"/>
                <w:highlight w:val="none"/>
              </w:rPr>
            </w:pPr>
          </w:p>
        </w:tc>
        <w:tc>
          <w:tcPr>
            <w:tcW w:w="682" w:type="pct"/>
            <w:noWrap w:val="0"/>
            <w:vAlign w:val="top"/>
          </w:tcPr>
          <w:p w14:paraId="731EF094">
            <w:pPr>
              <w:spacing w:line="360" w:lineRule="exact"/>
              <w:outlineLvl w:val="0"/>
              <w:rPr>
                <w:rFonts w:hint="eastAsia"/>
                <w:color w:val="auto"/>
                <w:sz w:val="22"/>
                <w:szCs w:val="22"/>
                <w:highlight w:val="none"/>
              </w:rPr>
            </w:pPr>
          </w:p>
        </w:tc>
      </w:tr>
      <w:tr w14:paraId="52086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73" w:type="pct"/>
            <w:noWrap w:val="0"/>
            <w:vAlign w:val="top"/>
          </w:tcPr>
          <w:p w14:paraId="330F3086">
            <w:pPr>
              <w:spacing w:line="400" w:lineRule="exact"/>
              <w:outlineLvl w:val="0"/>
              <w:rPr>
                <w:rFonts w:hint="eastAsia"/>
                <w:color w:val="auto"/>
                <w:sz w:val="22"/>
                <w:szCs w:val="22"/>
                <w:highlight w:val="none"/>
              </w:rPr>
            </w:pPr>
            <w:r>
              <w:rPr>
                <w:rFonts w:hint="eastAsia"/>
                <w:color w:val="auto"/>
                <w:sz w:val="22"/>
                <w:szCs w:val="22"/>
                <w:highlight w:val="none"/>
              </w:rPr>
              <w:t>4、项目实施过程中发现重大问题是否及时进行沟通</w:t>
            </w:r>
          </w:p>
        </w:tc>
        <w:tc>
          <w:tcPr>
            <w:tcW w:w="531" w:type="pct"/>
            <w:noWrap w:val="0"/>
            <w:vAlign w:val="center"/>
          </w:tcPr>
          <w:p w14:paraId="394BFFAA">
            <w:pPr>
              <w:spacing w:line="400" w:lineRule="exact"/>
              <w:jc w:val="center"/>
              <w:outlineLvl w:val="0"/>
              <w:rPr>
                <w:rFonts w:hint="eastAsia"/>
                <w:color w:val="auto"/>
                <w:sz w:val="22"/>
                <w:szCs w:val="22"/>
                <w:highlight w:val="none"/>
              </w:rPr>
            </w:pPr>
            <w:r>
              <w:rPr>
                <w:rFonts w:hint="eastAsia"/>
                <w:color w:val="auto"/>
                <w:sz w:val="22"/>
                <w:szCs w:val="22"/>
                <w:highlight w:val="none"/>
              </w:rPr>
              <w:t>10</w:t>
            </w:r>
          </w:p>
        </w:tc>
        <w:tc>
          <w:tcPr>
            <w:tcW w:w="911" w:type="pct"/>
            <w:noWrap w:val="0"/>
            <w:vAlign w:val="top"/>
          </w:tcPr>
          <w:p w14:paraId="64F33EA6">
            <w:pPr>
              <w:spacing w:line="360" w:lineRule="exact"/>
              <w:outlineLvl w:val="0"/>
              <w:rPr>
                <w:rFonts w:hint="eastAsia"/>
                <w:color w:val="auto"/>
                <w:sz w:val="22"/>
                <w:szCs w:val="22"/>
                <w:highlight w:val="none"/>
              </w:rPr>
            </w:pPr>
          </w:p>
        </w:tc>
        <w:tc>
          <w:tcPr>
            <w:tcW w:w="682" w:type="pct"/>
            <w:noWrap w:val="0"/>
            <w:vAlign w:val="top"/>
          </w:tcPr>
          <w:p w14:paraId="7F610989">
            <w:pPr>
              <w:spacing w:line="360" w:lineRule="exact"/>
              <w:outlineLvl w:val="0"/>
              <w:rPr>
                <w:rFonts w:hint="eastAsia"/>
                <w:color w:val="auto"/>
                <w:sz w:val="22"/>
                <w:szCs w:val="22"/>
                <w:highlight w:val="none"/>
              </w:rPr>
            </w:pPr>
          </w:p>
        </w:tc>
      </w:tr>
      <w:tr w14:paraId="23FB3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73" w:type="pct"/>
            <w:noWrap w:val="0"/>
            <w:vAlign w:val="top"/>
          </w:tcPr>
          <w:p w14:paraId="27F56D34">
            <w:pPr>
              <w:spacing w:line="400" w:lineRule="exact"/>
              <w:outlineLvl w:val="0"/>
              <w:rPr>
                <w:rFonts w:hint="eastAsia"/>
                <w:color w:val="auto"/>
                <w:sz w:val="22"/>
                <w:szCs w:val="22"/>
                <w:highlight w:val="none"/>
              </w:rPr>
            </w:pPr>
            <w:r>
              <w:rPr>
                <w:rFonts w:hint="eastAsia"/>
                <w:color w:val="auto"/>
                <w:sz w:val="22"/>
                <w:szCs w:val="22"/>
                <w:highlight w:val="none"/>
              </w:rPr>
              <w:t>5、投标文件中承诺的相关内容是否到位</w:t>
            </w:r>
          </w:p>
        </w:tc>
        <w:tc>
          <w:tcPr>
            <w:tcW w:w="531" w:type="pct"/>
            <w:noWrap w:val="0"/>
            <w:vAlign w:val="center"/>
          </w:tcPr>
          <w:p w14:paraId="6A6420F4">
            <w:pPr>
              <w:spacing w:line="400" w:lineRule="exact"/>
              <w:jc w:val="center"/>
              <w:outlineLvl w:val="0"/>
              <w:rPr>
                <w:rFonts w:hint="eastAsia"/>
                <w:color w:val="auto"/>
                <w:sz w:val="22"/>
                <w:szCs w:val="22"/>
                <w:highlight w:val="none"/>
              </w:rPr>
            </w:pPr>
            <w:r>
              <w:rPr>
                <w:rFonts w:hint="eastAsia"/>
                <w:color w:val="auto"/>
                <w:sz w:val="22"/>
                <w:szCs w:val="22"/>
                <w:highlight w:val="none"/>
              </w:rPr>
              <w:t>15</w:t>
            </w:r>
          </w:p>
        </w:tc>
        <w:tc>
          <w:tcPr>
            <w:tcW w:w="911" w:type="pct"/>
            <w:noWrap w:val="0"/>
            <w:vAlign w:val="top"/>
          </w:tcPr>
          <w:p w14:paraId="19DDAE0B">
            <w:pPr>
              <w:spacing w:line="360" w:lineRule="exact"/>
              <w:outlineLvl w:val="0"/>
              <w:rPr>
                <w:rFonts w:hint="eastAsia"/>
                <w:color w:val="auto"/>
                <w:sz w:val="22"/>
                <w:szCs w:val="22"/>
                <w:highlight w:val="none"/>
              </w:rPr>
            </w:pPr>
          </w:p>
        </w:tc>
        <w:tc>
          <w:tcPr>
            <w:tcW w:w="682" w:type="pct"/>
            <w:noWrap w:val="0"/>
            <w:vAlign w:val="top"/>
          </w:tcPr>
          <w:p w14:paraId="6C2BFE82">
            <w:pPr>
              <w:spacing w:line="360" w:lineRule="exact"/>
              <w:outlineLvl w:val="0"/>
              <w:rPr>
                <w:rFonts w:hint="eastAsia"/>
                <w:color w:val="auto"/>
                <w:sz w:val="22"/>
                <w:szCs w:val="22"/>
                <w:highlight w:val="none"/>
              </w:rPr>
            </w:pPr>
          </w:p>
        </w:tc>
      </w:tr>
      <w:tr w14:paraId="55917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73" w:type="pct"/>
            <w:noWrap w:val="0"/>
            <w:vAlign w:val="top"/>
          </w:tcPr>
          <w:p w14:paraId="10F76B31">
            <w:pPr>
              <w:spacing w:line="400" w:lineRule="exact"/>
              <w:outlineLvl w:val="0"/>
              <w:rPr>
                <w:rFonts w:hint="eastAsia"/>
                <w:color w:val="auto"/>
                <w:sz w:val="22"/>
                <w:szCs w:val="22"/>
                <w:highlight w:val="none"/>
              </w:rPr>
            </w:pPr>
            <w:r>
              <w:rPr>
                <w:rFonts w:hint="eastAsia"/>
                <w:color w:val="auto"/>
                <w:sz w:val="22"/>
                <w:szCs w:val="22"/>
                <w:highlight w:val="none"/>
              </w:rPr>
              <w:t>6、投标产品及安装是否完全符合投标文件及相关要求</w:t>
            </w:r>
          </w:p>
        </w:tc>
        <w:tc>
          <w:tcPr>
            <w:tcW w:w="531" w:type="pct"/>
            <w:noWrap w:val="0"/>
            <w:vAlign w:val="center"/>
          </w:tcPr>
          <w:p w14:paraId="6B1EA4D6">
            <w:pPr>
              <w:spacing w:line="400" w:lineRule="exact"/>
              <w:jc w:val="center"/>
              <w:outlineLvl w:val="0"/>
              <w:rPr>
                <w:rFonts w:hint="eastAsia"/>
                <w:color w:val="auto"/>
                <w:sz w:val="22"/>
                <w:szCs w:val="22"/>
                <w:highlight w:val="none"/>
              </w:rPr>
            </w:pPr>
            <w:r>
              <w:rPr>
                <w:rFonts w:hint="eastAsia"/>
                <w:color w:val="auto"/>
                <w:sz w:val="22"/>
                <w:szCs w:val="22"/>
                <w:highlight w:val="none"/>
              </w:rPr>
              <w:t>15</w:t>
            </w:r>
          </w:p>
        </w:tc>
        <w:tc>
          <w:tcPr>
            <w:tcW w:w="911" w:type="pct"/>
            <w:noWrap w:val="0"/>
            <w:vAlign w:val="top"/>
          </w:tcPr>
          <w:p w14:paraId="36B60916">
            <w:pPr>
              <w:spacing w:line="360" w:lineRule="exact"/>
              <w:outlineLvl w:val="0"/>
              <w:rPr>
                <w:rFonts w:hint="eastAsia"/>
                <w:color w:val="auto"/>
                <w:sz w:val="22"/>
                <w:szCs w:val="22"/>
                <w:highlight w:val="none"/>
              </w:rPr>
            </w:pPr>
          </w:p>
        </w:tc>
        <w:tc>
          <w:tcPr>
            <w:tcW w:w="682" w:type="pct"/>
            <w:noWrap w:val="0"/>
            <w:vAlign w:val="top"/>
          </w:tcPr>
          <w:p w14:paraId="127BA0FF">
            <w:pPr>
              <w:spacing w:line="360" w:lineRule="exact"/>
              <w:outlineLvl w:val="0"/>
              <w:rPr>
                <w:rFonts w:hint="eastAsia"/>
                <w:color w:val="auto"/>
                <w:sz w:val="22"/>
                <w:szCs w:val="22"/>
                <w:highlight w:val="none"/>
              </w:rPr>
            </w:pPr>
          </w:p>
        </w:tc>
      </w:tr>
      <w:tr w14:paraId="3D489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73" w:type="pct"/>
            <w:noWrap w:val="0"/>
            <w:vAlign w:val="top"/>
          </w:tcPr>
          <w:p w14:paraId="0F9526DA">
            <w:pPr>
              <w:spacing w:line="360" w:lineRule="exact"/>
              <w:outlineLvl w:val="0"/>
              <w:rPr>
                <w:rFonts w:hint="eastAsia"/>
                <w:color w:val="auto"/>
                <w:sz w:val="22"/>
                <w:szCs w:val="22"/>
                <w:highlight w:val="none"/>
              </w:rPr>
            </w:pPr>
            <w:r>
              <w:rPr>
                <w:rFonts w:hint="eastAsia"/>
                <w:color w:val="auto"/>
                <w:sz w:val="22"/>
                <w:szCs w:val="22"/>
                <w:highlight w:val="none"/>
              </w:rPr>
              <w:t>7、安装工程的质量及满意度</w:t>
            </w:r>
          </w:p>
        </w:tc>
        <w:tc>
          <w:tcPr>
            <w:tcW w:w="531" w:type="pct"/>
            <w:noWrap w:val="0"/>
            <w:vAlign w:val="center"/>
          </w:tcPr>
          <w:p w14:paraId="5307D186">
            <w:pPr>
              <w:spacing w:line="400" w:lineRule="exact"/>
              <w:jc w:val="center"/>
              <w:outlineLvl w:val="0"/>
              <w:rPr>
                <w:rFonts w:hint="eastAsia"/>
                <w:color w:val="auto"/>
                <w:sz w:val="22"/>
                <w:szCs w:val="22"/>
                <w:highlight w:val="none"/>
              </w:rPr>
            </w:pPr>
            <w:r>
              <w:rPr>
                <w:rFonts w:hint="eastAsia"/>
                <w:color w:val="auto"/>
                <w:sz w:val="22"/>
                <w:szCs w:val="22"/>
                <w:highlight w:val="none"/>
              </w:rPr>
              <w:t>15</w:t>
            </w:r>
          </w:p>
        </w:tc>
        <w:tc>
          <w:tcPr>
            <w:tcW w:w="911" w:type="pct"/>
            <w:noWrap w:val="0"/>
            <w:vAlign w:val="top"/>
          </w:tcPr>
          <w:p w14:paraId="7CBADDD6">
            <w:pPr>
              <w:spacing w:line="360" w:lineRule="exact"/>
              <w:outlineLvl w:val="0"/>
              <w:rPr>
                <w:rFonts w:hint="eastAsia"/>
                <w:color w:val="auto"/>
                <w:sz w:val="22"/>
                <w:szCs w:val="22"/>
                <w:highlight w:val="none"/>
              </w:rPr>
            </w:pPr>
          </w:p>
        </w:tc>
        <w:tc>
          <w:tcPr>
            <w:tcW w:w="682" w:type="pct"/>
            <w:noWrap w:val="0"/>
            <w:vAlign w:val="top"/>
          </w:tcPr>
          <w:p w14:paraId="3861FE00">
            <w:pPr>
              <w:spacing w:line="360" w:lineRule="exact"/>
              <w:outlineLvl w:val="0"/>
              <w:rPr>
                <w:rFonts w:hint="eastAsia"/>
                <w:color w:val="auto"/>
                <w:sz w:val="22"/>
                <w:szCs w:val="22"/>
                <w:highlight w:val="none"/>
              </w:rPr>
            </w:pPr>
          </w:p>
        </w:tc>
      </w:tr>
      <w:tr w14:paraId="51EFC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73" w:type="pct"/>
            <w:noWrap w:val="0"/>
            <w:vAlign w:val="top"/>
          </w:tcPr>
          <w:p w14:paraId="1962A6E8">
            <w:pPr>
              <w:spacing w:line="400" w:lineRule="exact"/>
              <w:outlineLvl w:val="0"/>
              <w:rPr>
                <w:rFonts w:hint="eastAsia"/>
                <w:color w:val="auto"/>
                <w:sz w:val="22"/>
                <w:szCs w:val="22"/>
                <w:highlight w:val="none"/>
              </w:rPr>
            </w:pPr>
            <w:r>
              <w:rPr>
                <w:rFonts w:hint="eastAsia"/>
                <w:color w:val="auto"/>
                <w:sz w:val="22"/>
                <w:szCs w:val="22"/>
                <w:highlight w:val="none"/>
              </w:rPr>
              <w:t>8、维护期内维护是否及时，技术服务是否到位</w:t>
            </w:r>
          </w:p>
        </w:tc>
        <w:tc>
          <w:tcPr>
            <w:tcW w:w="531" w:type="pct"/>
            <w:noWrap w:val="0"/>
            <w:vAlign w:val="center"/>
          </w:tcPr>
          <w:p w14:paraId="06635204">
            <w:pPr>
              <w:spacing w:line="400" w:lineRule="exact"/>
              <w:jc w:val="center"/>
              <w:outlineLvl w:val="0"/>
              <w:rPr>
                <w:rFonts w:hint="eastAsia"/>
                <w:color w:val="auto"/>
                <w:sz w:val="22"/>
                <w:szCs w:val="22"/>
                <w:highlight w:val="none"/>
              </w:rPr>
            </w:pPr>
            <w:r>
              <w:rPr>
                <w:rFonts w:hint="eastAsia"/>
                <w:color w:val="auto"/>
                <w:sz w:val="22"/>
                <w:szCs w:val="22"/>
                <w:highlight w:val="none"/>
              </w:rPr>
              <w:t>15</w:t>
            </w:r>
          </w:p>
        </w:tc>
        <w:tc>
          <w:tcPr>
            <w:tcW w:w="911" w:type="pct"/>
            <w:noWrap w:val="0"/>
            <w:vAlign w:val="top"/>
          </w:tcPr>
          <w:p w14:paraId="22C83214">
            <w:pPr>
              <w:spacing w:line="360" w:lineRule="exact"/>
              <w:outlineLvl w:val="0"/>
              <w:rPr>
                <w:rFonts w:hint="eastAsia"/>
                <w:color w:val="auto"/>
                <w:sz w:val="22"/>
                <w:szCs w:val="22"/>
                <w:highlight w:val="none"/>
              </w:rPr>
            </w:pPr>
          </w:p>
        </w:tc>
        <w:tc>
          <w:tcPr>
            <w:tcW w:w="682" w:type="pct"/>
            <w:noWrap w:val="0"/>
            <w:vAlign w:val="top"/>
          </w:tcPr>
          <w:p w14:paraId="3CA369D0">
            <w:pPr>
              <w:spacing w:line="360" w:lineRule="exact"/>
              <w:outlineLvl w:val="0"/>
              <w:rPr>
                <w:rFonts w:hint="eastAsia"/>
                <w:color w:val="auto"/>
                <w:sz w:val="22"/>
                <w:szCs w:val="22"/>
                <w:highlight w:val="none"/>
              </w:rPr>
            </w:pPr>
          </w:p>
        </w:tc>
      </w:tr>
      <w:tr w14:paraId="41FE6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73" w:type="pct"/>
            <w:noWrap w:val="0"/>
            <w:vAlign w:val="top"/>
          </w:tcPr>
          <w:p w14:paraId="6C319AC3">
            <w:pPr>
              <w:spacing w:line="360" w:lineRule="exact"/>
              <w:jc w:val="center"/>
              <w:outlineLvl w:val="0"/>
              <w:rPr>
                <w:rFonts w:hint="eastAsia"/>
                <w:color w:val="auto"/>
                <w:sz w:val="22"/>
                <w:szCs w:val="22"/>
                <w:highlight w:val="none"/>
              </w:rPr>
            </w:pPr>
            <w:r>
              <w:rPr>
                <w:rFonts w:hint="eastAsia"/>
                <w:color w:val="auto"/>
                <w:sz w:val="22"/>
                <w:szCs w:val="22"/>
                <w:highlight w:val="none"/>
              </w:rPr>
              <w:t>总得分</w:t>
            </w:r>
          </w:p>
        </w:tc>
        <w:tc>
          <w:tcPr>
            <w:tcW w:w="531" w:type="pct"/>
            <w:noWrap w:val="0"/>
            <w:vAlign w:val="top"/>
          </w:tcPr>
          <w:p w14:paraId="1BF79A96">
            <w:pPr>
              <w:spacing w:line="360" w:lineRule="exact"/>
              <w:jc w:val="center"/>
              <w:outlineLvl w:val="0"/>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=SUM(ABOVE) </w:instrText>
            </w:r>
            <w:r>
              <w:rPr>
                <w:rFonts w:hint="eastAsia"/>
                <w:color w:val="auto"/>
                <w:sz w:val="22"/>
                <w:szCs w:val="22"/>
                <w:highlight w:val="none"/>
              </w:rPr>
              <w:fldChar w:fldCharType="separate"/>
            </w:r>
            <w:r>
              <w:rPr>
                <w:rFonts w:hint="eastAsia"/>
                <w:color w:val="auto"/>
                <w:sz w:val="22"/>
                <w:szCs w:val="22"/>
                <w:highlight w:val="none"/>
              </w:rPr>
              <w:t>100</w:t>
            </w:r>
            <w:r>
              <w:rPr>
                <w:rFonts w:hint="eastAsia"/>
                <w:color w:val="auto"/>
                <w:sz w:val="22"/>
                <w:szCs w:val="22"/>
                <w:highlight w:val="none"/>
              </w:rPr>
              <w:fldChar w:fldCharType="end"/>
            </w:r>
          </w:p>
        </w:tc>
        <w:tc>
          <w:tcPr>
            <w:tcW w:w="1594" w:type="pct"/>
            <w:gridSpan w:val="2"/>
            <w:noWrap w:val="0"/>
            <w:vAlign w:val="top"/>
          </w:tcPr>
          <w:p w14:paraId="671A0522">
            <w:pPr>
              <w:spacing w:line="360" w:lineRule="exact"/>
              <w:outlineLvl w:val="0"/>
              <w:rPr>
                <w:rFonts w:hint="eastAsia"/>
                <w:color w:val="auto"/>
                <w:sz w:val="22"/>
                <w:szCs w:val="22"/>
                <w:highlight w:val="none"/>
              </w:rPr>
            </w:pPr>
          </w:p>
        </w:tc>
      </w:tr>
      <w:tr w14:paraId="7E122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5000" w:type="pct"/>
            <w:gridSpan w:val="4"/>
            <w:noWrap w:val="0"/>
            <w:vAlign w:val="top"/>
          </w:tcPr>
          <w:p w14:paraId="3BE07F68">
            <w:pPr>
              <w:spacing w:line="360" w:lineRule="exact"/>
              <w:outlineLvl w:val="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考核实施力法：</w:t>
            </w:r>
          </w:p>
          <w:p w14:paraId="50F27BFB">
            <w:pPr>
              <w:spacing w:line="360" w:lineRule="exact"/>
              <w:outlineLvl w:val="0"/>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1、每季度考核一次，考核满分</w:t>
            </w:r>
            <w:r>
              <w:rPr>
                <w:rFonts w:ascii="宋体" w:hAnsi="宋体" w:eastAsia="宋体" w:cs="宋体"/>
                <w:color w:val="auto"/>
                <w:sz w:val="22"/>
                <w:szCs w:val="22"/>
                <w:highlight w:val="none"/>
              </w:rPr>
              <w:t xml:space="preserve"> 100 分。考核总得分</w:t>
            </w:r>
            <w:r>
              <w:rPr>
                <w:rFonts w:hint="eastAsia" w:ascii="宋体" w:hAnsi="宋体" w:eastAsia="宋体" w:cs="宋体"/>
                <w:color w:val="auto"/>
                <w:sz w:val="22"/>
                <w:szCs w:val="22"/>
                <w:highlight w:val="none"/>
              </w:rPr>
              <w:t>≥</w:t>
            </w:r>
            <w:r>
              <w:rPr>
                <w:rFonts w:ascii="宋体" w:hAnsi="宋体" w:eastAsia="宋体" w:cs="宋体"/>
                <w:color w:val="auto"/>
                <w:sz w:val="22"/>
                <w:szCs w:val="22"/>
                <w:highlight w:val="none"/>
              </w:rPr>
              <w:t>80分，视为当次考核合格。考核总得分＜80分，每扣一分扣本次已完成</w:t>
            </w:r>
            <w:r>
              <w:rPr>
                <w:rFonts w:hint="eastAsia" w:cs="宋体"/>
                <w:color w:val="auto"/>
                <w:sz w:val="22"/>
                <w:szCs w:val="22"/>
                <w:highlight w:val="none"/>
                <w:lang w:eastAsia="zh-CN"/>
              </w:rPr>
              <w:t>数量</w:t>
            </w:r>
            <w:r>
              <w:rPr>
                <w:rFonts w:ascii="宋体" w:hAnsi="宋体" w:eastAsia="宋体" w:cs="宋体"/>
                <w:color w:val="auto"/>
                <w:sz w:val="22"/>
                <w:szCs w:val="22"/>
                <w:highlight w:val="none"/>
              </w:rPr>
              <w:t xml:space="preserve">项目服务费的 </w:t>
            </w:r>
            <w:r>
              <w:rPr>
                <w:rFonts w:hint="eastAsia" w:ascii="宋体" w:hAnsi="宋体" w:eastAsia="宋体" w:cs="宋体"/>
                <w:color w:val="auto"/>
                <w:sz w:val="22"/>
                <w:szCs w:val="22"/>
                <w:highlight w:val="none"/>
              </w:rPr>
              <w:t>5‰</w:t>
            </w:r>
            <w:r>
              <w:rPr>
                <w:rFonts w:ascii="宋体" w:hAnsi="宋体" w:eastAsia="宋体" w:cs="宋体"/>
                <w:color w:val="auto"/>
                <w:sz w:val="22"/>
                <w:szCs w:val="22"/>
                <w:highlight w:val="none"/>
              </w:rPr>
              <w:t>，在进度款项支付中扣除；考核总得分＜75分，视为当次考核不合格。</w:t>
            </w:r>
          </w:p>
          <w:p w14:paraId="4E7325A4">
            <w:pPr>
              <w:spacing w:line="360" w:lineRule="exact"/>
              <w:outlineLvl w:val="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2、若在合同期内</w:t>
            </w:r>
            <w:r>
              <w:rPr>
                <w:rFonts w:hint="eastAsia" w:ascii="宋体" w:hAnsi="宋体" w:eastAsia="宋体" w:cs="宋体"/>
                <w:color w:val="auto"/>
                <w:sz w:val="22"/>
                <w:szCs w:val="22"/>
                <w:highlight w:val="none"/>
                <w:lang w:val="en-US" w:eastAsia="zh-CN"/>
              </w:rPr>
              <w:t>连续</w:t>
            </w:r>
            <w:r>
              <w:rPr>
                <w:rFonts w:hint="eastAsia" w:ascii="宋体" w:hAnsi="宋体" w:eastAsia="宋体" w:cs="宋体"/>
                <w:color w:val="auto"/>
                <w:sz w:val="22"/>
                <w:szCs w:val="22"/>
                <w:highlight w:val="none"/>
              </w:rPr>
              <w:t>二次</w:t>
            </w:r>
            <w:r>
              <w:rPr>
                <w:rFonts w:hint="eastAsia" w:ascii="宋体" w:hAnsi="宋体" w:eastAsia="宋体" w:cs="宋体"/>
                <w:color w:val="auto"/>
                <w:sz w:val="22"/>
                <w:szCs w:val="22"/>
                <w:highlight w:val="none"/>
                <w:lang w:val="en-US" w:eastAsia="zh-CN"/>
              </w:rPr>
              <w:t>或累计三次</w:t>
            </w:r>
            <w:r>
              <w:rPr>
                <w:rFonts w:hint="eastAsia" w:ascii="宋体" w:hAnsi="宋体" w:eastAsia="宋体" w:cs="宋体"/>
                <w:color w:val="auto"/>
                <w:sz w:val="22"/>
                <w:szCs w:val="22"/>
                <w:highlight w:val="none"/>
              </w:rPr>
              <w:t>平均</w:t>
            </w:r>
            <w:r>
              <w:rPr>
                <w:rFonts w:hint="eastAsia" w:ascii="宋体" w:hAnsi="宋体" w:eastAsia="宋体" w:cs="宋体"/>
                <w:color w:val="auto"/>
                <w:sz w:val="22"/>
                <w:szCs w:val="22"/>
                <w:highlight w:val="none"/>
                <w:lang w:val="en-US" w:eastAsia="zh-CN"/>
              </w:rPr>
              <w:t>季</w:t>
            </w:r>
            <w:r>
              <w:rPr>
                <w:rFonts w:hint="eastAsia" w:ascii="宋体" w:hAnsi="宋体" w:eastAsia="宋体" w:cs="宋体"/>
                <w:color w:val="auto"/>
                <w:sz w:val="22"/>
                <w:szCs w:val="22"/>
                <w:highlight w:val="none"/>
                <w:lang w:eastAsia="zh-CN"/>
              </w:rPr>
              <w:t>度</w:t>
            </w:r>
            <w:r>
              <w:rPr>
                <w:rFonts w:hint="eastAsia" w:ascii="宋体" w:hAnsi="宋体" w:eastAsia="宋体" w:cs="宋体"/>
                <w:color w:val="auto"/>
                <w:sz w:val="22"/>
                <w:szCs w:val="22"/>
                <w:highlight w:val="none"/>
              </w:rPr>
              <w:t>考核得分率低于75%（不含）的，采购人有权无责任终止采购合同，并不予退还履约保证金。</w:t>
            </w:r>
          </w:p>
          <w:p w14:paraId="4D364F3A">
            <w:pPr>
              <w:spacing w:line="360" w:lineRule="exact"/>
              <w:outlineLvl w:val="0"/>
              <w:rPr>
                <w:rFonts w:hint="eastAsia"/>
                <w:color w:val="auto"/>
                <w:sz w:val="22"/>
                <w:szCs w:val="22"/>
                <w:highlight w:val="none"/>
              </w:rPr>
            </w:pPr>
            <w:r>
              <w:rPr>
                <w:rFonts w:hint="eastAsia" w:ascii="宋体" w:hAnsi="宋体" w:eastAsia="宋体" w:cs="宋体"/>
                <w:color w:val="auto"/>
                <w:sz w:val="22"/>
                <w:szCs w:val="22"/>
                <w:highlight w:val="none"/>
              </w:rPr>
              <w:t>3、因中标供应商原因（包括但不限于质量、安全、工期延误等原因），造成采购人损失的，由中标供应商承担相关责任并赔偿相关损失。</w:t>
            </w:r>
          </w:p>
        </w:tc>
      </w:tr>
    </w:tbl>
    <w:p w14:paraId="1623863A">
      <w:pPr>
        <w:tabs>
          <w:tab w:val="left" w:pos="360"/>
        </w:tabs>
        <w:snapToGrid w:val="0"/>
        <w:spacing w:line="336" w:lineRule="auto"/>
        <w:rPr>
          <w:rFonts w:ascii="宋体" w:hAnsi="宋体"/>
          <w:b/>
          <w:color w:val="auto"/>
          <w:sz w:val="22"/>
          <w:szCs w:val="22"/>
          <w:highlight w:val="none"/>
        </w:rPr>
      </w:pPr>
      <w:r>
        <w:rPr>
          <w:rFonts w:hint="eastAsia"/>
          <w:b/>
          <w:color w:val="auto"/>
          <w:sz w:val="22"/>
          <w:szCs w:val="22"/>
          <w:highlight w:val="none"/>
          <w:lang w:val="en-US" w:eastAsia="zh-CN"/>
        </w:rPr>
        <w:t>八</w:t>
      </w:r>
      <w:r>
        <w:rPr>
          <w:rFonts w:hint="eastAsia" w:ascii="宋体" w:hAnsi="宋体"/>
          <w:b/>
          <w:color w:val="auto"/>
          <w:sz w:val="22"/>
          <w:szCs w:val="22"/>
          <w:highlight w:val="none"/>
        </w:rPr>
        <w:t>、工作范围：</w:t>
      </w:r>
    </w:p>
    <w:p w14:paraId="1821D51D">
      <w:pPr>
        <w:adjustRightInd w:val="0"/>
        <w:snapToGrid w:val="0"/>
        <w:spacing w:line="336" w:lineRule="auto"/>
        <w:ind w:firstLine="440" w:firstLineChars="200"/>
        <w:rPr>
          <w:rFonts w:ascii="宋体" w:hAnsi="宋体"/>
          <w:color w:val="auto"/>
          <w:sz w:val="22"/>
          <w:szCs w:val="22"/>
          <w:highlight w:val="none"/>
        </w:rPr>
      </w:pPr>
      <w:r>
        <w:rPr>
          <w:rFonts w:hint="eastAsia" w:ascii="宋体" w:hAnsi="宋体"/>
          <w:color w:val="auto"/>
          <w:sz w:val="22"/>
          <w:szCs w:val="22"/>
          <w:highlight w:val="none"/>
        </w:rPr>
        <w:t>根据招标文件，各供应商须按国家有关标准及规范完成下列工作：</w:t>
      </w:r>
    </w:p>
    <w:p w14:paraId="279A968D">
      <w:pPr>
        <w:tabs>
          <w:tab w:val="left" w:pos="1740"/>
        </w:tabs>
        <w:adjustRightInd w:val="0"/>
        <w:snapToGrid w:val="0"/>
        <w:spacing w:line="336" w:lineRule="auto"/>
        <w:ind w:firstLine="442" w:firstLineChars="200"/>
        <w:outlineLvl w:val="0"/>
        <w:rPr>
          <w:rFonts w:ascii="宋体" w:hAnsi="宋体"/>
          <w:b/>
          <w:color w:val="auto"/>
          <w:sz w:val="22"/>
          <w:szCs w:val="22"/>
          <w:highlight w:val="none"/>
          <w:u w:val="single"/>
        </w:rPr>
      </w:pPr>
      <w:r>
        <w:rPr>
          <w:rFonts w:hint="eastAsia" w:ascii="宋体" w:hAnsi="宋体"/>
          <w:b/>
          <w:color w:val="auto"/>
          <w:sz w:val="22"/>
          <w:szCs w:val="22"/>
          <w:highlight w:val="none"/>
          <w:u w:val="single"/>
        </w:rPr>
        <w:t>1</w:t>
      </w:r>
      <w:r>
        <w:rPr>
          <w:rFonts w:ascii="宋体" w:hAnsi="宋体"/>
          <w:b/>
          <w:color w:val="auto"/>
          <w:sz w:val="22"/>
          <w:szCs w:val="22"/>
          <w:highlight w:val="none"/>
          <w:u w:val="single"/>
        </w:rPr>
        <w:t>.</w:t>
      </w:r>
      <w:r>
        <w:rPr>
          <w:rFonts w:hint="eastAsia" w:ascii="宋体" w:hAnsi="宋体"/>
          <w:b/>
          <w:color w:val="auto"/>
          <w:sz w:val="22"/>
          <w:szCs w:val="22"/>
          <w:highlight w:val="none"/>
          <w:u w:val="single"/>
        </w:rPr>
        <w:t>本项目为交钥匙工程。即提供的</w:t>
      </w:r>
      <w:r>
        <w:rPr>
          <w:rFonts w:hint="eastAsia"/>
          <w:b/>
          <w:color w:val="auto"/>
          <w:sz w:val="22"/>
          <w:szCs w:val="22"/>
          <w:highlight w:val="none"/>
          <w:u w:val="single"/>
          <w:lang w:val="en-US" w:eastAsia="zh-CN"/>
        </w:rPr>
        <w:t>设备</w:t>
      </w:r>
      <w:r>
        <w:rPr>
          <w:rFonts w:hint="eastAsia" w:ascii="宋体" w:hAnsi="宋体"/>
          <w:b/>
          <w:color w:val="auto"/>
          <w:sz w:val="22"/>
          <w:szCs w:val="22"/>
          <w:highlight w:val="none"/>
          <w:u w:val="single"/>
        </w:rPr>
        <w:t>安装就位后，只须通电，便可进行调试和正式运转和使用</w:t>
      </w:r>
      <w:r>
        <w:rPr>
          <w:rFonts w:hint="eastAsia" w:ascii="宋体" w:hAnsi="宋体"/>
          <w:b/>
          <w:color w:val="auto"/>
          <w:sz w:val="22"/>
          <w:szCs w:val="22"/>
          <w:highlight w:val="none"/>
        </w:rPr>
        <w:t xml:space="preserve">。 </w:t>
      </w:r>
    </w:p>
    <w:p w14:paraId="1A07F4B7">
      <w:pPr>
        <w:adjustRightInd w:val="0"/>
        <w:snapToGrid w:val="0"/>
        <w:spacing w:line="336" w:lineRule="auto"/>
        <w:ind w:firstLine="440" w:firstLineChars="200"/>
        <w:rPr>
          <w:rFonts w:ascii="宋体" w:hAnsi="宋体"/>
          <w:color w:val="auto"/>
          <w:sz w:val="22"/>
          <w:szCs w:val="22"/>
          <w:highlight w:val="none"/>
        </w:rPr>
      </w:pPr>
      <w:r>
        <w:rPr>
          <w:rFonts w:ascii="宋体" w:hAnsi="宋体"/>
          <w:color w:val="auto"/>
          <w:sz w:val="22"/>
          <w:szCs w:val="22"/>
          <w:highlight w:val="none"/>
        </w:rPr>
        <w:t>2.</w:t>
      </w:r>
      <w:r>
        <w:rPr>
          <w:rFonts w:hint="eastAsia" w:ascii="宋体" w:hAnsi="宋体"/>
          <w:color w:val="auto"/>
          <w:sz w:val="22"/>
          <w:szCs w:val="22"/>
          <w:highlight w:val="none"/>
        </w:rPr>
        <w:t xml:space="preserve">货物及相关附件的提供、运输、装卸、就位、安装、调试、检验、通过验收； </w:t>
      </w:r>
    </w:p>
    <w:p w14:paraId="2AD2F313">
      <w:pPr>
        <w:tabs>
          <w:tab w:val="left" w:pos="1740"/>
        </w:tabs>
        <w:adjustRightInd w:val="0"/>
        <w:snapToGrid w:val="0"/>
        <w:spacing w:line="336" w:lineRule="auto"/>
        <w:ind w:firstLine="440" w:firstLineChars="200"/>
        <w:rPr>
          <w:rFonts w:ascii="宋体" w:hAnsi="宋体"/>
          <w:color w:val="auto"/>
          <w:sz w:val="22"/>
          <w:szCs w:val="22"/>
          <w:highlight w:val="none"/>
        </w:rPr>
      </w:pPr>
      <w:r>
        <w:rPr>
          <w:rFonts w:ascii="宋体" w:hAnsi="宋体"/>
          <w:color w:val="auto"/>
          <w:sz w:val="22"/>
          <w:szCs w:val="22"/>
          <w:highlight w:val="none"/>
        </w:rPr>
        <w:t>3.</w:t>
      </w:r>
      <w:r>
        <w:rPr>
          <w:rFonts w:hint="eastAsia" w:ascii="宋体" w:hAnsi="宋体"/>
          <w:color w:val="auto"/>
          <w:sz w:val="22"/>
          <w:szCs w:val="22"/>
          <w:highlight w:val="none"/>
        </w:rPr>
        <w:t>完成各项安装、调试、检验、测试工作，并在采购人的配合下进行验收；提供各种数据资料；直至通过验收。</w:t>
      </w:r>
    </w:p>
    <w:p w14:paraId="67DBA41B">
      <w:pPr>
        <w:adjustRightInd w:val="0"/>
        <w:snapToGrid w:val="0"/>
        <w:spacing w:line="336" w:lineRule="auto"/>
        <w:ind w:firstLine="440" w:firstLineChars="200"/>
        <w:rPr>
          <w:rFonts w:ascii="宋体" w:hAnsi="宋体"/>
          <w:color w:val="auto"/>
          <w:sz w:val="22"/>
          <w:szCs w:val="22"/>
          <w:highlight w:val="none"/>
        </w:rPr>
      </w:pPr>
      <w:r>
        <w:rPr>
          <w:rFonts w:ascii="宋体" w:hAnsi="宋体"/>
          <w:color w:val="auto"/>
          <w:sz w:val="22"/>
          <w:szCs w:val="22"/>
          <w:highlight w:val="none"/>
        </w:rPr>
        <w:t>4.</w:t>
      </w:r>
      <w:r>
        <w:rPr>
          <w:rFonts w:hint="eastAsia" w:ascii="宋体" w:hAnsi="宋体"/>
          <w:color w:val="auto"/>
          <w:sz w:val="22"/>
          <w:szCs w:val="22"/>
          <w:highlight w:val="none"/>
        </w:rPr>
        <w:t>对</w:t>
      </w:r>
      <w:r>
        <w:rPr>
          <w:rFonts w:hint="eastAsia" w:ascii="宋体" w:hAnsi="宋体"/>
          <w:color w:val="auto"/>
          <w:sz w:val="22"/>
          <w:szCs w:val="22"/>
          <w:highlight w:val="none"/>
          <w:lang w:val="en-US" w:eastAsia="zh-CN"/>
        </w:rPr>
        <w:t>采购人</w:t>
      </w:r>
      <w:r>
        <w:rPr>
          <w:rFonts w:hint="eastAsia" w:ascii="宋体" w:hAnsi="宋体"/>
          <w:color w:val="auto"/>
          <w:sz w:val="22"/>
          <w:szCs w:val="22"/>
          <w:highlight w:val="none"/>
        </w:rPr>
        <w:t>的操作人员及维修人员进行技术培训；</w:t>
      </w:r>
    </w:p>
    <w:p w14:paraId="787B5196">
      <w:pPr>
        <w:adjustRightInd w:val="0"/>
        <w:snapToGrid w:val="0"/>
        <w:spacing w:line="336" w:lineRule="auto"/>
        <w:ind w:firstLine="440" w:firstLineChars="200"/>
        <w:rPr>
          <w:rFonts w:ascii="宋体" w:hAnsi="宋体"/>
          <w:color w:val="auto"/>
          <w:sz w:val="22"/>
          <w:szCs w:val="22"/>
          <w:highlight w:val="none"/>
        </w:rPr>
      </w:pPr>
      <w:r>
        <w:rPr>
          <w:rFonts w:ascii="宋体" w:hAnsi="宋体"/>
          <w:color w:val="auto"/>
          <w:sz w:val="22"/>
          <w:szCs w:val="22"/>
          <w:highlight w:val="none"/>
        </w:rPr>
        <w:t>5.</w:t>
      </w:r>
      <w:r>
        <w:rPr>
          <w:rFonts w:hint="eastAsia" w:ascii="宋体" w:hAnsi="宋体"/>
          <w:color w:val="auto"/>
          <w:sz w:val="22"/>
          <w:szCs w:val="22"/>
          <w:highlight w:val="none"/>
        </w:rPr>
        <w:t>质保期内系统的维保及维修；</w:t>
      </w:r>
    </w:p>
    <w:p w14:paraId="7D1AFAEA">
      <w:pPr>
        <w:adjustRightInd w:val="0"/>
        <w:snapToGrid w:val="0"/>
        <w:spacing w:line="336" w:lineRule="auto"/>
        <w:ind w:firstLine="440" w:firstLineChars="200"/>
        <w:rPr>
          <w:rFonts w:ascii="宋体" w:hAnsi="宋体"/>
          <w:color w:val="auto"/>
          <w:sz w:val="22"/>
          <w:szCs w:val="22"/>
          <w:highlight w:val="none"/>
        </w:rPr>
      </w:pPr>
      <w:r>
        <w:rPr>
          <w:rFonts w:hint="eastAsia" w:ascii="宋体" w:hAnsi="宋体"/>
          <w:color w:val="auto"/>
          <w:sz w:val="22"/>
          <w:szCs w:val="22"/>
          <w:highlight w:val="none"/>
        </w:rPr>
        <w:t>6．由中标供应商免费送货到指定地点；</w:t>
      </w:r>
    </w:p>
    <w:p w14:paraId="11486F68">
      <w:pPr>
        <w:adjustRightInd w:val="0"/>
        <w:snapToGrid w:val="0"/>
        <w:spacing w:line="336" w:lineRule="auto"/>
        <w:ind w:firstLine="440" w:firstLineChars="200"/>
        <w:rPr>
          <w:rFonts w:ascii="宋体" w:hAnsi="宋体"/>
          <w:b w:val="0"/>
          <w:bCs/>
          <w:color w:val="auto"/>
          <w:sz w:val="22"/>
          <w:szCs w:val="22"/>
          <w:highlight w:val="none"/>
        </w:rPr>
      </w:pPr>
      <w:r>
        <w:rPr>
          <w:rFonts w:hint="eastAsia" w:ascii="宋体" w:hAnsi="宋体"/>
          <w:b w:val="0"/>
          <w:bCs/>
          <w:color w:val="auto"/>
          <w:sz w:val="22"/>
          <w:szCs w:val="22"/>
          <w:highlight w:val="none"/>
          <w:lang w:val="en-US" w:eastAsia="zh-CN"/>
        </w:rPr>
        <w:t>7</w:t>
      </w:r>
      <w:r>
        <w:rPr>
          <w:rFonts w:ascii="宋体" w:hAnsi="宋体"/>
          <w:b w:val="0"/>
          <w:bCs/>
          <w:color w:val="auto"/>
          <w:sz w:val="22"/>
          <w:szCs w:val="22"/>
          <w:highlight w:val="none"/>
        </w:rPr>
        <w:t>.</w:t>
      </w:r>
      <w:r>
        <w:rPr>
          <w:rFonts w:hint="eastAsia" w:ascii="宋体" w:hAnsi="宋体"/>
          <w:b w:val="0"/>
          <w:bCs/>
          <w:color w:val="auto"/>
          <w:sz w:val="22"/>
          <w:szCs w:val="22"/>
          <w:highlight w:val="none"/>
        </w:rPr>
        <w:t>售后服务的措施及承诺。</w:t>
      </w:r>
    </w:p>
    <w:p w14:paraId="22693182">
      <w:pPr>
        <w:snapToGrid w:val="0"/>
        <w:spacing w:line="460" w:lineRule="atLeast"/>
        <w:rPr>
          <w:rFonts w:hint="eastAsia" w:ascii="宋体" w:hAnsi="宋体" w:eastAsia="宋体"/>
          <w:b/>
          <w:color w:val="auto"/>
          <w:sz w:val="22"/>
          <w:szCs w:val="22"/>
          <w:highlight w:val="none"/>
          <w:lang w:eastAsia="zh-CN"/>
        </w:rPr>
      </w:pPr>
      <w:r>
        <w:rPr>
          <w:rFonts w:hint="eastAsia" w:ascii="宋体" w:hAnsi="宋体"/>
          <w:b/>
          <w:color w:val="auto"/>
          <w:sz w:val="22"/>
          <w:szCs w:val="22"/>
          <w:highlight w:val="none"/>
        </w:rPr>
        <w:t>以上工作内容的费用均包含在投标总价中。</w:t>
      </w:r>
    </w:p>
    <w:p w14:paraId="02B342AE">
      <w:pPr>
        <w:pStyle w:val="63"/>
        <w:spacing w:line="360" w:lineRule="auto"/>
        <w:rPr>
          <w:rFonts w:hint="eastAsia" w:ascii="宋体" w:hAnsi="宋体" w:cs="宋体"/>
          <w:color w:val="auto"/>
          <w:szCs w:val="32"/>
          <w:highlight w:val="none"/>
          <w:lang w:val="zh-CN"/>
        </w:rPr>
      </w:pPr>
      <w:r>
        <w:rPr>
          <w:rFonts w:hint="eastAsia" w:ascii="宋体" w:hAnsi="宋体" w:cs="宋体"/>
          <w:color w:val="auto"/>
          <w:highlight w:val="none"/>
          <w:lang w:val="zh-CN"/>
        </w:rPr>
        <w:br w:type="page"/>
      </w:r>
      <w:r>
        <w:rPr>
          <w:rFonts w:hint="eastAsia" w:ascii="宋体" w:hAnsi="宋体" w:cs="宋体"/>
          <w:color w:val="auto"/>
          <w:szCs w:val="32"/>
          <w:highlight w:val="none"/>
          <w:lang w:val="zh-CN"/>
        </w:rPr>
        <w:t>第三部分   供应商须知</w:t>
      </w:r>
    </w:p>
    <w:p w14:paraId="40025A67">
      <w:pPr>
        <w:autoSpaceDE w:val="0"/>
        <w:autoSpaceDN w:val="0"/>
        <w:adjustRightInd w:val="0"/>
        <w:snapToGrid w:val="0"/>
        <w:spacing w:line="360" w:lineRule="exact"/>
        <w:textAlignment w:val="bottom"/>
        <w:rPr>
          <w:rFonts w:hint="eastAsia"/>
          <w:color w:val="auto"/>
          <w:sz w:val="22"/>
          <w:szCs w:val="22"/>
          <w:highlight w:val="none"/>
        </w:rPr>
      </w:pPr>
      <w:r>
        <w:rPr>
          <w:rFonts w:hint="eastAsia"/>
          <w:color w:val="auto"/>
          <w:sz w:val="22"/>
          <w:szCs w:val="22"/>
          <w:highlight w:val="none"/>
        </w:rPr>
        <w:t>一、说明</w:t>
      </w:r>
    </w:p>
    <w:p w14:paraId="410B755B">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1、本次招标工作是按照《中华人民共和国政府采购法》及相关法律法规规章组织和实施。</w:t>
      </w:r>
    </w:p>
    <w:p w14:paraId="36D4F4AE">
      <w:pPr>
        <w:adjustRightInd w:val="0"/>
        <w:spacing w:line="360" w:lineRule="exact"/>
        <w:ind w:firstLine="433" w:firstLineChars="196"/>
        <w:rPr>
          <w:rFonts w:hint="eastAsia"/>
          <w:b/>
          <w:color w:val="auto"/>
          <w:sz w:val="22"/>
          <w:szCs w:val="22"/>
          <w:highlight w:val="none"/>
          <w:u w:val="single"/>
        </w:rPr>
      </w:pPr>
      <w:r>
        <w:rPr>
          <w:rFonts w:hint="eastAsia"/>
          <w:b/>
          <w:color w:val="auto"/>
          <w:sz w:val="22"/>
          <w:szCs w:val="22"/>
          <w:highlight w:val="none"/>
          <w:u w:val="single"/>
        </w:rPr>
        <w:t>2、供应商必须对全部内容进行投标，否则按无效投标处理。</w:t>
      </w:r>
    </w:p>
    <w:p w14:paraId="1A3C0E8F">
      <w:pPr>
        <w:adjustRightInd w:val="0"/>
        <w:spacing w:line="360" w:lineRule="exact"/>
        <w:ind w:firstLine="431" w:firstLineChars="196"/>
        <w:rPr>
          <w:rFonts w:hint="eastAsia"/>
          <w:color w:val="auto"/>
          <w:sz w:val="22"/>
          <w:szCs w:val="22"/>
          <w:highlight w:val="none"/>
        </w:rPr>
      </w:pPr>
      <w:r>
        <w:rPr>
          <w:rFonts w:hint="eastAsia"/>
          <w:color w:val="auto"/>
          <w:sz w:val="22"/>
          <w:szCs w:val="22"/>
          <w:highlight w:val="none"/>
        </w:rPr>
        <w:t>3、无论投标过程中的作法和结果如何，供应商自行承担投标活动中所发生的全部费用。</w:t>
      </w:r>
    </w:p>
    <w:p w14:paraId="5ACD1C9F">
      <w:pPr>
        <w:adjustRightInd w:val="0"/>
        <w:spacing w:line="360" w:lineRule="exact"/>
        <w:ind w:firstLine="431" w:firstLineChars="196"/>
        <w:rPr>
          <w:rFonts w:hint="eastAsia"/>
          <w:b/>
          <w:color w:val="auto"/>
          <w:sz w:val="22"/>
          <w:szCs w:val="22"/>
          <w:highlight w:val="none"/>
        </w:rPr>
      </w:pPr>
      <w:r>
        <w:rPr>
          <w:rFonts w:hint="eastAsia"/>
          <w:color w:val="auto"/>
          <w:sz w:val="22"/>
          <w:szCs w:val="22"/>
          <w:highlight w:val="none"/>
        </w:rPr>
        <w:t>4、本次采购采用商务报价文件与技术资信文件分别评审，评标委员会首先评审供应商商务技术文件，商务技术文件无效的供应商不进入商务报价评审。</w:t>
      </w:r>
      <w:r>
        <w:rPr>
          <w:rFonts w:hint="eastAsia"/>
          <w:b/>
          <w:color w:val="auto"/>
          <w:sz w:val="22"/>
          <w:szCs w:val="22"/>
          <w:highlight w:val="none"/>
        </w:rPr>
        <w:t>▲</w:t>
      </w:r>
      <w:r>
        <w:rPr>
          <w:rFonts w:hint="eastAsia"/>
          <w:b/>
          <w:color w:val="auto"/>
          <w:sz w:val="22"/>
          <w:szCs w:val="22"/>
          <w:highlight w:val="none"/>
          <w:u w:val="single"/>
        </w:rPr>
        <w:t>要求供应商商务技术文件的投标文件（含资信与服务）中不得含商务报价，否则做无效投标处理。</w:t>
      </w:r>
    </w:p>
    <w:p w14:paraId="1185832F">
      <w:pPr>
        <w:adjustRightInd w:val="0"/>
        <w:snapToGrid w:val="0"/>
        <w:spacing w:line="360" w:lineRule="exact"/>
        <w:ind w:firstLine="440" w:firstLineChars="200"/>
        <w:rPr>
          <w:rFonts w:hint="eastAsia"/>
          <w:b/>
          <w:color w:val="auto"/>
          <w:sz w:val="22"/>
          <w:szCs w:val="22"/>
          <w:highlight w:val="none"/>
        </w:rPr>
      </w:pPr>
      <w:r>
        <w:rPr>
          <w:rFonts w:hint="eastAsia"/>
          <w:color w:val="auto"/>
          <w:sz w:val="22"/>
          <w:szCs w:val="22"/>
          <w:highlight w:val="none"/>
        </w:rPr>
        <w:t>5、本次采购，在服务期内如因政策性因素调整导致相关人员的工资、材料费出现变化的，该部分费用由中标供应商自行承担，采购人不予以调整该部分费用，各供应商在报价时须综合考虑风险。</w:t>
      </w:r>
    </w:p>
    <w:p w14:paraId="614E289D">
      <w:pPr>
        <w:autoSpaceDE w:val="0"/>
        <w:autoSpaceDN w:val="0"/>
        <w:adjustRightInd w:val="0"/>
        <w:snapToGrid w:val="0"/>
        <w:spacing w:line="360" w:lineRule="exact"/>
        <w:ind w:firstLine="433" w:firstLineChars="196"/>
        <w:textAlignment w:val="bottom"/>
        <w:rPr>
          <w:rFonts w:hint="eastAsia"/>
          <w:b/>
          <w:color w:val="auto"/>
          <w:sz w:val="22"/>
          <w:szCs w:val="22"/>
          <w:highlight w:val="none"/>
          <w:u w:val="single"/>
        </w:rPr>
      </w:pPr>
      <w:r>
        <w:rPr>
          <w:rFonts w:hint="eastAsia"/>
          <w:b/>
          <w:color w:val="auto"/>
          <w:sz w:val="22"/>
          <w:szCs w:val="22"/>
          <w:highlight w:val="none"/>
        </w:rPr>
        <w:t>6、</w:t>
      </w:r>
      <w:r>
        <w:rPr>
          <w:rFonts w:hint="eastAsia"/>
          <w:b/>
          <w:color w:val="auto"/>
          <w:sz w:val="22"/>
          <w:szCs w:val="22"/>
          <w:highlight w:val="none"/>
          <w:u w:val="single"/>
        </w:rPr>
        <w:t>供应商须自费到采购人处现场踏勘，以了解采购人需求，取得准确的报价依据。供应商须自行考虑投标报价的风险。</w:t>
      </w:r>
    </w:p>
    <w:p w14:paraId="5A5BD9CC">
      <w:pPr>
        <w:snapToGrid w:val="0"/>
        <w:spacing w:line="360" w:lineRule="exact"/>
        <w:ind w:firstLine="420" w:firstLineChars="190"/>
        <w:rPr>
          <w:rFonts w:hint="eastAsia"/>
          <w:b/>
          <w:color w:val="auto"/>
          <w:sz w:val="22"/>
          <w:szCs w:val="22"/>
          <w:highlight w:val="none"/>
          <w:u w:val="single"/>
        </w:rPr>
      </w:pPr>
      <w:r>
        <w:rPr>
          <w:rFonts w:hint="eastAsia"/>
          <w:b/>
          <w:color w:val="auto"/>
          <w:sz w:val="22"/>
          <w:szCs w:val="22"/>
          <w:highlight w:val="none"/>
          <w:u w:val="single"/>
        </w:rPr>
        <w:t>7、单位负责人为同一人或者存在直接控股、管理关系的不同供应商，不得参加同一合同项下的政府采购活动。如在评标过程中发现供应商间存在上述关系，评标委员会可以对存在上述关系的供应商做无效投标处理。</w:t>
      </w:r>
    </w:p>
    <w:p w14:paraId="7F6E621C">
      <w:pPr>
        <w:snapToGrid w:val="0"/>
        <w:spacing w:line="360" w:lineRule="exact"/>
        <w:ind w:firstLine="420" w:firstLineChars="190"/>
        <w:rPr>
          <w:rFonts w:hint="eastAsia"/>
          <w:b/>
          <w:color w:val="auto"/>
          <w:sz w:val="22"/>
          <w:szCs w:val="22"/>
          <w:highlight w:val="none"/>
          <w:u w:val="single"/>
        </w:rPr>
      </w:pPr>
      <w:r>
        <w:rPr>
          <w:rFonts w:hint="eastAsia"/>
          <w:b/>
          <w:color w:val="auto"/>
          <w:sz w:val="22"/>
          <w:szCs w:val="22"/>
          <w:highlight w:val="none"/>
          <w:u w:val="single"/>
        </w:rPr>
        <w:t>8、供应商企业为事业法人或负责人制的，其负责人等同于法定代表人（负责人），供应商企业不是独立法人的，按浙财采监[2013]24号文件执行，招标文件以下类同。</w:t>
      </w:r>
    </w:p>
    <w:p w14:paraId="6F77C2CF">
      <w:pPr>
        <w:snapToGrid w:val="0"/>
        <w:spacing w:line="360" w:lineRule="exact"/>
        <w:ind w:firstLine="420" w:firstLineChars="190"/>
        <w:rPr>
          <w:rFonts w:hint="eastAsia"/>
          <w:b/>
          <w:color w:val="auto"/>
          <w:sz w:val="22"/>
          <w:szCs w:val="22"/>
          <w:highlight w:val="none"/>
          <w:lang w:val="zh-CN"/>
        </w:rPr>
      </w:pPr>
      <w:r>
        <w:rPr>
          <w:rFonts w:hint="eastAsia"/>
          <w:b/>
          <w:color w:val="auto"/>
          <w:sz w:val="22"/>
          <w:szCs w:val="22"/>
          <w:highlight w:val="none"/>
        </w:rPr>
        <w:t>9</w:t>
      </w:r>
      <w:r>
        <w:rPr>
          <w:rFonts w:hint="eastAsia"/>
          <w:b/>
          <w:color w:val="auto"/>
          <w:sz w:val="22"/>
          <w:szCs w:val="22"/>
          <w:highlight w:val="none"/>
          <w:lang w:val="zh-CN"/>
        </w:rPr>
        <w:t>、</w:t>
      </w:r>
      <w:r>
        <w:rPr>
          <w:rFonts w:hint="eastAsia"/>
          <w:b/>
          <w:color w:val="auto"/>
          <w:sz w:val="22"/>
          <w:szCs w:val="22"/>
          <w:highlight w:val="none"/>
          <w:u w:val="single"/>
        </w:rPr>
        <w:t>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w:t>
      </w:r>
    </w:p>
    <w:p w14:paraId="676000BF">
      <w:pPr>
        <w:snapToGrid w:val="0"/>
        <w:spacing w:line="360" w:lineRule="exact"/>
        <w:ind w:firstLine="420" w:firstLineChars="190"/>
        <w:rPr>
          <w:rFonts w:hint="eastAsia"/>
          <w:b/>
          <w:color w:val="auto"/>
          <w:sz w:val="22"/>
          <w:szCs w:val="22"/>
          <w:highlight w:val="none"/>
          <w:lang w:val="zh-CN"/>
        </w:rPr>
      </w:pPr>
      <w:r>
        <w:rPr>
          <w:rFonts w:hint="eastAsia"/>
          <w:b/>
          <w:color w:val="auto"/>
          <w:sz w:val="22"/>
          <w:szCs w:val="22"/>
          <w:highlight w:val="none"/>
        </w:rPr>
        <w:t>10、</w:t>
      </w:r>
      <w:r>
        <w:rPr>
          <w:rFonts w:hint="eastAsia"/>
          <w:b/>
          <w:color w:val="auto"/>
          <w:sz w:val="22"/>
          <w:szCs w:val="22"/>
          <w:highlight w:val="none"/>
          <w:lang w:val="zh-CN"/>
        </w:rPr>
        <w:t>供应商信用信息查询渠道及截止时点、信用信息查询记录和证据留存的具体方式、信用信息的使用规则等：</w:t>
      </w:r>
    </w:p>
    <w:p w14:paraId="4F9C4F0A">
      <w:pPr>
        <w:snapToGrid w:val="0"/>
        <w:spacing w:line="360" w:lineRule="exact"/>
        <w:ind w:firstLine="418" w:firstLineChars="190"/>
        <w:rPr>
          <w:rFonts w:hint="eastAsia"/>
          <w:color w:val="auto"/>
          <w:sz w:val="22"/>
          <w:szCs w:val="22"/>
          <w:highlight w:val="none"/>
          <w:lang w:val="zh-CN"/>
        </w:rPr>
      </w:pPr>
      <w:r>
        <w:rPr>
          <w:rFonts w:hint="eastAsia"/>
          <w:color w:val="auto"/>
          <w:sz w:val="22"/>
          <w:szCs w:val="22"/>
          <w:highlight w:val="none"/>
          <w:lang w:val="zh-CN"/>
        </w:rPr>
        <w:t>1）供应商信用信息查询的查询渠道：“信用中国”(</w:t>
      </w:r>
      <w:r>
        <w:rPr>
          <w:rFonts w:hint="eastAsia"/>
          <w:color w:val="auto"/>
          <w:sz w:val="22"/>
          <w:szCs w:val="22"/>
          <w:highlight w:val="none"/>
          <w:lang w:val="zh-CN"/>
        </w:rPr>
        <w:fldChar w:fldCharType="begin"/>
      </w:r>
      <w:r>
        <w:rPr>
          <w:rFonts w:hint="eastAsia"/>
          <w:color w:val="auto"/>
          <w:sz w:val="22"/>
          <w:szCs w:val="22"/>
          <w:highlight w:val="none"/>
          <w:lang w:val="zh-CN"/>
        </w:rPr>
        <w:instrText xml:space="preserve"> HYPERLINK "http://www.creditchina.gov.cn" </w:instrText>
      </w:r>
      <w:r>
        <w:rPr>
          <w:rFonts w:hint="eastAsia"/>
          <w:color w:val="auto"/>
          <w:sz w:val="22"/>
          <w:szCs w:val="22"/>
          <w:highlight w:val="none"/>
          <w:lang w:val="zh-CN"/>
        </w:rPr>
        <w:fldChar w:fldCharType="separate"/>
      </w:r>
      <w:r>
        <w:rPr>
          <w:rFonts w:hint="eastAsia"/>
          <w:color w:val="auto"/>
          <w:sz w:val="22"/>
          <w:szCs w:val="22"/>
          <w:highlight w:val="none"/>
          <w:lang w:val="zh-CN"/>
        </w:rPr>
        <w:t>www.creditchina.gov.cn</w:t>
      </w:r>
      <w:r>
        <w:rPr>
          <w:rFonts w:hint="eastAsia"/>
          <w:color w:val="auto"/>
          <w:sz w:val="22"/>
          <w:szCs w:val="22"/>
          <w:highlight w:val="none"/>
          <w:lang w:val="zh-CN"/>
        </w:rPr>
        <w:fldChar w:fldCharType="end"/>
      </w:r>
      <w:r>
        <w:rPr>
          <w:rFonts w:hint="eastAsia"/>
          <w:color w:val="auto"/>
          <w:sz w:val="22"/>
          <w:szCs w:val="22"/>
          <w:highlight w:val="none"/>
          <w:lang w:val="zh-CN"/>
        </w:rPr>
        <w:t>)；“中国政府采购网”（http://www.ccgp.gov.cn/）；</w:t>
      </w:r>
    </w:p>
    <w:p w14:paraId="33E05F6D">
      <w:pPr>
        <w:snapToGrid w:val="0"/>
        <w:spacing w:line="360" w:lineRule="exact"/>
        <w:ind w:firstLine="418" w:firstLineChars="190"/>
        <w:rPr>
          <w:rFonts w:hint="eastAsia"/>
          <w:color w:val="auto"/>
          <w:sz w:val="22"/>
          <w:szCs w:val="22"/>
          <w:highlight w:val="none"/>
          <w:lang w:val="zh-CN"/>
        </w:rPr>
      </w:pPr>
      <w:r>
        <w:rPr>
          <w:rFonts w:hint="eastAsia"/>
          <w:color w:val="auto"/>
          <w:sz w:val="22"/>
          <w:szCs w:val="22"/>
          <w:highlight w:val="none"/>
          <w:lang w:val="zh-CN"/>
        </w:rPr>
        <w:t>2）供应商信用信息查询截止时点：本项目投标截止时间。</w:t>
      </w:r>
    </w:p>
    <w:p w14:paraId="16BA1009">
      <w:pPr>
        <w:snapToGrid w:val="0"/>
        <w:spacing w:line="360" w:lineRule="exact"/>
        <w:ind w:firstLine="418" w:firstLineChars="190"/>
        <w:rPr>
          <w:rFonts w:hint="eastAsia"/>
          <w:color w:val="auto"/>
          <w:sz w:val="22"/>
          <w:szCs w:val="22"/>
          <w:highlight w:val="none"/>
          <w:lang w:val="zh-CN"/>
        </w:rPr>
      </w:pPr>
      <w:r>
        <w:rPr>
          <w:rFonts w:hint="eastAsia"/>
          <w:color w:val="auto"/>
          <w:sz w:val="22"/>
          <w:szCs w:val="22"/>
          <w:highlight w:val="none"/>
          <w:lang w:val="zh-CN"/>
        </w:rPr>
        <w:t>3）供应商信用信息查询记录和证据留存的具体方式：网页截图打印；</w:t>
      </w:r>
    </w:p>
    <w:p w14:paraId="464AB60A">
      <w:pPr>
        <w:pStyle w:val="14"/>
        <w:adjustRightInd w:val="0"/>
        <w:snapToGrid w:val="0"/>
        <w:spacing w:line="360" w:lineRule="exact"/>
        <w:ind w:firstLine="440"/>
        <w:rPr>
          <w:rFonts w:hint="eastAsia" w:ascii="宋体" w:hAnsi="宋体" w:cs="宋体"/>
          <w:b/>
          <w:color w:val="auto"/>
          <w:sz w:val="22"/>
          <w:szCs w:val="22"/>
          <w:highlight w:val="none"/>
        </w:rPr>
      </w:pPr>
      <w:r>
        <w:rPr>
          <w:rFonts w:hint="eastAsia" w:ascii="宋体" w:hAnsi="宋体" w:cs="宋体"/>
          <w:color w:val="auto"/>
          <w:sz w:val="22"/>
          <w:szCs w:val="22"/>
          <w:highlight w:val="none"/>
          <w:lang w:val="zh-CN"/>
        </w:rPr>
        <w:t>4）</w:t>
      </w:r>
      <w:r>
        <w:rPr>
          <w:rFonts w:hint="eastAsia" w:ascii="宋体" w:hAnsi="宋体" w:cs="宋体"/>
          <w:color w:val="auto"/>
          <w:sz w:val="22"/>
          <w:szCs w:val="22"/>
          <w:highlight w:val="none"/>
          <w:u w:val="single"/>
          <w:lang w:val="zh-CN"/>
        </w:rPr>
        <w:t>信用信息的使用规则：截止评标当日，经查询“信用中国”“中国政府采购网”存在列入失信被执行人、重大税收违法案件当事人名单、政府采购严重违法失信行为记录名单及其他不符合《中华人民共和国政府采购法》第二十二条规定条件的供应商，其投标做无效投标处理；</w:t>
      </w:r>
    </w:p>
    <w:p w14:paraId="508DBD12">
      <w:pPr>
        <w:autoSpaceDE w:val="0"/>
        <w:autoSpaceDN w:val="0"/>
        <w:adjustRightInd w:val="0"/>
        <w:snapToGrid w:val="0"/>
        <w:spacing w:line="360" w:lineRule="exact"/>
        <w:ind w:firstLine="433" w:firstLineChars="196"/>
        <w:textAlignment w:val="bottom"/>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rPr>
        <w:t>11、▲</w:t>
      </w:r>
      <w:r>
        <w:rPr>
          <w:rFonts w:hint="eastAsia" w:ascii="宋体" w:hAnsi="宋体" w:cs="宋体"/>
          <w:b/>
          <w:color w:val="auto"/>
          <w:sz w:val="22"/>
          <w:szCs w:val="22"/>
          <w:highlight w:val="none"/>
          <w:u w:val="single"/>
        </w:rPr>
        <w:t>本项目采购预算为</w:t>
      </w:r>
      <w:r>
        <w:rPr>
          <w:rFonts w:hint="eastAsia" w:cs="宋体"/>
          <w:b/>
          <w:color w:val="auto"/>
          <w:sz w:val="22"/>
          <w:szCs w:val="22"/>
          <w:highlight w:val="none"/>
          <w:u w:val="single"/>
          <w:lang w:eastAsia="zh-CN"/>
        </w:rPr>
        <w:t>150万元</w:t>
      </w:r>
      <w:r>
        <w:rPr>
          <w:rFonts w:hint="eastAsia" w:ascii="宋体" w:hAnsi="宋体" w:cs="宋体"/>
          <w:b/>
          <w:color w:val="auto"/>
          <w:sz w:val="22"/>
          <w:szCs w:val="22"/>
          <w:highlight w:val="none"/>
          <w:u w:val="single"/>
        </w:rPr>
        <w:t>。本项目采用单价包干方式，实行综合单价统一折扣率报价方式。折扣率大于100%（不含）或小于0的则拒绝接受其报价，做无效投标处理，折扣率小数点后最多保留两位，第三位四舍五入）。</w:t>
      </w:r>
    </w:p>
    <w:p w14:paraId="29C5855F">
      <w:pPr>
        <w:autoSpaceDE w:val="0"/>
        <w:autoSpaceDN w:val="0"/>
        <w:adjustRightInd w:val="0"/>
        <w:snapToGrid w:val="0"/>
        <w:spacing w:line="360" w:lineRule="exact"/>
        <w:ind w:firstLine="433" w:firstLineChars="196"/>
        <w:textAlignment w:val="bottom"/>
        <w:rPr>
          <w:rFonts w:hint="eastAsia"/>
          <w:b/>
          <w:color w:val="auto"/>
          <w:sz w:val="22"/>
          <w:szCs w:val="22"/>
          <w:highlight w:val="none"/>
          <w:u w:val="single"/>
        </w:rPr>
      </w:pPr>
      <w:r>
        <w:rPr>
          <w:rFonts w:hint="eastAsia"/>
          <w:b/>
          <w:color w:val="auto"/>
          <w:sz w:val="22"/>
          <w:szCs w:val="22"/>
          <w:highlight w:val="none"/>
        </w:rPr>
        <w:t>12、</w:t>
      </w:r>
      <w:r>
        <w:rPr>
          <w:rFonts w:hint="eastAsia"/>
          <w:b/>
          <w:color w:val="auto"/>
          <w:sz w:val="22"/>
          <w:szCs w:val="22"/>
          <w:highlight w:val="none"/>
          <w:u w:val="single"/>
        </w:rPr>
        <w:t>本次招标采用资格后审，供应商只需在网上下载招标文件，不接受现场报名。</w:t>
      </w:r>
    </w:p>
    <w:p w14:paraId="71A663B6">
      <w:pPr>
        <w:autoSpaceDE w:val="0"/>
        <w:autoSpaceDN w:val="0"/>
        <w:adjustRightInd w:val="0"/>
        <w:snapToGrid w:val="0"/>
        <w:spacing w:line="360" w:lineRule="exact"/>
        <w:ind w:firstLine="433" w:firstLineChars="196"/>
        <w:textAlignment w:val="bottom"/>
        <w:rPr>
          <w:rFonts w:hint="eastAsia"/>
          <w:b/>
          <w:color w:val="auto"/>
          <w:sz w:val="22"/>
          <w:szCs w:val="22"/>
          <w:highlight w:val="none"/>
          <w:u w:val="single"/>
        </w:rPr>
      </w:pPr>
      <w:r>
        <w:rPr>
          <w:rFonts w:hint="eastAsia"/>
          <w:b/>
          <w:color w:val="auto"/>
          <w:sz w:val="22"/>
          <w:szCs w:val="22"/>
          <w:highlight w:val="none"/>
          <w:u w:val="single"/>
        </w:rPr>
        <w:t>13、为保证供应商顺利投标，供应商须在投标截止前自行登录</w:t>
      </w:r>
      <w:r>
        <w:rPr>
          <w:rStyle w:val="75"/>
          <w:rFonts w:hint="eastAsia"/>
          <w:b/>
          <w:bCs/>
          <w:color w:val="auto"/>
          <w:sz w:val="22"/>
          <w:szCs w:val="22"/>
          <w:highlight w:val="none"/>
        </w:rPr>
        <w:t>浙江政府采购网</w:t>
      </w:r>
      <w:r>
        <w:rPr>
          <w:rFonts w:hint="eastAsia"/>
          <w:b/>
          <w:color w:val="auto"/>
          <w:sz w:val="22"/>
          <w:szCs w:val="22"/>
          <w:highlight w:val="none"/>
          <w:u w:val="single"/>
        </w:rPr>
        <w:t>，查看是否有补充更正公告文件。如供应商未按补充更正公告文件进行投标的，责任自负。</w:t>
      </w:r>
    </w:p>
    <w:p w14:paraId="7E6C21BC">
      <w:pPr>
        <w:autoSpaceDE w:val="0"/>
        <w:autoSpaceDN w:val="0"/>
        <w:adjustRightInd w:val="0"/>
        <w:snapToGrid w:val="0"/>
        <w:spacing w:line="360" w:lineRule="exact"/>
        <w:ind w:firstLine="433" w:firstLineChars="196"/>
        <w:textAlignment w:val="bottom"/>
        <w:rPr>
          <w:rFonts w:hint="eastAsia"/>
          <w:b/>
          <w:color w:val="auto"/>
          <w:sz w:val="22"/>
          <w:szCs w:val="22"/>
          <w:highlight w:val="none"/>
          <w:u w:val="single"/>
        </w:rPr>
      </w:pPr>
      <w:r>
        <w:rPr>
          <w:rFonts w:hint="eastAsia"/>
          <w:b/>
          <w:color w:val="auto"/>
          <w:sz w:val="22"/>
          <w:szCs w:val="22"/>
          <w:highlight w:val="none"/>
          <w:u w:val="single"/>
        </w:rPr>
        <w:t>14、▲本次招标文件中，带有“</w:t>
      </w:r>
      <w:r>
        <w:rPr>
          <w:rFonts w:hint="eastAsia"/>
          <w:b/>
          <w:color w:val="auto"/>
          <w:sz w:val="22"/>
          <w:szCs w:val="22"/>
          <w:highlight w:val="none"/>
        </w:rPr>
        <w:t>▲</w:t>
      </w:r>
      <w:r>
        <w:rPr>
          <w:rFonts w:hint="eastAsia"/>
          <w:b/>
          <w:color w:val="auto"/>
          <w:sz w:val="22"/>
          <w:szCs w:val="22"/>
          <w:highlight w:val="none"/>
          <w:u w:val="single"/>
        </w:rPr>
        <w:t>”加下划线标注的有关技术和商务条款要求供应商做实质性响应，供应商要特别加以注意，必须对此回答并完全满足这些要求。否则若有一项“</w:t>
      </w:r>
      <w:r>
        <w:rPr>
          <w:rFonts w:hint="eastAsia"/>
          <w:b/>
          <w:color w:val="auto"/>
          <w:sz w:val="22"/>
          <w:szCs w:val="22"/>
          <w:highlight w:val="none"/>
        </w:rPr>
        <w:t>▲</w:t>
      </w:r>
      <w:r>
        <w:rPr>
          <w:rFonts w:hint="eastAsia"/>
          <w:b/>
          <w:color w:val="auto"/>
          <w:sz w:val="22"/>
          <w:szCs w:val="22"/>
          <w:highlight w:val="none"/>
          <w:u w:val="single"/>
        </w:rPr>
        <w:t>”加下划线的指标未实质性响应或不满足，将按投标无效处理。</w:t>
      </w:r>
    </w:p>
    <w:p w14:paraId="5396B3F0">
      <w:pPr>
        <w:autoSpaceDE w:val="0"/>
        <w:autoSpaceDN w:val="0"/>
        <w:adjustRightInd w:val="0"/>
        <w:snapToGrid w:val="0"/>
        <w:spacing w:line="36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15、</w:t>
      </w:r>
      <w:r>
        <w:rPr>
          <w:rFonts w:hint="eastAsia"/>
          <w:color w:val="auto"/>
          <w:sz w:val="22"/>
          <w:szCs w:val="22"/>
          <w:highlight w:val="none"/>
        </w:rPr>
        <w:t>本项目采用在线投标响应方式，执行《浙江省财政厅关于印发浙江省政府采购项目电子交易管理暂行办法的通知》（浙财采监〔2019〕10 号）等相关规定</w:t>
      </w:r>
      <w:r>
        <w:rPr>
          <w:rFonts w:hint="eastAsia"/>
          <w:b/>
          <w:color w:val="auto"/>
          <w:sz w:val="22"/>
          <w:szCs w:val="22"/>
          <w:highlight w:val="none"/>
        </w:rPr>
        <w:t>。</w:t>
      </w:r>
    </w:p>
    <w:p w14:paraId="3CDBA51A">
      <w:pPr>
        <w:autoSpaceDE w:val="0"/>
        <w:autoSpaceDN w:val="0"/>
        <w:adjustRightInd w:val="0"/>
        <w:snapToGrid w:val="0"/>
        <w:spacing w:line="36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16、本项目在线开评标进行时，供应商授权代表需自行关注平台提示信息，期间如有发出“询标/澄清函”等相关线上函件时，因供应商自身原因逾期/错过回复时间，由此造成的后果由供应商自行承担。</w:t>
      </w:r>
    </w:p>
    <w:p w14:paraId="38A48ADF">
      <w:pPr>
        <w:spacing w:line="300" w:lineRule="exact"/>
        <w:ind w:firstLine="440" w:firstLineChars="200"/>
        <w:rPr>
          <w:rFonts w:hint="eastAsia" w:ascii="宋体"/>
          <w:color w:val="auto"/>
          <w:sz w:val="22"/>
          <w:highlight w:val="none"/>
        </w:rPr>
      </w:pPr>
      <w:r>
        <w:rPr>
          <w:rFonts w:hint="eastAsia"/>
          <w:color w:val="auto"/>
          <w:sz w:val="22"/>
          <w:szCs w:val="22"/>
          <w:highlight w:val="none"/>
        </w:rPr>
        <w:t>17、</w:t>
      </w:r>
      <w:r>
        <w:rPr>
          <w:rFonts w:hint="eastAsia" w:ascii="宋体"/>
          <w:color w:val="auto"/>
          <w:sz w:val="22"/>
          <w:highlight w:val="none"/>
        </w:rPr>
        <w:t>根据</w:t>
      </w:r>
      <w:r>
        <w:rPr>
          <w:rFonts w:ascii="宋体"/>
          <w:color w:val="auto"/>
          <w:sz w:val="22"/>
          <w:highlight w:val="none"/>
        </w:rPr>
        <w:t>《工业和信息化部、国家统计局、国家发展和改革委员会、财政部关于印发中小企业划型标准规定的通知》（工信部联企业[2011]300号）</w:t>
      </w:r>
      <w:r>
        <w:rPr>
          <w:rFonts w:hint="eastAsia" w:ascii="宋体"/>
          <w:color w:val="auto"/>
          <w:sz w:val="22"/>
          <w:highlight w:val="none"/>
        </w:rPr>
        <w:t>，</w:t>
      </w:r>
      <w:r>
        <w:rPr>
          <w:rFonts w:ascii="宋体"/>
          <w:color w:val="auto"/>
          <w:sz w:val="22"/>
          <w:highlight w:val="none"/>
        </w:rPr>
        <w:t>本项目所属行业为</w:t>
      </w:r>
      <w:r>
        <w:rPr>
          <w:rFonts w:hint="eastAsia" w:ascii="宋体"/>
          <w:b/>
          <w:bCs/>
          <w:color w:val="auto"/>
          <w:sz w:val="22"/>
          <w:highlight w:val="none"/>
          <w:u w:val="single"/>
        </w:rPr>
        <w:t>工业</w:t>
      </w:r>
      <w:r>
        <w:rPr>
          <w:rFonts w:hint="eastAsia" w:ascii="宋体"/>
          <w:color w:val="auto"/>
          <w:sz w:val="22"/>
          <w:highlight w:val="none"/>
          <w:u w:val="single"/>
        </w:rPr>
        <w:t>（包括采矿业，制造业，电力、热力、燃气及水生产和供应业）</w:t>
      </w:r>
      <w:r>
        <w:rPr>
          <w:rFonts w:hint="eastAsia" w:ascii="宋体"/>
          <w:color w:val="auto"/>
          <w:sz w:val="22"/>
          <w:highlight w:val="none"/>
        </w:rPr>
        <w:t>，</w:t>
      </w:r>
      <w:r>
        <w:rPr>
          <w:rFonts w:ascii="宋体"/>
          <w:color w:val="auto"/>
          <w:sz w:val="22"/>
          <w:highlight w:val="none"/>
        </w:rPr>
        <w:t>投标供应商属于</w:t>
      </w:r>
      <w:r>
        <w:rPr>
          <w:rFonts w:hint="eastAsia" w:ascii="宋体"/>
          <w:color w:val="auto"/>
          <w:sz w:val="22"/>
          <w:highlight w:val="none"/>
        </w:rPr>
        <w:t>招标</w:t>
      </w:r>
      <w:r>
        <w:rPr>
          <w:rFonts w:ascii="宋体"/>
          <w:color w:val="auto"/>
          <w:sz w:val="22"/>
          <w:highlight w:val="none"/>
        </w:rPr>
        <w:t>文件中明确的行业所对应的小微企业享受价格优惠折扣</w:t>
      </w:r>
      <w:r>
        <w:rPr>
          <w:rFonts w:hint="eastAsia" w:ascii="宋体"/>
          <w:color w:val="auto"/>
          <w:sz w:val="22"/>
          <w:highlight w:val="none"/>
        </w:rPr>
        <w:t>，</w:t>
      </w:r>
      <w:r>
        <w:rPr>
          <w:rFonts w:ascii="宋体"/>
          <w:color w:val="auto"/>
          <w:sz w:val="22"/>
          <w:highlight w:val="none"/>
        </w:rPr>
        <w:t>否则不享受</w:t>
      </w:r>
      <w:r>
        <w:rPr>
          <w:rFonts w:hint="eastAsia" w:ascii="宋体"/>
          <w:color w:val="auto"/>
          <w:sz w:val="22"/>
          <w:highlight w:val="none"/>
        </w:rPr>
        <w:t>。</w:t>
      </w:r>
    </w:p>
    <w:p w14:paraId="30E8F0EE">
      <w:pPr>
        <w:spacing w:line="300" w:lineRule="exact"/>
        <w:ind w:firstLine="440" w:firstLineChars="200"/>
        <w:jc w:val="both"/>
        <w:rPr>
          <w:rFonts w:hint="eastAsia"/>
          <w:strike w:val="0"/>
          <w:dstrike w:val="0"/>
          <w:color w:val="auto"/>
          <w:sz w:val="22"/>
          <w:highlight w:val="none"/>
          <w:u w:val="none"/>
          <w:lang w:val="en-US" w:eastAsia="zh-CN"/>
        </w:rPr>
      </w:pPr>
      <w:r>
        <w:rPr>
          <w:rFonts w:hint="eastAsia"/>
          <w:strike w:val="0"/>
          <w:dstrike w:val="0"/>
          <w:color w:val="auto"/>
          <w:sz w:val="22"/>
          <w:highlight w:val="none"/>
          <w:u w:val="none"/>
          <w:lang w:val="en-US" w:eastAsia="zh-CN"/>
        </w:rPr>
        <w:t>18、</w:t>
      </w:r>
      <w:r>
        <w:rPr>
          <w:rFonts w:hint="eastAsia"/>
          <w:b/>
          <w:strike w:val="0"/>
          <w:dstrike w:val="0"/>
          <w:color w:val="auto"/>
          <w:sz w:val="22"/>
          <w:szCs w:val="22"/>
          <w:highlight w:val="none"/>
          <w:u w:val="none"/>
        </w:rPr>
        <w:t>▲</w:t>
      </w:r>
      <w:r>
        <w:rPr>
          <w:rFonts w:hint="eastAsia"/>
          <w:strike w:val="0"/>
          <w:dstrike w:val="0"/>
          <w:color w:val="auto"/>
          <w:sz w:val="22"/>
          <w:highlight w:val="none"/>
          <w:u w:val="none"/>
          <w:lang w:val="en-US" w:eastAsia="zh-CN"/>
        </w:rPr>
        <w:t>本次采购的货物若属于政府强制采购节能产品范围的（详见《关于印发节能产品政府采购品目清单的通知》财库〔2019〕19号），供应商须提供获得节能产品认证的货物，并提供按市场监管总局确定的认证机构出具的、处于有效期之内的节能产品认证证书或中国政府采购网（www.ccgp.gov.cn）网站认证证书查询截图，否则将作为无效投标处理。</w:t>
      </w:r>
    </w:p>
    <w:p w14:paraId="00EF7253">
      <w:pPr>
        <w:spacing w:line="300" w:lineRule="exact"/>
        <w:ind w:firstLine="440" w:firstLineChars="200"/>
        <w:jc w:val="both"/>
        <w:rPr>
          <w:rFonts w:hint="default"/>
          <w:strike w:val="0"/>
          <w:dstrike w:val="0"/>
          <w:color w:val="auto"/>
          <w:sz w:val="22"/>
          <w:highlight w:val="none"/>
          <w:u w:val="none"/>
          <w:lang w:val="en-US" w:eastAsia="zh-CN"/>
        </w:rPr>
      </w:pPr>
      <w:r>
        <w:rPr>
          <w:rFonts w:hint="eastAsia"/>
          <w:strike w:val="0"/>
          <w:dstrike w:val="0"/>
          <w:color w:val="auto"/>
          <w:sz w:val="22"/>
          <w:highlight w:val="none"/>
          <w:u w:val="none"/>
          <w:lang w:val="en-US" w:eastAsia="zh-CN"/>
        </w:rPr>
        <w:t>19、本标项采购的设备产品如涉及国家规定强制认证的，供应商未在投标文件偏离表中用明显字体予以声明的，均视为供应商投标产品符合了强制认证规定（如工业产品生产许可证，3C认证、节能产品认证等），中标供应商须在采购人对上述设备产品验收时提供相关证书证明资料（上述产品相关强制认证的证明文件投标时不需提供，采购文件另有要求的除外），否则按验收不能通过，采购人给予退货、解除合同或经采购人同意换货处理，供应商自行承担由此造成的损失。</w:t>
      </w:r>
    </w:p>
    <w:p w14:paraId="4B1040EE">
      <w:pPr>
        <w:autoSpaceDE w:val="0"/>
        <w:autoSpaceDN w:val="0"/>
        <w:adjustRightInd w:val="0"/>
        <w:snapToGrid w:val="0"/>
        <w:spacing w:line="360" w:lineRule="exact"/>
        <w:textAlignment w:val="bottom"/>
        <w:rPr>
          <w:rFonts w:hint="eastAsia"/>
          <w:color w:val="auto"/>
          <w:sz w:val="22"/>
          <w:szCs w:val="22"/>
          <w:highlight w:val="none"/>
        </w:rPr>
      </w:pPr>
      <w:r>
        <w:rPr>
          <w:rFonts w:hint="eastAsia"/>
          <w:color w:val="auto"/>
          <w:sz w:val="22"/>
          <w:szCs w:val="22"/>
          <w:highlight w:val="none"/>
        </w:rPr>
        <w:t>二、供应商资格要求</w:t>
      </w:r>
    </w:p>
    <w:p w14:paraId="18478E6D">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按招标公告要求</w:t>
      </w:r>
    </w:p>
    <w:p w14:paraId="3BBB9B7F">
      <w:pPr>
        <w:autoSpaceDE w:val="0"/>
        <w:autoSpaceDN w:val="0"/>
        <w:adjustRightInd w:val="0"/>
        <w:snapToGrid w:val="0"/>
        <w:spacing w:line="360" w:lineRule="exact"/>
        <w:textAlignment w:val="bottom"/>
        <w:rPr>
          <w:rFonts w:hint="eastAsia"/>
          <w:color w:val="auto"/>
          <w:sz w:val="22"/>
          <w:szCs w:val="22"/>
          <w:highlight w:val="none"/>
        </w:rPr>
      </w:pPr>
      <w:r>
        <w:rPr>
          <w:rFonts w:hint="eastAsia"/>
          <w:color w:val="auto"/>
          <w:sz w:val="22"/>
          <w:szCs w:val="22"/>
          <w:highlight w:val="none"/>
        </w:rPr>
        <w:t>三、招标文件</w:t>
      </w:r>
    </w:p>
    <w:p w14:paraId="79F0476E">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1、招标文件</w:t>
      </w:r>
    </w:p>
    <w:p w14:paraId="7F4EC9AC">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1.1招标文件发放</w:t>
      </w:r>
    </w:p>
    <w:p w14:paraId="6886818F">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供应商在浙江政府采购网站直接下载本项目招标文件。</w:t>
      </w:r>
    </w:p>
    <w:p w14:paraId="5B5AC89A">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1.2招标文件约束力</w:t>
      </w:r>
    </w:p>
    <w:p w14:paraId="567D4832">
      <w:pPr>
        <w:autoSpaceDE w:val="0"/>
        <w:autoSpaceDN w:val="0"/>
        <w:adjustRightInd w:val="0"/>
        <w:snapToGrid w:val="0"/>
        <w:spacing w:line="360" w:lineRule="exact"/>
        <w:ind w:firstLine="431" w:firstLineChars="196"/>
        <w:textAlignment w:val="bottom"/>
        <w:rPr>
          <w:rFonts w:hint="eastAsia"/>
          <w:color w:val="auto"/>
          <w:sz w:val="22"/>
          <w:szCs w:val="22"/>
          <w:highlight w:val="none"/>
          <w:u w:val="single"/>
        </w:rPr>
      </w:pPr>
      <w:r>
        <w:rPr>
          <w:rFonts w:hint="eastAsia"/>
          <w:color w:val="auto"/>
          <w:sz w:val="22"/>
          <w:szCs w:val="22"/>
          <w:highlight w:val="none"/>
          <w:u w:val="single"/>
        </w:rPr>
        <w:t>供应商一旦获取了本招标文件并参加投标，即被认为接受了本招标文件中所有条款和规定。</w:t>
      </w:r>
    </w:p>
    <w:p w14:paraId="4B3102DD">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1.3招标文件的组成</w:t>
      </w:r>
    </w:p>
    <w:p w14:paraId="657128F3">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招标文件由招标文件总目录所列内容及补充资料等组成。</w:t>
      </w:r>
    </w:p>
    <w:p w14:paraId="58D7012B">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2、招标文件的澄清</w:t>
      </w:r>
    </w:p>
    <w:p w14:paraId="33AAF799">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供应商对招标文件如有疑点要求澄清，可用书面形式（包括信函、传真，下同）通知</w:t>
      </w:r>
      <w:r>
        <w:rPr>
          <w:rFonts w:hint="eastAsia"/>
          <w:color w:val="auto"/>
          <w:sz w:val="22"/>
          <w:szCs w:val="22"/>
          <w:highlight w:val="none"/>
          <w:u w:val="single"/>
        </w:rPr>
        <w:t>招标代理机构</w:t>
      </w:r>
      <w:r>
        <w:rPr>
          <w:rFonts w:hint="eastAsia"/>
          <w:color w:val="auto"/>
          <w:sz w:val="22"/>
          <w:szCs w:val="22"/>
          <w:highlight w:val="none"/>
        </w:rPr>
        <w:t>，但通知不得迟于规定的质疑时间前使招标代理机构收到，招标代理机构将采用用网上答疑形式予以答复。</w:t>
      </w:r>
    </w:p>
    <w:p w14:paraId="1937057A">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3、招标文件的修改</w:t>
      </w:r>
    </w:p>
    <w:p w14:paraId="0ECD9F0E">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3.1 在投标截止时间前，采购人有权修改招标文件，并在网上发布更正公告。补充文件作为招标文件的补充和组成部分，对所有供应商均有约束力。</w:t>
      </w:r>
    </w:p>
    <w:p w14:paraId="75B9C898">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3.2 为使供应商有足够的时间按招标文件要求修正投标文件，采购人可酌情推迟投标截止时间和开标时间，并将此变更网上告知。</w:t>
      </w:r>
    </w:p>
    <w:p w14:paraId="7E4C2BC7">
      <w:pPr>
        <w:autoSpaceDE w:val="0"/>
        <w:autoSpaceDN w:val="0"/>
        <w:adjustRightInd w:val="0"/>
        <w:snapToGrid w:val="0"/>
        <w:spacing w:line="360" w:lineRule="exact"/>
        <w:textAlignment w:val="bottom"/>
        <w:rPr>
          <w:rFonts w:hint="eastAsia"/>
          <w:color w:val="auto"/>
          <w:sz w:val="22"/>
          <w:szCs w:val="22"/>
          <w:highlight w:val="none"/>
        </w:rPr>
      </w:pPr>
      <w:r>
        <w:rPr>
          <w:rFonts w:hint="eastAsia"/>
          <w:color w:val="auto"/>
          <w:sz w:val="22"/>
          <w:szCs w:val="22"/>
          <w:highlight w:val="none"/>
        </w:rPr>
        <w:t>四、投标文件</w:t>
      </w:r>
    </w:p>
    <w:p w14:paraId="626CA999">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1、投标文件</w:t>
      </w:r>
    </w:p>
    <w:p w14:paraId="4AE12C6C">
      <w:pPr>
        <w:autoSpaceDE w:val="0"/>
        <w:autoSpaceDN w:val="0"/>
        <w:adjustRightInd w:val="0"/>
        <w:snapToGrid w:val="0"/>
        <w:spacing w:line="360" w:lineRule="exact"/>
        <w:ind w:firstLine="440" w:firstLineChars="200"/>
        <w:textAlignment w:val="bottom"/>
        <w:rPr>
          <w:rFonts w:hint="eastAsia"/>
          <w:color w:val="auto"/>
          <w:sz w:val="22"/>
          <w:szCs w:val="22"/>
          <w:highlight w:val="none"/>
        </w:rPr>
      </w:pPr>
      <w:r>
        <w:rPr>
          <w:rFonts w:hint="eastAsia"/>
          <w:color w:val="auto"/>
          <w:sz w:val="22"/>
          <w:szCs w:val="22"/>
          <w:highlight w:val="none"/>
          <w:lang w:val="zh-CN"/>
        </w:rPr>
        <w:t>1.1</w:t>
      </w:r>
      <w:r>
        <w:rPr>
          <w:rFonts w:hint="eastAsia"/>
          <w:color w:val="auto"/>
          <w:sz w:val="22"/>
          <w:szCs w:val="22"/>
          <w:highlight w:val="none"/>
        </w:rPr>
        <w:t>供应商应仔细阅读招标文件中的所有内容，按照招标文件要求，详细编制投标文件。并对招标文件的要求做出实质上响应。实质上响应的投标应该是与招标文件要求的条款没有重大偏离的投标。未实质上响应的投标文件将被拒绝，但允许投标在基本满足招标文件要求的前提下出现的微小差异。（是否为重大偏离由评标委员会判定）</w:t>
      </w:r>
    </w:p>
    <w:p w14:paraId="5B030F47">
      <w:pPr>
        <w:autoSpaceDE w:val="0"/>
        <w:autoSpaceDN w:val="0"/>
        <w:adjustRightInd w:val="0"/>
        <w:snapToGrid w:val="0"/>
        <w:spacing w:line="360" w:lineRule="exact"/>
        <w:ind w:firstLine="440" w:firstLineChars="200"/>
        <w:textAlignment w:val="bottom"/>
        <w:rPr>
          <w:rFonts w:hint="eastAsia"/>
          <w:color w:val="auto"/>
          <w:sz w:val="22"/>
          <w:szCs w:val="22"/>
          <w:highlight w:val="none"/>
        </w:rPr>
      </w:pPr>
      <w:r>
        <w:rPr>
          <w:rFonts w:hint="eastAsia"/>
          <w:color w:val="auto"/>
          <w:sz w:val="22"/>
          <w:szCs w:val="22"/>
          <w:highlight w:val="none"/>
          <w:lang w:val="zh-CN"/>
        </w:rPr>
        <w:t>1.2</w:t>
      </w:r>
      <w:r>
        <w:rPr>
          <w:rFonts w:hint="eastAsia"/>
          <w:color w:val="auto"/>
          <w:sz w:val="22"/>
          <w:szCs w:val="22"/>
          <w:highlight w:val="none"/>
        </w:rPr>
        <w:t>供应商必须按招标文件的要求提供相关服务（包括但不限于技术参数、资料、采用的计量单位等）并保证投标文件的正确性和真实性。投标文件全部内容应保持一致，否则可能导致不利于其投标的评定甚至被拒绝。技术和商务如有偏离均应填写偏离表。</w:t>
      </w:r>
    </w:p>
    <w:p w14:paraId="0CB051B2">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lang w:val="zh-CN"/>
        </w:rPr>
        <w:t>1.3供应商应仔细阅读招标文件中的所有内容，按照招标文件要求，详细编制投标文件，所有文件资料必须是针对本次投标。不按招标文件的要求提供的投标文件可能导致被拒绝。</w:t>
      </w:r>
    </w:p>
    <w:p w14:paraId="34903240">
      <w:pPr>
        <w:autoSpaceDE w:val="0"/>
        <w:autoSpaceDN w:val="0"/>
        <w:adjustRightInd w:val="0"/>
        <w:snapToGrid w:val="0"/>
        <w:spacing w:line="360" w:lineRule="exact"/>
        <w:ind w:firstLine="431" w:firstLineChars="196"/>
        <w:textAlignment w:val="bottom"/>
        <w:rPr>
          <w:rFonts w:hint="eastAsia"/>
          <w:color w:val="auto"/>
          <w:sz w:val="22"/>
          <w:szCs w:val="22"/>
          <w:highlight w:val="none"/>
        </w:rPr>
      </w:pPr>
      <w:r>
        <w:rPr>
          <w:rFonts w:hint="eastAsia"/>
          <w:color w:val="auto"/>
          <w:sz w:val="22"/>
          <w:szCs w:val="22"/>
          <w:highlight w:val="none"/>
        </w:rPr>
        <w:t xml:space="preserve">2、投标文件的组成  </w:t>
      </w:r>
    </w:p>
    <w:p w14:paraId="657735BA">
      <w:pPr>
        <w:autoSpaceDE w:val="0"/>
        <w:autoSpaceDN w:val="0"/>
        <w:adjustRightInd w:val="0"/>
        <w:snapToGrid w:val="0"/>
        <w:spacing w:line="360" w:lineRule="exact"/>
        <w:ind w:firstLine="442" w:firstLineChars="200"/>
        <w:rPr>
          <w:rFonts w:hint="eastAsia"/>
          <w:b/>
          <w:color w:val="auto"/>
          <w:sz w:val="22"/>
          <w:szCs w:val="22"/>
          <w:highlight w:val="none"/>
          <w:lang w:val="zh-CN"/>
        </w:rPr>
      </w:pPr>
      <w:r>
        <w:rPr>
          <w:rFonts w:hint="eastAsia"/>
          <w:b/>
          <w:color w:val="auto"/>
          <w:sz w:val="22"/>
          <w:szCs w:val="22"/>
          <w:highlight w:val="none"/>
          <w:u w:val="single"/>
        </w:rPr>
        <w:t>投标文件应当包括以下主要内容：资格文件、报价文件、商务技术文件。资格文件、商务技术文件不得含报价，否则投标将被拒绝。</w:t>
      </w:r>
    </w:p>
    <w:tbl>
      <w:tblPr>
        <w:tblStyle w:val="66"/>
        <w:tblW w:w="4990" w:type="pct"/>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690"/>
        <w:gridCol w:w="8518"/>
        <w:gridCol w:w="14"/>
        <w:gridCol w:w="720"/>
      </w:tblGrid>
      <w:tr w14:paraId="0993D7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blHeader/>
          <w:jc w:val="center"/>
        </w:trPr>
        <w:tc>
          <w:tcPr>
            <w:tcW w:w="347" w:type="pct"/>
            <w:tcBorders>
              <w:bottom w:val="single" w:color="auto" w:sz="6" w:space="0"/>
            </w:tcBorders>
            <w:noWrap w:val="0"/>
            <w:vAlign w:val="center"/>
          </w:tcPr>
          <w:p w14:paraId="7B506FDE">
            <w:pPr>
              <w:spacing w:line="360" w:lineRule="exact"/>
              <w:jc w:val="center"/>
              <w:rPr>
                <w:rFonts w:hint="eastAsia"/>
                <w:b/>
                <w:color w:val="auto"/>
                <w:sz w:val="22"/>
                <w:szCs w:val="22"/>
                <w:highlight w:val="none"/>
              </w:rPr>
            </w:pPr>
            <w:r>
              <w:rPr>
                <w:rFonts w:hint="eastAsia"/>
                <w:b/>
                <w:color w:val="auto"/>
                <w:sz w:val="22"/>
                <w:szCs w:val="22"/>
                <w:highlight w:val="none"/>
              </w:rPr>
              <w:t>序号</w:t>
            </w:r>
          </w:p>
        </w:tc>
        <w:tc>
          <w:tcPr>
            <w:tcW w:w="4291" w:type="pct"/>
            <w:gridSpan w:val="2"/>
            <w:tcBorders>
              <w:bottom w:val="single" w:color="auto" w:sz="6" w:space="0"/>
            </w:tcBorders>
            <w:noWrap w:val="0"/>
            <w:vAlign w:val="center"/>
          </w:tcPr>
          <w:p w14:paraId="2227FE71">
            <w:pPr>
              <w:spacing w:line="360" w:lineRule="exact"/>
              <w:jc w:val="center"/>
              <w:rPr>
                <w:rFonts w:hint="eastAsia"/>
                <w:b/>
                <w:color w:val="auto"/>
                <w:sz w:val="22"/>
                <w:szCs w:val="22"/>
                <w:highlight w:val="none"/>
              </w:rPr>
            </w:pPr>
            <w:r>
              <w:rPr>
                <w:rFonts w:hint="eastAsia"/>
                <w:b/>
                <w:color w:val="auto"/>
                <w:sz w:val="22"/>
                <w:szCs w:val="22"/>
                <w:highlight w:val="none"/>
              </w:rPr>
              <w:t>响应文件组成内容</w:t>
            </w:r>
          </w:p>
        </w:tc>
        <w:tc>
          <w:tcPr>
            <w:tcW w:w="360" w:type="pct"/>
            <w:tcBorders>
              <w:bottom w:val="single" w:color="auto" w:sz="6" w:space="0"/>
            </w:tcBorders>
            <w:noWrap w:val="0"/>
            <w:vAlign w:val="center"/>
          </w:tcPr>
          <w:p w14:paraId="066A941E">
            <w:pPr>
              <w:spacing w:line="360" w:lineRule="exact"/>
              <w:jc w:val="center"/>
              <w:rPr>
                <w:rFonts w:hint="eastAsia"/>
                <w:b/>
                <w:color w:val="auto"/>
                <w:sz w:val="22"/>
                <w:szCs w:val="22"/>
                <w:highlight w:val="none"/>
              </w:rPr>
            </w:pPr>
            <w:r>
              <w:rPr>
                <w:rFonts w:hint="eastAsia"/>
                <w:b/>
                <w:color w:val="auto"/>
                <w:sz w:val="22"/>
                <w:szCs w:val="22"/>
                <w:highlight w:val="none"/>
              </w:rPr>
              <w:t>投标</w:t>
            </w:r>
          </w:p>
          <w:p w14:paraId="2095839A">
            <w:pPr>
              <w:spacing w:line="360" w:lineRule="exact"/>
              <w:jc w:val="center"/>
              <w:rPr>
                <w:rFonts w:hint="eastAsia"/>
                <w:b/>
                <w:color w:val="auto"/>
                <w:sz w:val="22"/>
                <w:szCs w:val="22"/>
                <w:highlight w:val="none"/>
              </w:rPr>
            </w:pPr>
            <w:r>
              <w:rPr>
                <w:rFonts w:hint="eastAsia"/>
                <w:b/>
                <w:color w:val="auto"/>
                <w:sz w:val="22"/>
                <w:szCs w:val="22"/>
                <w:highlight w:val="none"/>
              </w:rPr>
              <w:t>格式</w:t>
            </w:r>
          </w:p>
        </w:tc>
      </w:tr>
      <w:tr w14:paraId="2AAD3A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2" w:hRule="atLeast"/>
          <w:jc w:val="center"/>
        </w:trPr>
        <w:tc>
          <w:tcPr>
            <w:tcW w:w="5000" w:type="pct"/>
            <w:gridSpan w:val="4"/>
            <w:tcBorders>
              <w:top w:val="single" w:color="auto" w:sz="6" w:space="0"/>
              <w:bottom w:val="single" w:color="auto" w:sz="6" w:space="0"/>
            </w:tcBorders>
            <w:noWrap w:val="0"/>
            <w:vAlign w:val="center"/>
          </w:tcPr>
          <w:p w14:paraId="36856316">
            <w:pPr>
              <w:spacing w:line="360" w:lineRule="exact"/>
              <w:rPr>
                <w:rFonts w:hint="eastAsia"/>
                <w:b/>
                <w:color w:val="auto"/>
                <w:sz w:val="22"/>
                <w:szCs w:val="22"/>
                <w:highlight w:val="none"/>
              </w:rPr>
            </w:pPr>
            <w:r>
              <w:rPr>
                <w:rFonts w:hint="eastAsia"/>
                <w:b/>
                <w:color w:val="auto"/>
                <w:sz w:val="22"/>
                <w:szCs w:val="22"/>
                <w:highlight w:val="none"/>
              </w:rPr>
              <w:t>一、《资格文件》组成内容（须单页保存，逐页上传，格式见附件）（</w:t>
            </w:r>
            <w:r>
              <w:rPr>
                <w:rFonts w:hint="eastAsia"/>
                <w:color w:val="auto"/>
                <w:sz w:val="22"/>
                <w:szCs w:val="22"/>
                <w:highlight w:val="none"/>
              </w:rPr>
              <w:t>▲</w:t>
            </w:r>
            <w:r>
              <w:rPr>
                <w:rFonts w:hint="eastAsia"/>
                <w:b/>
                <w:color w:val="auto"/>
                <w:sz w:val="22"/>
                <w:szCs w:val="22"/>
                <w:highlight w:val="none"/>
              </w:rPr>
              <w:t>此项供应商必须提供，否则不能通过资格性审查的，责任自负）</w:t>
            </w:r>
          </w:p>
        </w:tc>
      </w:tr>
      <w:tr w14:paraId="5E16D8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tcBorders>
            <w:noWrap w:val="0"/>
            <w:vAlign w:val="center"/>
          </w:tcPr>
          <w:p w14:paraId="73029303">
            <w:pPr>
              <w:spacing w:line="360" w:lineRule="exact"/>
              <w:jc w:val="center"/>
              <w:rPr>
                <w:rFonts w:hint="eastAsia"/>
                <w:b/>
                <w:color w:val="auto"/>
                <w:sz w:val="22"/>
                <w:szCs w:val="22"/>
                <w:highlight w:val="none"/>
              </w:rPr>
            </w:pPr>
            <w:r>
              <w:rPr>
                <w:rFonts w:hint="eastAsia"/>
                <w:b/>
                <w:color w:val="auto"/>
                <w:sz w:val="22"/>
                <w:szCs w:val="22"/>
                <w:highlight w:val="none"/>
              </w:rPr>
              <w:t>1</w:t>
            </w:r>
          </w:p>
        </w:tc>
        <w:tc>
          <w:tcPr>
            <w:tcW w:w="4284" w:type="pct"/>
            <w:tcBorders>
              <w:top w:val="single" w:color="auto" w:sz="6" w:space="0"/>
            </w:tcBorders>
            <w:noWrap w:val="0"/>
            <w:vAlign w:val="center"/>
          </w:tcPr>
          <w:p w14:paraId="5D0F1106">
            <w:pPr>
              <w:spacing w:line="360" w:lineRule="exact"/>
              <w:rPr>
                <w:rFonts w:hint="eastAsia"/>
                <w:b/>
                <w:color w:val="auto"/>
                <w:sz w:val="22"/>
                <w:szCs w:val="22"/>
                <w:highlight w:val="none"/>
              </w:rPr>
            </w:pPr>
            <w:r>
              <w:rPr>
                <w:rFonts w:hint="eastAsia"/>
                <w:b/>
                <w:color w:val="auto"/>
                <w:sz w:val="22"/>
                <w:szCs w:val="22"/>
                <w:highlight w:val="none"/>
              </w:rPr>
              <w:t>《资格文件》封面</w:t>
            </w:r>
          </w:p>
        </w:tc>
        <w:tc>
          <w:tcPr>
            <w:tcW w:w="368" w:type="pct"/>
            <w:gridSpan w:val="2"/>
            <w:tcBorders>
              <w:top w:val="single" w:color="auto" w:sz="6" w:space="0"/>
            </w:tcBorders>
            <w:noWrap w:val="0"/>
            <w:vAlign w:val="center"/>
          </w:tcPr>
          <w:p w14:paraId="46AAF512">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09321A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tcBorders>
            <w:noWrap w:val="0"/>
            <w:vAlign w:val="center"/>
          </w:tcPr>
          <w:p w14:paraId="30E80786">
            <w:pPr>
              <w:spacing w:line="360" w:lineRule="exact"/>
              <w:jc w:val="center"/>
              <w:rPr>
                <w:rFonts w:hint="eastAsia"/>
                <w:b/>
                <w:color w:val="auto"/>
                <w:sz w:val="22"/>
                <w:szCs w:val="22"/>
                <w:highlight w:val="none"/>
              </w:rPr>
            </w:pPr>
            <w:r>
              <w:rPr>
                <w:rFonts w:hint="eastAsia"/>
                <w:b/>
                <w:color w:val="auto"/>
                <w:sz w:val="22"/>
                <w:szCs w:val="22"/>
                <w:highlight w:val="none"/>
              </w:rPr>
              <w:t>2</w:t>
            </w:r>
          </w:p>
        </w:tc>
        <w:tc>
          <w:tcPr>
            <w:tcW w:w="4284" w:type="pct"/>
            <w:tcBorders>
              <w:top w:val="single" w:color="auto" w:sz="6" w:space="0"/>
            </w:tcBorders>
            <w:noWrap w:val="0"/>
            <w:vAlign w:val="center"/>
          </w:tcPr>
          <w:p w14:paraId="5DEDBA9C">
            <w:pPr>
              <w:spacing w:line="360" w:lineRule="exact"/>
              <w:rPr>
                <w:rFonts w:hint="eastAsia"/>
                <w:b/>
                <w:color w:val="auto"/>
                <w:sz w:val="22"/>
                <w:szCs w:val="22"/>
                <w:highlight w:val="none"/>
              </w:rPr>
            </w:pPr>
            <w:r>
              <w:rPr>
                <w:rFonts w:hint="eastAsia"/>
                <w:color w:val="auto"/>
                <w:sz w:val="22"/>
                <w:szCs w:val="22"/>
                <w:highlight w:val="none"/>
              </w:rPr>
              <w:t>▲</w:t>
            </w:r>
            <w:r>
              <w:rPr>
                <w:rFonts w:hint="eastAsia" w:ascii="宋体" w:hAnsi="宋体" w:eastAsia="宋体" w:cs="宋体"/>
                <w:b/>
                <w:color w:val="auto"/>
                <w:sz w:val="22"/>
                <w:szCs w:val="22"/>
                <w:highlight w:val="none"/>
                <w:lang w:eastAsia="zh-CN"/>
              </w:rPr>
              <w:t>供应商符合参与政府采购活动资格条件的承诺函</w:t>
            </w:r>
            <w:r>
              <w:rPr>
                <w:rFonts w:hint="eastAsia" w:ascii="宋体" w:hAnsi="宋体" w:eastAsia="宋体" w:cs="宋体"/>
                <w:b/>
                <w:color w:val="auto"/>
                <w:sz w:val="22"/>
                <w:szCs w:val="22"/>
                <w:highlight w:val="none"/>
              </w:rPr>
              <w:t>，格式见附件</w:t>
            </w:r>
          </w:p>
        </w:tc>
        <w:tc>
          <w:tcPr>
            <w:tcW w:w="368" w:type="pct"/>
            <w:gridSpan w:val="2"/>
            <w:tcBorders>
              <w:top w:val="single" w:color="auto" w:sz="6" w:space="0"/>
            </w:tcBorders>
            <w:noWrap w:val="0"/>
            <w:vAlign w:val="center"/>
          </w:tcPr>
          <w:p w14:paraId="1AA8C2A8">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30AC27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noWrap w:val="0"/>
            <w:vAlign w:val="center"/>
          </w:tcPr>
          <w:p w14:paraId="71E703B9">
            <w:pPr>
              <w:spacing w:line="360" w:lineRule="exact"/>
              <w:jc w:val="center"/>
              <w:rPr>
                <w:rFonts w:hint="eastAsia"/>
                <w:b/>
                <w:color w:val="auto"/>
                <w:sz w:val="22"/>
                <w:szCs w:val="22"/>
                <w:highlight w:val="none"/>
              </w:rPr>
            </w:pPr>
            <w:r>
              <w:rPr>
                <w:rFonts w:hint="eastAsia"/>
                <w:b/>
                <w:color w:val="auto"/>
                <w:sz w:val="22"/>
                <w:szCs w:val="22"/>
                <w:highlight w:val="none"/>
              </w:rPr>
              <w:t>3</w:t>
            </w:r>
          </w:p>
        </w:tc>
        <w:tc>
          <w:tcPr>
            <w:tcW w:w="4284" w:type="pct"/>
            <w:noWrap w:val="0"/>
            <w:vAlign w:val="center"/>
          </w:tcPr>
          <w:p w14:paraId="71FA6625">
            <w:pPr>
              <w:spacing w:line="360" w:lineRule="exact"/>
              <w:rPr>
                <w:rFonts w:hint="eastAsia"/>
                <w:bCs/>
                <w:color w:val="auto"/>
                <w:sz w:val="22"/>
                <w:szCs w:val="22"/>
                <w:highlight w:val="none"/>
              </w:rPr>
            </w:pPr>
            <w:r>
              <w:rPr>
                <w:rFonts w:hint="eastAsia"/>
                <w:color w:val="auto"/>
                <w:sz w:val="22"/>
                <w:szCs w:val="22"/>
                <w:highlight w:val="none"/>
              </w:rPr>
              <w:t>▲</w:t>
            </w:r>
            <w:r>
              <w:rPr>
                <w:rFonts w:hint="eastAsia"/>
                <w:bCs/>
                <w:color w:val="auto"/>
                <w:sz w:val="22"/>
                <w:szCs w:val="22"/>
                <w:highlight w:val="none"/>
              </w:rPr>
              <w:t>营业执照(或事业法人登记证书或其它工商等登记证明材料)</w:t>
            </w:r>
          </w:p>
          <w:p w14:paraId="4C6F1024">
            <w:pPr>
              <w:pStyle w:val="4"/>
              <w:spacing w:line="3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a.供应商为企业或个体工商户的，提供有效的“营业执照”；供应商为事业单位的，提供有效的“事业单位法人证书”；供应商为非企业专业服务机构的，提供执业许可证等证明文件；供应商为自然人（中国公民）的，提供个人有效身份证明文件。</w:t>
            </w:r>
          </w:p>
          <w:p w14:paraId="1C2FDB77">
            <w:pPr>
              <w:pStyle w:val="4"/>
              <w:spacing w:line="3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b.金融、保险、通讯等特定行业的全国性企业所设立的区域性分支机构，以及个体工商户、个人独资企业、合伙企业参加本项目投标的，除提供供应商自身的营业执照外，还须提供总公司（总机构）授权书或房产权证或其他有效财产证明材料（提供复印件加盖供应商公章），以证明其具备实际承担责任的能力和法定的缔结合同能力。</w:t>
            </w:r>
          </w:p>
        </w:tc>
        <w:tc>
          <w:tcPr>
            <w:tcW w:w="368" w:type="pct"/>
            <w:gridSpan w:val="2"/>
            <w:noWrap w:val="0"/>
            <w:vAlign w:val="center"/>
          </w:tcPr>
          <w:p w14:paraId="44EB1B8C">
            <w:pPr>
              <w:spacing w:line="360" w:lineRule="exact"/>
              <w:jc w:val="center"/>
              <w:rPr>
                <w:rFonts w:hint="eastAsia"/>
                <w:color w:val="auto"/>
                <w:sz w:val="22"/>
                <w:szCs w:val="22"/>
                <w:highlight w:val="none"/>
              </w:rPr>
            </w:pPr>
            <w:r>
              <w:rPr>
                <w:rFonts w:hint="eastAsia"/>
                <w:color w:val="auto"/>
                <w:sz w:val="22"/>
                <w:szCs w:val="22"/>
                <w:highlight w:val="none"/>
              </w:rPr>
              <w:t>无</w:t>
            </w:r>
          </w:p>
        </w:tc>
      </w:tr>
      <w:tr w14:paraId="021DD8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noWrap w:val="0"/>
            <w:vAlign w:val="center"/>
          </w:tcPr>
          <w:p w14:paraId="5CFB4D0E">
            <w:pPr>
              <w:spacing w:line="360" w:lineRule="exact"/>
              <w:jc w:val="center"/>
              <w:rPr>
                <w:rFonts w:hint="eastAsia" w:eastAsia="宋体"/>
                <w:b/>
                <w:color w:val="auto"/>
                <w:sz w:val="22"/>
                <w:szCs w:val="22"/>
                <w:highlight w:val="none"/>
                <w:lang w:eastAsia="zh-CN"/>
              </w:rPr>
            </w:pPr>
            <w:r>
              <w:rPr>
                <w:rFonts w:hint="eastAsia"/>
                <w:b/>
                <w:color w:val="auto"/>
                <w:sz w:val="22"/>
                <w:szCs w:val="22"/>
                <w:highlight w:val="none"/>
                <w:lang w:val="en-US" w:eastAsia="zh-CN"/>
              </w:rPr>
              <w:t>4</w:t>
            </w:r>
          </w:p>
        </w:tc>
        <w:tc>
          <w:tcPr>
            <w:tcW w:w="4284" w:type="pct"/>
            <w:noWrap w:val="0"/>
            <w:vAlign w:val="top"/>
          </w:tcPr>
          <w:p w14:paraId="21AD2FBD">
            <w:pPr>
              <w:autoSpaceDE w:val="0"/>
              <w:autoSpaceDN w:val="0"/>
              <w:adjustRightInd w:val="0"/>
              <w:snapToGrid w:val="0"/>
              <w:spacing w:line="360" w:lineRule="exact"/>
              <w:rPr>
                <w:rFonts w:hint="eastAsia"/>
                <w:b/>
                <w:color w:val="auto"/>
                <w:sz w:val="22"/>
                <w:szCs w:val="22"/>
                <w:highlight w:val="none"/>
              </w:rPr>
            </w:pPr>
            <w:r>
              <w:rPr>
                <w:rFonts w:hint="eastAsia"/>
                <w:color w:val="auto"/>
                <w:sz w:val="22"/>
                <w:szCs w:val="22"/>
                <w:highlight w:val="none"/>
              </w:rPr>
              <w:t>▲</w:t>
            </w:r>
            <w:r>
              <w:rPr>
                <w:rFonts w:hint="eastAsia"/>
                <w:b/>
                <w:color w:val="auto"/>
                <w:sz w:val="22"/>
                <w:szCs w:val="22"/>
                <w:highlight w:val="none"/>
              </w:rPr>
              <w:t>供应商法定代表人授权书（非法定代表人参加投标时须提供）；如为法定代表人参与的只须法定代表人身份证。如为授权代表提供授权书；（格式见附件）</w:t>
            </w:r>
          </w:p>
        </w:tc>
        <w:tc>
          <w:tcPr>
            <w:tcW w:w="368" w:type="pct"/>
            <w:gridSpan w:val="2"/>
            <w:noWrap w:val="0"/>
            <w:vAlign w:val="center"/>
          </w:tcPr>
          <w:p w14:paraId="2D9520AC">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5B4C24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5000" w:type="pct"/>
            <w:gridSpan w:val="4"/>
            <w:tcBorders>
              <w:bottom w:val="single" w:color="auto" w:sz="6" w:space="0"/>
            </w:tcBorders>
            <w:noWrap w:val="0"/>
            <w:vAlign w:val="center"/>
          </w:tcPr>
          <w:p w14:paraId="241867E8">
            <w:pPr>
              <w:spacing w:line="360" w:lineRule="exact"/>
              <w:rPr>
                <w:rFonts w:hint="eastAsia"/>
                <w:color w:val="auto"/>
                <w:sz w:val="22"/>
                <w:szCs w:val="22"/>
                <w:highlight w:val="none"/>
              </w:rPr>
            </w:pPr>
            <w:r>
              <w:rPr>
                <w:rFonts w:hint="eastAsia"/>
                <w:color w:val="auto"/>
                <w:sz w:val="22"/>
                <w:szCs w:val="22"/>
                <w:highlight w:val="none"/>
              </w:rPr>
              <w:t>▲</w:t>
            </w:r>
            <w:r>
              <w:rPr>
                <w:rFonts w:hint="eastAsia"/>
                <w:b/>
                <w:color w:val="auto"/>
                <w:sz w:val="22"/>
                <w:szCs w:val="22"/>
                <w:highlight w:val="none"/>
                <w:u w:val="single"/>
              </w:rPr>
              <w:t>备注：上述</w:t>
            </w:r>
            <w:r>
              <w:rPr>
                <w:rFonts w:hint="eastAsia"/>
                <w:b/>
                <w:color w:val="auto"/>
                <w:sz w:val="22"/>
                <w:szCs w:val="22"/>
                <w:highlight w:val="none"/>
                <w:u w:val="single"/>
                <w:lang w:val="en-US" w:eastAsia="zh-CN"/>
              </w:rPr>
              <w:t>2-4</w:t>
            </w:r>
            <w:r>
              <w:rPr>
                <w:rFonts w:hint="eastAsia"/>
                <w:b/>
                <w:color w:val="auto"/>
                <w:sz w:val="22"/>
                <w:szCs w:val="22"/>
                <w:highlight w:val="none"/>
                <w:u w:val="single"/>
              </w:rPr>
              <w:t>资格证明文件未提供或提供的资格证明材料不齐全的，资格审查作不通过处理，不得进入评审程序。</w:t>
            </w:r>
          </w:p>
        </w:tc>
      </w:tr>
      <w:tr w14:paraId="426CCF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4" w:hRule="atLeast"/>
          <w:jc w:val="center"/>
        </w:trPr>
        <w:tc>
          <w:tcPr>
            <w:tcW w:w="5000" w:type="pct"/>
            <w:gridSpan w:val="4"/>
            <w:tcBorders>
              <w:top w:val="single" w:color="auto" w:sz="6" w:space="0"/>
              <w:bottom w:val="single" w:color="auto" w:sz="6" w:space="0"/>
            </w:tcBorders>
            <w:noWrap w:val="0"/>
            <w:vAlign w:val="center"/>
          </w:tcPr>
          <w:p w14:paraId="22629DFB">
            <w:pPr>
              <w:spacing w:line="360" w:lineRule="exact"/>
              <w:rPr>
                <w:rFonts w:hint="eastAsia"/>
                <w:b/>
                <w:color w:val="auto"/>
                <w:sz w:val="22"/>
                <w:szCs w:val="22"/>
                <w:highlight w:val="none"/>
              </w:rPr>
            </w:pPr>
            <w:r>
              <w:rPr>
                <w:rFonts w:hint="eastAsia"/>
                <w:b/>
                <w:color w:val="auto"/>
                <w:sz w:val="22"/>
                <w:szCs w:val="22"/>
                <w:highlight w:val="none"/>
              </w:rPr>
              <w:t>二、《商务技术文件》组成内容</w:t>
            </w:r>
          </w:p>
        </w:tc>
      </w:tr>
      <w:tr w14:paraId="082A1C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tcBorders>
            <w:noWrap w:val="0"/>
            <w:vAlign w:val="center"/>
          </w:tcPr>
          <w:p w14:paraId="023B4DD0">
            <w:pPr>
              <w:spacing w:line="360" w:lineRule="exact"/>
              <w:jc w:val="center"/>
              <w:rPr>
                <w:rFonts w:hint="eastAsia"/>
                <w:b/>
                <w:color w:val="auto"/>
                <w:sz w:val="22"/>
                <w:szCs w:val="22"/>
                <w:highlight w:val="none"/>
              </w:rPr>
            </w:pPr>
            <w:r>
              <w:rPr>
                <w:rFonts w:hint="eastAsia"/>
                <w:b/>
                <w:color w:val="auto"/>
                <w:sz w:val="22"/>
                <w:szCs w:val="22"/>
                <w:highlight w:val="none"/>
              </w:rPr>
              <w:t>1</w:t>
            </w:r>
          </w:p>
        </w:tc>
        <w:tc>
          <w:tcPr>
            <w:tcW w:w="4291" w:type="pct"/>
            <w:gridSpan w:val="2"/>
            <w:tcBorders>
              <w:top w:val="single" w:color="auto" w:sz="6" w:space="0"/>
            </w:tcBorders>
            <w:noWrap w:val="0"/>
            <w:vAlign w:val="center"/>
          </w:tcPr>
          <w:p w14:paraId="58E1D24A">
            <w:pPr>
              <w:spacing w:line="360" w:lineRule="exact"/>
              <w:rPr>
                <w:rFonts w:hint="eastAsia"/>
                <w:b/>
                <w:color w:val="auto"/>
                <w:sz w:val="22"/>
                <w:szCs w:val="22"/>
                <w:highlight w:val="none"/>
              </w:rPr>
            </w:pPr>
            <w:r>
              <w:rPr>
                <w:rFonts w:hint="eastAsia"/>
                <w:b/>
                <w:color w:val="auto"/>
                <w:sz w:val="22"/>
                <w:szCs w:val="22"/>
                <w:highlight w:val="none"/>
              </w:rPr>
              <w:t>《商务技术文件》封面</w:t>
            </w:r>
          </w:p>
        </w:tc>
        <w:tc>
          <w:tcPr>
            <w:tcW w:w="360" w:type="pct"/>
            <w:tcBorders>
              <w:top w:val="single" w:color="auto" w:sz="6" w:space="0"/>
            </w:tcBorders>
            <w:noWrap w:val="0"/>
            <w:vAlign w:val="center"/>
          </w:tcPr>
          <w:p w14:paraId="471CE8B2">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0EF95F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noWrap w:val="0"/>
            <w:vAlign w:val="center"/>
          </w:tcPr>
          <w:p w14:paraId="03C3BE9C">
            <w:pPr>
              <w:spacing w:line="360" w:lineRule="exact"/>
              <w:jc w:val="center"/>
              <w:rPr>
                <w:rFonts w:hint="eastAsia"/>
                <w:b/>
                <w:color w:val="auto"/>
                <w:sz w:val="22"/>
                <w:szCs w:val="22"/>
                <w:highlight w:val="none"/>
              </w:rPr>
            </w:pPr>
            <w:r>
              <w:rPr>
                <w:rFonts w:hint="eastAsia"/>
                <w:b/>
                <w:color w:val="auto"/>
                <w:sz w:val="22"/>
                <w:szCs w:val="22"/>
                <w:highlight w:val="none"/>
              </w:rPr>
              <w:t>2</w:t>
            </w:r>
          </w:p>
        </w:tc>
        <w:tc>
          <w:tcPr>
            <w:tcW w:w="4291" w:type="pct"/>
            <w:gridSpan w:val="2"/>
            <w:noWrap w:val="0"/>
            <w:vAlign w:val="center"/>
          </w:tcPr>
          <w:p w14:paraId="14717B54">
            <w:pPr>
              <w:spacing w:line="360" w:lineRule="exact"/>
              <w:rPr>
                <w:rFonts w:hint="eastAsia"/>
                <w:b/>
                <w:color w:val="auto"/>
                <w:sz w:val="22"/>
                <w:szCs w:val="22"/>
                <w:highlight w:val="none"/>
              </w:rPr>
            </w:pPr>
            <w:r>
              <w:rPr>
                <w:rFonts w:hint="eastAsia"/>
                <w:b/>
                <w:color w:val="auto"/>
                <w:sz w:val="22"/>
                <w:szCs w:val="22"/>
                <w:highlight w:val="none"/>
              </w:rPr>
              <w:t>《商务技术文件》目录（自拟）</w:t>
            </w:r>
          </w:p>
        </w:tc>
        <w:tc>
          <w:tcPr>
            <w:tcW w:w="360" w:type="pct"/>
            <w:noWrap w:val="0"/>
            <w:vAlign w:val="center"/>
          </w:tcPr>
          <w:p w14:paraId="5C774458">
            <w:pPr>
              <w:spacing w:line="360" w:lineRule="exact"/>
              <w:jc w:val="center"/>
              <w:rPr>
                <w:rFonts w:hint="eastAsia"/>
                <w:color w:val="auto"/>
                <w:sz w:val="22"/>
                <w:szCs w:val="22"/>
                <w:highlight w:val="none"/>
              </w:rPr>
            </w:pPr>
            <w:r>
              <w:rPr>
                <w:rFonts w:hint="eastAsia"/>
                <w:color w:val="auto"/>
                <w:sz w:val="22"/>
                <w:szCs w:val="22"/>
                <w:highlight w:val="none"/>
              </w:rPr>
              <w:t>无</w:t>
            </w:r>
          </w:p>
        </w:tc>
      </w:tr>
      <w:tr w14:paraId="2BCFF8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noWrap w:val="0"/>
            <w:vAlign w:val="center"/>
          </w:tcPr>
          <w:p w14:paraId="07D75D60">
            <w:pPr>
              <w:spacing w:line="360" w:lineRule="exact"/>
              <w:jc w:val="center"/>
              <w:rPr>
                <w:rFonts w:hint="eastAsia"/>
                <w:b/>
                <w:color w:val="auto"/>
                <w:sz w:val="22"/>
                <w:szCs w:val="22"/>
                <w:highlight w:val="none"/>
              </w:rPr>
            </w:pPr>
            <w:r>
              <w:rPr>
                <w:rFonts w:hint="eastAsia"/>
                <w:b/>
                <w:color w:val="auto"/>
                <w:sz w:val="22"/>
                <w:szCs w:val="22"/>
                <w:highlight w:val="none"/>
              </w:rPr>
              <w:t>3</w:t>
            </w:r>
          </w:p>
        </w:tc>
        <w:tc>
          <w:tcPr>
            <w:tcW w:w="4291" w:type="pct"/>
            <w:gridSpan w:val="2"/>
            <w:noWrap w:val="0"/>
            <w:vAlign w:val="center"/>
          </w:tcPr>
          <w:p w14:paraId="32C609EC">
            <w:pPr>
              <w:spacing w:line="360" w:lineRule="exact"/>
              <w:rPr>
                <w:rFonts w:hint="eastAsia"/>
                <w:b/>
                <w:color w:val="auto"/>
                <w:sz w:val="22"/>
                <w:szCs w:val="22"/>
                <w:highlight w:val="none"/>
              </w:rPr>
            </w:pPr>
            <w:r>
              <w:rPr>
                <w:rFonts w:hint="eastAsia"/>
                <w:b/>
                <w:color w:val="auto"/>
                <w:sz w:val="22"/>
                <w:szCs w:val="22"/>
                <w:highlight w:val="none"/>
              </w:rPr>
              <w:t>供应商自评分指引表（自拟）</w:t>
            </w:r>
          </w:p>
        </w:tc>
        <w:tc>
          <w:tcPr>
            <w:tcW w:w="360" w:type="pct"/>
            <w:noWrap w:val="0"/>
            <w:vAlign w:val="center"/>
          </w:tcPr>
          <w:p w14:paraId="505C1E74">
            <w:pPr>
              <w:spacing w:line="360" w:lineRule="exact"/>
              <w:jc w:val="center"/>
              <w:rPr>
                <w:rFonts w:hint="eastAsia"/>
                <w:color w:val="auto"/>
                <w:sz w:val="22"/>
                <w:szCs w:val="22"/>
                <w:highlight w:val="none"/>
              </w:rPr>
            </w:pPr>
            <w:r>
              <w:rPr>
                <w:rFonts w:hint="eastAsia"/>
                <w:color w:val="auto"/>
                <w:sz w:val="22"/>
                <w:szCs w:val="22"/>
                <w:highlight w:val="none"/>
              </w:rPr>
              <w:t>无</w:t>
            </w:r>
          </w:p>
        </w:tc>
      </w:tr>
      <w:tr w14:paraId="05E591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noWrap w:val="0"/>
            <w:vAlign w:val="center"/>
          </w:tcPr>
          <w:p w14:paraId="347A494D">
            <w:pPr>
              <w:spacing w:line="360" w:lineRule="exact"/>
              <w:jc w:val="center"/>
              <w:rPr>
                <w:rFonts w:hint="eastAsia"/>
                <w:b/>
                <w:color w:val="auto"/>
                <w:sz w:val="22"/>
                <w:szCs w:val="22"/>
                <w:highlight w:val="none"/>
              </w:rPr>
            </w:pPr>
            <w:r>
              <w:rPr>
                <w:rFonts w:hint="eastAsia"/>
                <w:b/>
                <w:color w:val="auto"/>
                <w:sz w:val="22"/>
                <w:szCs w:val="22"/>
                <w:highlight w:val="none"/>
              </w:rPr>
              <w:t>4</w:t>
            </w:r>
          </w:p>
        </w:tc>
        <w:tc>
          <w:tcPr>
            <w:tcW w:w="4291" w:type="pct"/>
            <w:gridSpan w:val="2"/>
            <w:noWrap w:val="0"/>
            <w:vAlign w:val="center"/>
          </w:tcPr>
          <w:p w14:paraId="5C5B7888">
            <w:pPr>
              <w:spacing w:line="360" w:lineRule="exact"/>
              <w:rPr>
                <w:rFonts w:hint="eastAsia"/>
                <w:b/>
                <w:color w:val="auto"/>
                <w:sz w:val="22"/>
                <w:szCs w:val="22"/>
                <w:highlight w:val="none"/>
              </w:rPr>
            </w:pPr>
            <w:r>
              <w:rPr>
                <w:rFonts w:hint="eastAsia"/>
                <w:color w:val="auto"/>
                <w:sz w:val="22"/>
                <w:szCs w:val="22"/>
                <w:highlight w:val="none"/>
              </w:rPr>
              <w:t>▲</w:t>
            </w:r>
            <w:r>
              <w:rPr>
                <w:rFonts w:hint="eastAsia"/>
                <w:b/>
                <w:color w:val="auto"/>
                <w:sz w:val="22"/>
                <w:szCs w:val="22"/>
                <w:highlight w:val="none"/>
                <w:u w:val="single"/>
              </w:rPr>
              <w:t>供应商参与政府采购活动投标资格声明</w:t>
            </w:r>
          </w:p>
        </w:tc>
        <w:tc>
          <w:tcPr>
            <w:tcW w:w="360" w:type="pct"/>
            <w:noWrap w:val="0"/>
            <w:vAlign w:val="center"/>
          </w:tcPr>
          <w:p w14:paraId="181517B6">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170EEA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noWrap w:val="0"/>
            <w:vAlign w:val="center"/>
          </w:tcPr>
          <w:p w14:paraId="2132C34C">
            <w:pPr>
              <w:spacing w:line="360" w:lineRule="exact"/>
              <w:jc w:val="center"/>
              <w:rPr>
                <w:rFonts w:hint="eastAsia"/>
                <w:b/>
                <w:color w:val="auto"/>
                <w:sz w:val="22"/>
                <w:szCs w:val="22"/>
                <w:highlight w:val="none"/>
              </w:rPr>
            </w:pPr>
            <w:r>
              <w:rPr>
                <w:rFonts w:hint="eastAsia"/>
                <w:b/>
                <w:color w:val="auto"/>
                <w:sz w:val="22"/>
                <w:szCs w:val="22"/>
                <w:highlight w:val="none"/>
              </w:rPr>
              <w:t>5</w:t>
            </w:r>
          </w:p>
        </w:tc>
        <w:tc>
          <w:tcPr>
            <w:tcW w:w="4291" w:type="pct"/>
            <w:gridSpan w:val="2"/>
            <w:noWrap w:val="0"/>
            <w:vAlign w:val="center"/>
          </w:tcPr>
          <w:p w14:paraId="019AF108">
            <w:pPr>
              <w:spacing w:line="360" w:lineRule="exact"/>
              <w:rPr>
                <w:rFonts w:hint="eastAsia"/>
                <w:b/>
                <w:color w:val="auto"/>
                <w:sz w:val="22"/>
                <w:szCs w:val="22"/>
                <w:highlight w:val="none"/>
              </w:rPr>
            </w:pPr>
            <w:r>
              <w:rPr>
                <w:rFonts w:hint="eastAsia"/>
                <w:color w:val="auto"/>
                <w:sz w:val="22"/>
                <w:szCs w:val="22"/>
                <w:highlight w:val="none"/>
              </w:rPr>
              <w:t>▲</w:t>
            </w:r>
            <w:r>
              <w:rPr>
                <w:rFonts w:hint="eastAsia"/>
                <w:b/>
                <w:color w:val="auto"/>
                <w:sz w:val="22"/>
                <w:szCs w:val="22"/>
                <w:highlight w:val="none"/>
                <w:u w:val="single"/>
              </w:rPr>
              <w:t>投标函</w:t>
            </w:r>
          </w:p>
        </w:tc>
        <w:tc>
          <w:tcPr>
            <w:tcW w:w="360" w:type="pct"/>
            <w:noWrap w:val="0"/>
            <w:vAlign w:val="center"/>
          </w:tcPr>
          <w:p w14:paraId="0F394DD8">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10717C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noWrap w:val="0"/>
            <w:vAlign w:val="center"/>
          </w:tcPr>
          <w:p w14:paraId="6F175559">
            <w:pPr>
              <w:spacing w:line="360" w:lineRule="exact"/>
              <w:jc w:val="center"/>
              <w:rPr>
                <w:rFonts w:hint="eastAsia"/>
                <w:b/>
                <w:color w:val="auto"/>
                <w:sz w:val="22"/>
                <w:szCs w:val="22"/>
                <w:highlight w:val="none"/>
              </w:rPr>
            </w:pPr>
            <w:r>
              <w:rPr>
                <w:rFonts w:hint="eastAsia"/>
                <w:b/>
                <w:color w:val="auto"/>
                <w:sz w:val="22"/>
                <w:szCs w:val="22"/>
                <w:highlight w:val="none"/>
              </w:rPr>
              <w:t>6</w:t>
            </w:r>
          </w:p>
        </w:tc>
        <w:tc>
          <w:tcPr>
            <w:tcW w:w="4291" w:type="pct"/>
            <w:gridSpan w:val="2"/>
            <w:noWrap w:val="0"/>
            <w:vAlign w:val="center"/>
          </w:tcPr>
          <w:p w14:paraId="0EFEDFB5">
            <w:pPr>
              <w:spacing w:line="360" w:lineRule="exact"/>
              <w:rPr>
                <w:rFonts w:hint="eastAsia"/>
                <w:b/>
                <w:color w:val="auto"/>
                <w:sz w:val="22"/>
                <w:szCs w:val="22"/>
                <w:highlight w:val="none"/>
              </w:rPr>
            </w:pPr>
            <w:r>
              <w:rPr>
                <w:rFonts w:hint="eastAsia"/>
                <w:color w:val="auto"/>
                <w:sz w:val="22"/>
                <w:szCs w:val="22"/>
                <w:highlight w:val="none"/>
              </w:rPr>
              <w:t>供应商情况声明</w:t>
            </w:r>
          </w:p>
        </w:tc>
        <w:tc>
          <w:tcPr>
            <w:tcW w:w="360" w:type="pct"/>
            <w:noWrap w:val="0"/>
            <w:vAlign w:val="center"/>
          </w:tcPr>
          <w:p w14:paraId="6D2ED492">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165B35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bottom w:val="single" w:color="auto" w:sz="6" w:space="0"/>
            </w:tcBorders>
            <w:noWrap w:val="0"/>
            <w:vAlign w:val="center"/>
          </w:tcPr>
          <w:p w14:paraId="14B71562">
            <w:pPr>
              <w:spacing w:line="360" w:lineRule="exact"/>
              <w:jc w:val="center"/>
              <w:rPr>
                <w:rFonts w:hint="eastAsia"/>
                <w:b/>
                <w:color w:val="auto"/>
                <w:sz w:val="22"/>
                <w:szCs w:val="22"/>
                <w:highlight w:val="none"/>
              </w:rPr>
            </w:pPr>
            <w:r>
              <w:rPr>
                <w:rFonts w:hint="eastAsia"/>
                <w:b/>
                <w:color w:val="auto"/>
                <w:sz w:val="22"/>
                <w:szCs w:val="22"/>
                <w:highlight w:val="none"/>
              </w:rPr>
              <w:t>7</w:t>
            </w:r>
          </w:p>
        </w:tc>
        <w:tc>
          <w:tcPr>
            <w:tcW w:w="4291" w:type="pct"/>
            <w:gridSpan w:val="2"/>
            <w:tcBorders>
              <w:bottom w:val="single" w:color="auto" w:sz="6" w:space="0"/>
            </w:tcBorders>
            <w:noWrap w:val="0"/>
            <w:vAlign w:val="center"/>
          </w:tcPr>
          <w:p w14:paraId="562D6781">
            <w:pPr>
              <w:spacing w:line="360" w:lineRule="exact"/>
              <w:rPr>
                <w:rFonts w:hint="eastAsia"/>
                <w:color w:val="auto"/>
                <w:sz w:val="22"/>
                <w:szCs w:val="22"/>
                <w:highlight w:val="none"/>
              </w:rPr>
            </w:pPr>
            <w:r>
              <w:rPr>
                <w:rFonts w:hint="eastAsia"/>
                <w:color w:val="auto"/>
                <w:sz w:val="22"/>
                <w:szCs w:val="22"/>
                <w:highlight w:val="none"/>
              </w:rPr>
              <w:t>商务偏离表、技术偏离表</w:t>
            </w:r>
            <w:r>
              <w:rPr>
                <w:rFonts w:hint="eastAsia"/>
                <w:b/>
                <w:color w:val="auto"/>
                <w:sz w:val="22"/>
                <w:szCs w:val="22"/>
                <w:highlight w:val="none"/>
              </w:rPr>
              <w:t>(格式见附件也可自拟）</w:t>
            </w:r>
          </w:p>
        </w:tc>
        <w:tc>
          <w:tcPr>
            <w:tcW w:w="360" w:type="pct"/>
            <w:tcBorders>
              <w:bottom w:val="single" w:color="auto" w:sz="6" w:space="0"/>
            </w:tcBorders>
            <w:noWrap w:val="0"/>
            <w:vAlign w:val="center"/>
          </w:tcPr>
          <w:p w14:paraId="43DFE245">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4DB634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bottom w:val="single" w:color="auto" w:sz="6" w:space="0"/>
            </w:tcBorders>
            <w:noWrap w:val="0"/>
            <w:vAlign w:val="center"/>
          </w:tcPr>
          <w:p w14:paraId="70E708FB">
            <w:pPr>
              <w:spacing w:line="360" w:lineRule="exact"/>
              <w:jc w:val="center"/>
              <w:rPr>
                <w:rFonts w:hint="eastAsia" w:eastAsia="宋体"/>
                <w:b/>
                <w:color w:val="auto"/>
                <w:sz w:val="22"/>
                <w:szCs w:val="22"/>
                <w:highlight w:val="none"/>
                <w:lang w:val="en-US" w:eastAsia="zh-CN"/>
              </w:rPr>
            </w:pPr>
            <w:r>
              <w:rPr>
                <w:rFonts w:hint="eastAsia"/>
                <w:b/>
                <w:color w:val="auto"/>
                <w:sz w:val="22"/>
                <w:szCs w:val="22"/>
                <w:highlight w:val="none"/>
                <w:lang w:val="en-US" w:eastAsia="zh-CN"/>
              </w:rPr>
              <w:t>8</w:t>
            </w:r>
          </w:p>
        </w:tc>
        <w:tc>
          <w:tcPr>
            <w:tcW w:w="4291" w:type="pct"/>
            <w:gridSpan w:val="2"/>
            <w:tcBorders>
              <w:bottom w:val="single" w:color="auto" w:sz="6" w:space="0"/>
            </w:tcBorders>
            <w:noWrap w:val="0"/>
            <w:vAlign w:val="center"/>
          </w:tcPr>
          <w:p w14:paraId="7915BB4C">
            <w:pPr>
              <w:spacing w:line="360" w:lineRule="exact"/>
              <w:rPr>
                <w:rFonts w:hint="eastAsia"/>
                <w:color w:val="auto"/>
                <w:sz w:val="22"/>
                <w:szCs w:val="22"/>
                <w:highlight w:val="none"/>
              </w:rPr>
            </w:pPr>
            <w:r>
              <w:rPr>
                <w:rFonts w:hint="eastAsia" w:ascii="宋体" w:hAnsi="宋体" w:eastAsia="宋体" w:cs="宋体"/>
                <w:color w:val="auto"/>
                <w:sz w:val="22"/>
                <w:szCs w:val="22"/>
                <w:highlight w:val="none"/>
              </w:rPr>
              <w:t>投标产品的配置及主要技术参数</w:t>
            </w:r>
            <w:r>
              <w:rPr>
                <w:rFonts w:hint="eastAsia"/>
                <w:color w:val="auto"/>
                <w:spacing w:val="20"/>
                <w:sz w:val="22"/>
                <w:szCs w:val="22"/>
                <w:highlight w:val="none"/>
              </w:rPr>
              <w:t>表</w:t>
            </w:r>
            <w:r>
              <w:rPr>
                <w:rFonts w:hint="eastAsia"/>
                <w:color w:val="auto"/>
                <w:sz w:val="22"/>
                <w:szCs w:val="22"/>
                <w:highlight w:val="none"/>
              </w:rPr>
              <w:t>；投标产品的主要技术、性能、特点和质量水平的详细描述及产品样本图册</w:t>
            </w:r>
            <w:r>
              <w:rPr>
                <w:rFonts w:hint="eastAsia"/>
                <w:color w:val="auto"/>
                <w:sz w:val="22"/>
                <w:szCs w:val="22"/>
                <w:highlight w:val="none"/>
                <w:u w:val="thick"/>
              </w:rPr>
              <w:t>（包括配置、部件来源说明等）</w:t>
            </w:r>
          </w:p>
        </w:tc>
        <w:tc>
          <w:tcPr>
            <w:tcW w:w="360" w:type="pct"/>
            <w:tcBorders>
              <w:bottom w:val="single" w:color="auto" w:sz="6" w:space="0"/>
            </w:tcBorders>
            <w:noWrap w:val="0"/>
            <w:vAlign w:val="center"/>
          </w:tcPr>
          <w:p w14:paraId="34E878AA">
            <w:pPr>
              <w:spacing w:line="360" w:lineRule="exact"/>
              <w:jc w:val="center"/>
              <w:rPr>
                <w:rFonts w:hint="eastAsia"/>
                <w:color w:val="auto"/>
                <w:sz w:val="22"/>
                <w:szCs w:val="22"/>
                <w:highlight w:val="none"/>
              </w:rPr>
            </w:pPr>
          </w:p>
        </w:tc>
      </w:tr>
      <w:tr w14:paraId="737478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tcBorders>
            <w:noWrap w:val="0"/>
            <w:vAlign w:val="center"/>
          </w:tcPr>
          <w:p w14:paraId="5628B6D5">
            <w:pPr>
              <w:spacing w:line="360" w:lineRule="exact"/>
              <w:jc w:val="center"/>
              <w:rPr>
                <w:rFonts w:hint="eastAsia" w:eastAsia="宋体"/>
                <w:b/>
                <w:color w:val="auto"/>
                <w:sz w:val="22"/>
                <w:szCs w:val="22"/>
                <w:highlight w:val="none"/>
                <w:lang w:eastAsia="zh-CN"/>
              </w:rPr>
            </w:pPr>
            <w:r>
              <w:rPr>
                <w:rFonts w:hint="eastAsia"/>
                <w:b/>
                <w:color w:val="auto"/>
                <w:sz w:val="22"/>
                <w:szCs w:val="22"/>
                <w:highlight w:val="none"/>
                <w:lang w:val="en-US" w:eastAsia="zh-CN"/>
              </w:rPr>
              <w:t>9</w:t>
            </w:r>
          </w:p>
        </w:tc>
        <w:tc>
          <w:tcPr>
            <w:tcW w:w="4291" w:type="pct"/>
            <w:gridSpan w:val="2"/>
            <w:tcBorders>
              <w:top w:val="single" w:color="auto" w:sz="6" w:space="0"/>
            </w:tcBorders>
            <w:noWrap w:val="0"/>
            <w:vAlign w:val="center"/>
          </w:tcPr>
          <w:p w14:paraId="2DFEC7B8">
            <w:pPr>
              <w:spacing w:line="360" w:lineRule="exact"/>
              <w:rPr>
                <w:rFonts w:hint="eastAsia"/>
                <w:color w:val="auto"/>
                <w:sz w:val="22"/>
                <w:szCs w:val="22"/>
                <w:highlight w:val="none"/>
              </w:rPr>
            </w:pPr>
            <w:r>
              <w:rPr>
                <w:rFonts w:hint="eastAsia"/>
                <w:color w:val="auto"/>
                <w:sz w:val="22"/>
                <w:szCs w:val="22"/>
                <w:highlight w:val="none"/>
              </w:rPr>
              <w:t>202</w:t>
            </w:r>
            <w:r>
              <w:rPr>
                <w:rFonts w:hint="eastAsia"/>
                <w:color w:val="auto"/>
                <w:sz w:val="22"/>
                <w:szCs w:val="22"/>
                <w:highlight w:val="none"/>
                <w:lang w:val="en-US" w:eastAsia="zh-CN"/>
              </w:rPr>
              <w:t>2</w:t>
            </w:r>
            <w:r>
              <w:rPr>
                <w:rFonts w:hint="eastAsia"/>
                <w:color w:val="auto"/>
                <w:sz w:val="22"/>
                <w:szCs w:val="22"/>
                <w:highlight w:val="none"/>
              </w:rPr>
              <w:t>年1月1日以来的同类项目业绩证明（按评标细则要求提供）</w:t>
            </w:r>
          </w:p>
        </w:tc>
        <w:tc>
          <w:tcPr>
            <w:tcW w:w="360" w:type="pct"/>
            <w:tcBorders>
              <w:top w:val="single" w:color="auto" w:sz="6" w:space="0"/>
            </w:tcBorders>
            <w:noWrap w:val="0"/>
            <w:vAlign w:val="center"/>
          </w:tcPr>
          <w:p w14:paraId="6C6474B5">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3F2760A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tcBorders>
            <w:noWrap w:val="0"/>
            <w:vAlign w:val="center"/>
          </w:tcPr>
          <w:p w14:paraId="357E7891">
            <w:pPr>
              <w:spacing w:line="360" w:lineRule="exact"/>
              <w:jc w:val="center"/>
              <w:rPr>
                <w:rFonts w:hint="default" w:eastAsia="宋体"/>
                <w:b/>
                <w:color w:val="auto"/>
                <w:sz w:val="22"/>
                <w:szCs w:val="22"/>
                <w:highlight w:val="none"/>
                <w:lang w:val="en-US" w:eastAsia="zh-CN"/>
              </w:rPr>
            </w:pPr>
            <w:r>
              <w:rPr>
                <w:rFonts w:hint="eastAsia"/>
                <w:b/>
                <w:color w:val="auto"/>
                <w:sz w:val="22"/>
                <w:szCs w:val="22"/>
                <w:highlight w:val="none"/>
                <w:lang w:val="en-US" w:eastAsia="zh-CN"/>
              </w:rPr>
              <w:t>10</w:t>
            </w:r>
          </w:p>
        </w:tc>
        <w:tc>
          <w:tcPr>
            <w:tcW w:w="4291" w:type="pct"/>
            <w:gridSpan w:val="2"/>
            <w:tcBorders>
              <w:top w:val="single" w:color="auto" w:sz="6" w:space="0"/>
            </w:tcBorders>
            <w:noWrap w:val="0"/>
            <w:vAlign w:val="center"/>
          </w:tcPr>
          <w:p w14:paraId="1ECADC6A">
            <w:pPr>
              <w:spacing w:line="360" w:lineRule="exact"/>
              <w:rPr>
                <w:rFonts w:hint="eastAsia"/>
                <w:color w:val="auto"/>
                <w:sz w:val="22"/>
                <w:szCs w:val="22"/>
                <w:highlight w:val="none"/>
              </w:rPr>
            </w:pPr>
            <w:r>
              <w:rPr>
                <w:rFonts w:hint="eastAsia" w:ascii="宋体" w:hAnsi="宋体" w:eastAsia="宋体" w:cs="宋体"/>
                <w:color w:val="auto"/>
                <w:sz w:val="22"/>
                <w:szCs w:val="22"/>
                <w:highlight w:val="none"/>
              </w:rPr>
              <w:t>项目人员配置情况表</w:t>
            </w:r>
          </w:p>
        </w:tc>
        <w:tc>
          <w:tcPr>
            <w:tcW w:w="360" w:type="pct"/>
            <w:tcBorders>
              <w:top w:val="single" w:color="auto" w:sz="6" w:space="0"/>
            </w:tcBorders>
            <w:noWrap w:val="0"/>
            <w:vAlign w:val="center"/>
          </w:tcPr>
          <w:p w14:paraId="7D3A7978">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7285AE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tcBorders>
            <w:noWrap w:val="0"/>
            <w:vAlign w:val="center"/>
          </w:tcPr>
          <w:p w14:paraId="4BB4A3AE">
            <w:pPr>
              <w:spacing w:line="360" w:lineRule="exact"/>
              <w:jc w:val="center"/>
              <w:rPr>
                <w:rFonts w:hint="default" w:eastAsia="宋体"/>
                <w:b/>
                <w:color w:val="auto"/>
                <w:sz w:val="22"/>
                <w:szCs w:val="22"/>
                <w:highlight w:val="none"/>
                <w:lang w:val="en-US" w:eastAsia="zh-CN"/>
              </w:rPr>
            </w:pPr>
            <w:r>
              <w:rPr>
                <w:rFonts w:hint="eastAsia"/>
                <w:b/>
                <w:color w:val="auto"/>
                <w:sz w:val="22"/>
                <w:szCs w:val="22"/>
                <w:highlight w:val="none"/>
                <w:lang w:val="en-US" w:eastAsia="zh-CN"/>
              </w:rPr>
              <w:t>11</w:t>
            </w:r>
          </w:p>
        </w:tc>
        <w:tc>
          <w:tcPr>
            <w:tcW w:w="4291" w:type="pct"/>
            <w:gridSpan w:val="2"/>
            <w:tcBorders>
              <w:top w:val="single" w:color="auto" w:sz="6" w:space="0"/>
            </w:tcBorders>
            <w:noWrap w:val="0"/>
            <w:vAlign w:val="center"/>
          </w:tcPr>
          <w:p w14:paraId="423CAE20">
            <w:pPr>
              <w:spacing w:line="360" w:lineRule="exact"/>
              <w:rPr>
                <w:rFonts w:hint="eastAsia"/>
                <w:color w:val="auto"/>
                <w:sz w:val="22"/>
                <w:szCs w:val="22"/>
                <w:highlight w:val="none"/>
              </w:rPr>
            </w:pPr>
            <w:r>
              <w:rPr>
                <w:rFonts w:hint="eastAsia"/>
                <w:color w:val="auto"/>
                <w:sz w:val="22"/>
                <w:szCs w:val="22"/>
                <w:highlight w:val="none"/>
              </w:rPr>
              <w:t>主要机具、设备明细表（供应商投入）</w:t>
            </w:r>
          </w:p>
        </w:tc>
        <w:tc>
          <w:tcPr>
            <w:tcW w:w="360" w:type="pct"/>
            <w:tcBorders>
              <w:top w:val="single" w:color="auto" w:sz="6" w:space="0"/>
            </w:tcBorders>
            <w:noWrap w:val="0"/>
            <w:vAlign w:val="center"/>
          </w:tcPr>
          <w:p w14:paraId="7B5C3208">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2D6F14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tcBorders>
            <w:noWrap w:val="0"/>
            <w:vAlign w:val="center"/>
          </w:tcPr>
          <w:p w14:paraId="071F7985">
            <w:pPr>
              <w:spacing w:line="360" w:lineRule="exact"/>
              <w:jc w:val="center"/>
              <w:rPr>
                <w:rFonts w:hint="default" w:eastAsia="宋体"/>
                <w:b/>
                <w:color w:val="auto"/>
                <w:sz w:val="22"/>
                <w:szCs w:val="22"/>
                <w:highlight w:val="none"/>
                <w:lang w:val="en-US" w:eastAsia="zh-CN"/>
              </w:rPr>
            </w:pPr>
            <w:r>
              <w:rPr>
                <w:rFonts w:hint="eastAsia"/>
                <w:b/>
                <w:color w:val="auto"/>
                <w:sz w:val="22"/>
                <w:szCs w:val="22"/>
                <w:highlight w:val="none"/>
                <w:lang w:val="en-US" w:eastAsia="zh-CN"/>
              </w:rPr>
              <w:t>12</w:t>
            </w:r>
          </w:p>
        </w:tc>
        <w:tc>
          <w:tcPr>
            <w:tcW w:w="4291" w:type="pct"/>
            <w:gridSpan w:val="2"/>
            <w:tcBorders>
              <w:top w:val="single" w:color="auto" w:sz="6" w:space="0"/>
            </w:tcBorders>
            <w:noWrap w:val="0"/>
            <w:vAlign w:val="center"/>
          </w:tcPr>
          <w:p w14:paraId="108C5A34">
            <w:pPr>
              <w:spacing w:line="360" w:lineRule="exact"/>
              <w:rPr>
                <w:rFonts w:hint="eastAsia"/>
                <w:color w:val="auto"/>
                <w:sz w:val="22"/>
                <w:szCs w:val="22"/>
                <w:highlight w:val="none"/>
                <w:u w:val="none"/>
              </w:rPr>
            </w:pPr>
            <w:r>
              <w:rPr>
                <w:rFonts w:hint="eastAsia"/>
                <w:b/>
                <w:color w:val="auto"/>
                <w:sz w:val="22"/>
                <w:szCs w:val="22"/>
                <w:highlight w:val="none"/>
                <w:u w:val="none"/>
              </w:rPr>
              <w:t>针对本次项目采购需求提出的详细技术方案（包括但不限于商务技术分评分细则要求的各个方案）</w:t>
            </w:r>
          </w:p>
        </w:tc>
        <w:tc>
          <w:tcPr>
            <w:tcW w:w="360" w:type="pct"/>
            <w:tcBorders>
              <w:top w:val="single" w:color="auto" w:sz="6" w:space="0"/>
            </w:tcBorders>
            <w:noWrap w:val="0"/>
            <w:vAlign w:val="center"/>
          </w:tcPr>
          <w:p w14:paraId="43B4C873">
            <w:pPr>
              <w:spacing w:line="360" w:lineRule="exact"/>
              <w:jc w:val="center"/>
              <w:rPr>
                <w:rFonts w:hint="eastAsia"/>
                <w:color w:val="auto"/>
                <w:sz w:val="22"/>
                <w:szCs w:val="22"/>
                <w:highlight w:val="none"/>
              </w:rPr>
            </w:pPr>
            <w:r>
              <w:rPr>
                <w:rFonts w:hint="eastAsia"/>
                <w:color w:val="auto"/>
                <w:sz w:val="22"/>
                <w:szCs w:val="22"/>
                <w:highlight w:val="none"/>
              </w:rPr>
              <w:t>无</w:t>
            </w:r>
          </w:p>
        </w:tc>
      </w:tr>
      <w:tr w14:paraId="64A2261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tcBorders>
            <w:noWrap w:val="0"/>
            <w:vAlign w:val="center"/>
          </w:tcPr>
          <w:p w14:paraId="34050828">
            <w:pPr>
              <w:spacing w:line="360" w:lineRule="exact"/>
              <w:jc w:val="center"/>
              <w:rPr>
                <w:rFonts w:hint="default" w:eastAsia="宋体"/>
                <w:b/>
                <w:color w:val="auto"/>
                <w:sz w:val="22"/>
                <w:szCs w:val="22"/>
                <w:highlight w:val="none"/>
                <w:lang w:val="en-US" w:eastAsia="zh-CN"/>
              </w:rPr>
            </w:pPr>
            <w:r>
              <w:rPr>
                <w:rFonts w:hint="eastAsia"/>
                <w:b/>
                <w:color w:val="auto"/>
                <w:sz w:val="22"/>
                <w:szCs w:val="22"/>
                <w:highlight w:val="none"/>
                <w:lang w:val="en-US" w:eastAsia="zh-CN"/>
              </w:rPr>
              <w:t>13</w:t>
            </w:r>
          </w:p>
        </w:tc>
        <w:tc>
          <w:tcPr>
            <w:tcW w:w="4291" w:type="pct"/>
            <w:gridSpan w:val="2"/>
            <w:tcBorders>
              <w:top w:val="single" w:color="auto" w:sz="6" w:space="0"/>
            </w:tcBorders>
            <w:noWrap w:val="0"/>
            <w:vAlign w:val="center"/>
          </w:tcPr>
          <w:p w14:paraId="6CCFAFE5">
            <w:pPr>
              <w:spacing w:line="360" w:lineRule="exact"/>
              <w:rPr>
                <w:rFonts w:hint="eastAsia"/>
                <w:b/>
                <w:color w:val="auto"/>
                <w:sz w:val="22"/>
                <w:szCs w:val="22"/>
                <w:highlight w:val="none"/>
                <w:u w:val="none"/>
              </w:rPr>
            </w:pPr>
            <w:r>
              <w:rPr>
                <w:rFonts w:hint="eastAsia"/>
                <w:b/>
                <w:color w:val="auto"/>
                <w:sz w:val="22"/>
                <w:szCs w:val="22"/>
                <w:highlight w:val="none"/>
                <w:u w:val="none"/>
              </w:rPr>
              <w:t xml:space="preserve"> 供应商（制造商）质量体系认证证书、供应商相关资质、资信或信用证书（如有则提供，复印件加盖有效公章）；相关投标产品的工业品生产许可证、3C认证、检测报告等技术要求中要求的各种资格证书；（如有则提供，复印件加盖投标供应商有效公章）</w:t>
            </w:r>
          </w:p>
        </w:tc>
        <w:tc>
          <w:tcPr>
            <w:tcW w:w="360" w:type="pct"/>
            <w:tcBorders>
              <w:top w:val="single" w:color="auto" w:sz="6" w:space="0"/>
            </w:tcBorders>
            <w:noWrap w:val="0"/>
            <w:vAlign w:val="center"/>
          </w:tcPr>
          <w:p w14:paraId="56E8ADB0">
            <w:pPr>
              <w:spacing w:line="360" w:lineRule="exact"/>
              <w:jc w:val="center"/>
              <w:rPr>
                <w:rFonts w:hint="eastAsia"/>
                <w:color w:val="auto"/>
                <w:sz w:val="22"/>
                <w:szCs w:val="22"/>
                <w:highlight w:val="none"/>
              </w:rPr>
            </w:pPr>
            <w:r>
              <w:rPr>
                <w:rFonts w:hint="eastAsia"/>
                <w:color w:val="auto"/>
                <w:sz w:val="22"/>
                <w:szCs w:val="22"/>
                <w:highlight w:val="none"/>
              </w:rPr>
              <w:t>无</w:t>
            </w:r>
          </w:p>
        </w:tc>
      </w:tr>
      <w:tr w14:paraId="2A3A06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tcBorders>
            <w:noWrap w:val="0"/>
            <w:vAlign w:val="center"/>
          </w:tcPr>
          <w:p w14:paraId="71341AEC">
            <w:pPr>
              <w:spacing w:line="360" w:lineRule="exact"/>
              <w:jc w:val="center"/>
              <w:rPr>
                <w:rFonts w:hint="eastAsia" w:eastAsia="宋体"/>
                <w:b/>
                <w:color w:val="auto"/>
                <w:sz w:val="22"/>
                <w:szCs w:val="22"/>
                <w:highlight w:val="none"/>
                <w:lang w:eastAsia="zh-CN"/>
              </w:rPr>
            </w:pPr>
            <w:r>
              <w:rPr>
                <w:rFonts w:hint="eastAsia"/>
                <w:b/>
                <w:color w:val="auto"/>
                <w:sz w:val="22"/>
                <w:szCs w:val="22"/>
                <w:highlight w:val="none"/>
              </w:rPr>
              <w:t>1</w:t>
            </w:r>
            <w:r>
              <w:rPr>
                <w:rFonts w:hint="eastAsia"/>
                <w:b/>
                <w:color w:val="auto"/>
                <w:sz w:val="22"/>
                <w:szCs w:val="22"/>
                <w:highlight w:val="none"/>
                <w:lang w:val="en-US" w:eastAsia="zh-CN"/>
              </w:rPr>
              <w:t>4</w:t>
            </w:r>
          </w:p>
        </w:tc>
        <w:tc>
          <w:tcPr>
            <w:tcW w:w="4291" w:type="pct"/>
            <w:gridSpan w:val="2"/>
            <w:tcBorders>
              <w:top w:val="single" w:color="auto" w:sz="6" w:space="0"/>
            </w:tcBorders>
            <w:noWrap w:val="0"/>
            <w:vAlign w:val="center"/>
          </w:tcPr>
          <w:p w14:paraId="4AED3352">
            <w:pPr>
              <w:spacing w:line="360" w:lineRule="exact"/>
              <w:rPr>
                <w:rFonts w:hint="eastAsia"/>
                <w:color w:val="auto"/>
                <w:sz w:val="22"/>
                <w:szCs w:val="22"/>
                <w:highlight w:val="none"/>
              </w:rPr>
            </w:pPr>
            <w:r>
              <w:rPr>
                <w:rFonts w:hint="eastAsia"/>
                <w:color w:val="auto"/>
                <w:sz w:val="22"/>
                <w:szCs w:val="22"/>
                <w:highlight w:val="none"/>
              </w:rPr>
              <w:t>供应商认为有必要提供的其他材料或说明（如有）</w:t>
            </w:r>
          </w:p>
        </w:tc>
        <w:tc>
          <w:tcPr>
            <w:tcW w:w="360" w:type="pct"/>
            <w:tcBorders>
              <w:top w:val="single" w:color="auto" w:sz="6" w:space="0"/>
            </w:tcBorders>
            <w:noWrap w:val="0"/>
            <w:vAlign w:val="center"/>
          </w:tcPr>
          <w:p w14:paraId="253BCE2E">
            <w:pPr>
              <w:spacing w:line="360" w:lineRule="exact"/>
              <w:jc w:val="center"/>
              <w:rPr>
                <w:rFonts w:hint="eastAsia"/>
                <w:color w:val="auto"/>
                <w:sz w:val="22"/>
                <w:szCs w:val="22"/>
                <w:highlight w:val="none"/>
              </w:rPr>
            </w:pPr>
            <w:r>
              <w:rPr>
                <w:rFonts w:hint="eastAsia"/>
                <w:color w:val="auto"/>
                <w:sz w:val="22"/>
                <w:szCs w:val="22"/>
                <w:highlight w:val="none"/>
              </w:rPr>
              <w:t>无</w:t>
            </w:r>
          </w:p>
        </w:tc>
      </w:tr>
      <w:tr w14:paraId="592684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347" w:type="pct"/>
            <w:tcBorders>
              <w:top w:val="single" w:color="auto" w:sz="6" w:space="0"/>
            </w:tcBorders>
            <w:noWrap w:val="0"/>
            <w:vAlign w:val="center"/>
          </w:tcPr>
          <w:p w14:paraId="4B7358EA">
            <w:pPr>
              <w:spacing w:line="360" w:lineRule="exact"/>
              <w:jc w:val="center"/>
              <w:rPr>
                <w:rFonts w:hint="eastAsia" w:eastAsia="宋体"/>
                <w:b/>
                <w:color w:val="auto"/>
                <w:sz w:val="22"/>
                <w:szCs w:val="22"/>
                <w:highlight w:val="none"/>
                <w:lang w:eastAsia="zh-CN"/>
              </w:rPr>
            </w:pPr>
            <w:r>
              <w:rPr>
                <w:rFonts w:hint="eastAsia"/>
                <w:b/>
                <w:color w:val="auto"/>
                <w:sz w:val="22"/>
                <w:szCs w:val="22"/>
                <w:highlight w:val="none"/>
              </w:rPr>
              <w:t>1</w:t>
            </w:r>
            <w:r>
              <w:rPr>
                <w:rFonts w:hint="eastAsia"/>
                <w:b/>
                <w:color w:val="auto"/>
                <w:sz w:val="22"/>
                <w:szCs w:val="22"/>
                <w:highlight w:val="none"/>
                <w:lang w:val="en-US" w:eastAsia="zh-CN"/>
              </w:rPr>
              <w:t>5</w:t>
            </w:r>
          </w:p>
        </w:tc>
        <w:tc>
          <w:tcPr>
            <w:tcW w:w="4291" w:type="pct"/>
            <w:gridSpan w:val="2"/>
            <w:tcBorders>
              <w:top w:val="single" w:color="auto" w:sz="6" w:space="0"/>
            </w:tcBorders>
            <w:noWrap w:val="0"/>
            <w:vAlign w:val="center"/>
          </w:tcPr>
          <w:p w14:paraId="21DF9DEC">
            <w:pPr>
              <w:spacing w:line="360" w:lineRule="exact"/>
              <w:rPr>
                <w:rFonts w:hint="eastAsia"/>
                <w:color w:val="auto"/>
                <w:sz w:val="22"/>
                <w:szCs w:val="22"/>
                <w:highlight w:val="none"/>
              </w:rPr>
            </w:pPr>
            <w:r>
              <w:rPr>
                <w:rFonts w:hint="eastAsia"/>
                <w:color w:val="auto"/>
                <w:sz w:val="22"/>
                <w:szCs w:val="22"/>
                <w:highlight w:val="none"/>
              </w:rPr>
              <w:t>质量服务承诺书、诚信投标承诺书；</w:t>
            </w:r>
          </w:p>
        </w:tc>
        <w:tc>
          <w:tcPr>
            <w:tcW w:w="360" w:type="pct"/>
            <w:tcBorders>
              <w:top w:val="single" w:color="auto" w:sz="6" w:space="0"/>
            </w:tcBorders>
            <w:noWrap w:val="0"/>
            <w:vAlign w:val="center"/>
          </w:tcPr>
          <w:p w14:paraId="7EDB7E5B">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1A4401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jc w:val="center"/>
        </w:trPr>
        <w:tc>
          <w:tcPr>
            <w:tcW w:w="5000" w:type="pct"/>
            <w:gridSpan w:val="4"/>
            <w:tcBorders>
              <w:top w:val="single" w:color="auto" w:sz="6" w:space="0"/>
              <w:bottom w:val="single" w:color="auto" w:sz="6" w:space="0"/>
            </w:tcBorders>
            <w:noWrap w:val="0"/>
            <w:vAlign w:val="center"/>
          </w:tcPr>
          <w:p w14:paraId="080690E4">
            <w:pPr>
              <w:spacing w:line="360" w:lineRule="exact"/>
              <w:rPr>
                <w:rFonts w:hint="eastAsia"/>
                <w:b/>
                <w:color w:val="auto"/>
                <w:sz w:val="22"/>
                <w:szCs w:val="22"/>
                <w:highlight w:val="none"/>
              </w:rPr>
            </w:pPr>
            <w:r>
              <w:rPr>
                <w:rFonts w:hint="eastAsia"/>
                <w:b/>
                <w:color w:val="auto"/>
                <w:sz w:val="22"/>
                <w:szCs w:val="22"/>
                <w:highlight w:val="none"/>
              </w:rPr>
              <w:t>三、《报价文件》组成内容【依序编制】</w:t>
            </w:r>
          </w:p>
        </w:tc>
      </w:tr>
      <w:tr w14:paraId="4D9340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bottom w:val="single" w:color="auto" w:sz="6" w:space="0"/>
            </w:tcBorders>
            <w:noWrap w:val="0"/>
            <w:vAlign w:val="center"/>
          </w:tcPr>
          <w:p w14:paraId="284A5E84">
            <w:pPr>
              <w:spacing w:line="360" w:lineRule="exact"/>
              <w:jc w:val="center"/>
              <w:rPr>
                <w:rFonts w:hint="eastAsia"/>
                <w:b/>
                <w:color w:val="auto"/>
                <w:sz w:val="22"/>
                <w:szCs w:val="22"/>
                <w:highlight w:val="none"/>
              </w:rPr>
            </w:pPr>
            <w:r>
              <w:rPr>
                <w:rFonts w:hint="eastAsia"/>
                <w:b/>
                <w:color w:val="auto"/>
                <w:sz w:val="22"/>
                <w:szCs w:val="22"/>
                <w:highlight w:val="none"/>
              </w:rPr>
              <w:t>1</w:t>
            </w:r>
          </w:p>
        </w:tc>
        <w:tc>
          <w:tcPr>
            <w:tcW w:w="4291" w:type="pct"/>
            <w:gridSpan w:val="2"/>
            <w:tcBorders>
              <w:top w:val="single" w:color="auto" w:sz="6" w:space="0"/>
              <w:bottom w:val="single" w:color="auto" w:sz="6" w:space="0"/>
            </w:tcBorders>
            <w:noWrap w:val="0"/>
            <w:vAlign w:val="center"/>
          </w:tcPr>
          <w:p w14:paraId="03B0BC0C">
            <w:pPr>
              <w:spacing w:line="360" w:lineRule="exact"/>
              <w:rPr>
                <w:rFonts w:hint="eastAsia"/>
                <w:b/>
                <w:color w:val="auto"/>
                <w:sz w:val="22"/>
                <w:szCs w:val="22"/>
                <w:highlight w:val="none"/>
              </w:rPr>
            </w:pPr>
            <w:r>
              <w:rPr>
                <w:rFonts w:hint="eastAsia"/>
                <w:b/>
                <w:color w:val="auto"/>
                <w:sz w:val="22"/>
                <w:szCs w:val="22"/>
                <w:highlight w:val="none"/>
              </w:rPr>
              <w:t>《报价文件》封面</w:t>
            </w:r>
          </w:p>
        </w:tc>
        <w:tc>
          <w:tcPr>
            <w:tcW w:w="360" w:type="pct"/>
            <w:tcBorders>
              <w:top w:val="single" w:color="auto" w:sz="6" w:space="0"/>
              <w:bottom w:val="single" w:color="auto" w:sz="6" w:space="0"/>
            </w:tcBorders>
            <w:noWrap w:val="0"/>
            <w:vAlign w:val="center"/>
          </w:tcPr>
          <w:p w14:paraId="446ABBC2">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3BAF7F9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bottom w:val="single" w:color="auto" w:sz="6" w:space="0"/>
            </w:tcBorders>
            <w:noWrap w:val="0"/>
            <w:vAlign w:val="center"/>
          </w:tcPr>
          <w:p w14:paraId="6C992A80">
            <w:pPr>
              <w:spacing w:line="360" w:lineRule="exact"/>
              <w:jc w:val="center"/>
              <w:rPr>
                <w:rFonts w:hint="eastAsia"/>
                <w:b/>
                <w:color w:val="auto"/>
                <w:sz w:val="22"/>
                <w:szCs w:val="22"/>
                <w:highlight w:val="none"/>
              </w:rPr>
            </w:pPr>
            <w:r>
              <w:rPr>
                <w:rFonts w:hint="eastAsia"/>
                <w:b/>
                <w:color w:val="auto"/>
                <w:sz w:val="22"/>
                <w:szCs w:val="22"/>
                <w:highlight w:val="none"/>
              </w:rPr>
              <w:t>2</w:t>
            </w:r>
          </w:p>
        </w:tc>
        <w:tc>
          <w:tcPr>
            <w:tcW w:w="4291" w:type="pct"/>
            <w:gridSpan w:val="2"/>
            <w:tcBorders>
              <w:top w:val="single" w:color="auto" w:sz="6" w:space="0"/>
              <w:bottom w:val="single" w:color="auto" w:sz="6" w:space="0"/>
            </w:tcBorders>
            <w:noWrap w:val="0"/>
            <w:vAlign w:val="center"/>
          </w:tcPr>
          <w:p w14:paraId="100822AB">
            <w:pPr>
              <w:spacing w:line="360" w:lineRule="exact"/>
              <w:rPr>
                <w:rFonts w:hint="eastAsia"/>
                <w:b/>
                <w:color w:val="auto"/>
                <w:sz w:val="22"/>
                <w:szCs w:val="22"/>
                <w:highlight w:val="none"/>
              </w:rPr>
            </w:pPr>
            <w:r>
              <w:rPr>
                <w:rFonts w:hint="eastAsia"/>
                <w:b/>
                <w:color w:val="auto"/>
                <w:sz w:val="22"/>
                <w:szCs w:val="22"/>
                <w:highlight w:val="none"/>
              </w:rPr>
              <w:t>《报价文件》目录</w:t>
            </w:r>
            <w:r>
              <w:rPr>
                <w:rFonts w:hint="eastAsia"/>
                <w:color w:val="auto"/>
                <w:sz w:val="22"/>
                <w:szCs w:val="22"/>
                <w:highlight w:val="none"/>
              </w:rPr>
              <w:t>（格式自拟）</w:t>
            </w:r>
          </w:p>
        </w:tc>
        <w:tc>
          <w:tcPr>
            <w:tcW w:w="360" w:type="pct"/>
            <w:tcBorders>
              <w:top w:val="single" w:color="auto" w:sz="6" w:space="0"/>
              <w:bottom w:val="single" w:color="auto" w:sz="6" w:space="0"/>
            </w:tcBorders>
            <w:noWrap w:val="0"/>
            <w:vAlign w:val="center"/>
          </w:tcPr>
          <w:p w14:paraId="0FBEE810">
            <w:pPr>
              <w:spacing w:line="360" w:lineRule="exact"/>
              <w:jc w:val="center"/>
              <w:rPr>
                <w:rFonts w:hint="eastAsia"/>
                <w:color w:val="auto"/>
                <w:sz w:val="22"/>
                <w:szCs w:val="22"/>
                <w:highlight w:val="none"/>
              </w:rPr>
            </w:pPr>
            <w:r>
              <w:rPr>
                <w:rFonts w:hint="eastAsia"/>
                <w:color w:val="auto"/>
                <w:sz w:val="22"/>
                <w:szCs w:val="22"/>
                <w:highlight w:val="none"/>
              </w:rPr>
              <w:t>无</w:t>
            </w:r>
          </w:p>
        </w:tc>
      </w:tr>
      <w:tr w14:paraId="395A0D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bottom w:val="single" w:color="auto" w:sz="6" w:space="0"/>
            </w:tcBorders>
            <w:noWrap w:val="0"/>
            <w:vAlign w:val="center"/>
          </w:tcPr>
          <w:p w14:paraId="4828228C">
            <w:pPr>
              <w:spacing w:line="360" w:lineRule="exact"/>
              <w:jc w:val="center"/>
              <w:rPr>
                <w:rFonts w:hint="eastAsia"/>
                <w:b/>
                <w:color w:val="auto"/>
                <w:sz w:val="22"/>
                <w:szCs w:val="22"/>
                <w:highlight w:val="none"/>
              </w:rPr>
            </w:pPr>
            <w:r>
              <w:rPr>
                <w:rFonts w:hint="eastAsia"/>
                <w:b/>
                <w:color w:val="auto"/>
                <w:sz w:val="22"/>
                <w:szCs w:val="22"/>
                <w:highlight w:val="none"/>
              </w:rPr>
              <w:t>3</w:t>
            </w:r>
          </w:p>
        </w:tc>
        <w:tc>
          <w:tcPr>
            <w:tcW w:w="4291" w:type="pct"/>
            <w:gridSpan w:val="2"/>
            <w:tcBorders>
              <w:top w:val="single" w:color="auto" w:sz="6" w:space="0"/>
              <w:bottom w:val="single" w:color="auto" w:sz="6" w:space="0"/>
            </w:tcBorders>
            <w:noWrap w:val="0"/>
            <w:vAlign w:val="center"/>
          </w:tcPr>
          <w:p w14:paraId="12A03EDE">
            <w:pPr>
              <w:spacing w:line="360" w:lineRule="exact"/>
              <w:rPr>
                <w:rFonts w:hint="eastAsia"/>
                <w:b/>
                <w:color w:val="auto"/>
                <w:sz w:val="22"/>
                <w:szCs w:val="22"/>
                <w:highlight w:val="none"/>
              </w:rPr>
            </w:pPr>
            <w:r>
              <w:rPr>
                <w:rFonts w:hint="eastAsia"/>
                <w:color w:val="auto"/>
                <w:sz w:val="22"/>
                <w:szCs w:val="22"/>
                <w:highlight w:val="none"/>
              </w:rPr>
              <w:t>▲</w:t>
            </w:r>
            <w:r>
              <w:rPr>
                <w:rFonts w:hint="eastAsia"/>
                <w:b/>
                <w:color w:val="auto"/>
                <w:sz w:val="22"/>
                <w:szCs w:val="22"/>
                <w:highlight w:val="none"/>
              </w:rPr>
              <w:t>开标一览表</w:t>
            </w:r>
          </w:p>
        </w:tc>
        <w:tc>
          <w:tcPr>
            <w:tcW w:w="360" w:type="pct"/>
            <w:tcBorders>
              <w:top w:val="single" w:color="auto" w:sz="6" w:space="0"/>
              <w:bottom w:val="single" w:color="auto" w:sz="6" w:space="0"/>
            </w:tcBorders>
            <w:noWrap w:val="0"/>
            <w:vAlign w:val="center"/>
          </w:tcPr>
          <w:p w14:paraId="0620B1FE">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64737F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47" w:type="pct"/>
            <w:tcBorders>
              <w:top w:val="single" w:color="auto" w:sz="6" w:space="0"/>
              <w:bottom w:val="single" w:color="auto" w:sz="6" w:space="0"/>
            </w:tcBorders>
            <w:noWrap w:val="0"/>
            <w:vAlign w:val="center"/>
          </w:tcPr>
          <w:p w14:paraId="5A249994">
            <w:pPr>
              <w:spacing w:line="360" w:lineRule="exact"/>
              <w:jc w:val="center"/>
              <w:rPr>
                <w:rFonts w:hint="eastAsia" w:eastAsia="宋体"/>
                <w:b/>
                <w:color w:val="auto"/>
                <w:sz w:val="22"/>
                <w:szCs w:val="22"/>
                <w:highlight w:val="none"/>
                <w:lang w:val="en-US" w:eastAsia="zh-CN"/>
              </w:rPr>
            </w:pPr>
            <w:r>
              <w:rPr>
                <w:rFonts w:hint="eastAsia"/>
                <w:b/>
                <w:color w:val="auto"/>
                <w:sz w:val="22"/>
                <w:szCs w:val="22"/>
                <w:highlight w:val="none"/>
                <w:lang w:val="en-US" w:eastAsia="zh-CN"/>
              </w:rPr>
              <w:t>4</w:t>
            </w:r>
          </w:p>
        </w:tc>
        <w:tc>
          <w:tcPr>
            <w:tcW w:w="4291" w:type="pct"/>
            <w:gridSpan w:val="2"/>
            <w:tcBorders>
              <w:top w:val="single" w:color="auto" w:sz="6" w:space="0"/>
              <w:bottom w:val="single" w:color="auto" w:sz="6" w:space="0"/>
            </w:tcBorders>
            <w:noWrap w:val="0"/>
            <w:vAlign w:val="center"/>
          </w:tcPr>
          <w:p w14:paraId="0F8356A4">
            <w:pPr>
              <w:spacing w:line="360" w:lineRule="exact"/>
              <w:rPr>
                <w:rFonts w:hint="eastAsia" w:eastAsia="宋体"/>
                <w:color w:val="auto"/>
                <w:sz w:val="22"/>
                <w:szCs w:val="22"/>
                <w:highlight w:val="none"/>
                <w:lang w:val="en-US" w:eastAsia="zh-CN"/>
              </w:rPr>
            </w:pPr>
            <w:r>
              <w:rPr>
                <w:rFonts w:hint="eastAsia"/>
                <w:color w:val="auto"/>
                <w:sz w:val="22"/>
                <w:highlight w:val="none"/>
              </w:rPr>
              <w:t>中小企业声明函、监狱企业、残疾人福利性单位及其他相关的充分的证明</w:t>
            </w:r>
            <w:r>
              <w:rPr>
                <w:rFonts w:hint="eastAsia"/>
                <w:color w:val="auto"/>
                <w:sz w:val="22"/>
                <w:highlight w:val="none"/>
                <w:lang w:val="en-US" w:eastAsia="zh-CN"/>
              </w:rPr>
              <w:t>材料</w:t>
            </w:r>
          </w:p>
        </w:tc>
        <w:tc>
          <w:tcPr>
            <w:tcW w:w="360" w:type="pct"/>
            <w:tcBorders>
              <w:top w:val="single" w:color="auto" w:sz="6" w:space="0"/>
              <w:bottom w:val="single" w:color="auto" w:sz="6" w:space="0"/>
            </w:tcBorders>
            <w:noWrap w:val="0"/>
            <w:vAlign w:val="center"/>
          </w:tcPr>
          <w:p w14:paraId="4BE015F4">
            <w:pPr>
              <w:spacing w:line="360" w:lineRule="exact"/>
              <w:jc w:val="center"/>
              <w:rPr>
                <w:rFonts w:hint="eastAsia"/>
                <w:color w:val="auto"/>
                <w:sz w:val="22"/>
                <w:szCs w:val="22"/>
                <w:highlight w:val="none"/>
              </w:rPr>
            </w:pPr>
            <w:r>
              <w:rPr>
                <w:rFonts w:hint="eastAsia"/>
                <w:color w:val="auto"/>
                <w:sz w:val="22"/>
                <w:szCs w:val="22"/>
                <w:highlight w:val="none"/>
              </w:rPr>
              <w:t>有</w:t>
            </w:r>
          </w:p>
        </w:tc>
      </w:tr>
      <w:tr w14:paraId="08A616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5000" w:type="pct"/>
            <w:gridSpan w:val="4"/>
            <w:noWrap w:val="0"/>
            <w:vAlign w:val="center"/>
          </w:tcPr>
          <w:p w14:paraId="0CEA5C9E">
            <w:pPr>
              <w:spacing w:line="360" w:lineRule="exact"/>
              <w:jc w:val="center"/>
              <w:rPr>
                <w:rFonts w:hint="eastAsia"/>
                <w:color w:val="auto"/>
                <w:sz w:val="22"/>
                <w:szCs w:val="22"/>
                <w:highlight w:val="none"/>
              </w:rPr>
            </w:pPr>
            <w:r>
              <w:rPr>
                <w:rFonts w:hint="eastAsia"/>
                <w:b/>
                <w:color w:val="auto"/>
                <w:sz w:val="22"/>
                <w:szCs w:val="22"/>
                <w:highlight w:val="none"/>
              </w:rPr>
              <w:t>备注说明</w:t>
            </w:r>
          </w:p>
        </w:tc>
      </w:tr>
      <w:tr w14:paraId="0407A3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5000" w:type="pct"/>
            <w:gridSpan w:val="4"/>
            <w:noWrap w:val="0"/>
            <w:vAlign w:val="center"/>
          </w:tcPr>
          <w:p w14:paraId="60D702A4">
            <w:pPr>
              <w:spacing w:line="360" w:lineRule="exact"/>
              <w:rPr>
                <w:rFonts w:hint="eastAsia"/>
                <w:b/>
                <w:color w:val="auto"/>
                <w:sz w:val="22"/>
                <w:szCs w:val="22"/>
                <w:highlight w:val="none"/>
              </w:rPr>
            </w:pPr>
            <w:r>
              <w:rPr>
                <w:rFonts w:hint="eastAsia"/>
                <w:b/>
                <w:color w:val="auto"/>
                <w:sz w:val="22"/>
                <w:szCs w:val="22"/>
                <w:highlight w:val="none"/>
              </w:rPr>
              <w:t>（1）上述内容本采购文件《投标文件格式》中有提供格式的，供应商可参照格式进行编制（格式中要求提供相关证明材料的还需后附相关证明材料），并按格式要求在指定位置根据要求进行签章，否则视为未提供；</w:t>
            </w:r>
          </w:p>
          <w:p w14:paraId="3AC4661A">
            <w:pPr>
              <w:spacing w:line="360" w:lineRule="exact"/>
              <w:rPr>
                <w:rFonts w:hint="eastAsia"/>
                <w:b/>
                <w:color w:val="auto"/>
                <w:sz w:val="22"/>
                <w:szCs w:val="22"/>
                <w:highlight w:val="none"/>
              </w:rPr>
            </w:pPr>
            <w:r>
              <w:rPr>
                <w:rFonts w:hint="eastAsia"/>
                <w:b/>
                <w:color w:val="auto"/>
                <w:sz w:val="22"/>
                <w:szCs w:val="22"/>
                <w:highlight w:val="none"/>
              </w:rPr>
              <w:t>（2）采购文件《投标文件格式》未提供格式的，请各供应商自行拟定格式，并加盖单位公章并由法定代表人（负责人）或其授权代表签署（签字或盖章），否则视为未提供；</w:t>
            </w:r>
          </w:p>
          <w:p w14:paraId="146FF858">
            <w:pPr>
              <w:spacing w:line="360" w:lineRule="exact"/>
              <w:rPr>
                <w:rFonts w:hint="eastAsia"/>
                <w:b/>
                <w:color w:val="auto"/>
                <w:sz w:val="22"/>
                <w:szCs w:val="22"/>
                <w:highlight w:val="none"/>
              </w:rPr>
            </w:pPr>
            <w:r>
              <w:rPr>
                <w:rFonts w:hint="eastAsia"/>
                <w:b/>
                <w:color w:val="auto"/>
                <w:sz w:val="22"/>
                <w:szCs w:val="22"/>
                <w:highlight w:val="none"/>
              </w:rPr>
              <w:t>（3）可以提供复制件的相关证明材料必须加盖供应商公章，否则视为未提供（例如：各类资格资质证书、业绩材料、荣誉证书、验收材料等）；</w:t>
            </w:r>
          </w:p>
          <w:p w14:paraId="3C98629C">
            <w:pPr>
              <w:spacing w:line="360" w:lineRule="exact"/>
              <w:rPr>
                <w:rFonts w:hint="eastAsia"/>
                <w:b/>
                <w:color w:val="auto"/>
                <w:sz w:val="22"/>
                <w:szCs w:val="22"/>
                <w:highlight w:val="none"/>
              </w:rPr>
            </w:pPr>
            <w:r>
              <w:rPr>
                <w:rFonts w:hint="eastAsia"/>
                <w:b/>
                <w:color w:val="auto"/>
                <w:sz w:val="22"/>
                <w:szCs w:val="22"/>
                <w:highlight w:val="none"/>
              </w:rPr>
              <w:t>（4）以上内容中标注“</w:t>
            </w:r>
            <w:r>
              <w:rPr>
                <w:rFonts w:hint="eastAsia"/>
                <w:color w:val="auto"/>
                <w:sz w:val="22"/>
                <w:szCs w:val="22"/>
                <w:highlight w:val="none"/>
              </w:rPr>
              <w:t>▲</w:t>
            </w:r>
            <w:r>
              <w:rPr>
                <w:rFonts w:hint="eastAsia"/>
                <w:b/>
                <w:color w:val="auto"/>
                <w:sz w:val="22"/>
                <w:szCs w:val="22"/>
                <w:highlight w:val="none"/>
              </w:rPr>
              <w:t>”的内容为必须提供的内容，未提供的投标无效。</w:t>
            </w:r>
          </w:p>
        </w:tc>
      </w:tr>
    </w:tbl>
    <w:p w14:paraId="247A39A3">
      <w:pPr>
        <w:autoSpaceDE w:val="0"/>
        <w:autoSpaceDN w:val="0"/>
        <w:adjustRightInd w:val="0"/>
        <w:snapToGrid w:val="0"/>
        <w:spacing w:line="360" w:lineRule="exact"/>
        <w:ind w:firstLine="440" w:firstLineChars="200"/>
        <w:textAlignment w:val="bottom"/>
        <w:rPr>
          <w:rFonts w:hint="eastAsia"/>
          <w:color w:val="auto"/>
          <w:sz w:val="22"/>
          <w:szCs w:val="22"/>
          <w:highlight w:val="none"/>
        </w:rPr>
      </w:pPr>
      <w:r>
        <w:rPr>
          <w:rFonts w:hint="eastAsia"/>
          <w:color w:val="auto"/>
          <w:sz w:val="22"/>
          <w:szCs w:val="22"/>
          <w:highlight w:val="none"/>
        </w:rPr>
        <w:t>3. 投标文件编制</w:t>
      </w:r>
    </w:p>
    <w:p w14:paraId="788C9A75">
      <w:pPr>
        <w:autoSpaceDE w:val="0"/>
        <w:autoSpaceDN w:val="0"/>
        <w:adjustRightInd w:val="0"/>
        <w:snapToGrid w:val="0"/>
        <w:spacing w:line="360" w:lineRule="exact"/>
        <w:ind w:firstLine="440" w:firstLineChars="200"/>
        <w:textAlignment w:val="bottom"/>
        <w:rPr>
          <w:rFonts w:hint="eastAsia"/>
          <w:color w:val="auto"/>
          <w:sz w:val="22"/>
          <w:szCs w:val="22"/>
          <w:highlight w:val="none"/>
        </w:rPr>
      </w:pPr>
      <w:r>
        <w:rPr>
          <w:rFonts w:hint="eastAsia"/>
          <w:color w:val="auto"/>
          <w:sz w:val="22"/>
          <w:szCs w:val="22"/>
          <w:highlight w:val="none"/>
        </w:rPr>
        <w:t>3.1本项目通过“政府采购云平台（www.zcygov.cn）”实行在线投标响应（电子投标）。供应商应通过“政采云电子交易客户端”，并按照本招标文件和“政府采购云平台”的要求编制并加密投标文件。</w:t>
      </w:r>
    </w:p>
    <w:p w14:paraId="2928C35C">
      <w:pPr>
        <w:autoSpaceDE w:val="0"/>
        <w:autoSpaceDN w:val="0"/>
        <w:adjustRightInd w:val="0"/>
        <w:snapToGrid w:val="0"/>
        <w:spacing w:line="360" w:lineRule="exact"/>
        <w:ind w:firstLine="440" w:firstLineChars="200"/>
        <w:textAlignment w:val="bottom"/>
        <w:rPr>
          <w:rFonts w:hint="eastAsia"/>
          <w:color w:val="auto"/>
          <w:sz w:val="22"/>
          <w:szCs w:val="22"/>
          <w:highlight w:val="none"/>
        </w:rPr>
      </w:pPr>
      <w:r>
        <w:rPr>
          <w:rFonts w:hint="eastAsia"/>
          <w:color w:val="auto"/>
          <w:sz w:val="22"/>
          <w:szCs w:val="22"/>
          <w:highlight w:val="none"/>
        </w:rPr>
        <w:t>3.2供应商应当按照本章节 “投标文件组成”规定的内容及顺序在“政采云电子交易客户端”编制投标文件。其中《资格文件》和《商务技术文件》中不得出现本项目投标报价，如因供应商原因提前泄露投标报价，是供应商的责任。</w:t>
      </w:r>
    </w:p>
    <w:p w14:paraId="3DEB7464">
      <w:pPr>
        <w:autoSpaceDE w:val="0"/>
        <w:autoSpaceDN w:val="0"/>
        <w:adjustRightInd w:val="0"/>
        <w:snapToGrid w:val="0"/>
        <w:spacing w:line="360" w:lineRule="exact"/>
        <w:ind w:firstLine="440" w:firstLineChars="200"/>
        <w:textAlignment w:val="bottom"/>
        <w:rPr>
          <w:rFonts w:hint="eastAsia"/>
          <w:color w:val="auto"/>
          <w:sz w:val="22"/>
          <w:szCs w:val="22"/>
          <w:highlight w:val="none"/>
        </w:rPr>
      </w:pPr>
      <w:r>
        <w:rPr>
          <w:rFonts w:hint="eastAsia"/>
          <w:color w:val="auto"/>
          <w:sz w:val="22"/>
          <w:szCs w:val="22"/>
          <w:highlight w:val="none"/>
        </w:rPr>
        <w:t>3.3《投标文件》内容不完整、编排混乱导致《投标文件》被误读、漏读或者查找不到相关内容的，是供应商的责任。</w:t>
      </w:r>
    </w:p>
    <w:p w14:paraId="0CD5E69C">
      <w:pPr>
        <w:autoSpaceDE w:val="0"/>
        <w:autoSpaceDN w:val="0"/>
        <w:adjustRightInd w:val="0"/>
        <w:snapToGrid w:val="0"/>
        <w:spacing w:line="360" w:lineRule="exact"/>
        <w:ind w:firstLine="440" w:firstLineChars="200"/>
        <w:textAlignment w:val="bottom"/>
        <w:rPr>
          <w:rFonts w:hint="eastAsia"/>
          <w:color w:val="auto"/>
          <w:sz w:val="22"/>
          <w:szCs w:val="22"/>
          <w:highlight w:val="none"/>
        </w:rPr>
      </w:pPr>
      <w:r>
        <w:rPr>
          <w:rFonts w:hint="eastAsia"/>
          <w:color w:val="auto"/>
          <w:sz w:val="22"/>
          <w:szCs w:val="22"/>
          <w:highlight w:val="none"/>
        </w:rPr>
        <w:t>3.4《投标文件》因字迹潦草或表达不清所引起的后果由供应商负责。</w:t>
      </w:r>
    </w:p>
    <w:p w14:paraId="1BCD7096">
      <w:pPr>
        <w:autoSpaceDE w:val="0"/>
        <w:autoSpaceDN w:val="0"/>
        <w:adjustRightInd w:val="0"/>
        <w:snapToGrid w:val="0"/>
        <w:spacing w:line="360" w:lineRule="exact"/>
        <w:ind w:firstLine="440" w:firstLineChars="200"/>
        <w:textAlignment w:val="bottom"/>
        <w:rPr>
          <w:rFonts w:hint="eastAsia"/>
          <w:color w:val="auto"/>
          <w:sz w:val="22"/>
          <w:szCs w:val="22"/>
          <w:highlight w:val="none"/>
        </w:rPr>
      </w:pPr>
      <w:r>
        <w:rPr>
          <w:rFonts w:hint="eastAsia"/>
          <w:color w:val="auto"/>
          <w:sz w:val="22"/>
          <w:szCs w:val="22"/>
          <w:highlight w:val="none"/>
        </w:rPr>
        <w:t>3.5供应商没有按照本章节 “投标文件组成”要求提供全部资料，或者没有仔细阅读招标文件，或者没有对招标文件在各方面的要求作出实质性响应是供应商的风险，由此造成的一切后果由供应商自行承担。</w:t>
      </w:r>
    </w:p>
    <w:p w14:paraId="58710182">
      <w:pPr>
        <w:autoSpaceDE w:val="0"/>
        <w:autoSpaceDN w:val="0"/>
        <w:adjustRightInd w:val="0"/>
        <w:snapToGrid w:val="0"/>
        <w:spacing w:line="360" w:lineRule="exact"/>
        <w:textAlignment w:val="bottom"/>
        <w:rPr>
          <w:rFonts w:hint="eastAsia"/>
          <w:color w:val="auto"/>
          <w:sz w:val="22"/>
          <w:szCs w:val="22"/>
          <w:highlight w:val="none"/>
        </w:rPr>
      </w:pPr>
      <w:r>
        <w:rPr>
          <w:rFonts w:hint="eastAsia"/>
          <w:color w:val="auto"/>
          <w:sz w:val="22"/>
          <w:szCs w:val="22"/>
          <w:highlight w:val="none"/>
        </w:rPr>
        <w:t xml:space="preserve">    </w:t>
      </w:r>
      <w:bookmarkStart w:id="2" w:name="_Toc132122115"/>
      <w:bookmarkStart w:id="3" w:name="_Toc132122412"/>
      <w:r>
        <w:rPr>
          <w:rFonts w:hint="eastAsia"/>
          <w:color w:val="auto"/>
          <w:sz w:val="22"/>
          <w:szCs w:val="22"/>
          <w:highlight w:val="none"/>
        </w:rPr>
        <w:t>4.投标报价</w:t>
      </w:r>
      <w:bookmarkEnd w:id="2"/>
      <w:bookmarkEnd w:id="3"/>
    </w:p>
    <w:p w14:paraId="0C969E7E">
      <w:pPr>
        <w:autoSpaceDE w:val="0"/>
        <w:autoSpaceDN w:val="0"/>
        <w:adjustRightInd w:val="0"/>
        <w:snapToGrid w:val="0"/>
        <w:spacing w:line="360" w:lineRule="exact"/>
        <w:ind w:firstLine="435" w:firstLineChars="198"/>
        <w:textAlignment w:val="bottom"/>
        <w:rPr>
          <w:rFonts w:hint="eastAsia"/>
          <w:b/>
          <w:color w:val="auto"/>
          <w:sz w:val="22"/>
          <w:szCs w:val="22"/>
          <w:highlight w:val="none"/>
        </w:rPr>
      </w:pPr>
      <w:r>
        <w:rPr>
          <w:rFonts w:hint="eastAsia"/>
          <w:color w:val="auto"/>
          <w:sz w:val="22"/>
          <w:szCs w:val="22"/>
          <w:highlight w:val="none"/>
        </w:rPr>
        <w:t>4.1、供应商应按招标文件中《开标一览表》填写报价。</w:t>
      </w:r>
      <w:r>
        <w:rPr>
          <w:rFonts w:hint="eastAsia"/>
          <w:b/>
          <w:color w:val="auto"/>
          <w:sz w:val="22"/>
          <w:szCs w:val="22"/>
          <w:highlight w:val="none"/>
        </w:rPr>
        <w:t>供应商在线制作投标文件时《开标一览表》中填写的金额与解密后“电子加密投标文件”中《开标一览表》填写的金额不一致的，以解密后“电子加密投标文件”中《开标一览表》填写的金额为准，供应商拒绝接受此调整的，按无效投标处理。</w:t>
      </w:r>
    </w:p>
    <w:p w14:paraId="4C8C89B6">
      <w:pPr>
        <w:autoSpaceDE w:val="0"/>
        <w:autoSpaceDN w:val="0"/>
        <w:adjustRightInd w:val="0"/>
        <w:snapToGrid w:val="0"/>
        <w:spacing w:line="360" w:lineRule="exact"/>
        <w:ind w:firstLine="437" w:firstLineChars="198"/>
        <w:textAlignment w:val="bottom"/>
        <w:rPr>
          <w:rFonts w:hint="eastAsia"/>
          <w:b/>
          <w:color w:val="auto"/>
          <w:sz w:val="22"/>
          <w:szCs w:val="22"/>
          <w:highlight w:val="none"/>
        </w:rPr>
      </w:pPr>
      <w:r>
        <w:rPr>
          <w:rFonts w:hint="eastAsia"/>
          <w:b/>
          <w:color w:val="auto"/>
          <w:sz w:val="22"/>
          <w:szCs w:val="22"/>
          <w:highlight w:val="none"/>
        </w:rPr>
        <w:t>投标报价中应包括但不限于中标供应商完成本项目所需的</w:t>
      </w:r>
      <w:r>
        <w:rPr>
          <w:rFonts w:hint="eastAsia"/>
          <w:b/>
          <w:color w:val="auto"/>
          <w:sz w:val="22"/>
          <w:szCs w:val="22"/>
          <w:highlight w:val="none"/>
          <w:lang w:val="en-US" w:eastAsia="zh-CN"/>
        </w:rPr>
        <w:t>货物</w:t>
      </w:r>
      <w:r>
        <w:rPr>
          <w:rFonts w:hint="eastAsia"/>
          <w:b/>
          <w:color w:val="auto"/>
          <w:sz w:val="22"/>
          <w:szCs w:val="22"/>
          <w:highlight w:val="none"/>
        </w:rPr>
        <w:t>费用、劳务、运输、装卸、仓储、设备、配件、备件、损耗（包括水、电等）、就位、施工、检验、测试、项目验收、通过验收等费用、企业成本（包括人员工资、食宿费、差旅费、办公费、保险费、综合管理费等）及利润、税金、质保期内的质量保证、采购代理服务费、完成合同所需的一切本身和不可或缺的所有工作开支、政策性文件规定及合同包含的所有风险、责任等各项全部费用并承担一切风险责任。报价供应商应根据上述因素自行考虑含入报价。</w:t>
      </w:r>
    </w:p>
    <w:p w14:paraId="20592DE4">
      <w:pPr>
        <w:autoSpaceDE w:val="0"/>
        <w:autoSpaceDN w:val="0"/>
        <w:adjustRightInd w:val="0"/>
        <w:snapToGrid w:val="0"/>
        <w:spacing w:line="360" w:lineRule="exact"/>
        <w:ind w:firstLine="437" w:firstLineChars="198"/>
        <w:textAlignment w:val="bottom"/>
        <w:rPr>
          <w:rFonts w:hint="eastAsia"/>
          <w:b/>
          <w:color w:val="auto"/>
          <w:sz w:val="22"/>
          <w:szCs w:val="22"/>
          <w:highlight w:val="none"/>
          <w:lang w:val="zh-CN"/>
        </w:rPr>
      </w:pPr>
      <w:r>
        <w:rPr>
          <w:rFonts w:hint="eastAsia"/>
          <w:b/>
          <w:color w:val="auto"/>
          <w:sz w:val="22"/>
          <w:szCs w:val="22"/>
          <w:highlight w:val="none"/>
        </w:rPr>
        <w:t>供应商应综合考虑后报价，供应商须注意报价风险。</w:t>
      </w:r>
    </w:p>
    <w:p w14:paraId="2FE143EA">
      <w:pPr>
        <w:autoSpaceDE w:val="0"/>
        <w:autoSpaceDN w:val="0"/>
        <w:adjustRightInd w:val="0"/>
        <w:snapToGrid w:val="0"/>
        <w:spacing w:line="360" w:lineRule="exact"/>
        <w:ind w:firstLine="437" w:firstLineChars="198"/>
        <w:textAlignment w:val="bottom"/>
        <w:rPr>
          <w:rFonts w:hint="eastAsia"/>
          <w:color w:val="auto"/>
          <w:sz w:val="22"/>
          <w:szCs w:val="22"/>
          <w:highlight w:val="none"/>
        </w:rPr>
      </w:pPr>
      <w:r>
        <w:rPr>
          <w:rFonts w:hint="eastAsia"/>
          <w:b/>
          <w:color w:val="auto"/>
          <w:sz w:val="22"/>
          <w:szCs w:val="22"/>
          <w:highlight w:val="none"/>
        </w:rPr>
        <w:t>本项目综合单价不变按实结算，供应商在投标报价中应充分考虑所有可能发生的费用，否则采购人将视投标价中已包括所有费用。</w:t>
      </w:r>
    </w:p>
    <w:p w14:paraId="29861CB0">
      <w:pPr>
        <w:autoSpaceDE w:val="0"/>
        <w:autoSpaceDN w:val="0"/>
        <w:adjustRightInd w:val="0"/>
        <w:snapToGrid w:val="0"/>
        <w:spacing w:line="360" w:lineRule="exact"/>
        <w:ind w:firstLine="440" w:firstLineChars="200"/>
        <w:textAlignment w:val="bottom"/>
        <w:rPr>
          <w:rFonts w:hint="eastAsia"/>
          <w:bCs/>
          <w:color w:val="auto"/>
          <w:sz w:val="22"/>
          <w:szCs w:val="22"/>
          <w:highlight w:val="none"/>
        </w:rPr>
      </w:pPr>
      <w:r>
        <w:rPr>
          <w:rFonts w:hint="eastAsia"/>
          <w:bCs/>
          <w:color w:val="auto"/>
          <w:sz w:val="22"/>
          <w:szCs w:val="22"/>
          <w:highlight w:val="none"/>
        </w:rPr>
        <w:t>4.2、本次招标只允许有一个报价，有选择的报价将不予接受。</w:t>
      </w:r>
    </w:p>
    <w:p w14:paraId="02AD4FB5">
      <w:pPr>
        <w:autoSpaceDE w:val="0"/>
        <w:autoSpaceDN w:val="0"/>
        <w:adjustRightInd w:val="0"/>
        <w:snapToGrid w:val="0"/>
        <w:spacing w:line="360" w:lineRule="exact"/>
        <w:ind w:firstLine="440" w:firstLineChars="200"/>
        <w:textAlignment w:val="bottom"/>
        <w:rPr>
          <w:rFonts w:hint="eastAsia"/>
          <w:color w:val="auto"/>
          <w:sz w:val="22"/>
          <w:szCs w:val="22"/>
          <w:highlight w:val="none"/>
          <w:u w:val="single"/>
        </w:rPr>
      </w:pPr>
      <w:r>
        <w:rPr>
          <w:rFonts w:hint="eastAsia"/>
          <w:color w:val="auto"/>
          <w:sz w:val="22"/>
          <w:szCs w:val="22"/>
          <w:highlight w:val="none"/>
        </w:rPr>
        <w:t>4.3、</w:t>
      </w:r>
      <w:r>
        <w:rPr>
          <w:rFonts w:hint="eastAsia"/>
          <w:color w:val="auto"/>
          <w:sz w:val="22"/>
          <w:szCs w:val="22"/>
          <w:highlight w:val="none"/>
          <w:u w:val="single"/>
        </w:rPr>
        <w:t>供应商对在合同执行中，除招标文件规定的由中标供应商负责的工作范围以外需要甲方协调或提供便利的工作应当在投标文件中说明。</w:t>
      </w:r>
    </w:p>
    <w:p w14:paraId="5A7E59DD">
      <w:pPr>
        <w:autoSpaceDE w:val="0"/>
        <w:autoSpaceDN w:val="0"/>
        <w:adjustRightInd w:val="0"/>
        <w:snapToGrid w:val="0"/>
        <w:spacing w:line="360" w:lineRule="exact"/>
        <w:ind w:firstLine="431" w:firstLineChars="196"/>
        <w:rPr>
          <w:rFonts w:hint="eastAsia"/>
          <w:color w:val="auto"/>
          <w:sz w:val="22"/>
          <w:szCs w:val="22"/>
          <w:highlight w:val="none"/>
        </w:rPr>
      </w:pPr>
      <w:bookmarkStart w:id="4" w:name="_Toc132122414"/>
      <w:bookmarkStart w:id="5" w:name="_Toc132122117"/>
      <w:bookmarkStart w:id="6" w:name="_Toc132122415"/>
      <w:bookmarkStart w:id="7" w:name="_Toc132122118"/>
      <w:r>
        <w:rPr>
          <w:rFonts w:hint="eastAsia"/>
          <w:color w:val="auto"/>
          <w:sz w:val="22"/>
          <w:szCs w:val="22"/>
          <w:highlight w:val="none"/>
        </w:rPr>
        <w:t>5、投标文件的有效期</w:t>
      </w:r>
      <w:bookmarkEnd w:id="4"/>
      <w:bookmarkEnd w:id="5"/>
    </w:p>
    <w:p w14:paraId="4356B4FB">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5.1自开标日起90天内，投标文件应保持有效。有效期短于这个规定期限的投标将被拒绝。</w:t>
      </w:r>
    </w:p>
    <w:p w14:paraId="7813C8B1">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5.2在特殊情况下，采购人可与供应商协商延长投标文件的有效期，这种要求和答复均应以书面形式进行。</w:t>
      </w:r>
    </w:p>
    <w:p w14:paraId="5DBDFBB7">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5.3供应商可拒绝接受延期要求而不会导致处罚。同意延长有效期的供应商不能修改投标文件。</w:t>
      </w:r>
    </w:p>
    <w:bookmarkEnd w:id="6"/>
    <w:bookmarkEnd w:id="7"/>
    <w:p w14:paraId="7FAD347B">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6、投标文件的签章</w:t>
      </w:r>
    </w:p>
    <w:p w14:paraId="103CF895">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6.1《投标文件》的签章：</w:t>
      </w:r>
      <w:r>
        <w:rPr>
          <w:rFonts w:hint="eastAsia" w:hAnsi="宋体" w:cs="宋体"/>
          <w:b/>
          <w:color w:val="auto"/>
          <w:sz w:val="22"/>
          <w:szCs w:val="22"/>
          <w:highlight w:val="none"/>
          <w:lang w:bidi="ar"/>
        </w:rPr>
        <w:t>电子签章。</w:t>
      </w:r>
      <w:r>
        <w:rPr>
          <w:rFonts w:hint="eastAsia" w:hAnsi="宋体" w:cs="宋体"/>
          <w:color w:val="auto"/>
          <w:sz w:val="22"/>
          <w:szCs w:val="22"/>
          <w:highlight w:val="none"/>
        </w:rPr>
        <w:t>采购文件所指的加盖单位公章为电子签章。</w:t>
      </w:r>
    </w:p>
    <w:p w14:paraId="40C6BF98">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6.2《投标文件》应由供应商法定代表人（负责人）或其授权代表签字（或盖章），并时加盖供应商公章。</w:t>
      </w:r>
    </w:p>
    <w:p w14:paraId="2F7868CC">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6.3电子签章操作指南详见采购公告附件《供应商项目采购-电子招投标操作指南》。</w:t>
      </w:r>
    </w:p>
    <w:p w14:paraId="01F4D3F6">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7、投标文件的形式</w:t>
      </w:r>
    </w:p>
    <w:p w14:paraId="1996AFFF">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7.1投标文件的形式：见投标通知(邀 请)书；</w:t>
      </w:r>
    </w:p>
    <w:p w14:paraId="09808FE3">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7.2“电子加密投标文件”：“电子加密投标文件”是指通过“政采云电子交易客户端”完成投标文件编制后生成并加密的数据电文形式的投标文件。</w:t>
      </w:r>
    </w:p>
    <w:p w14:paraId="42619901">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7.3“备份投标文件”：“备份投标文件”是指与“电子加密投标文件”同时生成的数据电文形式的电子文件（备份标书），其他方式编制的“备份投标文件”视为无效的“备份投标文件”。</w:t>
      </w:r>
    </w:p>
    <w:p w14:paraId="05455696">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8、投标文件的份数</w:t>
      </w:r>
    </w:p>
    <w:p w14:paraId="3548BB54">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8.1投标文件的份数：见投标通知(邀 请)书。</w:t>
      </w:r>
    </w:p>
    <w:p w14:paraId="38FE23BC">
      <w:pPr>
        <w:snapToGrid w:val="0"/>
        <w:spacing w:line="360" w:lineRule="exact"/>
        <w:ind w:firstLine="527"/>
        <w:outlineLvl w:val="0"/>
        <w:rPr>
          <w:rFonts w:hint="eastAsia"/>
          <w:b/>
          <w:color w:val="auto"/>
          <w:sz w:val="22"/>
          <w:szCs w:val="22"/>
          <w:highlight w:val="none"/>
        </w:rPr>
      </w:pPr>
      <w:r>
        <w:rPr>
          <w:rFonts w:hint="eastAsia"/>
          <w:b/>
          <w:color w:val="auto"/>
          <w:sz w:val="22"/>
          <w:szCs w:val="22"/>
          <w:highlight w:val="none"/>
        </w:rPr>
        <w:t>五、投标</w:t>
      </w:r>
    </w:p>
    <w:p w14:paraId="31917830">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1、投标文件的上传和递交</w:t>
      </w:r>
    </w:p>
    <w:p w14:paraId="352A4C9B">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1.1“投标文件”的上传、递交：见投标通知(邀 请)书。</w:t>
      </w:r>
    </w:p>
    <w:p w14:paraId="0F1931B2">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2、“电子加密投标文件”解密和异常情况处理</w:t>
      </w:r>
    </w:p>
    <w:p w14:paraId="3B8E8897">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2.1“电子加密投标文件”解密：见投标通知(邀 请)书。</w:t>
      </w:r>
    </w:p>
    <w:p w14:paraId="2EA3A02E">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3、投标文件的补充、修改或撤回</w:t>
      </w:r>
    </w:p>
    <w:p w14:paraId="76E945B8">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7B97AC49">
      <w:pPr>
        <w:pStyle w:val="37"/>
        <w:adjustRightInd w:val="0"/>
        <w:snapToGrid w:val="0"/>
        <w:spacing w:line="360" w:lineRule="exact"/>
        <w:ind w:firstLine="442" w:firstLineChars="200"/>
        <w:rPr>
          <w:rFonts w:hint="eastAsia" w:hAnsi="宋体" w:cs="宋体"/>
          <w:b/>
          <w:color w:val="auto"/>
          <w:sz w:val="22"/>
          <w:szCs w:val="22"/>
          <w:highlight w:val="none"/>
        </w:rPr>
      </w:pPr>
      <w:r>
        <w:rPr>
          <w:rFonts w:hint="eastAsia" w:hAnsi="宋体" w:cs="宋体"/>
          <w:b/>
          <w:color w:val="auto"/>
          <w:sz w:val="22"/>
          <w:szCs w:val="22"/>
          <w:highlight w:val="none"/>
        </w:rPr>
        <w:t>3.2投标截止时间后，供应商不得撤回、修改《投标文件》。</w:t>
      </w:r>
    </w:p>
    <w:p w14:paraId="6A2C6F55">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4、投标文件的备选方案</w:t>
      </w:r>
    </w:p>
    <w:p w14:paraId="649546C7">
      <w:pPr>
        <w:pStyle w:val="37"/>
        <w:adjustRightInd w:val="0"/>
        <w:snapToGrid w:val="0"/>
        <w:spacing w:line="36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4.1供应商不得递交任何的投标备选（替代）方案，否则其投标文件将作无效标处理。与“电子加密投标文件”同时生成的“备份投标文件”不是投标备选（替代）方案。</w:t>
      </w:r>
    </w:p>
    <w:p w14:paraId="5D849592">
      <w:pPr>
        <w:snapToGrid w:val="0"/>
        <w:spacing w:line="360" w:lineRule="exact"/>
        <w:ind w:firstLine="527"/>
        <w:outlineLvl w:val="0"/>
        <w:rPr>
          <w:rFonts w:hint="eastAsia"/>
          <w:color w:val="auto"/>
          <w:sz w:val="22"/>
          <w:szCs w:val="22"/>
          <w:highlight w:val="none"/>
        </w:rPr>
      </w:pPr>
      <w:r>
        <w:rPr>
          <w:rFonts w:hint="eastAsia"/>
          <w:color w:val="auto"/>
          <w:sz w:val="22"/>
          <w:szCs w:val="22"/>
          <w:highlight w:val="none"/>
        </w:rPr>
        <w:t>六、开标和评标</w:t>
      </w:r>
    </w:p>
    <w:p w14:paraId="3A9084E5">
      <w:pPr>
        <w:snapToGrid w:val="0"/>
        <w:spacing w:line="360" w:lineRule="exact"/>
        <w:ind w:firstLine="527"/>
        <w:rPr>
          <w:rFonts w:hint="eastAsia"/>
          <w:b/>
          <w:color w:val="auto"/>
          <w:sz w:val="22"/>
          <w:szCs w:val="22"/>
          <w:highlight w:val="none"/>
        </w:rPr>
      </w:pPr>
      <w:r>
        <w:rPr>
          <w:rFonts w:hint="eastAsia"/>
          <w:b/>
          <w:color w:val="auto"/>
          <w:sz w:val="22"/>
          <w:szCs w:val="22"/>
          <w:highlight w:val="none"/>
        </w:rPr>
        <w:t>一）开标</w:t>
      </w:r>
    </w:p>
    <w:p w14:paraId="3C49FC9E">
      <w:pPr>
        <w:snapToGrid w:val="0"/>
        <w:spacing w:line="360" w:lineRule="exact"/>
        <w:ind w:firstLine="527"/>
        <w:rPr>
          <w:rFonts w:hint="eastAsia"/>
          <w:b/>
          <w:color w:val="auto"/>
          <w:sz w:val="22"/>
          <w:szCs w:val="22"/>
          <w:highlight w:val="none"/>
        </w:rPr>
      </w:pPr>
      <w:r>
        <w:rPr>
          <w:rFonts w:hint="eastAsia"/>
          <w:b/>
          <w:color w:val="auto"/>
          <w:sz w:val="22"/>
          <w:szCs w:val="22"/>
          <w:highlight w:val="none"/>
        </w:rPr>
        <w:t>1、开标形式</w:t>
      </w:r>
    </w:p>
    <w:p w14:paraId="4C114B1D">
      <w:pPr>
        <w:snapToGrid w:val="0"/>
        <w:spacing w:line="360" w:lineRule="exact"/>
        <w:ind w:firstLine="527"/>
        <w:rPr>
          <w:rFonts w:hint="eastAsia"/>
          <w:color w:val="auto"/>
          <w:sz w:val="22"/>
          <w:szCs w:val="22"/>
          <w:highlight w:val="none"/>
        </w:rPr>
      </w:pPr>
      <w:r>
        <w:rPr>
          <w:rFonts w:hint="eastAsia"/>
          <w:color w:val="auto"/>
          <w:sz w:val="22"/>
          <w:szCs w:val="22"/>
          <w:highlight w:val="none"/>
        </w:rPr>
        <w:t>1.1 采购组织机构将按照招标文件规定的时间通过“政府采购云平台”组织开标、开启投标文件，所有供应商均应当准时在线参加。</w:t>
      </w:r>
    </w:p>
    <w:p w14:paraId="0F8632FC">
      <w:pPr>
        <w:snapToGrid w:val="0"/>
        <w:spacing w:line="360" w:lineRule="exact"/>
        <w:ind w:firstLine="527"/>
        <w:rPr>
          <w:rFonts w:hint="eastAsia"/>
          <w:b/>
          <w:color w:val="auto"/>
          <w:sz w:val="22"/>
          <w:szCs w:val="22"/>
          <w:highlight w:val="none"/>
        </w:rPr>
      </w:pPr>
      <w:r>
        <w:rPr>
          <w:rFonts w:hint="eastAsia"/>
          <w:b/>
          <w:color w:val="auto"/>
          <w:sz w:val="22"/>
          <w:szCs w:val="22"/>
          <w:highlight w:val="none"/>
        </w:rPr>
        <w:t>2、开标准备</w:t>
      </w:r>
    </w:p>
    <w:p w14:paraId="129ED1E1">
      <w:pPr>
        <w:snapToGrid w:val="0"/>
        <w:spacing w:line="360" w:lineRule="exact"/>
        <w:ind w:firstLine="527"/>
        <w:rPr>
          <w:rFonts w:hint="eastAsia"/>
          <w:color w:val="auto"/>
          <w:sz w:val="22"/>
          <w:szCs w:val="22"/>
          <w:highlight w:val="none"/>
        </w:rPr>
      </w:pPr>
      <w:r>
        <w:rPr>
          <w:rFonts w:hint="eastAsia"/>
          <w:color w:val="auto"/>
          <w:sz w:val="22"/>
          <w:szCs w:val="22"/>
          <w:highlight w:val="none"/>
        </w:rPr>
        <w:t>2.1开标的准备工作由采购组织机构负责落实；</w:t>
      </w:r>
    </w:p>
    <w:p w14:paraId="0913F3E7">
      <w:pPr>
        <w:snapToGrid w:val="0"/>
        <w:spacing w:line="360" w:lineRule="exact"/>
        <w:ind w:firstLine="527"/>
        <w:rPr>
          <w:rFonts w:hint="eastAsia"/>
          <w:color w:val="auto"/>
          <w:sz w:val="22"/>
          <w:szCs w:val="22"/>
          <w:highlight w:val="none"/>
        </w:rPr>
      </w:pPr>
      <w:r>
        <w:rPr>
          <w:rFonts w:hint="eastAsia"/>
          <w:color w:val="auto"/>
          <w:sz w:val="22"/>
          <w:szCs w:val="22"/>
          <w:highlight w:val="none"/>
        </w:rPr>
        <w:t>2.2采购组织机构将按照招标文件规定的时间通过“政府采购云平台”组织开标、开启投标文件，所有供应商均应当准时在线参加。供应商如不参加开标大会的，视同认可开标结果，事后不得对采购相关人员、开标过程和开标结果提出异议，同时供应商因未在线参加开标而导致投标文件无法按时解密等一切后果由供应商自己承担。</w:t>
      </w:r>
    </w:p>
    <w:p w14:paraId="1796E740">
      <w:pPr>
        <w:snapToGrid w:val="0"/>
        <w:spacing w:line="360" w:lineRule="exact"/>
        <w:ind w:firstLine="527"/>
        <w:rPr>
          <w:rFonts w:hint="eastAsia"/>
          <w:color w:val="auto"/>
          <w:sz w:val="22"/>
          <w:szCs w:val="22"/>
          <w:highlight w:val="none"/>
        </w:rPr>
      </w:pPr>
      <w:r>
        <w:rPr>
          <w:rFonts w:hint="eastAsia"/>
          <w:color w:val="auto"/>
          <w:sz w:val="22"/>
          <w:szCs w:val="22"/>
          <w:highlight w:val="none"/>
        </w:rPr>
        <w:t>3、开标流程（两阶段）</w:t>
      </w:r>
    </w:p>
    <w:p w14:paraId="057ED492">
      <w:pPr>
        <w:snapToGrid w:val="0"/>
        <w:spacing w:line="360" w:lineRule="exact"/>
        <w:ind w:firstLine="527"/>
        <w:rPr>
          <w:rFonts w:hint="eastAsia"/>
          <w:color w:val="auto"/>
          <w:sz w:val="22"/>
          <w:szCs w:val="22"/>
          <w:highlight w:val="none"/>
        </w:rPr>
      </w:pPr>
      <w:r>
        <w:rPr>
          <w:rFonts w:hint="eastAsia"/>
          <w:color w:val="auto"/>
          <w:sz w:val="22"/>
          <w:szCs w:val="22"/>
          <w:highlight w:val="none"/>
        </w:rPr>
        <w:t>3.1开标第一阶段</w:t>
      </w:r>
    </w:p>
    <w:p w14:paraId="6810F477">
      <w:pPr>
        <w:snapToGrid w:val="0"/>
        <w:spacing w:line="360" w:lineRule="exact"/>
        <w:ind w:firstLine="527"/>
        <w:rPr>
          <w:rFonts w:hint="eastAsia"/>
          <w:color w:val="auto"/>
          <w:sz w:val="22"/>
          <w:szCs w:val="22"/>
          <w:highlight w:val="none"/>
        </w:rPr>
      </w:pPr>
      <w:r>
        <w:rPr>
          <w:rFonts w:hint="eastAsia"/>
          <w:color w:val="auto"/>
          <w:sz w:val="22"/>
          <w:szCs w:val="22"/>
          <w:highlight w:val="none"/>
        </w:rPr>
        <w:t>（1）向各供应商发出电子加密投标文件【开始解密】通知，由供应商按招标文件规定的时间内自行进行投标文件解密。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26F205D4">
      <w:pPr>
        <w:snapToGrid w:val="0"/>
        <w:spacing w:line="360" w:lineRule="exact"/>
        <w:ind w:firstLine="527"/>
        <w:rPr>
          <w:rFonts w:hint="eastAsia"/>
          <w:color w:val="auto"/>
          <w:sz w:val="22"/>
          <w:szCs w:val="22"/>
          <w:highlight w:val="none"/>
        </w:rPr>
      </w:pPr>
      <w:r>
        <w:rPr>
          <w:rFonts w:hint="eastAsia"/>
          <w:color w:val="auto"/>
          <w:sz w:val="22"/>
          <w:szCs w:val="22"/>
          <w:highlight w:val="none"/>
        </w:rPr>
        <w:t>（2）投标文件解密结束，发送各供应商组织签署《政府采购活动现场确认声明书》；</w:t>
      </w:r>
    </w:p>
    <w:p w14:paraId="4BC7FC9C">
      <w:pPr>
        <w:snapToGrid w:val="0"/>
        <w:spacing w:line="360" w:lineRule="exact"/>
        <w:ind w:firstLine="527"/>
        <w:rPr>
          <w:rFonts w:hint="eastAsia"/>
          <w:color w:val="auto"/>
          <w:sz w:val="22"/>
          <w:szCs w:val="22"/>
          <w:highlight w:val="none"/>
        </w:rPr>
      </w:pPr>
      <w:r>
        <w:rPr>
          <w:rFonts w:hint="eastAsia"/>
          <w:color w:val="auto"/>
          <w:sz w:val="22"/>
          <w:szCs w:val="22"/>
          <w:highlight w:val="none"/>
        </w:rPr>
        <w:t>（3）开启投标文件，进入资格审查；</w:t>
      </w:r>
    </w:p>
    <w:p w14:paraId="2283B6BD">
      <w:pPr>
        <w:snapToGrid w:val="0"/>
        <w:spacing w:line="360" w:lineRule="exact"/>
        <w:ind w:firstLine="527"/>
        <w:rPr>
          <w:rFonts w:hint="eastAsia"/>
          <w:color w:val="auto"/>
          <w:sz w:val="22"/>
          <w:szCs w:val="22"/>
          <w:highlight w:val="none"/>
        </w:rPr>
      </w:pPr>
      <w:r>
        <w:rPr>
          <w:rFonts w:hint="eastAsia"/>
          <w:color w:val="auto"/>
          <w:sz w:val="22"/>
          <w:szCs w:val="22"/>
          <w:highlight w:val="none"/>
        </w:rPr>
        <w:t>（4）开启资格审查通过的供应商的商务技术文件进入符合性审查、商务技术评审；</w:t>
      </w:r>
    </w:p>
    <w:p w14:paraId="4299BB5A">
      <w:pPr>
        <w:snapToGrid w:val="0"/>
        <w:spacing w:line="360" w:lineRule="exact"/>
        <w:ind w:firstLine="527"/>
        <w:rPr>
          <w:rFonts w:hint="eastAsia"/>
          <w:color w:val="auto"/>
          <w:sz w:val="22"/>
          <w:szCs w:val="22"/>
          <w:highlight w:val="none"/>
        </w:rPr>
      </w:pPr>
      <w:r>
        <w:rPr>
          <w:rFonts w:hint="eastAsia"/>
          <w:color w:val="auto"/>
          <w:sz w:val="22"/>
          <w:szCs w:val="22"/>
          <w:highlight w:val="none"/>
        </w:rPr>
        <w:t>（5）第一阶段开标结束。</w:t>
      </w:r>
    </w:p>
    <w:p w14:paraId="3AC74BCB">
      <w:pPr>
        <w:snapToGrid w:val="0"/>
        <w:spacing w:line="360" w:lineRule="exact"/>
        <w:ind w:firstLine="527"/>
        <w:rPr>
          <w:rFonts w:hint="eastAsia"/>
          <w:color w:val="auto"/>
          <w:sz w:val="22"/>
          <w:szCs w:val="22"/>
          <w:highlight w:val="none"/>
        </w:rPr>
      </w:pPr>
      <w:r>
        <w:rPr>
          <w:rFonts w:hint="eastAsia"/>
          <w:color w:val="auto"/>
          <w:sz w:val="22"/>
          <w:szCs w:val="22"/>
          <w:highlight w:val="none"/>
        </w:rPr>
        <w:t>备注：开标大会的第一阶段结束后，采购人或采购代理机构将对依法对供应商的资格进行审查，资格审查结束后进入符合性审查和商务技术的评审工作，具体见本章节“供应商资格审查”相关规定。</w:t>
      </w:r>
    </w:p>
    <w:p w14:paraId="476ADC98">
      <w:pPr>
        <w:snapToGrid w:val="0"/>
        <w:spacing w:line="360" w:lineRule="exact"/>
        <w:ind w:firstLine="527"/>
        <w:rPr>
          <w:rFonts w:hint="eastAsia"/>
          <w:color w:val="auto"/>
          <w:sz w:val="22"/>
          <w:szCs w:val="22"/>
          <w:highlight w:val="none"/>
        </w:rPr>
      </w:pPr>
      <w:r>
        <w:rPr>
          <w:rFonts w:hint="eastAsia"/>
          <w:color w:val="auto"/>
          <w:sz w:val="22"/>
          <w:szCs w:val="22"/>
          <w:highlight w:val="none"/>
        </w:rPr>
        <w:t>3.2开标大会第二阶段</w:t>
      </w:r>
    </w:p>
    <w:p w14:paraId="093AC8B4">
      <w:pPr>
        <w:snapToGrid w:val="0"/>
        <w:spacing w:line="360" w:lineRule="exact"/>
        <w:ind w:firstLine="527"/>
        <w:rPr>
          <w:rFonts w:hint="eastAsia"/>
          <w:color w:val="auto"/>
          <w:sz w:val="22"/>
          <w:szCs w:val="22"/>
          <w:highlight w:val="none"/>
        </w:rPr>
      </w:pPr>
      <w:r>
        <w:rPr>
          <w:rFonts w:hint="eastAsia"/>
          <w:color w:val="auto"/>
          <w:sz w:val="22"/>
          <w:szCs w:val="22"/>
          <w:highlight w:val="none"/>
        </w:rPr>
        <w:t>（1）符合性审查、商务技术评审结束后，举行开标大会第二阶段会议。首先公布符合性审查、商务技术评审无效供应商名称及理由；公布经商务技术评审后有效供应商的名单，同时公布其商务技术部分得分情况。</w:t>
      </w:r>
    </w:p>
    <w:p w14:paraId="0CCA5575">
      <w:pPr>
        <w:snapToGrid w:val="0"/>
        <w:spacing w:line="360" w:lineRule="exact"/>
        <w:ind w:firstLine="527"/>
        <w:rPr>
          <w:rFonts w:hint="eastAsia"/>
          <w:color w:val="auto"/>
          <w:sz w:val="22"/>
          <w:szCs w:val="22"/>
          <w:highlight w:val="none"/>
        </w:rPr>
      </w:pPr>
      <w:r>
        <w:rPr>
          <w:rFonts w:hint="eastAsia"/>
          <w:color w:val="auto"/>
          <w:sz w:val="22"/>
          <w:szCs w:val="22"/>
          <w:highlight w:val="none"/>
        </w:rPr>
        <w:t>（2）开启符合性审查、商务技术评审有效供应商的《报价文件》，公布开标一览表有关内容。供应商签字确认（不予确认的应说明理由，否则视为无异议）唱标结束后，由评标委员会对报价的合理性、准确性等进行审查核实。</w:t>
      </w:r>
    </w:p>
    <w:p w14:paraId="25BCDC7A">
      <w:pPr>
        <w:snapToGrid w:val="0"/>
        <w:spacing w:line="360" w:lineRule="exact"/>
        <w:ind w:firstLine="527"/>
        <w:rPr>
          <w:rFonts w:hint="eastAsia"/>
          <w:color w:val="auto"/>
          <w:sz w:val="22"/>
          <w:szCs w:val="22"/>
          <w:highlight w:val="none"/>
        </w:rPr>
      </w:pPr>
      <w:r>
        <w:rPr>
          <w:rFonts w:hint="eastAsia"/>
          <w:color w:val="auto"/>
          <w:sz w:val="22"/>
          <w:szCs w:val="22"/>
          <w:highlight w:val="none"/>
        </w:rPr>
        <w:t>（3）评审结束后，公布中标候选供应商名单，及采购人最终确定中标或中标供应商名单的时间和公告方式等。</w:t>
      </w:r>
    </w:p>
    <w:p w14:paraId="5AB29BF0">
      <w:pPr>
        <w:snapToGrid w:val="0"/>
        <w:spacing w:line="360" w:lineRule="exact"/>
        <w:ind w:firstLine="527"/>
        <w:rPr>
          <w:rFonts w:hint="eastAsia"/>
          <w:b/>
          <w:color w:val="auto"/>
          <w:sz w:val="22"/>
          <w:szCs w:val="22"/>
          <w:highlight w:val="none"/>
        </w:rPr>
      </w:pPr>
      <w:r>
        <w:rPr>
          <w:rFonts w:hint="eastAsia"/>
          <w:b/>
          <w:color w:val="auto"/>
          <w:sz w:val="22"/>
          <w:szCs w:val="22"/>
          <w:highlight w:val="none"/>
        </w:rPr>
        <w:t>特别说明：如遇“政府采购云平台”电子化开标或评审程序调整的，按调整后程序执行。</w:t>
      </w:r>
    </w:p>
    <w:p w14:paraId="54D6ED4E">
      <w:pPr>
        <w:snapToGrid w:val="0"/>
        <w:spacing w:line="360" w:lineRule="exact"/>
        <w:ind w:firstLine="527"/>
        <w:rPr>
          <w:rFonts w:hint="eastAsia"/>
          <w:b/>
          <w:color w:val="auto"/>
          <w:sz w:val="22"/>
          <w:szCs w:val="22"/>
          <w:highlight w:val="none"/>
        </w:rPr>
      </w:pPr>
      <w:bookmarkStart w:id="8" w:name="_Toc33194393"/>
      <w:bookmarkStart w:id="9" w:name="_Toc24550037"/>
      <w:r>
        <w:rPr>
          <w:rFonts w:hint="eastAsia"/>
          <w:b/>
          <w:color w:val="auto"/>
          <w:sz w:val="22"/>
          <w:szCs w:val="22"/>
          <w:highlight w:val="none"/>
        </w:rPr>
        <w:t>4、供应商资格审查</w:t>
      </w:r>
      <w:bookmarkEnd w:id="8"/>
      <w:bookmarkEnd w:id="9"/>
    </w:p>
    <w:p w14:paraId="06E03AD3">
      <w:pPr>
        <w:snapToGrid w:val="0"/>
        <w:spacing w:line="360" w:lineRule="exact"/>
        <w:ind w:firstLine="527"/>
        <w:rPr>
          <w:rFonts w:hint="eastAsia"/>
          <w:color w:val="auto"/>
          <w:sz w:val="22"/>
          <w:szCs w:val="22"/>
          <w:highlight w:val="none"/>
        </w:rPr>
      </w:pPr>
      <w:r>
        <w:rPr>
          <w:rFonts w:hint="eastAsia"/>
          <w:color w:val="auto"/>
          <w:sz w:val="22"/>
          <w:szCs w:val="22"/>
          <w:highlight w:val="none"/>
        </w:rPr>
        <w:t>4.1开标大会第一阶段结束后，采购人或采购代理机构首先依法对各供应商的资格进行审查，审查各供应商的资格是否满足招标文件的要求。采购人或采购代理机构对供应商所提交的资格证明材料仅负审核的责任。如发现供应商所提交的资格证明材料不合法或与事实不符，采购人可取消其中标资格并追究供应商的法律责任。</w:t>
      </w:r>
    </w:p>
    <w:p w14:paraId="7C94A2C1">
      <w:pPr>
        <w:snapToGrid w:val="0"/>
        <w:spacing w:line="360" w:lineRule="exact"/>
        <w:ind w:firstLine="527"/>
        <w:rPr>
          <w:rFonts w:hint="eastAsia"/>
          <w:color w:val="auto"/>
          <w:sz w:val="22"/>
          <w:szCs w:val="22"/>
          <w:highlight w:val="none"/>
        </w:rPr>
      </w:pPr>
      <w:r>
        <w:rPr>
          <w:rFonts w:hint="eastAsia"/>
          <w:color w:val="auto"/>
          <w:sz w:val="22"/>
          <w:szCs w:val="22"/>
          <w:highlight w:val="none"/>
        </w:rPr>
        <w:t>4.2供应商提交的资格证明材料无法证明其符合招标文件规定的“供应商资格要求”的，采购人或采购代理机构将对其作资格审查不通过处理（无效投标），并不再将其投标提交评标委员会进行后续评审。</w:t>
      </w:r>
    </w:p>
    <w:p w14:paraId="15FAE2E2">
      <w:pPr>
        <w:snapToGrid w:val="0"/>
        <w:spacing w:line="360" w:lineRule="exact"/>
        <w:ind w:firstLine="527"/>
        <w:rPr>
          <w:rFonts w:hint="eastAsia"/>
          <w:color w:val="auto"/>
          <w:sz w:val="22"/>
          <w:szCs w:val="22"/>
          <w:highlight w:val="none"/>
        </w:rPr>
      </w:pPr>
      <w:r>
        <w:rPr>
          <w:rFonts w:hint="eastAsia"/>
          <w:color w:val="auto"/>
          <w:sz w:val="22"/>
          <w:szCs w:val="22"/>
          <w:highlight w:val="none"/>
        </w:rPr>
        <w:t>4.3单位负责人为同一人或者存在直接控股、管理关系的不同供应商参加同一合同项下的政府采购活动的，相关供应商均作资格无效处理。</w:t>
      </w:r>
    </w:p>
    <w:p w14:paraId="4D1FB35E">
      <w:pPr>
        <w:snapToGrid w:val="0"/>
        <w:spacing w:line="360" w:lineRule="exact"/>
        <w:ind w:firstLine="527"/>
        <w:rPr>
          <w:rFonts w:hint="eastAsia"/>
          <w:b/>
          <w:color w:val="auto"/>
          <w:sz w:val="22"/>
          <w:szCs w:val="22"/>
          <w:highlight w:val="none"/>
        </w:rPr>
      </w:pPr>
      <w:r>
        <w:rPr>
          <w:rFonts w:hint="eastAsia"/>
          <w:b/>
          <w:color w:val="auto"/>
          <w:sz w:val="22"/>
          <w:szCs w:val="22"/>
          <w:highlight w:val="none"/>
        </w:rPr>
        <w:t>二）评标</w:t>
      </w:r>
    </w:p>
    <w:p w14:paraId="44E4AC13">
      <w:pPr>
        <w:snapToGrid w:val="0"/>
        <w:spacing w:line="360" w:lineRule="exact"/>
        <w:ind w:firstLine="527"/>
        <w:rPr>
          <w:rFonts w:hint="eastAsia"/>
          <w:color w:val="auto"/>
          <w:sz w:val="22"/>
          <w:szCs w:val="22"/>
          <w:highlight w:val="none"/>
        </w:rPr>
      </w:pPr>
      <w:r>
        <w:rPr>
          <w:rFonts w:hint="eastAsia"/>
          <w:color w:val="auto"/>
          <w:sz w:val="22"/>
          <w:szCs w:val="22"/>
          <w:highlight w:val="none"/>
        </w:rPr>
        <w:t>2.1评标由采购人依法组建的评标委员会负责，并独立履行下列职责：</w:t>
      </w:r>
    </w:p>
    <w:p w14:paraId="7AD6EDD0">
      <w:pPr>
        <w:snapToGrid w:val="0"/>
        <w:spacing w:line="360" w:lineRule="exact"/>
        <w:ind w:firstLine="527"/>
        <w:rPr>
          <w:rFonts w:hint="eastAsia"/>
          <w:color w:val="auto"/>
          <w:sz w:val="22"/>
          <w:szCs w:val="22"/>
          <w:highlight w:val="none"/>
        </w:rPr>
      </w:pPr>
      <w:r>
        <w:rPr>
          <w:rFonts w:hint="eastAsia"/>
          <w:color w:val="auto"/>
          <w:sz w:val="22"/>
          <w:szCs w:val="22"/>
          <w:highlight w:val="none"/>
        </w:rPr>
        <w:t>1）审查投标文件是否符合招标文件要求，并作出评价；</w:t>
      </w:r>
    </w:p>
    <w:p w14:paraId="15376A25">
      <w:pPr>
        <w:snapToGrid w:val="0"/>
        <w:spacing w:line="360" w:lineRule="exact"/>
        <w:ind w:firstLine="527"/>
        <w:rPr>
          <w:rFonts w:hint="eastAsia"/>
          <w:color w:val="auto"/>
          <w:sz w:val="22"/>
          <w:szCs w:val="22"/>
          <w:highlight w:val="none"/>
        </w:rPr>
      </w:pPr>
      <w:r>
        <w:rPr>
          <w:rFonts w:hint="eastAsia"/>
          <w:color w:val="auto"/>
          <w:sz w:val="22"/>
          <w:szCs w:val="22"/>
          <w:highlight w:val="none"/>
        </w:rPr>
        <w:t>2）要求供应商对投标文件有关事项作出解释或者澄清；</w:t>
      </w:r>
    </w:p>
    <w:p w14:paraId="2D7BC97B">
      <w:pPr>
        <w:snapToGrid w:val="0"/>
        <w:spacing w:line="360" w:lineRule="exact"/>
        <w:ind w:firstLine="527"/>
        <w:rPr>
          <w:rFonts w:hint="eastAsia"/>
          <w:color w:val="auto"/>
          <w:sz w:val="22"/>
          <w:szCs w:val="22"/>
          <w:highlight w:val="none"/>
        </w:rPr>
      </w:pPr>
      <w:r>
        <w:rPr>
          <w:rFonts w:hint="eastAsia"/>
          <w:color w:val="auto"/>
          <w:sz w:val="22"/>
          <w:szCs w:val="22"/>
          <w:highlight w:val="none"/>
        </w:rPr>
        <w:t>3）根据采购人授权确定中标供应商；</w:t>
      </w:r>
    </w:p>
    <w:p w14:paraId="3EF2411F">
      <w:pPr>
        <w:snapToGrid w:val="0"/>
        <w:spacing w:line="360" w:lineRule="exact"/>
        <w:ind w:firstLine="431" w:firstLineChars="196"/>
        <w:rPr>
          <w:rFonts w:hint="eastAsia"/>
          <w:color w:val="auto"/>
          <w:sz w:val="22"/>
          <w:szCs w:val="22"/>
          <w:highlight w:val="none"/>
        </w:rPr>
      </w:pPr>
      <w:r>
        <w:rPr>
          <w:rFonts w:hint="eastAsia"/>
          <w:color w:val="auto"/>
          <w:sz w:val="22"/>
          <w:szCs w:val="22"/>
          <w:highlight w:val="none"/>
        </w:rPr>
        <w:t>4）向采购代理机构或者有关部门报告非法干预评标工作的行为。</w:t>
      </w:r>
    </w:p>
    <w:p w14:paraId="69793AAB">
      <w:pPr>
        <w:snapToGrid w:val="0"/>
        <w:spacing w:line="360" w:lineRule="exact"/>
        <w:ind w:firstLine="431" w:firstLineChars="196"/>
        <w:rPr>
          <w:rFonts w:hint="eastAsia"/>
          <w:color w:val="auto"/>
          <w:sz w:val="22"/>
          <w:szCs w:val="22"/>
          <w:highlight w:val="none"/>
        </w:rPr>
      </w:pPr>
      <w:r>
        <w:rPr>
          <w:rFonts w:hint="eastAsia"/>
          <w:color w:val="auto"/>
          <w:sz w:val="22"/>
          <w:szCs w:val="22"/>
          <w:highlight w:val="none"/>
        </w:rPr>
        <w:t>2.2、评标应当遵循下列工作程序：</w:t>
      </w:r>
    </w:p>
    <w:p w14:paraId="50B08425">
      <w:pPr>
        <w:snapToGrid w:val="0"/>
        <w:spacing w:line="360" w:lineRule="exact"/>
        <w:rPr>
          <w:rFonts w:hint="eastAsia"/>
          <w:b/>
          <w:color w:val="auto"/>
          <w:sz w:val="22"/>
          <w:szCs w:val="22"/>
          <w:highlight w:val="none"/>
          <w:u w:val="single"/>
        </w:rPr>
      </w:pPr>
      <w:r>
        <w:rPr>
          <w:rFonts w:hint="eastAsia"/>
          <w:color w:val="auto"/>
          <w:sz w:val="22"/>
          <w:szCs w:val="22"/>
          <w:highlight w:val="none"/>
        </w:rPr>
        <w:t xml:space="preserve">    1）投标文件初审。初审分为资格性检查和符合性检查。</w:t>
      </w:r>
    </w:p>
    <w:p w14:paraId="0CD13974">
      <w:pPr>
        <w:snapToGrid w:val="0"/>
        <w:spacing w:line="360" w:lineRule="exact"/>
        <w:rPr>
          <w:rFonts w:hint="eastAsia"/>
          <w:color w:val="auto"/>
          <w:sz w:val="22"/>
          <w:szCs w:val="22"/>
          <w:highlight w:val="none"/>
        </w:rPr>
      </w:pPr>
      <w:r>
        <w:rPr>
          <w:rFonts w:hint="eastAsia"/>
          <w:color w:val="auto"/>
          <w:sz w:val="22"/>
          <w:szCs w:val="22"/>
          <w:highlight w:val="none"/>
        </w:rPr>
        <w:t xml:space="preserve">   （1)资格性检查。依据法律法规和招标文件的规定，对投标文件中的供应商资格文件等进行审查，以确定供应商是否具备投标资格。</w:t>
      </w:r>
    </w:p>
    <w:p w14:paraId="58068AD1">
      <w:pPr>
        <w:snapToGrid w:val="0"/>
        <w:spacing w:line="360" w:lineRule="exact"/>
        <w:rPr>
          <w:rFonts w:hint="eastAsia"/>
          <w:color w:val="auto"/>
          <w:sz w:val="22"/>
          <w:szCs w:val="22"/>
          <w:highlight w:val="none"/>
        </w:rPr>
      </w:pPr>
      <w:r>
        <w:rPr>
          <w:rFonts w:hint="eastAsia"/>
          <w:color w:val="auto"/>
          <w:sz w:val="22"/>
          <w:szCs w:val="22"/>
          <w:highlight w:val="none"/>
        </w:rPr>
        <w:t xml:space="preserve">   （2)符合性检查。依据招标文件的规定，从投标文件的有效性、完整性和对招标文件的响应程度进行审查，以确定是否对招标文件的实质性要求作出响应。</w:t>
      </w:r>
    </w:p>
    <w:p w14:paraId="46BB2A52">
      <w:pPr>
        <w:snapToGrid w:val="0"/>
        <w:spacing w:line="360" w:lineRule="exact"/>
        <w:rPr>
          <w:rFonts w:hint="eastAsia"/>
          <w:color w:val="auto"/>
          <w:sz w:val="22"/>
          <w:szCs w:val="22"/>
          <w:highlight w:val="none"/>
        </w:rPr>
      </w:pPr>
      <w:r>
        <w:rPr>
          <w:rFonts w:hint="eastAsia"/>
          <w:color w:val="auto"/>
          <w:sz w:val="22"/>
          <w:szCs w:val="22"/>
          <w:highlight w:val="none"/>
        </w:rPr>
        <w:t xml:space="preserve">    2）澄清有关问题。对投标文件中含义不明确、同类问题表述不一致或者有明显文字和计算错误的内容，评标委员会可以书面形式要求供应商作出必要的澄清、说明或者纠正。供应商的澄清、说明或者补正应当采用书面形式，由其授权的代表签字，并不得超出投标文件的范围或者改变投标文件的实质性内容。</w:t>
      </w:r>
    </w:p>
    <w:p w14:paraId="2235AB95">
      <w:pPr>
        <w:snapToGrid w:val="0"/>
        <w:spacing w:line="360" w:lineRule="exact"/>
        <w:ind w:firstLine="450"/>
        <w:rPr>
          <w:rFonts w:hint="eastAsia"/>
          <w:color w:val="auto"/>
          <w:sz w:val="22"/>
          <w:szCs w:val="22"/>
          <w:highlight w:val="none"/>
        </w:rPr>
      </w:pPr>
      <w:r>
        <w:rPr>
          <w:rFonts w:hint="eastAsia"/>
          <w:color w:val="auto"/>
          <w:sz w:val="22"/>
          <w:szCs w:val="22"/>
          <w:highlight w:val="none"/>
        </w:rPr>
        <w:t>3）比较与评价。按招标文件中规定的评标方法和标准，对资格性检查和符合性检查合格的投标文件进行综合评估，综合比较与评价。</w:t>
      </w:r>
    </w:p>
    <w:p w14:paraId="603A46CB">
      <w:pPr>
        <w:pStyle w:val="37"/>
        <w:adjustRightInd w:val="0"/>
        <w:snapToGrid w:val="0"/>
        <w:spacing w:line="360" w:lineRule="exact"/>
        <w:ind w:firstLine="440" w:firstLineChars="200"/>
        <w:rPr>
          <w:rFonts w:hint="eastAsia" w:hAnsi="宋体" w:cs="宋体"/>
          <w:b/>
          <w:color w:val="auto"/>
          <w:sz w:val="22"/>
          <w:szCs w:val="22"/>
          <w:highlight w:val="none"/>
          <w:u w:val="single"/>
        </w:rPr>
      </w:pPr>
      <w:r>
        <w:rPr>
          <w:rFonts w:hint="eastAsia" w:hAnsi="宋体" w:cs="宋体"/>
          <w:color w:val="auto"/>
          <w:sz w:val="22"/>
          <w:szCs w:val="22"/>
          <w:highlight w:val="none"/>
        </w:rPr>
        <w:t>2.3、</w:t>
      </w:r>
      <w:r>
        <w:rPr>
          <w:rFonts w:hint="eastAsia" w:hAnsi="宋体" w:cs="宋体"/>
          <w:b/>
          <w:color w:val="auto"/>
          <w:sz w:val="22"/>
          <w:szCs w:val="22"/>
          <w:highlight w:val="none"/>
          <w:u w:val="single"/>
        </w:rPr>
        <w:t>评标委员会发现投标文件有下列情形之一的属于重大偏差(评标委员会按少数服从多数原则认定),按照无效投标处理：</w:t>
      </w:r>
    </w:p>
    <w:p w14:paraId="47C0B6FB">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1）未按招标文件要求编制或字迹模糊、辨认不清的投标文件；</w:t>
      </w:r>
    </w:p>
    <w:p w14:paraId="516AA465">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2）投标文件存在一个或一个以上备选（替代）供应商案的；仅提交“备份投标文件”的；</w:t>
      </w:r>
    </w:p>
    <w:p w14:paraId="11B803EF">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3）没有按招标文件格式要求加盖有效公章、无法定代表人（负责人）（或授权代表）签字或印章（具体格式见招标文件附件—投标文件格式）；</w:t>
      </w:r>
    </w:p>
    <w:p w14:paraId="55B5CD5E">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4）投标文件未有效授权，法定代表人（负责人）授权委托书等填写不完整或有涂改的；</w:t>
      </w:r>
    </w:p>
    <w:p w14:paraId="43ECA29E">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5）供应商商务技术投标文件中出现投标产品的本项目报价；</w:t>
      </w:r>
    </w:p>
    <w:p w14:paraId="7D5C8D3A">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6）文件组成内容不齐全，本招标文件规定必须提供而未提供的（属于资格审查范围的除外）；明显不符合要求的投标文件；</w:t>
      </w:r>
    </w:p>
    <w:p w14:paraId="59931A70">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7）付款方式、服务期出现负偏差的；</w:t>
      </w:r>
    </w:p>
    <w:p w14:paraId="1A8AFE42">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8）投标文件附有采购人不能接受的条款；</w:t>
      </w:r>
    </w:p>
    <w:p w14:paraId="2070CB74">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9）不符合招标文件中规定的实质性要求的投标文件，是否为偏离实质性要求由评标委员会认定。</w:t>
      </w:r>
    </w:p>
    <w:p w14:paraId="343F6C71">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10）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2AAD32CD">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11）有下列情形之一的，视为供应商串通投标，其投标无效：</w:t>
      </w:r>
    </w:p>
    <w:p w14:paraId="27A623E1">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　　（一）不同供应商的投标文件由同一单位或者个人编制；</w:t>
      </w:r>
    </w:p>
    <w:p w14:paraId="5FCFA1A5">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　　（二）不同供应商委托同一单位或者个人办理投标事宜；</w:t>
      </w:r>
    </w:p>
    <w:p w14:paraId="1CC480E6">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　　（三）不同供应商的投标文件载明的项目管理成员或者联系人员为同一人；</w:t>
      </w:r>
    </w:p>
    <w:p w14:paraId="14B3A417">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　　（四）不同供应商的投标文件异常一致或者投标报价呈规律性差异；</w:t>
      </w:r>
    </w:p>
    <w:p w14:paraId="04D8D517">
      <w:pPr>
        <w:pStyle w:val="37"/>
        <w:adjustRightInd w:val="0"/>
        <w:snapToGrid w:val="0"/>
        <w:spacing w:line="360" w:lineRule="exact"/>
        <w:ind w:firstLine="431" w:firstLineChars="196"/>
        <w:rPr>
          <w:rFonts w:hint="eastAsia" w:hAnsi="宋体" w:cs="宋体"/>
          <w:color w:val="auto"/>
          <w:sz w:val="22"/>
          <w:szCs w:val="22"/>
          <w:highlight w:val="none"/>
        </w:rPr>
      </w:pPr>
      <w:r>
        <w:rPr>
          <w:rFonts w:hint="eastAsia" w:hAnsi="宋体" w:cs="宋体"/>
          <w:color w:val="auto"/>
          <w:sz w:val="22"/>
          <w:szCs w:val="22"/>
          <w:highlight w:val="none"/>
        </w:rPr>
        <w:t>　　（五）不同供应商的投标文件相互混装；</w:t>
      </w:r>
    </w:p>
    <w:p w14:paraId="47019021">
      <w:pPr>
        <w:pStyle w:val="37"/>
        <w:adjustRightInd w:val="0"/>
        <w:snapToGrid w:val="0"/>
        <w:spacing w:line="360" w:lineRule="exact"/>
        <w:ind w:firstLine="871" w:firstLineChars="396"/>
        <w:rPr>
          <w:rFonts w:hint="eastAsia" w:hAnsi="宋体" w:cs="宋体"/>
          <w:color w:val="auto"/>
          <w:sz w:val="22"/>
          <w:szCs w:val="22"/>
          <w:highlight w:val="none"/>
        </w:rPr>
      </w:pPr>
      <w:r>
        <w:rPr>
          <w:rFonts w:hint="eastAsia" w:hAnsi="宋体" w:cs="宋体"/>
          <w:color w:val="auto"/>
          <w:sz w:val="22"/>
          <w:szCs w:val="22"/>
          <w:highlight w:val="none"/>
          <w:lang w:eastAsia="zh-CN"/>
        </w:rPr>
        <w:t>（</w:t>
      </w:r>
      <w:r>
        <w:rPr>
          <w:rFonts w:hint="eastAsia" w:hAnsi="宋体" w:cs="宋体"/>
          <w:color w:val="auto"/>
          <w:sz w:val="22"/>
          <w:szCs w:val="22"/>
          <w:highlight w:val="none"/>
          <w:lang w:val="en-US" w:eastAsia="zh-CN"/>
        </w:rPr>
        <w:t>六）</w:t>
      </w:r>
      <w:r>
        <w:rPr>
          <w:rFonts w:hint="eastAsia" w:hAnsi="宋体" w:cs="宋体"/>
          <w:color w:val="auto"/>
          <w:sz w:val="22"/>
          <w:szCs w:val="22"/>
          <w:highlight w:val="none"/>
        </w:rPr>
        <w:t>不同供应商的</w:t>
      </w:r>
      <w:r>
        <w:rPr>
          <w:rFonts w:hint="eastAsia" w:ascii="Times New Roman" w:eastAsia="宋体"/>
          <w:color w:val="auto"/>
          <w:sz w:val="22"/>
          <w:highlight w:val="none"/>
          <w:lang w:val="en-US" w:eastAsia="zh-CN"/>
        </w:rPr>
        <w:t>IP地址、MAC地址等存在异常一致</w:t>
      </w:r>
      <w:r>
        <w:rPr>
          <w:color w:val="auto"/>
          <w:sz w:val="22"/>
          <w:highlight w:val="none"/>
        </w:rPr>
        <w:t>情况的；</w:t>
      </w:r>
      <w:r>
        <w:rPr>
          <w:rFonts w:hint="eastAsia" w:hAnsi="宋体" w:cs="宋体"/>
          <w:color w:val="auto"/>
          <w:sz w:val="22"/>
          <w:szCs w:val="22"/>
          <w:highlight w:val="none"/>
        </w:rPr>
        <w:t>　　</w:t>
      </w:r>
    </w:p>
    <w:p w14:paraId="66BCFA54">
      <w:pPr>
        <w:pStyle w:val="37"/>
        <w:adjustRightInd w:val="0"/>
        <w:snapToGrid w:val="0"/>
        <w:spacing w:line="360" w:lineRule="exact"/>
        <w:ind w:firstLine="431" w:firstLineChars="196"/>
        <w:rPr>
          <w:rFonts w:hint="eastAsia" w:hAnsi="宋体" w:cs="宋体"/>
          <w:color w:val="auto"/>
          <w:sz w:val="22"/>
          <w:szCs w:val="22"/>
          <w:highlight w:val="none"/>
          <w:u w:val="single"/>
        </w:rPr>
      </w:pPr>
      <w:r>
        <w:rPr>
          <w:rFonts w:hint="eastAsia" w:hAnsi="宋体" w:cs="宋体"/>
          <w:color w:val="auto"/>
          <w:sz w:val="22"/>
          <w:szCs w:val="22"/>
          <w:highlight w:val="none"/>
        </w:rPr>
        <w:t>12）其他经评标委员会认定的未能在实质上响应的或违反国家有关规定的投标文件。</w:t>
      </w:r>
    </w:p>
    <w:p w14:paraId="6551888E">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2.4、实质上没有响应招标文件要求的投标将被拒绝。供应商不得通过修正或撤消不合要求的偏离从而使其投标成为实质上响应的投标。</w:t>
      </w:r>
    </w:p>
    <w:p w14:paraId="34BF62F8">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2.5、评标委员会对投标文件的判定，只依据投标内容本身，不依靠开标后的任何外来证明。</w:t>
      </w:r>
    </w:p>
    <w:p w14:paraId="3C90F436">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2.6、评标委员会在评标中，不得改变招标文件中规定的评标标准、方法和中标条件。</w:t>
      </w:r>
    </w:p>
    <w:p w14:paraId="027591E3">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3.投标文件的澄清</w:t>
      </w:r>
    </w:p>
    <w:p w14:paraId="777B8150">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3.1对于投标文件中含义不明确、同类问题表述不一致或者有明显文字和计算错误的内容，评标委员会将以书面形式（或通过“政府采购云平台”在线询标）的形式要求供应商在规定的时间内作出必要的澄清、说明或者补正，供应商澄清、说明或补正时间为30分钟。</w:t>
      </w:r>
    </w:p>
    <w:p w14:paraId="5A164069">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3.2供应商的澄清、说明或者补正应当采用书面（或通过“政府采购云平台”在线答复）形式提交，并加盖公章，或者由法定代表人（负责人）或其授权的代表签字。供应商的澄清、说明或者补正不得超出投标文件的范围或者改变投标文件的实质性内容。</w:t>
      </w:r>
    </w:p>
    <w:p w14:paraId="64926093">
      <w:pPr>
        <w:adjustRightInd w:val="0"/>
        <w:snapToGrid w:val="0"/>
        <w:spacing w:line="360" w:lineRule="exact"/>
        <w:ind w:firstLine="442" w:firstLineChars="200"/>
        <w:rPr>
          <w:rFonts w:hint="eastAsia"/>
          <w:b/>
          <w:color w:val="auto"/>
          <w:sz w:val="22"/>
          <w:szCs w:val="22"/>
          <w:highlight w:val="none"/>
        </w:rPr>
      </w:pPr>
      <w:r>
        <w:rPr>
          <w:rFonts w:hint="eastAsia"/>
          <w:b/>
          <w:color w:val="auto"/>
          <w:sz w:val="22"/>
          <w:szCs w:val="22"/>
          <w:highlight w:val="none"/>
        </w:rPr>
        <w:t>4、在采购中，出现下列情形之一的，应予废标：</w:t>
      </w:r>
    </w:p>
    <w:p w14:paraId="5EF43535">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 xml:space="preserve">(1) 截止时间及评审期间，出现有效供应商不足三家的，作流（废）标处理，并重新组织招标。 </w:t>
      </w:r>
    </w:p>
    <w:p w14:paraId="57125F63">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(2)出现影响采购公正的违法、违规行为的；</w:t>
      </w:r>
    </w:p>
    <w:p w14:paraId="086CEC17">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(3)报价均超过预算，不能支付的；</w:t>
      </w:r>
    </w:p>
    <w:p w14:paraId="3D155ED5">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(4)因重大变故，采购任务取消的。</w:t>
      </w:r>
    </w:p>
    <w:p w14:paraId="5FBFEDBD">
      <w:pPr>
        <w:adjustRightInd w:val="0"/>
        <w:snapToGrid w:val="0"/>
        <w:spacing w:line="360" w:lineRule="exact"/>
        <w:ind w:firstLine="442" w:firstLineChars="200"/>
        <w:rPr>
          <w:rFonts w:hint="eastAsia"/>
          <w:b/>
          <w:color w:val="auto"/>
          <w:sz w:val="22"/>
          <w:szCs w:val="22"/>
          <w:highlight w:val="none"/>
        </w:rPr>
      </w:pPr>
      <w:r>
        <w:rPr>
          <w:rFonts w:hint="eastAsia"/>
          <w:b/>
          <w:color w:val="auto"/>
          <w:sz w:val="22"/>
          <w:szCs w:val="22"/>
          <w:highlight w:val="none"/>
        </w:rPr>
        <w:t>5、可中止电子交易活动的情形</w:t>
      </w:r>
    </w:p>
    <w:p w14:paraId="18A6804B">
      <w:pPr>
        <w:adjustRightInd w:val="0"/>
        <w:snapToGrid w:val="0"/>
        <w:spacing w:line="360" w:lineRule="exact"/>
        <w:ind w:firstLine="442" w:firstLineChars="200"/>
        <w:rPr>
          <w:rFonts w:hint="eastAsia"/>
          <w:b/>
          <w:color w:val="auto"/>
          <w:sz w:val="22"/>
          <w:szCs w:val="22"/>
          <w:highlight w:val="none"/>
        </w:rPr>
      </w:pPr>
      <w:r>
        <w:rPr>
          <w:rFonts w:hint="eastAsia"/>
          <w:b/>
          <w:color w:val="auto"/>
          <w:sz w:val="22"/>
          <w:szCs w:val="22"/>
          <w:highlight w:val="none"/>
        </w:rPr>
        <w:t>采购过程中出现以下情形，导致电子交易平台无法正常运行，或者无法保证电子交易的公平、公正和安全时，采购组织机构可中止电子交易活动：</w:t>
      </w:r>
    </w:p>
    <w:p w14:paraId="7D3EE333">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1）电子交易平台发生故障而无法登录访问的；</w:t>
      </w:r>
    </w:p>
    <w:p w14:paraId="0D34C2F7">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2）电子交易平台应用或数据库出现错误，不能进行正常操作的；</w:t>
      </w:r>
    </w:p>
    <w:p w14:paraId="70604702">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3）电子交易平台发现严重安全漏洞，有潜在泄密危险的；</w:t>
      </w:r>
    </w:p>
    <w:p w14:paraId="04DC4416">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4）病毒发作导致不能进行正常操作的；</w:t>
      </w:r>
    </w:p>
    <w:p w14:paraId="3AC6037D">
      <w:pPr>
        <w:adjustRightInd w:val="0"/>
        <w:snapToGrid w:val="0"/>
        <w:spacing w:line="360" w:lineRule="exact"/>
        <w:ind w:firstLine="440" w:firstLineChars="200"/>
        <w:rPr>
          <w:rFonts w:hint="eastAsia"/>
          <w:color w:val="auto"/>
          <w:sz w:val="22"/>
          <w:szCs w:val="22"/>
          <w:highlight w:val="none"/>
        </w:rPr>
      </w:pPr>
      <w:r>
        <w:rPr>
          <w:rFonts w:hint="eastAsia"/>
          <w:color w:val="auto"/>
          <w:sz w:val="22"/>
          <w:szCs w:val="22"/>
          <w:highlight w:val="none"/>
        </w:rPr>
        <w:t>5）其他无法保证电子交易的公平、公正和安全的情况。</w:t>
      </w:r>
    </w:p>
    <w:p w14:paraId="529947A6">
      <w:pPr>
        <w:adjustRightInd w:val="0"/>
        <w:snapToGrid w:val="0"/>
        <w:spacing w:line="360" w:lineRule="exact"/>
        <w:ind w:firstLine="442" w:firstLineChars="200"/>
        <w:rPr>
          <w:rFonts w:hint="eastAsia"/>
          <w:b/>
          <w:color w:val="auto"/>
          <w:sz w:val="22"/>
          <w:szCs w:val="22"/>
          <w:highlight w:val="none"/>
        </w:rPr>
      </w:pPr>
      <w:r>
        <w:rPr>
          <w:rFonts w:hint="eastAsia"/>
          <w:b/>
          <w:color w:val="auto"/>
          <w:sz w:val="22"/>
          <w:szCs w:val="22"/>
          <w:highlight w:val="none"/>
        </w:rPr>
        <w:t>出现前款规定情形，不影响采购公平、公正性的，采购组织机构可以待上述情形消除后继续组织电子交易活动；影响或可能影响采购公平、公正性的，应当重新采购。</w:t>
      </w:r>
    </w:p>
    <w:p w14:paraId="11229039">
      <w:pPr>
        <w:snapToGrid w:val="0"/>
        <w:spacing w:line="360" w:lineRule="exact"/>
        <w:ind w:firstLine="527"/>
        <w:rPr>
          <w:rFonts w:hint="eastAsia"/>
          <w:color w:val="auto"/>
          <w:sz w:val="22"/>
          <w:szCs w:val="22"/>
          <w:highlight w:val="none"/>
        </w:rPr>
      </w:pPr>
      <w:r>
        <w:rPr>
          <w:rFonts w:hint="eastAsia"/>
          <w:color w:val="auto"/>
          <w:sz w:val="22"/>
          <w:szCs w:val="22"/>
          <w:highlight w:val="none"/>
        </w:rPr>
        <w:t>6、评标原则</w:t>
      </w:r>
    </w:p>
    <w:p w14:paraId="17C2870E">
      <w:pPr>
        <w:snapToGrid w:val="0"/>
        <w:spacing w:line="360" w:lineRule="exact"/>
        <w:ind w:firstLine="527"/>
        <w:rPr>
          <w:rFonts w:hint="eastAsia"/>
          <w:color w:val="auto"/>
          <w:sz w:val="22"/>
          <w:szCs w:val="22"/>
          <w:highlight w:val="none"/>
        </w:rPr>
      </w:pPr>
      <w:r>
        <w:rPr>
          <w:rFonts w:hint="eastAsia"/>
          <w:color w:val="auto"/>
          <w:sz w:val="22"/>
          <w:szCs w:val="22"/>
          <w:highlight w:val="none"/>
        </w:rPr>
        <w:t>评标委员会按照招标文件的要求和条件对投标文件进行资格、商务和技术评估，综合比较与评价。</w:t>
      </w:r>
    </w:p>
    <w:p w14:paraId="0AE0F97F">
      <w:pPr>
        <w:snapToGrid w:val="0"/>
        <w:spacing w:line="360" w:lineRule="exact"/>
        <w:ind w:firstLine="527"/>
        <w:rPr>
          <w:rFonts w:hint="eastAsia"/>
          <w:color w:val="auto"/>
          <w:sz w:val="22"/>
          <w:szCs w:val="22"/>
          <w:highlight w:val="none"/>
        </w:rPr>
      </w:pPr>
      <w:r>
        <w:rPr>
          <w:rFonts w:hint="eastAsia"/>
          <w:color w:val="auto"/>
          <w:sz w:val="22"/>
          <w:szCs w:val="22"/>
          <w:highlight w:val="none"/>
        </w:rPr>
        <w:t>评标办法具体见本招标文件第六部分。</w:t>
      </w:r>
    </w:p>
    <w:p w14:paraId="1E5605CF">
      <w:pPr>
        <w:snapToGrid w:val="0"/>
        <w:spacing w:line="360" w:lineRule="exact"/>
        <w:ind w:firstLine="527"/>
        <w:rPr>
          <w:rFonts w:hint="eastAsia"/>
          <w:color w:val="auto"/>
          <w:sz w:val="22"/>
          <w:szCs w:val="22"/>
          <w:highlight w:val="none"/>
        </w:rPr>
      </w:pPr>
      <w:r>
        <w:rPr>
          <w:rFonts w:hint="eastAsia"/>
          <w:color w:val="auto"/>
          <w:sz w:val="22"/>
          <w:szCs w:val="22"/>
          <w:highlight w:val="none"/>
        </w:rPr>
        <w:t>7、评标过程中遇到特殊情况，由评标委员会遵循公开、公正原则，采取投票方式按照少数服从多数原则决定。</w:t>
      </w:r>
    </w:p>
    <w:p w14:paraId="18A34994">
      <w:pPr>
        <w:snapToGrid w:val="0"/>
        <w:spacing w:line="360" w:lineRule="exact"/>
        <w:ind w:firstLine="527"/>
        <w:outlineLvl w:val="0"/>
        <w:rPr>
          <w:rFonts w:hint="eastAsia"/>
          <w:color w:val="auto"/>
          <w:sz w:val="22"/>
          <w:szCs w:val="22"/>
          <w:highlight w:val="none"/>
        </w:rPr>
      </w:pPr>
      <w:r>
        <w:rPr>
          <w:rFonts w:hint="eastAsia"/>
          <w:color w:val="auto"/>
          <w:sz w:val="22"/>
          <w:szCs w:val="22"/>
          <w:highlight w:val="none"/>
        </w:rPr>
        <w:t>七、授予合同</w:t>
      </w:r>
    </w:p>
    <w:p w14:paraId="28EFBE8D">
      <w:pPr>
        <w:snapToGrid w:val="0"/>
        <w:spacing w:line="360" w:lineRule="exact"/>
        <w:ind w:firstLine="527"/>
        <w:rPr>
          <w:rFonts w:hint="eastAsia"/>
          <w:color w:val="auto"/>
          <w:sz w:val="22"/>
          <w:szCs w:val="22"/>
          <w:highlight w:val="none"/>
        </w:rPr>
      </w:pPr>
      <w:r>
        <w:rPr>
          <w:rFonts w:hint="eastAsia"/>
          <w:color w:val="auto"/>
          <w:sz w:val="22"/>
          <w:szCs w:val="22"/>
          <w:highlight w:val="none"/>
        </w:rPr>
        <w:t>1、决标</w:t>
      </w:r>
    </w:p>
    <w:p w14:paraId="18D83521">
      <w:pPr>
        <w:snapToGrid w:val="0"/>
        <w:spacing w:line="360" w:lineRule="exact"/>
        <w:ind w:firstLine="527"/>
        <w:rPr>
          <w:rFonts w:hint="eastAsia"/>
          <w:color w:val="auto"/>
          <w:sz w:val="22"/>
          <w:szCs w:val="22"/>
          <w:highlight w:val="none"/>
        </w:rPr>
      </w:pPr>
      <w:r>
        <w:rPr>
          <w:rFonts w:hint="eastAsia"/>
          <w:color w:val="auto"/>
          <w:sz w:val="22"/>
          <w:szCs w:val="22"/>
          <w:highlight w:val="none"/>
        </w:rPr>
        <w:t>评标结束后，评标委员会按照招标文件确定的评标办法，根据采购人授权确定中标供应商。</w:t>
      </w:r>
    </w:p>
    <w:p w14:paraId="4487E5D0">
      <w:pPr>
        <w:snapToGrid w:val="0"/>
        <w:spacing w:line="360" w:lineRule="exact"/>
        <w:ind w:firstLine="545" w:firstLineChars="248"/>
        <w:rPr>
          <w:rFonts w:hint="eastAsia"/>
          <w:color w:val="auto"/>
          <w:sz w:val="22"/>
          <w:szCs w:val="22"/>
          <w:highlight w:val="none"/>
        </w:rPr>
      </w:pPr>
      <w:r>
        <w:rPr>
          <w:rFonts w:hint="eastAsia"/>
          <w:color w:val="auto"/>
          <w:sz w:val="22"/>
          <w:szCs w:val="22"/>
          <w:highlight w:val="none"/>
        </w:rPr>
        <w:t>2、中标通知书</w:t>
      </w:r>
    </w:p>
    <w:p w14:paraId="381A7F9C">
      <w:pPr>
        <w:snapToGrid w:val="0"/>
        <w:spacing w:line="360" w:lineRule="exact"/>
        <w:ind w:firstLine="527"/>
        <w:rPr>
          <w:rFonts w:hint="eastAsia"/>
          <w:color w:val="auto"/>
          <w:sz w:val="22"/>
          <w:szCs w:val="22"/>
          <w:highlight w:val="none"/>
        </w:rPr>
      </w:pPr>
      <w:r>
        <w:rPr>
          <w:rFonts w:hint="eastAsia"/>
          <w:color w:val="auto"/>
          <w:sz w:val="22"/>
          <w:szCs w:val="22"/>
          <w:highlight w:val="none"/>
        </w:rPr>
        <w:t>2.1、招标机构</w:t>
      </w:r>
      <w:r>
        <w:rPr>
          <w:rFonts w:hint="eastAsia"/>
          <w:color w:val="auto"/>
          <w:spacing w:val="10"/>
          <w:sz w:val="22"/>
          <w:szCs w:val="22"/>
          <w:highlight w:val="none"/>
        </w:rPr>
        <w:t>在浙江省政府采购网上公告中标结果。</w:t>
      </w:r>
    </w:p>
    <w:p w14:paraId="63793265">
      <w:pPr>
        <w:snapToGrid w:val="0"/>
        <w:spacing w:line="360" w:lineRule="exact"/>
        <w:ind w:firstLine="527"/>
        <w:rPr>
          <w:rFonts w:hint="eastAsia"/>
          <w:color w:val="auto"/>
          <w:sz w:val="22"/>
          <w:szCs w:val="22"/>
          <w:highlight w:val="none"/>
        </w:rPr>
      </w:pPr>
      <w:r>
        <w:rPr>
          <w:rFonts w:hint="eastAsia"/>
          <w:color w:val="auto"/>
          <w:sz w:val="22"/>
          <w:szCs w:val="22"/>
          <w:highlight w:val="none"/>
        </w:rPr>
        <w:t>2.2、中标供应商须在中标结果公告后主动联系采购机构领取中标通知书，供应商领取中标通知书时，须填写签收回执；中标通知书对采购人和中标供应商具有法律约束力。中标通知书发出后，采购人改变中标结果或者中标供应商放弃中标的，应当承担法律责任。</w:t>
      </w:r>
    </w:p>
    <w:p w14:paraId="4F8CECBF">
      <w:pPr>
        <w:snapToGrid w:val="0"/>
        <w:spacing w:line="360" w:lineRule="exact"/>
        <w:ind w:firstLine="527"/>
        <w:rPr>
          <w:rFonts w:hint="eastAsia"/>
          <w:color w:val="auto"/>
          <w:sz w:val="22"/>
          <w:szCs w:val="22"/>
          <w:highlight w:val="none"/>
        </w:rPr>
      </w:pPr>
      <w:r>
        <w:rPr>
          <w:rFonts w:hint="eastAsia"/>
          <w:color w:val="auto"/>
          <w:sz w:val="22"/>
          <w:szCs w:val="22"/>
          <w:highlight w:val="none"/>
        </w:rPr>
        <w:t>3、评标委员会对未中标的供应商不作落标原因解释。</w:t>
      </w:r>
    </w:p>
    <w:p w14:paraId="39F0CF6B">
      <w:pPr>
        <w:snapToGrid w:val="0"/>
        <w:spacing w:line="360" w:lineRule="exact"/>
        <w:ind w:firstLine="527"/>
        <w:rPr>
          <w:rFonts w:hint="eastAsia"/>
          <w:color w:val="auto"/>
          <w:sz w:val="22"/>
          <w:szCs w:val="22"/>
          <w:highlight w:val="none"/>
        </w:rPr>
      </w:pPr>
      <w:r>
        <w:rPr>
          <w:rFonts w:hint="eastAsia"/>
          <w:color w:val="auto"/>
          <w:sz w:val="22"/>
          <w:szCs w:val="22"/>
          <w:highlight w:val="none"/>
        </w:rPr>
        <w:t>4、签订合同</w:t>
      </w:r>
    </w:p>
    <w:p w14:paraId="085B7C3B">
      <w:pPr>
        <w:snapToGrid w:val="0"/>
        <w:spacing w:line="360" w:lineRule="exact"/>
        <w:ind w:firstLine="527"/>
        <w:rPr>
          <w:rFonts w:hint="eastAsia"/>
          <w:color w:val="auto"/>
          <w:sz w:val="22"/>
          <w:szCs w:val="22"/>
          <w:highlight w:val="none"/>
        </w:rPr>
      </w:pPr>
      <w:r>
        <w:rPr>
          <w:rFonts w:hint="eastAsia"/>
          <w:color w:val="auto"/>
          <w:sz w:val="22"/>
          <w:szCs w:val="22"/>
          <w:highlight w:val="none"/>
        </w:rPr>
        <w:t>4.1、中标供应商领取中标通知书后到采购人处与采购人签订合同（采购结果公告发出后30日内）。中标供应商未经采购人许可，在规定时间内未到采购人处与采购人签订合同，则视为拒签合同。</w:t>
      </w:r>
    </w:p>
    <w:p w14:paraId="2A70F52B">
      <w:pPr>
        <w:snapToGrid w:val="0"/>
        <w:spacing w:line="360" w:lineRule="exact"/>
        <w:ind w:firstLine="527"/>
        <w:rPr>
          <w:rFonts w:hint="eastAsia"/>
          <w:color w:val="auto"/>
          <w:sz w:val="22"/>
          <w:szCs w:val="22"/>
          <w:highlight w:val="none"/>
        </w:rPr>
      </w:pPr>
      <w:r>
        <w:rPr>
          <w:rFonts w:hint="eastAsia"/>
          <w:color w:val="auto"/>
          <w:sz w:val="22"/>
          <w:szCs w:val="22"/>
          <w:highlight w:val="none"/>
        </w:rPr>
        <w:t>4.2、招标文件、中标供应商的投标文件及投标修改文件、评标过程中有关澄清文件及经双方签字的询标纪要（承诺）和中标通知书均作为合同附件。</w:t>
      </w:r>
    </w:p>
    <w:p w14:paraId="209D45DE">
      <w:pPr>
        <w:snapToGrid w:val="0"/>
        <w:spacing w:line="360" w:lineRule="exact"/>
        <w:ind w:firstLine="527"/>
        <w:rPr>
          <w:rFonts w:hint="eastAsia"/>
          <w:color w:val="auto"/>
          <w:sz w:val="22"/>
          <w:szCs w:val="22"/>
          <w:highlight w:val="none"/>
        </w:rPr>
      </w:pPr>
      <w:r>
        <w:rPr>
          <w:rFonts w:hint="eastAsia"/>
          <w:color w:val="auto"/>
          <w:sz w:val="22"/>
          <w:szCs w:val="22"/>
          <w:highlight w:val="none"/>
        </w:rPr>
        <w:t>4.3 拒签合同的责任</w:t>
      </w:r>
    </w:p>
    <w:p w14:paraId="437D5EF5">
      <w:pPr>
        <w:autoSpaceDE w:val="0"/>
        <w:autoSpaceDN w:val="0"/>
        <w:adjustRightInd w:val="0"/>
        <w:snapToGrid w:val="0"/>
        <w:spacing w:line="360" w:lineRule="exact"/>
        <w:ind w:firstLine="440" w:firstLineChars="200"/>
        <w:textAlignment w:val="bottom"/>
        <w:rPr>
          <w:rFonts w:hint="eastAsia"/>
          <w:color w:val="auto"/>
          <w:sz w:val="22"/>
          <w:szCs w:val="22"/>
          <w:highlight w:val="none"/>
        </w:rPr>
      </w:pPr>
      <w:r>
        <w:rPr>
          <w:rFonts w:hint="eastAsia"/>
          <w:color w:val="auto"/>
          <w:sz w:val="22"/>
          <w:szCs w:val="22"/>
          <w:highlight w:val="none"/>
        </w:rPr>
        <w:t>中标供应商接到中标通知书后，在规定时间内借故否认已经承诺的条件而拒签合同，以投标违约处理，并赔偿采购人由此造成的直接经济损失；采购人重新组织招标的，所需费用由原中标供应商承担。采购人无故不与供应商签订合同的应当承担相应的法律责任。</w:t>
      </w:r>
    </w:p>
    <w:p w14:paraId="74671E04">
      <w:pPr>
        <w:pStyle w:val="37"/>
        <w:adjustRightInd w:val="0"/>
        <w:snapToGrid w:val="0"/>
        <w:spacing w:line="360" w:lineRule="exact"/>
        <w:rPr>
          <w:rFonts w:hint="eastAsia" w:hAnsi="宋体" w:cs="宋体"/>
          <w:color w:val="auto"/>
          <w:sz w:val="22"/>
          <w:szCs w:val="22"/>
          <w:highlight w:val="none"/>
        </w:rPr>
      </w:pPr>
      <w:r>
        <w:rPr>
          <w:rFonts w:hint="eastAsia" w:hAnsi="宋体" w:cs="宋体"/>
          <w:color w:val="auto"/>
          <w:sz w:val="22"/>
          <w:szCs w:val="22"/>
          <w:highlight w:val="none"/>
        </w:rPr>
        <w:t xml:space="preserve">  5</w:t>
      </w:r>
      <w:r>
        <w:rPr>
          <w:rFonts w:hint="eastAsia" w:hAnsi="宋体" w:cs="宋体"/>
          <w:color w:val="auto"/>
          <w:sz w:val="22"/>
          <w:szCs w:val="22"/>
          <w:highlight w:val="none"/>
          <w:lang w:val="zh-CN"/>
        </w:rPr>
        <w:t>、</w:t>
      </w:r>
      <w:r>
        <w:rPr>
          <w:rFonts w:hint="eastAsia" w:hAnsi="宋体" w:cs="宋体"/>
          <w:color w:val="auto"/>
          <w:sz w:val="22"/>
          <w:szCs w:val="22"/>
          <w:highlight w:val="none"/>
          <w:lang w:val="en-US" w:eastAsia="zh-CN"/>
        </w:rPr>
        <w:t>采购</w:t>
      </w:r>
      <w:r>
        <w:rPr>
          <w:rFonts w:hint="eastAsia" w:hAnsi="宋体" w:cs="宋体"/>
          <w:color w:val="auto"/>
          <w:sz w:val="22"/>
          <w:szCs w:val="22"/>
          <w:highlight w:val="none"/>
        </w:rPr>
        <w:t>代理服务费</w:t>
      </w:r>
    </w:p>
    <w:p w14:paraId="400C7001">
      <w:pPr>
        <w:pStyle w:val="37"/>
        <w:adjustRightInd w:val="0"/>
        <w:snapToGrid w:val="0"/>
        <w:spacing w:line="360" w:lineRule="exact"/>
        <w:ind w:firstLine="440" w:firstLineChars="200"/>
        <w:rPr>
          <w:rFonts w:hint="eastAsia" w:hAnsi="宋体" w:eastAsia="宋体" w:cs="宋体"/>
          <w:color w:val="auto"/>
          <w:sz w:val="22"/>
          <w:szCs w:val="22"/>
          <w:highlight w:val="none"/>
          <w:lang w:eastAsia="zh-CN"/>
        </w:rPr>
      </w:pPr>
      <w:r>
        <w:rPr>
          <w:rFonts w:hint="eastAsia" w:hAnsi="宋体" w:cs="宋体"/>
          <w:color w:val="auto"/>
          <w:sz w:val="22"/>
          <w:szCs w:val="22"/>
          <w:highlight w:val="none"/>
        </w:rPr>
        <w:t>5.1成交供应商在领取中标（成交）通知书前向招标代理机构支付</w:t>
      </w:r>
      <w:r>
        <w:rPr>
          <w:rFonts w:hint="eastAsia" w:hAnsi="宋体" w:cs="宋体"/>
          <w:color w:val="auto"/>
          <w:sz w:val="22"/>
          <w:szCs w:val="22"/>
          <w:highlight w:val="none"/>
          <w:lang w:val="en-US" w:eastAsia="zh-CN"/>
        </w:rPr>
        <w:t>20500元采购</w:t>
      </w:r>
      <w:r>
        <w:rPr>
          <w:rFonts w:hint="eastAsia" w:hAnsi="宋体" w:cs="宋体"/>
          <w:color w:val="auto"/>
          <w:sz w:val="22"/>
          <w:szCs w:val="22"/>
          <w:highlight w:val="none"/>
        </w:rPr>
        <w:t>代理服务费，（根据国家计委印发的《招标代理服务收费管理暂行办法》(计价格【2002】1980号文)</w:t>
      </w:r>
      <w:r>
        <w:rPr>
          <w:rFonts w:hint="eastAsia" w:hAnsi="宋体" w:cs="宋体"/>
          <w:color w:val="auto"/>
          <w:sz w:val="22"/>
          <w:szCs w:val="22"/>
          <w:highlight w:val="none"/>
          <w:lang w:val="en-US" w:eastAsia="zh-CN"/>
        </w:rPr>
        <w:t>货物</w:t>
      </w:r>
      <w:r>
        <w:rPr>
          <w:rFonts w:hint="eastAsia" w:hAnsi="宋体" w:cs="宋体"/>
          <w:color w:val="auto"/>
          <w:sz w:val="22"/>
          <w:szCs w:val="22"/>
          <w:highlight w:val="none"/>
        </w:rPr>
        <w:t>类收费）。采购代理服务费包含在投标</w:t>
      </w:r>
      <w:r>
        <w:rPr>
          <w:rFonts w:hint="eastAsia" w:hAnsi="宋体" w:cs="宋体"/>
          <w:color w:val="auto"/>
          <w:sz w:val="22"/>
          <w:szCs w:val="22"/>
          <w:highlight w:val="none"/>
          <w:lang w:val="en-US" w:eastAsia="zh-CN"/>
        </w:rPr>
        <w:t>单价</w:t>
      </w:r>
      <w:r>
        <w:rPr>
          <w:rFonts w:hint="eastAsia" w:hAnsi="宋体" w:cs="宋体"/>
          <w:color w:val="auto"/>
          <w:sz w:val="22"/>
          <w:szCs w:val="22"/>
          <w:highlight w:val="none"/>
        </w:rPr>
        <w:t>中</w:t>
      </w:r>
      <w:r>
        <w:rPr>
          <w:rFonts w:hint="eastAsia" w:hAnsi="宋体" w:cs="宋体"/>
          <w:color w:val="auto"/>
          <w:sz w:val="22"/>
          <w:szCs w:val="22"/>
          <w:highlight w:val="none"/>
          <w:lang w:eastAsia="zh-CN"/>
        </w:rPr>
        <w:t>，</w:t>
      </w:r>
      <w:r>
        <w:rPr>
          <w:rFonts w:hint="eastAsia" w:hAnsi="宋体" w:cs="宋体"/>
          <w:color w:val="auto"/>
          <w:sz w:val="22"/>
          <w:szCs w:val="22"/>
          <w:highlight w:val="none"/>
        </w:rPr>
        <w:t>不须在报价中单列</w:t>
      </w:r>
      <w:r>
        <w:rPr>
          <w:rFonts w:hint="eastAsia" w:hAnsi="宋体" w:cs="宋体"/>
          <w:color w:val="auto"/>
          <w:sz w:val="22"/>
          <w:szCs w:val="22"/>
          <w:highlight w:val="none"/>
          <w:lang w:eastAsia="zh-CN"/>
        </w:rPr>
        <w:t>。</w:t>
      </w:r>
    </w:p>
    <w:p w14:paraId="6F409201">
      <w:pPr>
        <w:pStyle w:val="37"/>
        <w:adjustRightInd w:val="0"/>
        <w:snapToGrid w:val="0"/>
        <w:spacing w:line="360" w:lineRule="exact"/>
        <w:ind w:firstLine="440" w:firstLineChars="200"/>
        <w:rPr>
          <w:rFonts w:hint="eastAsia" w:hAnsi="宋体" w:cs="宋体"/>
          <w:color w:val="auto"/>
          <w:sz w:val="22"/>
          <w:szCs w:val="22"/>
          <w:highlight w:val="none"/>
        </w:rPr>
      </w:pPr>
    </w:p>
    <w:p w14:paraId="71F92E8C">
      <w:pPr>
        <w:spacing w:line="360" w:lineRule="exact"/>
        <w:jc w:val="center"/>
        <w:rPr>
          <w:rFonts w:hint="eastAsia"/>
          <w:color w:val="auto"/>
          <w:sz w:val="22"/>
          <w:szCs w:val="22"/>
          <w:highlight w:val="none"/>
          <w:lang w:val="zh-CN"/>
        </w:rPr>
      </w:pPr>
    </w:p>
    <w:p w14:paraId="78F439DA">
      <w:pPr>
        <w:jc w:val="center"/>
        <w:rPr>
          <w:rFonts w:hint="eastAsia"/>
          <w:color w:val="auto"/>
          <w:sz w:val="32"/>
          <w:szCs w:val="32"/>
          <w:highlight w:val="none"/>
          <w:lang w:val="zh-CN"/>
        </w:rPr>
        <w:sectPr>
          <w:pgSz w:w="11906" w:h="16838"/>
          <w:pgMar w:top="1440" w:right="1080" w:bottom="1440" w:left="1080" w:header="720" w:footer="720" w:gutter="0"/>
          <w:pgNumType w:fmt="decimal"/>
          <w:cols w:space="720" w:num="1"/>
          <w:titlePg/>
          <w:docGrid w:linePitch="326" w:charSpace="-3831"/>
        </w:sectPr>
      </w:pPr>
    </w:p>
    <w:p w14:paraId="7DB13025">
      <w:pPr>
        <w:jc w:val="center"/>
        <w:rPr>
          <w:color w:val="auto"/>
          <w:sz w:val="32"/>
          <w:szCs w:val="32"/>
          <w:highlight w:val="none"/>
        </w:rPr>
      </w:pPr>
      <w:r>
        <w:rPr>
          <w:rFonts w:hint="eastAsia"/>
          <w:color w:val="auto"/>
          <w:sz w:val="32"/>
          <w:szCs w:val="32"/>
          <w:highlight w:val="none"/>
          <w:lang w:val="zh-CN"/>
        </w:rPr>
        <w:t>第四部分   政府采购政策功能相关说明</w:t>
      </w:r>
    </w:p>
    <w:p w14:paraId="022D4EC7">
      <w:pPr>
        <w:rPr>
          <w:color w:val="auto"/>
          <w:sz w:val="22"/>
          <w:szCs w:val="22"/>
          <w:highlight w:val="none"/>
        </w:rPr>
      </w:pPr>
    </w:p>
    <w:p w14:paraId="4DF86DBA">
      <w:pPr>
        <w:rPr>
          <w:color w:val="auto"/>
          <w:sz w:val="22"/>
          <w:szCs w:val="22"/>
          <w:highlight w:val="none"/>
        </w:rPr>
      </w:pPr>
      <w:r>
        <w:rPr>
          <w:rFonts w:hint="eastAsia"/>
          <w:color w:val="auto"/>
          <w:sz w:val="22"/>
          <w:szCs w:val="22"/>
          <w:highlight w:val="none"/>
        </w:rPr>
        <w:t>一、小、微企业（含监狱企业、残疾人福利性单位）扶持政策说明</w:t>
      </w:r>
    </w:p>
    <w:p w14:paraId="769EE7BF">
      <w:pPr>
        <w:spacing w:line="440" w:lineRule="atLeast"/>
        <w:rPr>
          <w:color w:val="auto"/>
          <w:sz w:val="22"/>
          <w:szCs w:val="22"/>
          <w:highlight w:val="none"/>
        </w:rPr>
      </w:pPr>
      <w:r>
        <w:rPr>
          <w:rFonts w:hint="eastAsia"/>
          <w:color w:val="auto"/>
          <w:sz w:val="22"/>
          <w:szCs w:val="22"/>
          <w:highlight w:val="none"/>
        </w:rPr>
        <w:t>1、文件依据</w:t>
      </w:r>
    </w:p>
    <w:p w14:paraId="6C5EF51F">
      <w:pPr>
        <w:snapToGrid w:val="0"/>
        <w:spacing w:line="440" w:lineRule="atLeast"/>
        <w:rPr>
          <w:color w:val="auto"/>
          <w:sz w:val="22"/>
          <w:highlight w:val="none"/>
        </w:rPr>
      </w:pPr>
      <w:r>
        <w:rPr>
          <w:color w:val="auto"/>
          <w:sz w:val="22"/>
          <w:highlight w:val="none"/>
        </w:rPr>
        <w:t>（1）关于印发《</w:t>
      </w:r>
      <w:r>
        <w:rPr>
          <w:rFonts w:hint="eastAsia"/>
          <w:color w:val="auto"/>
          <w:sz w:val="22"/>
          <w:highlight w:val="none"/>
        </w:rPr>
        <w:t>政府采购促进中小企业发展管理办法</w:t>
      </w:r>
      <w:r>
        <w:rPr>
          <w:color w:val="auto"/>
          <w:sz w:val="22"/>
          <w:highlight w:val="none"/>
        </w:rPr>
        <w:t>》的通知（</w:t>
      </w:r>
      <w:r>
        <w:rPr>
          <w:rFonts w:hint="eastAsia"/>
          <w:color w:val="auto"/>
          <w:sz w:val="22"/>
          <w:highlight w:val="none"/>
        </w:rPr>
        <w:t>财库〔2020〕46号</w:t>
      </w:r>
      <w:r>
        <w:rPr>
          <w:color w:val="auto"/>
          <w:sz w:val="22"/>
          <w:highlight w:val="none"/>
        </w:rPr>
        <w:t>）</w:t>
      </w:r>
    </w:p>
    <w:p w14:paraId="13CB8FD2">
      <w:pPr>
        <w:snapToGrid w:val="0"/>
        <w:spacing w:line="440" w:lineRule="atLeast"/>
        <w:rPr>
          <w:color w:val="auto"/>
          <w:sz w:val="22"/>
          <w:highlight w:val="none"/>
        </w:rPr>
      </w:pPr>
      <w:r>
        <w:rPr>
          <w:color w:val="auto"/>
          <w:sz w:val="22"/>
          <w:highlight w:val="none"/>
        </w:rPr>
        <w:t>（</w:t>
      </w:r>
      <w:r>
        <w:rPr>
          <w:rFonts w:hint="eastAsia"/>
          <w:color w:val="auto"/>
          <w:sz w:val="22"/>
          <w:highlight w:val="none"/>
          <w:lang w:val="en-US" w:eastAsia="zh-CN"/>
        </w:rPr>
        <w:t>2</w:t>
      </w:r>
      <w:r>
        <w:rPr>
          <w:color w:val="auto"/>
          <w:sz w:val="22"/>
          <w:highlight w:val="none"/>
        </w:rPr>
        <w:t>）浙江省省财政厅《关于开展政府采购供应商网上注册登记和诚信管理工作的通知》（浙财采监〔2010〕8号)</w:t>
      </w:r>
    </w:p>
    <w:p w14:paraId="40F7D192">
      <w:pPr>
        <w:snapToGrid w:val="0"/>
        <w:spacing w:line="440" w:lineRule="atLeast"/>
        <w:rPr>
          <w:color w:val="auto"/>
          <w:sz w:val="22"/>
          <w:highlight w:val="none"/>
        </w:rPr>
      </w:pPr>
      <w:r>
        <w:rPr>
          <w:color w:val="auto"/>
          <w:sz w:val="22"/>
          <w:highlight w:val="none"/>
        </w:rPr>
        <w:t>（</w:t>
      </w:r>
      <w:r>
        <w:rPr>
          <w:rFonts w:hint="eastAsia"/>
          <w:color w:val="auto"/>
          <w:sz w:val="22"/>
          <w:highlight w:val="none"/>
          <w:lang w:val="en-US" w:eastAsia="zh-CN"/>
        </w:rPr>
        <w:t>3</w:t>
      </w:r>
      <w:r>
        <w:rPr>
          <w:color w:val="auto"/>
          <w:sz w:val="22"/>
          <w:highlight w:val="none"/>
        </w:rPr>
        <w:t>）《工业和信息化部、国家统计局、国家发展和改革委员会、财政部关于印发中小企业划型标准规定的通知》（工信部联企业[2011]300号）</w:t>
      </w:r>
    </w:p>
    <w:p w14:paraId="674D2A04">
      <w:pPr>
        <w:snapToGrid w:val="0"/>
        <w:spacing w:line="440" w:lineRule="atLeast"/>
        <w:rPr>
          <w:color w:val="auto"/>
          <w:sz w:val="22"/>
          <w:highlight w:val="none"/>
        </w:rPr>
      </w:pPr>
      <w:r>
        <w:rPr>
          <w:color w:val="auto"/>
          <w:sz w:val="22"/>
          <w:highlight w:val="none"/>
        </w:rPr>
        <w:t>（</w:t>
      </w:r>
      <w:r>
        <w:rPr>
          <w:rFonts w:hint="eastAsia"/>
          <w:color w:val="auto"/>
          <w:sz w:val="22"/>
          <w:highlight w:val="none"/>
          <w:lang w:val="en-US" w:eastAsia="zh-CN"/>
        </w:rPr>
        <w:t>4</w:t>
      </w:r>
      <w:r>
        <w:rPr>
          <w:color w:val="auto"/>
          <w:sz w:val="22"/>
          <w:highlight w:val="none"/>
        </w:rPr>
        <w:t>）财政部、司法部《关于政府采购支持监狱企业发展有关问题的通知》（</w:t>
      </w:r>
    </w:p>
    <w:p w14:paraId="5ACA4288">
      <w:pPr>
        <w:snapToGrid w:val="0"/>
        <w:spacing w:line="440" w:lineRule="atLeast"/>
        <w:rPr>
          <w:color w:val="auto"/>
          <w:sz w:val="22"/>
          <w:highlight w:val="none"/>
        </w:rPr>
      </w:pPr>
      <w:r>
        <w:rPr>
          <w:color w:val="auto"/>
          <w:sz w:val="22"/>
          <w:highlight w:val="none"/>
        </w:rPr>
        <w:t>〔2014〕68号）</w:t>
      </w:r>
    </w:p>
    <w:p w14:paraId="5286F940">
      <w:pPr>
        <w:snapToGrid w:val="0"/>
        <w:spacing w:line="440" w:lineRule="atLeast"/>
        <w:rPr>
          <w:color w:val="auto"/>
          <w:sz w:val="22"/>
          <w:highlight w:val="none"/>
        </w:rPr>
      </w:pPr>
      <w:r>
        <w:rPr>
          <w:color w:val="auto"/>
          <w:sz w:val="22"/>
          <w:highlight w:val="none"/>
        </w:rPr>
        <w:t>（</w:t>
      </w:r>
      <w:r>
        <w:rPr>
          <w:rFonts w:hint="eastAsia"/>
          <w:color w:val="auto"/>
          <w:sz w:val="22"/>
          <w:highlight w:val="none"/>
          <w:lang w:val="en-US" w:eastAsia="zh-CN"/>
        </w:rPr>
        <w:t>5</w:t>
      </w:r>
      <w:r>
        <w:rPr>
          <w:color w:val="auto"/>
          <w:sz w:val="22"/>
          <w:highlight w:val="none"/>
        </w:rPr>
        <w:t>）《财政部 民政部 中国残疾人联合会关于促进残疾人就业政府采购政策的通知》（财库〔2017〕 141号）</w:t>
      </w:r>
    </w:p>
    <w:p w14:paraId="366EF5C6">
      <w:pPr>
        <w:snapToGrid w:val="0"/>
        <w:spacing w:line="440" w:lineRule="atLeast"/>
        <w:rPr>
          <w:color w:val="auto"/>
          <w:sz w:val="22"/>
          <w:highlight w:val="none"/>
        </w:rPr>
      </w:pPr>
      <w:r>
        <w:rPr>
          <w:rFonts w:hint="eastAsia"/>
          <w:color w:val="auto"/>
          <w:sz w:val="22"/>
          <w:highlight w:val="none"/>
        </w:rPr>
        <w:t>（</w:t>
      </w:r>
      <w:r>
        <w:rPr>
          <w:rFonts w:hint="eastAsia"/>
          <w:color w:val="auto"/>
          <w:sz w:val="22"/>
          <w:highlight w:val="none"/>
          <w:lang w:val="en-US" w:eastAsia="zh-CN"/>
        </w:rPr>
        <w:t>6</w:t>
      </w:r>
      <w:r>
        <w:rPr>
          <w:rFonts w:hint="eastAsia"/>
          <w:color w:val="auto"/>
          <w:sz w:val="22"/>
          <w:highlight w:val="none"/>
        </w:rPr>
        <w:t>）浙江省财政厅关于进一步发挥政府采购政策功能全力推动经济稳进提质的通知(浙财采监〔2022〕3号)</w:t>
      </w:r>
    </w:p>
    <w:p w14:paraId="53611265">
      <w:pPr>
        <w:spacing w:line="440" w:lineRule="atLeast"/>
        <w:rPr>
          <w:color w:val="auto"/>
          <w:sz w:val="22"/>
          <w:szCs w:val="22"/>
          <w:highlight w:val="none"/>
        </w:rPr>
      </w:pPr>
      <w:r>
        <w:rPr>
          <w:rFonts w:hint="eastAsia"/>
          <w:color w:val="auto"/>
          <w:sz w:val="22"/>
          <w:szCs w:val="22"/>
          <w:highlight w:val="none"/>
        </w:rPr>
        <w:t>2、享受小微企业价格折扣应具备的条件与价格折扣比例</w:t>
      </w:r>
    </w:p>
    <w:p w14:paraId="3332D6CF">
      <w:pPr>
        <w:keepNext w:val="0"/>
        <w:keepLines w:val="0"/>
        <w:pageBreakBefore w:val="0"/>
        <w:widowControl w:val="0"/>
        <w:kinsoku/>
        <w:wordWrap/>
        <w:overflowPunct/>
        <w:topLinePunct w:val="0"/>
        <w:autoSpaceDE/>
        <w:autoSpaceDN/>
        <w:bidi w:val="0"/>
        <w:adjustRightInd/>
        <w:spacing w:line="400" w:lineRule="exact"/>
        <w:textAlignment w:val="auto"/>
        <w:rPr>
          <w:color w:val="auto"/>
          <w:sz w:val="22"/>
          <w:szCs w:val="22"/>
          <w:highlight w:val="none"/>
        </w:rPr>
      </w:pPr>
      <w:r>
        <w:rPr>
          <w:rFonts w:hint="eastAsia"/>
          <w:color w:val="auto"/>
          <w:sz w:val="22"/>
          <w:szCs w:val="22"/>
          <w:highlight w:val="none"/>
        </w:rPr>
        <w:t>（1）符合中小企业划分标准；</w:t>
      </w:r>
      <w:r>
        <w:rPr>
          <w:rFonts w:hint="eastAsia"/>
          <w:color w:val="auto"/>
          <w:sz w:val="22"/>
          <w:szCs w:val="22"/>
          <w:highlight w:val="none"/>
        </w:rPr>
        <w:br w:type="textWrapping"/>
      </w:r>
      <w:r>
        <w:rPr>
          <w:rFonts w:hint="eastAsia"/>
          <w:color w:val="auto"/>
          <w:sz w:val="22"/>
          <w:szCs w:val="22"/>
          <w:highlight w:val="none"/>
        </w:rPr>
        <w:t>（2）</w:t>
      </w:r>
      <w:r>
        <w:rPr>
          <w:rFonts w:hint="eastAsia"/>
          <w:b/>
          <w:bCs/>
          <w:color w:val="auto"/>
          <w:sz w:val="22"/>
          <w:szCs w:val="22"/>
          <w:highlight w:val="none"/>
          <w:u w:val="single"/>
        </w:rPr>
        <w:t>在货物采购项目中，货物全部由中小企业制造，即货物由中小企业生产且使用该中小企业商号或者注册商标</w:t>
      </w:r>
      <w:r>
        <w:rPr>
          <w:rFonts w:hint="eastAsia"/>
          <w:b w:val="0"/>
          <w:bCs w:val="0"/>
          <w:color w:val="auto"/>
          <w:sz w:val="22"/>
          <w:szCs w:val="22"/>
          <w:highlight w:val="none"/>
          <w:u w:val="none"/>
        </w:rPr>
        <w:t>；在工程采购项目中，工程由中小企业承建，即工程施工单位为中小企业；</w:t>
      </w:r>
      <w:r>
        <w:rPr>
          <w:rFonts w:hint="eastAsia"/>
          <w:color w:val="auto"/>
          <w:sz w:val="22"/>
          <w:szCs w:val="22"/>
          <w:highlight w:val="none"/>
        </w:rPr>
        <w:t>在服务采购项目中，服务由中小企业承接，即提供服务的人员为中小企业依照《中华人民共和国民法典》订立劳动合同的从业人员。</w:t>
      </w:r>
    </w:p>
    <w:p w14:paraId="412A4E1F">
      <w:pPr>
        <w:keepNext w:val="0"/>
        <w:keepLines w:val="0"/>
        <w:pageBreakBefore w:val="0"/>
        <w:widowControl w:val="0"/>
        <w:kinsoku/>
        <w:wordWrap/>
        <w:overflowPunct/>
        <w:topLinePunct w:val="0"/>
        <w:autoSpaceDE/>
        <w:autoSpaceDN/>
        <w:bidi w:val="0"/>
        <w:adjustRightInd/>
        <w:spacing w:line="400" w:lineRule="exact"/>
        <w:ind w:firstLine="440" w:firstLineChars="200"/>
        <w:textAlignment w:val="auto"/>
        <w:rPr>
          <w:b w:val="0"/>
          <w:bCs w:val="0"/>
          <w:color w:val="auto"/>
          <w:sz w:val="22"/>
          <w:szCs w:val="22"/>
          <w:highlight w:val="none"/>
          <w:u w:val="single"/>
        </w:rPr>
      </w:pPr>
      <w:r>
        <w:rPr>
          <w:rFonts w:hint="eastAsia"/>
          <w:b w:val="0"/>
          <w:bCs w:val="0"/>
          <w:color w:val="auto"/>
          <w:sz w:val="22"/>
          <w:szCs w:val="22"/>
          <w:highlight w:val="none"/>
          <w:u w:val="single"/>
        </w:rPr>
        <w:t>在货物采购项目中，供应商提供的货物既有中小企业制造货物，也有大型企业制造货物的，不享受中小企业扶持政策。</w:t>
      </w:r>
    </w:p>
    <w:p w14:paraId="4837E1F9">
      <w:pPr>
        <w:keepNext w:val="0"/>
        <w:keepLines w:val="0"/>
        <w:pageBreakBefore w:val="0"/>
        <w:widowControl w:val="0"/>
        <w:kinsoku/>
        <w:wordWrap/>
        <w:overflowPunct/>
        <w:topLinePunct w:val="0"/>
        <w:autoSpaceDE/>
        <w:autoSpaceDN/>
        <w:bidi w:val="0"/>
        <w:adjustRightInd/>
        <w:spacing w:line="400" w:lineRule="exact"/>
        <w:jc w:val="left"/>
        <w:textAlignment w:val="auto"/>
        <w:rPr>
          <w:color w:val="auto"/>
          <w:sz w:val="22"/>
          <w:szCs w:val="22"/>
          <w:highlight w:val="none"/>
        </w:rPr>
      </w:pPr>
      <w:r>
        <w:rPr>
          <w:rFonts w:hint="eastAsia"/>
          <w:color w:val="auto"/>
          <w:sz w:val="22"/>
          <w:szCs w:val="22"/>
          <w:highlight w:val="none"/>
        </w:rPr>
        <w:t>以联合体形式参加采购活动，联合体各方均为中小企业的，联合体视同中小企业。其中，联合体各方均为小微企业的，联合体视同小微企业。</w:t>
      </w:r>
    </w:p>
    <w:p w14:paraId="5FF55C7D">
      <w:pPr>
        <w:keepNext w:val="0"/>
        <w:keepLines w:val="0"/>
        <w:pageBreakBefore w:val="0"/>
        <w:widowControl w:val="0"/>
        <w:kinsoku/>
        <w:wordWrap/>
        <w:overflowPunct/>
        <w:topLinePunct w:val="0"/>
        <w:autoSpaceDE/>
        <w:autoSpaceDN/>
        <w:bidi w:val="0"/>
        <w:adjustRightInd/>
        <w:spacing w:line="400" w:lineRule="exact"/>
        <w:jc w:val="left"/>
        <w:textAlignment w:val="auto"/>
        <w:rPr>
          <w:rFonts w:ascii="宋体" w:hAnsi="宋体" w:cs="宋体"/>
          <w:color w:val="auto"/>
          <w:sz w:val="22"/>
          <w:szCs w:val="22"/>
          <w:highlight w:val="none"/>
        </w:rPr>
      </w:pPr>
      <w:r>
        <w:rPr>
          <w:rFonts w:hint="eastAsia" w:ascii="宋体" w:hAnsi="宋体" w:cs="宋体"/>
          <w:color w:val="auto"/>
          <w:sz w:val="22"/>
          <w:szCs w:val="22"/>
          <w:highlight w:val="none"/>
        </w:rPr>
        <w:t xml:space="preserve"> 中小企业划分标准，是指国务院有关部门根据企业从业人员、营业收入、资产总额等指标制定的中小企业划型标准。</w:t>
      </w:r>
    </w:p>
    <w:p w14:paraId="756F62BA">
      <w:pPr>
        <w:keepNext w:val="0"/>
        <w:keepLines w:val="0"/>
        <w:pageBreakBefore w:val="0"/>
        <w:widowControl w:val="0"/>
        <w:kinsoku/>
        <w:wordWrap/>
        <w:overflowPunct/>
        <w:topLinePunct w:val="0"/>
        <w:autoSpaceDE/>
        <w:autoSpaceDN/>
        <w:bidi w:val="0"/>
        <w:adjustRightInd/>
        <w:spacing w:line="400" w:lineRule="exact"/>
        <w:jc w:val="left"/>
        <w:textAlignment w:val="auto"/>
        <w:rPr>
          <w:rFonts w:ascii="宋体" w:hAnsi="宋体" w:cs="宋体"/>
          <w:color w:val="auto"/>
          <w:sz w:val="22"/>
          <w:szCs w:val="22"/>
          <w:highlight w:val="none"/>
        </w:rPr>
      </w:pPr>
      <w:r>
        <w:rPr>
          <w:rFonts w:hint="eastAsia" w:ascii="宋体" w:hAnsi="宋体" w:cs="宋体"/>
          <w:color w:val="auto"/>
          <w:sz w:val="22"/>
          <w:szCs w:val="22"/>
          <w:highlight w:val="none"/>
        </w:rPr>
        <w:t>  小型、微型企业提供中型企业制造的货物的，视同为中型企业。</w:t>
      </w:r>
    </w:p>
    <w:p w14:paraId="6361905B">
      <w:pPr>
        <w:spacing w:line="440" w:lineRule="atLeast"/>
        <w:rPr>
          <w:color w:val="auto"/>
          <w:sz w:val="22"/>
          <w:szCs w:val="22"/>
          <w:highlight w:val="none"/>
          <w:u w:val="single"/>
        </w:rPr>
      </w:pPr>
      <w:r>
        <w:rPr>
          <w:rFonts w:hint="eastAsia"/>
          <w:color w:val="auto"/>
          <w:sz w:val="22"/>
          <w:szCs w:val="22"/>
          <w:highlight w:val="none"/>
          <w:u w:val="single"/>
        </w:rPr>
        <w:t>（3）本项目对小型和微型企业产品的价格给予1</w:t>
      </w:r>
      <w:r>
        <w:rPr>
          <w:color w:val="auto"/>
          <w:sz w:val="22"/>
          <w:szCs w:val="22"/>
          <w:highlight w:val="none"/>
          <w:u w:val="single"/>
        </w:rPr>
        <w:t>0</w:t>
      </w:r>
      <w:r>
        <w:rPr>
          <w:rFonts w:hint="eastAsia"/>
          <w:color w:val="auto"/>
          <w:sz w:val="22"/>
          <w:szCs w:val="22"/>
          <w:highlight w:val="none"/>
          <w:u w:val="single"/>
        </w:rPr>
        <w:t>%的扣除，用扣除后的价格参与评审。</w:t>
      </w:r>
    </w:p>
    <w:p w14:paraId="1968E3FA">
      <w:pPr>
        <w:spacing w:line="440" w:lineRule="atLeast"/>
        <w:rPr>
          <w:color w:val="auto"/>
          <w:sz w:val="22"/>
          <w:szCs w:val="22"/>
          <w:highlight w:val="none"/>
        </w:rPr>
      </w:pPr>
      <w:r>
        <w:rPr>
          <w:rFonts w:hint="eastAsia"/>
          <w:color w:val="auto"/>
          <w:sz w:val="22"/>
          <w:szCs w:val="22"/>
          <w:highlight w:val="none"/>
          <w:u w:val="single"/>
        </w:rPr>
        <w:t>3、享受小微企业价格折扣应提供以下证明材料</w:t>
      </w:r>
      <w:r>
        <w:rPr>
          <w:rFonts w:hint="eastAsia"/>
          <w:color w:val="auto"/>
          <w:sz w:val="22"/>
          <w:szCs w:val="22"/>
          <w:highlight w:val="none"/>
        </w:rPr>
        <w:t>：</w:t>
      </w:r>
    </w:p>
    <w:p w14:paraId="31ED478D">
      <w:pPr>
        <w:spacing w:line="440" w:lineRule="atLeast"/>
        <w:rPr>
          <w:b/>
          <w:color w:val="auto"/>
          <w:sz w:val="22"/>
          <w:szCs w:val="22"/>
          <w:highlight w:val="none"/>
        </w:rPr>
      </w:pPr>
      <w:r>
        <w:rPr>
          <w:rFonts w:hint="eastAsia"/>
          <w:b/>
          <w:color w:val="auto"/>
          <w:sz w:val="22"/>
          <w:szCs w:val="22"/>
          <w:highlight w:val="none"/>
        </w:rPr>
        <w:t>《中小企业声明函》（加盖供应商公章，格式见附件）</w:t>
      </w:r>
    </w:p>
    <w:p w14:paraId="504B89FD">
      <w:pPr>
        <w:spacing w:line="440" w:lineRule="atLeast"/>
        <w:rPr>
          <w:color w:val="auto"/>
          <w:sz w:val="22"/>
          <w:szCs w:val="22"/>
          <w:highlight w:val="none"/>
        </w:rPr>
      </w:pPr>
      <w:r>
        <w:rPr>
          <w:rFonts w:hint="eastAsia"/>
          <w:color w:val="auto"/>
          <w:sz w:val="22"/>
          <w:szCs w:val="22"/>
          <w:highlight w:val="none"/>
        </w:rPr>
        <w:t>4、</w:t>
      </w:r>
      <w:r>
        <w:rPr>
          <w:rFonts w:hint="eastAsia"/>
          <w:color w:val="auto"/>
          <w:sz w:val="22"/>
          <w:szCs w:val="22"/>
          <w:highlight w:val="none"/>
          <w:u w:val="single"/>
        </w:rPr>
        <w:t>享受监狱企业价格折扣应提供以下证明材料（投标文件报价文件标中，不提供的不享受价格折扣）</w:t>
      </w:r>
      <w:r>
        <w:rPr>
          <w:rFonts w:hint="eastAsia"/>
          <w:color w:val="auto"/>
          <w:sz w:val="22"/>
          <w:szCs w:val="22"/>
          <w:highlight w:val="none"/>
        </w:rPr>
        <w:t>：</w:t>
      </w:r>
    </w:p>
    <w:p w14:paraId="25BFF3F2">
      <w:pPr>
        <w:spacing w:line="440" w:lineRule="atLeast"/>
        <w:rPr>
          <w:color w:val="auto"/>
          <w:sz w:val="22"/>
          <w:szCs w:val="22"/>
          <w:highlight w:val="none"/>
        </w:rPr>
      </w:pPr>
      <w:r>
        <w:rPr>
          <w:rFonts w:hint="eastAsia"/>
          <w:color w:val="auto"/>
          <w:sz w:val="22"/>
          <w:szCs w:val="22"/>
          <w:highlight w:val="none"/>
        </w:rPr>
        <w:t>（</w:t>
      </w:r>
      <w:r>
        <w:rPr>
          <w:color w:val="auto"/>
          <w:sz w:val="22"/>
          <w:szCs w:val="22"/>
          <w:highlight w:val="none"/>
        </w:rPr>
        <w:t>1</w:t>
      </w:r>
      <w:r>
        <w:rPr>
          <w:rFonts w:hint="eastAsia"/>
          <w:color w:val="auto"/>
          <w:sz w:val="22"/>
          <w:szCs w:val="22"/>
          <w:highlight w:val="none"/>
        </w:rPr>
        <w:t>）</w:t>
      </w:r>
      <w:r>
        <w:rPr>
          <w:color w:val="auto"/>
          <w:sz w:val="22"/>
          <w:szCs w:val="22"/>
          <w:highlight w:val="none"/>
        </w:rPr>
        <w:t>监狱企业参加政府采购活动时，应当提供由省级以上监狱管理局、戒毒管理局(含新疆生产建设兵团)出具的属于监狱企业的证明文件</w:t>
      </w:r>
      <w:r>
        <w:rPr>
          <w:rFonts w:hint="eastAsia"/>
          <w:color w:val="auto"/>
          <w:sz w:val="22"/>
          <w:szCs w:val="22"/>
          <w:highlight w:val="none"/>
        </w:rPr>
        <w:t>（复印件加盖公章）</w:t>
      </w:r>
      <w:r>
        <w:rPr>
          <w:color w:val="auto"/>
          <w:sz w:val="22"/>
          <w:szCs w:val="22"/>
          <w:highlight w:val="none"/>
        </w:rPr>
        <w:t>。在政府采购活动中，监狱企业视同小型、微型企业，享受评审中价格扣除政策</w:t>
      </w:r>
      <w:r>
        <w:rPr>
          <w:rFonts w:hint="eastAsia"/>
          <w:color w:val="auto"/>
          <w:sz w:val="22"/>
          <w:szCs w:val="22"/>
          <w:highlight w:val="none"/>
        </w:rPr>
        <w:t>。</w:t>
      </w:r>
    </w:p>
    <w:p w14:paraId="67273220">
      <w:pPr>
        <w:spacing w:line="440" w:lineRule="atLeast"/>
        <w:rPr>
          <w:color w:val="auto"/>
          <w:sz w:val="22"/>
          <w:szCs w:val="22"/>
          <w:highlight w:val="none"/>
        </w:rPr>
      </w:pPr>
      <w:r>
        <w:rPr>
          <w:color w:val="auto"/>
          <w:sz w:val="22"/>
          <w:szCs w:val="22"/>
          <w:highlight w:val="none"/>
        </w:rPr>
        <w:t>5</w:t>
      </w:r>
      <w:r>
        <w:rPr>
          <w:rFonts w:hint="eastAsia"/>
          <w:color w:val="auto"/>
          <w:sz w:val="22"/>
          <w:szCs w:val="22"/>
          <w:highlight w:val="none"/>
        </w:rPr>
        <w:t>、</w:t>
      </w:r>
      <w:r>
        <w:rPr>
          <w:rFonts w:hint="eastAsia"/>
          <w:color w:val="auto"/>
          <w:sz w:val="22"/>
          <w:szCs w:val="22"/>
          <w:highlight w:val="none"/>
          <w:u w:val="single"/>
        </w:rPr>
        <w:t>享受残疾人福利性单位格折扣应提供以下证明材料（投标文件报价文件标中，不提供的不享受价格折扣）</w:t>
      </w:r>
      <w:r>
        <w:rPr>
          <w:rFonts w:hint="eastAsia"/>
          <w:color w:val="auto"/>
          <w:sz w:val="22"/>
          <w:szCs w:val="22"/>
          <w:highlight w:val="none"/>
        </w:rPr>
        <w:t>：</w:t>
      </w:r>
    </w:p>
    <w:p w14:paraId="7D2B8574">
      <w:pPr>
        <w:spacing w:line="440" w:lineRule="atLeast"/>
        <w:rPr>
          <w:color w:val="auto"/>
          <w:sz w:val="22"/>
          <w:szCs w:val="22"/>
          <w:highlight w:val="none"/>
        </w:rPr>
      </w:pPr>
      <w:r>
        <w:rPr>
          <w:rFonts w:hint="eastAsia"/>
          <w:color w:val="auto"/>
          <w:sz w:val="22"/>
          <w:szCs w:val="22"/>
          <w:highlight w:val="none"/>
        </w:rPr>
        <w:t>（</w:t>
      </w:r>
      <w:r>
        <w:rPr>
          <w:color w:val="auto"/>
          <w:sz w:val="22"/>
          <w:szCs w:val="22"/>
          <w:highlight w:val="none"/>
        </w:rPr>
        <w:t>1</w:t>
      </w:r>
      <w:r>
        <w:rPr>
          <w:rFonts w:hint="eastAsia"/>
          <w:color w:val="auto"/>
          <w:sz w:val="22"/>
          <w:szCs w:val="22"/>
          <w:highlight w:val="none"/>
        </w:rPr>
        <w:t>）残疾人福利性单位声明函；</w:t>
      </w:r>
    </w:p>
    <w:p w14:paraId="573ABB46">
      <w:pPr>
        <w:spacing w:line="440" w:lineRule="atLeast"/>
        <w:rPr>
          <w:color w:val="auto"/>
          <w:sz w:val="22"/>
          <w:szCs w:val="22"/>
          <w:highlight w:val="none"/>
        </w:rPr>
      </w:pPr>
      <w:r>
        <w:rPr>
          <w:color w:val="auto"/>
          <w:sz w:val="22"/>
          <w:szCs w:val="22"/>
          <w:highlight w:val="none"/>
        </w:rPr>
        <w:t>6</w:t>
      </w:r>
      <w:r>
        <w:rPr>
          <w:rFonts w:hint="eastAsia"/>
          <w:color w:val="auto"/>
          <w:sz w:val="22"/>
          <w:szCs w:val="22"/>
          <w:highlight w:val="none"/>
        </w:rPr>
        <w:t>、非单一产品采购，无法核实（按投标文件资料）全部货物均为小微企业（含监狱企业、残疾人福利性单位）制造；或小微企业（含监狱企业、残疾人福利性单位）提供其他制造商制造的货物且无法核实（按投标文件资料）制造商是否为小微企业（含监狱企业、残疾人福利性单位）的，不享受价格折扣。</w:t>
      </w:r>
    </w:p>
    <w:p w14:paraId="01D0491C">
      <w:pPr>
        <w:snapToGrid w:val="0"/>
        <w:spacing w:line="440" w:lineRule="atLeast"/>
        <w:jc w:val="center"/>
        <w:rPr>
          <w:b/>
          <w:bCs/>
          <w:color w:val="auto"/>
          <w:sz w:val="28"/>
          <w:szCs w:val="32"/>
          <w:highlight w:val="none"/>
        </w:rPr>
      </w:pPr>
      <w:r>
        <w:rPr>
          <w:b/>
          <w:bCs/>
          <w:color w:val="auto"/>
          <w:sz w:val="28"/>
          <w:szCs w:val="32"/>
          <w:highlight w:val="none"/>
        </w:rPr>
        <w:t>中小企业声明函（货物）</w:t>
      </w:r>
    </w:p>
    <w:p w14:paraId="720874DC">
      <w:pPr>
        <w:snapToGrid w:val="0"/>
        <w:spacing w:line="440" w:lineRule="atLeast"/>
        <w:ind w:firstLine="440" w:firstLineChars="200"/>
        <w:rPr>
          <w:color w:val="auto"/>
          <w:sz w:val="22"/>
          <w:highlight w:val="none"/>
        </w:rPr>
      </w:pPr>
      <w:r>
        <w:rPr>
          <w:color w:val="auto"/>
          <w:sz w:val="22"/>
          <w:highlight w:val="none"/>
        </w:rPr>
        <w:t>本公司（联合体）郑重声明，根据《政府采购促进中小 企业发展管理办法》（财库﹝2020﹞46 号）的规定，本公司 （联合体）参加</w:t>
      </w:r>
      <w:r>
        <w:rPr>
          <w:color w:val="auto"/>
          <w:sz w:val="22"/>
          <w:highlight w:val="none"/>
          <w:u w:val="single"/>
        </w:rPr>
        <w:t>（单位名称）</w:t>
      </w:r>
      <w:r>
        <w:rPr>
          <w:color w:val="auto"/>
          <w:sz w:val="22"/>
          <w:highlight w:val="none"/>
        </w:rPr>
        <w:t>的</w:t>
      </w:r>
      <w:r>
        <w:rPr>
          <w:color w:val="auto"/>
          <w:sz w:val="22"/>
          <w:highlight w:val="none"/>
          <w:u w:val="single"/>
        </w:rPr>
        <w:t>（项目名称）</w:t>
      </w:r>
      <w:r>
        <w:rPr>
          <w:color w:val="auto"/>
          <w:sz w:val="22"/>
          <w:highlight w:val="none"/>
        </w:rPr>
        <w:t>采购活动，提 供的货物全部由符合政策要求的中小企业制造。相关企业 （含联合体中的中小企业、签订分包意向协议的中小企业） 的具体情况如下：</w:t>
      </w:r>
    </w:p>
    <w:p w14:paraId="38311E12">
      <w:pPr>
        <w:snapToGrid w:val="0"/>
        <w:spacing w:line="440" w:lineRule="atLeast"/>
        <w:ind w:firstLine="440" w:firstLineChars="200"/>
        <w:rPr>
          <w:color w:val="auto"/>
          <w:sz w:val="22"/>
          <w:highlight w:val="none"/>
        </w:rPr>
      </w:pPr>
      <w:r>
        <w:rPr>
          <w:color w:val="auto"/>
          <w:sz w:val="22"/>
          <w:highlight w:val="none"/>
        </w:rPr>
        <w:t xml:space="preserve"> 1. </w:t>
      </w:r>
      <w:r>
        <w:rPr>
          <w:color w:val="auto"/>
          <w:sz w:val="22"/>
          <w:highlight w:val="none"/>
          <w:u w:val="single"/>
        </w:rPr>
        <w:t>（标的名称）</w:t>
      </w:r>
      <w:r>
        <w:rPr>
          <w:color w:val="auto"/>
          <w:sz w:val="22"/>
          <w:highlight w:val="none"/>
        </w:rPr>
        <w:t>，属于</w:t>
      </w:r>
      <w:r>
        <w:rPr>
          <w:color w:val="auto"/>
          <w:sz w:val="22"/>
          <w:highlight w:val="none"/>
          <w:u w:val="single"/>
        </w:rPr>
        <w:t>（采购文件中明确的所属行业）</w:t>
      </w:r>
      <w:r>
        <w:rPr>
          <w:color w:val="auto"/>
          <w:sz w:val="22"/>
          <w:highlight w:val="none"/>
        </w:rPr>
        <w:t xml:space="preserve"> 行业；制造商为</w:t>
      </w:r>
      <w:r>
        <w:rPr>
          <w:color w:val="auto"/>
          <w:sz w:val="22"/>
          <w:highlight w:val="none"/>
          <w:u w:val="single"/>
        </w:rPr>
        <w:t>（企业名称）</w:t>
      </w:r>
      <w:r>
        <w:rPr>
          <w:color w:val="auto"/>
          <w:sz w:val="22"/>
          <w:highlight w:val="none"/>
        </w:rPr>
        <w:t>，从业人员</w:t>
      </w:r>
      <w:r>
        <w:rPr>
          <w:color w:val="auto"/>
          <w:sz w:val="22"/>
          <w:highlight w:val="none"/>
          <w:u w:val="single"/>
        </w:rPr>
        <w:t xml:space="preserve">    </w:t>
      </w:r>
      <w:r>
        <w:rPr>
          <w:color w:val="auto"/>
          <w:sz w:val="22"/>
          <w:highlight w:val="none"/>
        </w:rPr>
        <w:t>人，营业收入为</w:t>
      </w:r>
      <w:r>
        <w:rPr>
          <w:color w:val="auto"/>
          <w:sz w:val="22"/>
          <w:highlight w:val="none"/>
          <w:u w:val="single"/>
        </w:rPr>
        <w:t xml:space="preserve">      </w:t>
      </w:r>
      <w:r>
        <w:rPr>
          <w:color w:val="auto"/>
          <w:sz w:val="22"/>
          <w:highlight w:val="none"/>
        </w:rPr>
        <w:t>万元，资产总额为</w:t>
      </w:r>
      <w:r>
        <w:rPr>
          <w:color w:val="auto"/>
          <w:sz w:val="22"/>
          <w:highlight w:val="none"/>
          <w:u w:val="single"/>
        </w:rPr>
        <w:t xml:space="preserve">      </w:t>
      </w:r>
      <w:r>
        <w:rPr>
          <w:color w:val="auto"/>
          <w:sz w:val="22"/>
          <w:highlight w:val="none"/>
        </w:rPr>
        <w:t>万元</w:t>
      </w:r>
      <w:r>
        <w:rPr>
          <w:rFonts w:hint="eastAsia"/>
          <w:color w:val="auto"/>
          <w:sz w:val="22"/>
          <w:highlight w:val="none"/>
        </w:rPr>
        <w:t>（注1）</w:t>
      </w:r>
      <w:r>
        <w:rPr>
          <w:color w:val="auto"/>
          <w:sz w:val="22"/>
          <w:highlight w:val="none"/>
        </w:rPr>
        <w:t>，属于</w:t>
      </w:r>
      <w:r>
        <w:rPr>
          <w:color w:val="auto"/>
          <w:sz w:val="22"/>
          <w:highlight w:val="none"/>
          <w:u w:val="single"/>
        </w:rPr>
        <w:t>（中型企业、小型企业、微型企业）</w:t>
      </w:r>
      <w:r>
        <w:rPr>
          <w:color w:val="auto"/>
          <w:sz w:val="22"/>
          <w:highlight w:val="none"/>
        </w:rPr>
        <w:t>；</w:t>
      </w:r>
    </w:p>
    <w:p w14:paraId="6FC1A2FE">
      <w:pPr>
        <w:snapToGrid w:val="0"/>
        <w:spacing w:line="440" w:lineRule="atLeast"/>
        <w:ind w:firstLine="440" w:firstLineChars="200"/>
        <w:rPr>
          <w:color w:val="auto"/>
          <w:sz w:val="22"/>
          <w:highlight w:val="none"/>
        </w:rPr>
      </w:pPr>
      <w:r>
        <w:rPr>
          <w:color w:val="auto"/>
          <w:sz w:val="22"/>
          <w:highlight w:val="none"/>
        </w:rPr>
        <w:t xml:space="preserve">2. </w:t>
      </w:r>
      <w:r>
        <w:rPr>
          <w:color w:val="auto"/>
          <w:sz w:val="22"/>
          <w:highlight w:val="none"/>
          <w:u w:val="single"/>
        </w:rPr>
        <w:t>（标的名称）</w:t>
      </w:r>
      <w:r>
        <w:rPr>
          <w:color w:val="auto"/>
          <w:sz w:val="22"/>
          <w:highlight w:val="none"/>
        </w:rPr>
        <w:t>，属于</w:t>
      </w:r>
      <w:r>
        <w:rPr>
          <w:color w:val="auto"/>
          <w:sz w:val="22"/>
          <w:highlight w:val="none"/>
          <w:u w:val="single"/>
        </w:rPr>
        <w:t>（采购文件中明确的所属行业）</w:t>
      </w:r>
      <w:r>
        <w:rPr>
          <w:color w:val="auto"/>
          <w:sz w:val="22"/>
          <w:highlight w:val="none"/>
        </w:rPr>
        <w:t xml:space="preserve"> 行业；制造商为</w:t>
      </w:r>
      <w:r>
        <w:rPr>
          <w:color w:val="auto"/>
          <w:sz w:val="22"/>
          <w:highlight w:val="none"/>
          <w:u w:val="single"/>
        </w:rPr>
        <w:t>（企业名称）</w:t>
      </w:r>
      <w:r>
        <w:rPr>
          <w:color w:val="auto"/>
          <w:sz w:val="22"/>
          <w:highlight w:val="none"/>
        </w:rPr>
        <w:t>，从业人员</w:t>
      </w:r>
      <w:r>
        <w:rPr>
          <w:color w:val="auto"/>
          <w:sz w:val="22"/>
          <w:highlight w:val="none"/>
          <w:u w:val="single"/>
        </w:rPr>
        <w:t xml:space="preserve">    </w:t>
      </w:r>
      <w:r>
        <w:rPr>
          <w:color w:val="auto"/>
          <w:sz w:val="22"/>
          <w:highlight w:val="none"/>
        </w:rPr>
        <w:t>人，营业收入为</w:t>
      </w:r>
      <w:r>
        <w:rPr>
          <w:color w:val="auto"/>
          <w:sz w:val="22"/>
          <w:highlight w:val="none"/>
          <w:u w:val="single"/>
        </w:rPr>
        <w:t xml:space="preserve">      </w:t>
      </w:r>
      <w:r>
        <w:rPr>
          <w:color w:val="auto"/>
          <w:sz w:val="22"/>
          <w:highlight w:val="none"/>
        </w:rPr>
        <w:t>万元，资产总额为</w:t>
      </w:r>
      <w:r>
        <w:rPr>
          <w:color w:val="auto"/>
          <w:sz w:val="22"/>
          <w:highlight w:val="none"/>
          <w:u w:val="single"/>
        </w:rPr>
        <w:t xml:space="preserve">      </w:t>
      </w:r>
      <w:r>
        <w:rPr>
          <w:color w:val="auto"/>
          <w:sz w:val="22"/>
          <w:highlight w:val="none"/>
        </w:rPr>
        <w:t>万元，属于</w:t>
      </w:r>
      <w:r>
        <w:rPr>
          <w:color w:val="auto"/>
          <w:sz w:val="22"/>
          <w:highlight w:val="none"/>
          <w:u w:val="single"/>
        </w:rPr>
        <w:t>（中型企业、小型企业、微型企业）</w:t>
      </w:r>
      <w:r>
        <w:rPr>
          <w:color w:val="auto"/>
          <w:sz w:val="22"/>
          <w:highlight w:val="none"/>
        </w:rPr>
        <w:t>；</w:t>
      </w:r>
    </w:p>
    <w:p w14:paraId="10DBDAC1">
      <w:pPr>
        <w:snapToGrid w:val="0"/>
        <w:spacing w:line="440" w:lineRule="atLeast"/>
        <w:ind w:firstLine="440" w:firstLineChars="200"/>
        <w:rPr>
          <w:color w:val="auto"/>
          <w:sz w:val="22"/>
          <w:highlight w:val="none"/>
        </w:rPr>
      </w:pPr>
      <w:r>
        <w:rPr>
          <w:color w:val="auto"/>
          <w:sz w:val="22"/>
          <w:highlight w:val="none"/>
        </w:rPr>
        <w:t xml:space="preserve"> …… </w:t>
      </w:r>
    </w:p>
    <w:p w14:paraId="50536F06">
      <w:pPr>
        <w:snapToGrid w:val="0"/>
        <w:spacing w:line="440" w:lineRule="atLeast"/>
        <w:ind w:firstLine="440" w:firstLineChars="200"/>
        <w:rPr>
          <w:color w:val="auto"/>
          <w:sz w:val="22"/>
          <w:highlight w:val="none"/>
        </w:rPr>
      </w:pPr>
      <w:r>
        <w:rPr>
          <w:color w:val="auto"/>
          <w:sz w:val="22"/>
          <w:highlight w:val="none"/>
        </w:rPr>
        <w:t xml:space="preserve">以上企业，不属于大企业的分支机构，不存在控股股东为大企业的情形，也不存在与大企业的负责人为同一人的情形。 </w:t>
      </w:r>
    </w:p>
    <w:p w14:paraId="01E38CF3">
      <w:pPr>
        <w:snapToGrid w:val="0"/>
        <w:spacing w:line="440" w:lineRule="atLeast"/>
        <w:ind w:firstLine="440" w:firstLineChars="200"/>
        <w:rPr>
          <w:color w:val="auto"/>
          <w:sz w:val="22"/>
          <w:highlight w:val="none"/>
        </w:rPr>
      </w:pPr>
      <w:r>
        <w:rPr>
          <w:color w:val="auto"/>
          <w:sz w:val="22"/>
          <w:highlight w:val="none"/>
        </w:rPr>
        <w:t xml:space="preserve">本企业对上述声明内容的真实性负责。如有虚假，将依 法承担相应责任。 </w:t>
      </w:r>
    </w:p>
    <w:p w14:paraId="63C34586">
      <w:pPr>
        <w:snapToGrid w:val="0"/>
        <w:spacing w:line="440" w:lineRule="atLeast"/>
        <w:ind w:firstLine="3740" w:firstLineChars="1700"/>
        <w:rPr>
          <w:color w:val="auto"/>
          <w:sz w:val="22"/>
          <w:highlight w:val="none"/>
        </w:rPr>
      </w:pPr>
      <w:r>
        <w:rPr>
          <w:color w:val="auto"/>
          <w:sz w:val="22"/>
          <w:highlight w:val="none"/>
        </w:rPr>
        <w:t xml:space="preserve">企业名称（盖章）： </w:t>
      </w:r>
    </w:p>
    <w:p w14:paraId="14485F6D">
      <w:pPr>
        <w:snapToGrid w:val="0"/>
        <w:spacing w:line="440" w:lineRule="atLeast"/>
        <w:ind w:firstLine="3740" w:firstLineChars="1700"/>
        <w:rPr>
          <w:color w:val="auto"/>
          <w:sz w:val="22"/>
          <w:highlight w:val="none"/>
        </w:rPr>
      </w:pPr>
      <w:r>
        <w:rPr>
          <w:color w:val="auto"/>
          <w:sz w:val="22"/>
          <w:highlight w:val="none"/>
        </w:rPr>
        <w:t>日 期：</w:t>
      </w:r>
    </w:p>
    <w:p w14:paraId="31A2A696">
      <w:pPr>
        <w:spacing w:line="440" w:lineRule="atLeast"/>
        <w:rPr>
          <w:color w:val="auto"/>
          <w:sz w:val="22"/>
          <w:szCs w:val="22"/>
          <w:highlight w:val="none"/>
        </w:rPr>
      </w:pPr>
      <w:r>
        <w:rPr>
          <w:rFonts w:hint="eastAsia"/>
          <w:color w:val="auto"/>
          <w:spacing w:val="6"/>
          <w:sz w:val="22"/>
          <w:szCs w:val="22"/>
          <w:highlight w:val="none"/>
        </w:rPr>
        <w:t>（注1）</w:t>
      </w:r>
      <w:r>
        <w:rPr>
          <w:color w:val="auto"/>
          <w:spacing w:val="6"/>
          <w:sz w:val="22"/>
          <w:szCs w:val="22"/>
          <w:highlight w:val="none"/>
        </w:rPr>
        <w:t>从业人员、营业收入、资产总额填报上一年度数据，无上一年度数据的新成立企业可不填</w:t>
      </w:r>
      <w:r>
        <w:rPr>
          <w:color w:val="auto"/>
          <w:sz w:val="22"/>
          <w:szCs w:val="22"/>
          <w:highlight w:val="none"/>
        </w:rPr>
        <w:t>报。</w:t>
      </w:r>
      <w:r>
        <w:rPr>
          <w:rFonts w:hint="eastAsia"/>
          <w:color w:val="auto"/>
          <w:sz w:val="22"/>
          <w:szCs w:val="22"/>
          <w:highlight w:val="none"/>
        </w:rPr>
        <w:t>                      　　　　　</w:t>
      </w:r>
    </w:p>
    <w:p w14:paraId="35D82EDB">
      <w:pPr>
        <w:spacing w:line="588" w:lineRule="exact"/>
        <w:jc w:val="center"/>
        <w:rPr>
          <w:b/>
          <w:bCs/>
          <w:color w:val="auto"/>
          <w:spacing w:val="6"/>
          <w:sz w:val="28"/>
          <w:szCs w:val="28"/>
          <w:highlight w:val="none"/>
        </w:rPr>
      </w:pPr>
      <w:bookmarkStart w:id="10" w:name="OLE_LINK14"/>
      <w:bookmarkStart w:id="11" w:name="OLE_LINK13"/>
      <w:r>
        <w:rPr>
          <w:rFonts w:hint="eastAsia"/>
          <w:b/>
          <w:bCs/>
          <w:color w:val="auto"/>
          <w:spacing w:val="6"/>
          <w:sz w:val="28"/>
          <w:szCs w:val="28"/>
          <w:highlight w:val="none"/>
        </w:rPr>
        <w:t>残疾人福利性单位声明函</w:t>
      </w:r>
    </w:p>
    <w:bookmarkEnd w:id="10"/>
    <w:bookmarkEnd w:id="11"/>
    <w:p w14:paraId="4577A2D9">
      <w:pPr>
        <w:spacing w:line="588" w:lineRule="exact"/>
        <w:rPr>
          <w:color w:val="auto"/>
          <w:spacing w:val="6"/>
          <w:sz w:val="22"/>
          <w:szCs w:val="22"/>
          <w:highlight w:val="none"/>
        </w:rPr>
      </w:pPr>
    </w:p>
    <w:p w14:paraId="43E45680">
      <w:pPr>
        <w:spacing w:line="588" w:lineRule="exact"/>
        <w:ind w:firstLine="464" w:firstLineChars="200"/>
        <w:rPr>
          <w:color w:val="auto"/>
          <w:spacing w:val="6"/>
          <w:sz w:val="22"/>
          <w:szCs w:val="22"/>
          <w:highlight w:val="none"/>
        </w:rPr>
      </w:pPr>
      <w:r>
        <w:rPr>
          <w:rFonts w:hint="eastAsia"/>
          <w:color w:val="auto"/>
          <w:spacing w:val="6"/>
          <w:sz w:val="22"/>
          <w:szCs w:val="22"/>
          <w:highlight w:val="none"/>
        </w:rPr>
        <w:t>本单位郑重声明，根据《财政部 民政部 中国残疾人联合会关于促进残疾人就业政府采购政策的通知》（财库</w:t>
      </w:r>
      <w:r>
        <w:rPr>
          <w:rFonts w:hint="eastAsia"/>
          <w:color w:val="auto"/>
          <w:sz w:val="22"/>
          <w:szCs w:val="22"/>
          <w:highlight w:val="none"/>
        </w:rPr>
        <w:t>〔2017〕 141</w:t>
      </w:r>
      <w:r>
        <w:rPr>
          <w:rFonts w:hint="eastAsia"/>
          <w:color w:val="auto"/>
          <w:spacing w:val="6"/>
          <w:sz w:val="22"/>
          <w:szCs w:val="22"/>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894AF2B">
      <w:pPr>
        <w:spacing w:line="588" w:lineRule="exact"/>
        <w:ind w:firstLine="464" w:firstLineChars="200"/>
        <w:rPr>
          <w:color w:val="auto"/>
          <w:spacing w:val="6"/>
          <w:sz w:val="22"/>
          <w:szCs w:val="22"/>
          <w:highlight w:val="none"/>
        </w:rPr>
      </w:pPr>
      <w:r>
        <w:rPr>
          <w:rFonts w:hint="eastAsia"/>
          <w:color w:val="auto"/>
          <w:spacing w:val="6"/>
          <w:sz w:val="22"/>
          <w:szCs w:val="22"/>
          <w:highlight w:val="none"/>
        </w:rPr>
        <w:t>本单位对上述声明的真实性负责。如有虚假，将依法承担相应责任。</w:t>
      </w:r>
    </w:p>
    <w:p w14:paraId="30BB3D4A">
      <w:pPr>
        <w:spacing w:line="588" w:lineRule="exact"/>
        <w:ind w:firstLine="464" w:firstLineChars="200"/>
        <w:rPr>
          <w:color w:val="auto"/>
          <w:spacing w:val="6"/>
          <w:sz w:val="22"/>
          <w:szCs w:val="22"/>
          <w:highlight w:val="none"/>
        </w:rPr>
      </w:pPr>
    </w:p>
    <w:p w14:paraId="349CEEB5">
      <w:pPr>
        <w:spacing w:line="588" w:lineRule="exact"/>
        <w:ind w:firstLine="464" w:firstLineChars="200"/>
        <w:rPr>
          <w:color w:val="auto"/>
          <w:spacing w:val="6"/>
          <w:sz w:val="22"/>
          <w:szCs w:val="22"/>
          <w:highlight w:val="none"/>
        </w:rPr>
      </w:pPr>
    </w:p>
    <w:p w14:paraId="51AE6C71">
      <w:pPr>
        <w:tabs>
          <w:tab w:val="left" w:pos="4860"/>
        </w:tabs>
        <w:spacing w:line="588" w:lineRule="exact"/>
        <w:ind w:right="1560" w:firstLine="464" w:firstLineChars="200"/>
        <w:jc w:val="center"/>
        <w:rPr>
          <w:color w:val="auto"/>
          <w:spacing w:val="6"/>
          <w:sz w:val="22"/>
          <w:szCs w:val="22"/>
          <w:highlight w:val="none"/>
        </w:rPr>
      </w:pPr>
      <w:r>
        <w:rPr>
          <w:rFonts w:hint="eastAsia"/>
          <w:color w:val="auto"/>
          <w:spacing w:val="6"/>
          <w:sz w:val="22"/>
          <w:szCs w:val="22"/>
          <w:highlight w:val="none"/>
        </w:rPr>
        <w:t xml:space="preserve">               单位名称（盖章）：</w:t>
      </w:r>
    </w:p>
    <w:p w14:paraId="2EABD816">
      <w:pPr>
        <w:tabs>
          <w:tab w:val="left" w:pos="4860"/>
        </w:tabs>
        <w:spacing w:line="588" w:lineRule="exact"/>
        <w:ind w:right="1560" w:firstLine="464" w:firstLineChars="200"/>
        <w:jc w:val="center"/>
        <w:rPr>
          <w:color w:val="auto"/>
          <w:spacing w:val="6"/>
          <w:sz w:val="22"/>
          <w:szCs w:val="22"/>
          <w:highlight w:val="none"/>
        </w:rPr>
      </w:pPr>
      <w:r>
        <w:rPr>
          <w:rFonts w:hint="eastAsia"/>
          <w:color w:val="auto"/>
          <w:spacing w:val="6"/>
          <w:sz w:val="22"/>
          <w:szCs w:val="22"/>
          <w:highlight w:val="none"/>
        </w:rPr>
        <w:t xml:space="preserve">       日  期：</w:t>
      </w:r>
    </w:p>
    <w:p w14:paraId="4F997A77">
      <w:pPr>
        <w:tabs>
          <w:tab w:val="left" w:pos="4860"/>
        </w:tabs>
        <w:spacing w:line="588" w:lineRule="exact"/>
        <w:ind w:right="1560"/>
        <w:rPr>
          <w:color w:val="auto"/>
          <w:sz w:val="22"/>
          <w:szCs w:val="22"/>
          <w:highlight w:val="none"/>
        </w:rPr>
      </w:pPr>
      <w:r>
        <w:rPr>
          <w:rFonts w:hint="eastAsia"/>
          <w:color w:val="auto"/>
          <w:sz w:val="22"/>
          <w:szCs w:val="22"/>
          <w:highlight w:val="none"/>
        </w:rPr>
        <w:t>备注说明：</w:t>
      </w:r>
    </w:p>
    <w:p w14:paraId="6AC61BB0">
      <w:pPr>
        <w:tabs>
          <w:tab w:val="left" w:pos="4860"/>
          <w:tab w:val="left" w:pos="7523"/>
        </w:tabs>
        <w:spacing w:line="588" w:lineRule="exact"/>
        <w:ind w:right="103" w:rightChars="43"/>
        <w:rPr>
          <w:color w:val="auto"/>
          <w:sz w:val="22"/>
          <w:szCs w:val="22"/>
          <w:highlight w:val="none"/>
        </w:rPr>
      </w:pPr>
      <w:r>
        <w:rPr>
          <w:rFonts w:hint="eastAsia"/>
          <w:color w:val="auto"/>
          <w:sz w:val="22"/>
          <w:szCs w:val="22"/>
          <w:highlight w:val="none"/>
        </w:rPr>
        <w:t>1、如中标，将在中标公示中将此残疾人福利性单位声明函予以公示，接受社会监督；</w:t>
      </w:r>
    </w:p>
    <w:p w14:paraId="2BB68825">
      <w:pPr>
        <w:tabs>
          <w:tab w:val="left" w:pos="4860"/>
          <w:tab w:val="left" w:pos="7523"/>
        </w:tabs>
        <w:spacing w:line="588" w:lineRule="exact"/>
        <w:ind w:right="103" w:rightChars="43"/>
        <w:rPr>
          <w:color w:val="auto"/>
          <w:spacing w:val="6"/>
          <w:sz w:val="22"/>
          <w:szCs w:val="22"/>
          <w:highlight w:val="none"/>
        </w:rPr>
      </w:pPr>
      <w:r>
        <w:rPr>
          <w:color w:val="auto"/>
          <w:sz w:val="22"/>
          <w:szCs w:val="22"/>
          <w:highlight w:val="none"/>
        </w:rPr>
        <w:t>2</w:t>
      </w:r>
      <w:r>
        <w:rPr>
          <w:rFonts w:hint="eastAsia"/>
          <w:color w:val="auto"/>
          <w:sz w:val="22"/>
          <w:szCs w:val="22"/>
          <w:highlight w:val="none"/>
        </w:rPr>
        <w:t>、供应商提供的《残疾人福利性单位声明函》与事实不符的，依照《政府采购法》第七十七条第一款的规定追究法律责任。</w:t>
      </w:r>
    </w:p>
    <w:p w14:paraId="55610174">
      <w:pPr>
        <w:tabs>
          <w:tab w:val="left" w:pos="4860"/>
          <w:tab w:val="left" w:pos="7523"/>
        </w:tabs>
        <w:spacing w:line="588" w:lineRule="exact"/>
        <w:ind w:right="103" w:rightChars="43"/>
        <w:rPr>
          <w:color w:val="auto"/>
          <w:sz w:val="22"/>
          <w:szCs w:val="22"/>
          <w:highlight w:val="none"/>
        </w:rPr>
      </w:pPr>
      <w:r>
        <w:rPr>
          <w:rFonts w:hint="eastAsia"/>
          <w:color w:val="auto"/>
          <w:sz w:val="22"/>
          <w:szCs w:val="22"/>
          <w:highlight w:val="none"/>
        </w:rPr>
        <w:t>二、节能、环保产品优先（强制）采购政策说明</w:t>
      </w:r>
    </w:p>
    <w:p w14:paraId="5942E34F">
      <w:pPr>
        <w:tabs>
          <w:tab w:val="left" w:pos="4860"/>
          <w:tab w:val="left" w:pos="7523"/>
        </w:tabs>
        <w:spacing w:line="588" w:lineRule="exact"/>
        <w:ind w:right="103" w:rightChars="43"/>
        <w:rPr>
          <w:color w:val="auto"/>
          <w:sz w:val="22"/>
          <w:szCs w:val="22"/>
          <w:highlight w:val="none"/>
        </w:rPr>
      </w:pPr>
      <w:r>
        <w:rPr>
          <w:rFonts w:hint="eastAsia"/>
          <w:color w:val="auto"/>
          <w:sz w:val="22"/>
          <w:szCs w:val="22"/>
          <w:highlight w:val="none"/>
        </w:rPr>
        <w:t>1、政策依据</w:t>
      </w:r>
    </w:p>
    <w:p w14:paraId="7FD60648">
      <w:pPr>
        <w:keepNext w:val="0"/>
        <w:keepLines w:val="0"/>
        <w:pageBreakBefore w:val="0"/>
        <w:kinsoku/>
        <w:wordWrap/>
        <w:overflowPunct/>
        <w:topLinePunct w:val="0"/>
        <w:autoSpaceDE/>
        <w:autoSpaceDN/>
        <w:bidi w:val="0"/>
        <w:adjustRightInd/>
        <w:snapToGrid/>
        <w:spacing w:line="400" w:lineRule="exact"/>
        <w:ind w:left="0" w:leftChars="0" w:firstLine="0" w:firstLineChars="0"/>
        <w:textAlignment w:val="auto"/>
        <w:rPr>
          <w:rFonts w:ascii="宋体" w:hAnsi="宋体" w:cs="宋体"/>
          <w:color w:val="auto"/>
          <w:sz w:val="22"/>
          <w:szCs w:val="22"/>
          <w:highlight w:val="none"/>
        </w:rPr>
      </w:pPr>
      <w:r>
        <w:rPr>
          <w:rFonts w:hint="eastAsia" w:ascii="宋体" w:hAnsi="宋体" w:cs="宋体"/>
          <w:color w:val="auto"/>
          <w:sz w:val="22"/>
          <w:szCs w:val="22"/>
          <w:highlight w:val="none"/>
        </w:rPr>
        <w:t>（一）《国务院办公厅关于建立政府强制采购节能产品制度的通知》</w:t>
      </w:r>
      <w:r>
        <w:rPr>
          <w:rFonts w:ascii="宋体" w:hAnsi="宋体" w:cs="宋体"/>
          <w:color w:val="auto"/>
          <w:sz w:val="22"/>
          <w:szCs w:val="22"/>
          <w:highlight w:val="none"/>
        </w:rPr>
        <w:t>(</w:t>
      </w:r>
      <w:r>
        <w:rPr>
          <w:rFonts w:hint="eastAsia" w:ascii="宋体" w:hAnsi="宋体" w:cs="宋体"/>
          <w:color w:val="auto"/>
          <w:sz w:val="22"/>
          <w:szCs w:val="22"/>
          <w:highlight w:val="none"/>
        </w:rPr>
        <w:t>国办发</w:t>
      </w:r>
      <w:r>
        <w:rPr>
          <w:rFonts w:ascii="宋体" w:hAnsi="宋体" w:cs="宋体"/>
          <w:color w:val="auto"/>
          <w:sz w:val="22"/>
          <w:szCs w:val="22"/>
          <w:highlight w:val="none"/>
        </w:rPr>
        <w:t>[2007]51</w:t>
      </w:r>
      <w:r>
        <w:rPr>
          <w:rFonts w:hint="eastAsia" w:ascii="宋体" w:hAnsi="宋体" w:cs="宋体"/>
          <w:color w:val="auto"/>
          <w:sz w:val="22"/>
          <w:szCs w:val="22"/>
          <w:highlight w:val="none"/>
        </w:rPr>
        <w:t>号</w:t>
      </w:r>
      <w:r>
        <w:rPr>
          <w:rFonts w:ascii="宋体" w:hAnsi="宋体" w:cs="宋体"/>
          <w:color w:val="auto"/>
          <w:sz w:val="22"/>
          <w:szCs w:val="22"/>
          <w:highlight w:val="none"/>
        </w:rPr>
        <w:t>)</w:t>
      </w:r>
    </w:p>
    <w:p w14:paraId="580D51D7">
      <w:pPr>
        <w:keepNext w:val="0"/>
        <w:keepLines w:val="0"/>
        <w:pageBreakBefore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rPr>
        <w:t>（二）</w:t>
      </w:r>
      <w:r>
        <w:rPr>
          <w:rFonts w:hint="eastAsia" w:ascii="宋体" w:hAnsi="宋体" w:eastAsia="宋体" w:cs="宋体"/>
          <w:color w:val="auto"/>
          <w:sz w:val="22"/>
          <w:szCs w:val="22"/>
          <w:highlight w:val="none"/>
          <w:lang w:val="en-US" w:eastAsia="zh-CN"/>
        </w:rPr>
        <w:t>《财政部 发展改革委 生态环境部 市场监管总局关于调整优化节能产品、环境标志产品政府采购执行机制的通知》（财库〔2019〕9号）</w:t>
      </w:r>
    </w:p>
    <w:p w14:paraId="1B6E8148">
      <w:pPr>
        <w:keepNext w:val="0"/>
        <w:keepLines w:val="0"/>
        <w:pageBreakBefore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2"/>
          <w:szCs w:val="22"/>
          <w:highlight w:val="none"/>
        </w:rPr>
      </w:pPr>
      <w:r>
        <w:rPr>
          <w:rFonts w:hint="eastAsia" w:ascii="宋体" w:hAnsi="宋体" w:cs="宋体"/>
          <w:strike w:val="0"/>
          <w:dstrike w:val="0"/>
          <w:color w:val="auto"/>
          <w:sz w:val="22"/>
          <w:szCs w:val="22"/>
          <w:highlight w:val="none"/>
        </w:rPr>
        <w:t>（</w:t>
      </w:r>
      <w:r>
        <w:rPr>
          <w:rFonts w:hint="eastAsia" w:ascii="宋体" w:hAnsi="宋体" w:cs="宋体"/>
          <w:strike w:val="0"/>
          <w:dstrike w:val="0"/>
          <w:color w:val="auto"/>
          <w:sz w:val="22"/>
          <w:szCs w:val="22"/>
          <w:highlight w:val="none"/>
          <w:lang w:val="en-US" w:eastAsia="zh-CN"/>
        </w:rPr>
        <w:t>三</w:t>
      </w:r>
      <w:r>
        <w:rPr>
          <w:rFonts w:hint="eastAsia" w:ascii="宋体" w:hAnsi="宋体" w:cs="宋体"/>
          <w:strike w:val="0"/>
          <w:dstrike w:val="0"/>
          <w:color w:val="auto"/>
          <w:sz w:val="22"/>
          <w:szCs w:val="22"/>
          <w:highlight w:val="none"/>
        </w:rPr>
        <w:t>）</w:t>
      </w:r>
      <w:r>
        <w:rPr>
          <w:rFonts w:hint="eastAsia" w:ascii="宋体" w:hAnsi="宋体" w:eastAsia="宋体" w:cs="宋体"/>
          <w:strike w:val="0"/>
          <w:color w:val="auto"/>
          <w:sz w:val="22"/>
          <w:szCs w:val="22"/>
          <w:highlight w:val="none"/>
        </w:rPr>
        <w:t>《关于</w:t>
      </w:r>
      <w:r>
        <w:rPr>
          <w:rFonts w:hint="eastAsia" w:ascii="宋体" w:hAnsi="宋体" w:eastAsia="宋体" w:cs="宋体"/>
          <w:color w:val="auto"/>
          <w:sz w:val="22"/>
          <w:szCs w:val="22"/>
          <w:highlight w:val="none"/>
        </w:rPr>
        <w:t>印发环境标志产品政府采购品目清单的通知》（财库〔2019〕18号）</w:t>
      </w:r>
    </w:p>
    <w:p w14:paraId="383AEE11">
      <w:pPr>
        <w:keepNext w:val="0"/>
        <w:keepLines w:val="0"/>
        <w:pageBreakBefore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cs="宋体"/>
          <w:color w:val="auto"/>
          <w:sz w:val="22"/>
          <w:szCs w:val="22"/>
          <w:highlight w:val="none"/>
        </w:rPr>
      </w:pP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四</w:t>
      </w:r>
      <w:r>
        <w:rPr>
          <w:rFonts w:hint="eastAsia" w:ascii="宋体" w:hAnsi="宋体" w:eastAsia="宋体" w:cs="宋体"/>
          <w:color w:val="auto"/>
          <w:sz w:val="22"/>
          <w:szCs w:val="22"/>
          <w:highlight w:val="none"/>
        </w:rPr>
        <w:t>）《市场监管总局关于发布参与实施政府采购节能产品、环境标志产品认证机构名录</w:t>
      </w:r>
      <w:r>
        <w:rPr>
          <w:rFonts w:hint="eastAsia" w:ascii="宋体" w:hAnsi="宋体" w:cs="宋体"/>
          <w:color w:val="auto"/>
          <w:sz w:val="22"/>
          <w:szCs w:val="22"/>
          <w:highlight w:val="none"/>
        </w:rPr>
        <w:t>的公告》（</w:t>
      </w:r>
      <w:r>
        <w:rPr>
          <w:rFonts w:ascii="宋体" w:hAnsi="宋体" w:cs="宋体"/>
          <w:color w:val="auto"/>
          <w:sz w:val="22"/>
          <w:szCs w:val="22"/>
          <w:highlight w:val="none"/>
        </w:rPr>
        <w:t>2019</w:t>
      </w:r>
      <w:r>
        <w:rPr>
          <w:rFonts w:hint="eastAsia" w:ascii="宋体" w:hAnsi="宋体" w:cs="宋体"/>
          <w:color w:val="auto"/>
          <w:sz w:val="22"/>
          <w:szCs w:val="22"/>
          <w:highlight w:val="none"/>
        </w:rPr>
        <w:t>年第</w:t>
      </w:r>
      <w:r>
        <w:rPr>
          <w:rFonts w:ascii="宋体" w:hAnsi="宋体" w:cs="宋体"/>
          <w:color w:val="auto"/>
          <w:sz w:val="22"/>
          <w:szCs w:val="22"/>
          <w:highlight w:val="none"/>
        </w:rPr>
        <w:t>16</w:t>
      </w:r>
      <w:r>
        <w:rPr>
          <w:rFonts w:hint="eastAsia" w:ascii="宋体" w:hAnsi="宋体" w:cs="宋体"/>
          <w:color w:val="auto"/>
          <w:sz w:val="22"/>
          <w:szCs w:val="22"/>
          <w:highlight w:val="none"/>
        </w:rPr>
        <w:t>号）</w:t>
      </w:r>
    </w:p>
    <w:p w14:paraId="1F1D1119">
      <w:pPr>
        <w:keepNext w:val="0"/>
        <w:keepLines w:val="0"/>
        <w:pageBreakBefore w:val="0"/>
        <w:kinsoku/>
        <w:wordWrap/>
        <w:overflowPunct/>
        <w:topLinePunct w:val="0"/>
        <w:autoSpaceDE/>
        <w:autoSpaceDN/>
        <w:bidi w:val="0"/>
        <w:adjustRightInd/>
        <w:snapToGrid/>
        <w:spacing w:line="400" w:lineRule="exact"/>
        <w:ind w:left="0" w:leftChars="0" w:firstLine="0" w:firstLineChars="0"/>
        <w:textAlignment w:val="auto"/>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五）《关于印发节能产品政府采购品目清单的通知》（财库〔2019〕19号）</w:t>
      </w:r>
    </w:p>
    <w:p w14:paraId="00197C78">
      <w:pPr>
        <w:tabs>
          <w:tab w:val="left" w:pos="4860"/>
          <w:tab w:val="left" w:pos="7523"/>
        </w:tabs>
        <w:spacing w:line="588" w:lineRule="exact"/>
        <w:ind w:right="103" w:rightChars="43"/>
        <w:rPr>
          <w:color w:val="auto"/>
          <w:sz w:val="22"/>
          <w:szCs w:val="22"/>
          <w:highlight w:val="none"/>
        </w:rPr>
      </w:pPr>
      <w:r>
        <w:rPr>
          <w:rFonts w:hint="eastAsia"/>
          <w:color w:val="auto"/>
          <w:sz w:val="22"/>
          <w:szCs w:val="22"/>
          <w:highlight w:val="none"/>
        </w:rPr>
        <w:t>2、供应商投标货物属于节能、环保优先（强制）采购范围的，须提供相关证明材料。</w:t>
      </w:r>
    </w:p>
    <w:p w14:paraId="786659F8">
      <w:pPr>
        <w:snapToGrid w:val="0"/>
        <w:spacing w:line="360" w:lineRule="auto"/>
        <w:ind w:firstLine="420" w:firstLineChars="200"/>
        <w:rPr>
          <w:rFonts w:hint="eastAsia"/>
          <w:color w:val="auto"/>
          <w:sz w:val="21"/>
          <w:szCs w:val="21"/>
          <w:highlight w:val="none"/>
        </w:rPr>
      </w:pPr>
    </w:p>
    <w:p w14:paraId="46055284">
      <w:pPr>
        <w:snapToGrid w:val="0"/>
        <w:spacing w:line="420" w:lineRule="exact"/>
        <w:jc w:val="center"/>
        <w:rPr>
          <w:color w:val="auto"/>
          <w:sz w:val="32"/>
          <w:highlight w:val="none"/>
        </w:rPr>
      </w:pPr>
      <w:r>
        <w:rPr>
          <w:rFonts w:hint="eastAsia"/>
          <w:color w:val="auto"/>
          <w:sz w:val="22"/>
          <w:szCs w:val="22"/>
          <w:highlight w:val="none"/>
        </w:rPr>
        <w:br w:type="page"/>
      </w:r>
      <w:r>
        <w:rPr>
          <w:rFonts w:hint="eastAsia"/>
          <w:color w:val="auto"/>
          <w:sz w:val="36"/>
          <w:highlight w:val="none"/>
        </w:rPr>
        <w:t>第五部分     合同格式（仅供参考）</w:t>
      </w:r>
    </w:p>
    <w:p w14:paraId="2E492B07">
      <w:pPr>
        <w:pStyle w:val="8"/>
        <w:rPr>
          <w:rFonts w:hint="eastAsia" w:ascii="宋体" w:hAnsi="宋体" w:eastAsia="宋体" w:cs="宋体"/>
          <w:color w:val="auto"/>
          <w:sz w:val="22"/>
          <w:szCs w:val="22"/>
          <w:highlight w:val="none"/>
        </w:rPr>
      </w:pPr>
    </w:p>
    <w:p w14:paraId="2FD3F123">
      <w:pPr>
        <w:pStyle w:val="9"/>
        <w:keepNext w:val="0"/>
        <w:spacing w:before="0" w:after="0" w:line="40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single"/>
          <w:lang w:eastAsia="zh-CN"/>
        </w:rPr>
        <w:t>鳌江镇塘川高速互通路网交通安全设施项目</w:t>
      </w:r>
      <w:r>
        <w:rPr>
          <w:rFonts w:hint="eastAsia" w:ascii="宋体" w:hAnsi="宋体" w:eastAsia="宋体" w:cs="宋体"/>
          <w:color w:val="auto"/>
          <w:sz w:val="28"/>
          <w:szCs w:val="28"/>
          <w:highlight w:val="none"/>
        </w:rPr>
        <w:t>合同</w:t>
      </w:r>
    </w:p>
    <w:p w14:paraId="44E20F9A">
      <w:pPr>
        <w:framePr w:w="1440" w:h="120" w:hRule="exact" w:wrap="around" w:vAnchor="page" w:hAnchor="page" w:x="361" w:y="541"/>
        <w:spacing w:line="400" w:lineRule="exact"/>
        <w:ind w:firstLine="440" w:firstLineChars="200"/>
        <w:rPr>
          <w:rFonts w:hint="eastAsia"/>
          <w:color w:val="auto"/>
          <w:sz w:val="22"/>
          <w:szCs w:val="22"/>
          <w:highlight w:val="none"/>
        </w:rPr>
      </w:pPr>
    </w:p>
    <w:p w14:paraId="2A249407">
      <w:pPr>
        <w:spacing w:line="400" w:lineRule="exact"/>
        <w:ind w:firstLine="440" w:firstLineChars="200"/>
        <w:rPr>
          <w:rFonts w:hint="eastAsia"/>
          <w:color w:val="auto"/>
          <w:sz w:val="22"/>
          <w:szCs w:val="22"/>
          <w:highlight w:val="none"/>
          <w:u w:val="single"/>
          <w:lang w:val="zh-CN"/>
        </w:rPr>
      </w:pPr>
    </w:p>
    <w:p w14:paraId="0CFA92CE">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en-US" w:eastAsia="zh-CN"/>
        </w:rPr>
      </w:pPr>
      <w:r>
        <w:rPr>
          <w:rFonts w:hint="eastAsia"/>
          <w:color w:val="auto"/>
          <w:sz w:val="22"/>
          <w:szCs w:val="22"/>
          <w:highlight w:val="none"/>
          <w:u w:val="single"/>
          <w:lang w:val="zh-CN"/>
        </w:rPr>
        <w:t xml:space="preserve">        </w:t>
      </w:r>
      <w:r>
        <w:rPr>
          <w:rFonts w:hint="eastAsia"/>
          <w:color w:val="auto"/>
          <w:sz w:val="22"/>
          <w:szCs w:val="22"/>
          <w:highlight w:val="none"/>
          <w:lang w:val="zh-CN"/>
        </w:rPr>
        <w:t>年</w:t>
      </w:r>
      <w:r>
        <w:rPr>
          <w:rFonts w:hint="eastAsia"/>
          <w:color w:val="auto"/>
          <w:sz w:val="22"/>
          <w:szCs w:val="22"/>
          <w:highlight w:val="none"/>
          <w:u w:val="single"/>
          <w:lang w:val="zh-CN"/>
        </w:rPr>
        <w:t xml:space="preserve">    </w:t>
      </w:r>
      <w:r>
        <w:rPr>
          <w:rFonts w:hint="eastAsia"/>
          <w:color w:val="auto"/>
          <w:sz w:val="22"/>
          <w:szCs w:val="22"/>
          <w:highlight w:val="none"/>
          <w:lang w:val="zh-CN"/>
        </w:rPr>
        <w:t>月</w:t>
      </w:r>
      <w:r>
        <w:rPr>
          <w:rFonts w:hint="eastAsia"/>
          <w:color w:val="auto"/>
          <w:sz w:val="22"/>
          <w:szCs w:val="22"/>
          <w:highlight w:val="none"/>
          <w:u w:val="single"/>
          <w:lang w:val="zh-CN"/>
        </w:rPr>
        <w:t xml:space="preserve">    </w:t>
      </w:r>
      <w:r>
        <w:rPr>
          <w:rFonts w:hint="eastAsia"/>
          <w:color w:val="auto"/>
          <w:sz w:val="22"/>
          <w:szCs w:val="22"/>
          <w:highlight w:val="none"/>
          <w:lang w:val="zh-CN"/>
        </w:rPr>
        <w:t>日</w:t>
      </w:r>
      <w:r>
        <w:rPr>
          <w:rFonts w:hint="eastAsia"/>
          <w:color w:val="auto"/>
          <w:sz w:val="22"/>
          <w:szCs w:val="22"/>
          <w:highlight w:val="none"/>
        </w:rPr>
        <w:t>，</w:t>
      </w:r>
      <w:r>
        <w:rPr>
          <w:rFonts w:hint="eastAsia"/>
          <w:color w:val="auto"/>
          <w:sz w:val="22"/>
          <w:szCs w:val="22"/>
          <w:highlight w:val="none"/>
          <w:u w:val="single"/>
        </w:rPr>
        <w:t>平阳县鳌江镇人民政府</w:t>
      </w:r>
      <w:r>
        <w:rPr>
          <w:rFonts w:hint="eastAsia"/>
          <w:color w:val="auto"/>
          <w:sz w:val="22"/>
          <w:szCs w:val="22"/>
          <w:highlight w:val="none"/>
        </w:rPr>
        <w:t>以</w:t>
      </w:r>
      <w:r>
        <w:rPr>
          <w:rFonts w:hint="eastAsia"/>
          <w:color w:val="auto"/>
          <w:sz w:val="22"/>
          <w:szCs w:val="22"/>
          <w:highlight w:val="none"/>
          <w:u w:val="single"/>
        </w:rPr>
        <w:t>公开招标方式</w:t>
      </w:r>
      <w:r>
        <w:rPr>
          <w:rFonts w:hint="eastAsia"/>
          <w:color w:val="auto"/>
          <w:sz w:val="22"/>
          <w:szCs w:val="22"/>
          <w:highlight w:val="none"/>
        </w:rPr>
        <w:t>对</w:t>
      </w:r>
      <w:r>
        <w:rPr>
          <w:rFonts w:hint="eastAsia"/>
          <w:color w:val="auto"/>
          <w:sz w:val="22"/>
          <w:szCs w:val="22"/>
          <w:highlight w:val="none"/>
          <w:u w:val="single"/>
          <w:lang w:eastAsia="zh-CN"/>
        </w:rPr>
        <w:t>鳌江镇塘川高速互通路网交通安全设施项目</w:t>
      </w:r>
      <w:r>
        <w:rPr>
          <w:rFonts w:hint="eastAsia"/>
          <w:color w:val="auto"/>
          <w:sz w:val="22"/>
          <w:szCs w:val="22"/>
          <w:highlight w:val="none"/>
        </w:rPr>
        <w:t>进行了采购。经</w:t>
      </w:r>
      <w:r>
        <w:rPr>
          <w:rFonts w:hint="eastAsia"/>
          <w:color w:val="auto"/>
          <w:sz w:val="22"/>
          <w:szCs w:val="22"/>
          <w:highlight w:val="none"/>
          <w:u w:val="single"/>
          <w:lang w:eastAsia="zh-CN"/>
        </w:rPr>
        <w:t>温州元信工程项目管理有限公司</w:t>
      </w:r>
      <w:r>
        <w:rPr>
          <w:rFonts w:hint="eastAsia"/>
          <w:color w:val="auto"/>
          <w:sz w:val="22"/>
          <w:szCs w:val="22"/>
          <w:highlight w:val="none"/>
          <w:u w:val="single"/>
        </w:rPr>
        <w:t>代理招标</w:t>
      </w:r>
      <w:r>
        <w:rPr>
          <w:rFonts w:hint="eastAsia"/>
          <w:color w:val="auto"/>
          <w:sz w:val="22"/>
          <w:szCs w:val="22"/>
          <w:highlight w:val="none"/>
        </w:rPr>
        <w:t>评定，</w:t>
      </w:r>
      <w:r>
        <w:rPr>
          <w:rFonts w:hint="eastAsia"/>
          <w:color w:val="auto"/>
          <w:sz w:val="22"/>
          <w:szCs w:val="22"/>
          <w:highlight w:val="none"/>
          <w:u w:val="single"/>
        </w:rPr>
        <w:t xml:space="preserve">   （中标供应商名称）</w:t>
      </w:r>
      <w:r>
        <w:rPr>
          <w:rFonts w:hint="eastAsia"/>
          <w:color w:val="auto"/>
          <w:sz w:val="22"/>
          <w:szCs w:val="22"/>
          <w:highlight w:val="none"/>
        </w:rPr>
        <w:t>为该项目中标供应商。现于中标通知书发出之日起三十日内，按照招标文件确定的事项签订本合同</w:t>
      </w:r>
      <w:r>
        <w:rPr>
          <w:rFonts w:hint="eastAsia" w:ascii="宋体" w:hAnsi="宋体" w:eastAsia="宋体" w:cs="宋体"/>
          <w:bCs/>
          <w:color w:val="auto"/>
          <w:sz w:val="22"/>
          <w:szCs w:val="22"/>
          <w:highlight w:val="none"/>
          <w:lang w:val="en-US" w:eastAsia="zh-CN"/>
        </w:rPr>
        <w:t>。</w:t>
      </w:r>
    </w:p>
    <w:p w14:paraId="2A878F9A">
      <w:pPr>
        <w:widowControl w:val="0"/>
        <w:adjustRightInd w:val="0"/>
        <w:snapToGrid w:val="0"/>
        <w:spacing w:line="408" w:lineRule="auto"/>
        <w:ind w:firstLine="431" w:firstLineChars="196"/>
        <w:jc w:val="both"/>
        <w:rPr>
          <w:rFonts w:hint="eastAsia"/>
          <w:color w:val="auto"/>
          <w:sz w:val="22"/>
          <w:szCs w:val="22"/>
          <w:highlight w:val="none"/>
        </w:rPr>
      </w:pPr>
      <w:r>
        <w:rPr>
          <w:rFonts w:hint="eastAsia" w:ascii="宋体" w:hAnsi="宋体" w:eastAsia="宋体" w:cs="宋体"/>
          <w:bCs/>
          <w:color w:val="auto"/>
          <w:sz w:val="22"/>
          <w:szCs w:val="22"/>
          <w:highlight w:val="none"/>
          <w:lang w:val="zh-CN" w:eastAsia="zh-CN"/>
        </w:rPr>
        <w:t>根据《中华人民共和国民法典》、《中华人民共和国政府采购法》等相关法律法规之规定，按照平等、自愿、公平、诚实信用和绿色的原则，经</w:t>
      </w:r>
      <w:r>
        <w:rPr>
          <w:rFonts w:hint="eastAsia" w:ascii="宋体" w:hAnsi="宋体" w:eastAsia="宋体" w:cs="宋体"/>
          <w:bCs/>
          <w:color w:val="auto"/>
          <w:sz w:val="22"/>
          <w:szCs w:val="22"/>
          <w:highlight w:val="none"/>
          <w:u w:val="single"/>
          <w:lang w:val="en-US" w:eastAsia="zh-CN"/>
        </w:rPr>
        <w:t xml:space="preserve">平阳县鳌江镇人民政府 </w:t>
      </w:r>
      <w:r>
        <w:rPr>
          <w:rFonts w:hint="eastAsia" w:ascii="宋体" w:hAnsi="宋体" w:eastAsia="宋体" w:cs="宋体"/>
          <w:bCs/>
          <w:color w:val="auto"/>
          <w:sz w:val="22"/>
          <w:szCs w:val="22"/>
          <w:highlight w:val="none"/>
          <w:u w:val="single"/>
          <w:lang w:val="zh-CN" w:eastAsia="zh-CN"/>
        </w:rPr>
        <w:t>(以下简称：甲方)</w:t>
      </w:r>
      <w:r>
        <w:rPr>
          <w:rFonts w:hint="eastAsia" w:ascii="宋体" w:hAnsi="宋体" w:eastAsia="宋体" w:cs="宋体"/>
          <w:bCs/>
          <w:color w:val="auto"/>
          <w:sz w:val="22"/>
          <w:szCs w:val="22"/>
          <w:highlight w:val="none"/>
          <w:lang w:val="zh-CN" w:eastAsia="zh-CN"/>
        </w:rPr>
        <w:t>和</w:t>
      </w:r>
      <w:r>
        <w:rPr>
          <w:rFonts w:hint="eastAsia" w:ascii="宋体" w:hAnsi="宋体" w:eastAsia="宋体" w:cs="宋体"/>
          <w:bCs/>
          <w:color w:val="auto"/>
          <w:sz w:val="22"/>
          <w:szCs w:val="22"/>
          <w:highlight w:val="none"/>
          <w:u w:val="single"/>
          <w:lang w:val="en-US" w:eastAsia="zh-CN"/>
        </w:rPr>
        <w:t xml:space="preserve">   （中标供应商名称）   </w:t>
      </w:r>
      <w:r>
        <w:rPr>
          <w:rFonts w:hint="eastAsia" w:ascii="宋体" w:hAnsi="宋体" w:eastAsia="宋体" w:cs="宋体"/>
          <w:bCs/>
          <w:color w:val="auto"/>
          <w:sz w:val="22"/>
          <w:szCs w:val="22"/>
          <w:highlight w:val="none"/>
          <w:u w:val="single"/>
          <w:lang w:val="zh-CN" w:eastAsia="zh-CN"/>
        </w:rPr>
        <w:t>(以下简称：乙方)</w:t>
      </w:r>
      <w:r>
        <w:rPr>
          <w:rFonts w:hint="eastAsia" w:ascii="宋体" w:hAnsi="宋体" w:eastAsia="宋体" w:cs="宋体"/>
          <w:bCs/>
          <w:color w:val="auto"/>
          <w:sz w:val="22"/>
          <w:szCs w:val="22"/>
          <w:highlight w:val="none"/>
          <w:lang w:val="zh-CN" w:eastAsia="zh-CN"/>
        </w:rPr>
        <w:t>协商一致，</w:t>
      </w:r>
      <w:r>
        <w:rPr>
          <w:rFonts w:hint="eastAsia"/>
          <w:color w:val="auto"/>
          <w:sz w:val="22"/>
          <w:szCs w:val="22"/>
          <w:highlight w:val="none"/>
          <w:lang w:val="zh-CN"/>
        </w:rPr>
        <w:t>约定以下合同</w:t>
      </w:r>
      <w:r>
        <w:rPr>
          <w:rFonts w:hint="eastAsia"/>
          <w:color w:val="auto"/>
          <w:sz w:val="22"/>
          <w:szCs w:val="22"/>
          <w:highlight w:val="none"/>
        </w:rPr>
        <w:t>条款，以兹共同遵守、全面履行。</w:t>
      </w:r>
    </w:p>
    <w:p w14:paraId="01B6B362">
      <w:pPr>
        <w:ind w:firstLine="0" w:firstLineChars="0"/>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一、合同标的</w:t>
      </w:r>
    </w:p>
    <w:p w14:paraId="7313E131">
      <w:pPr>
        <w:ind w:firstLine="431" w:firstLineChars="196"/>
        <w:rPr>
          <w:rFonts w:hint="default"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本合同标的为：</w:t>
      </w:r>
      <w:r>
        <w:rPr>
          <w:rFonts w:hint="eastAsia" w:ascii="宋体" w:hAnsi="宋体" w:eastAsia="宋体" w:cs="宋体"/>
          <w:bCs/>
          <w:color w:val="auto"/>
          <w:sz w:val="22"/>
          <w:szCs w:val="22"/>
          <w:highlight w:val="none"/>
          <w:lang w:val="zh-CN" w:eastAsia="zh-CN"/>
        </w:rPr>
        <w:t>鳌江镇塘川高速互通连接线园林路路口红绿灯、标牌交通设施、道路及井修补</w:t>
      </w:r>
      <w:r>
        <w:rPr>
          <w:rFonts w:hint="eastAsia" w:ascii="宋体" w:hAnsi="宋体" w:eastAsia="宋体" w:cs="宋体"/>
          <w:bCs/>
          <w:color w:val="auto"/>
          <w:sz w:val="22"/>
          <w:szCs w:val="22"/>
          <w:highlight w:val="none"/>
          <w:lang w:val="en-US" w:eastAsia="zh-CN"/>
        </w:rPr>
        <w:t>更换、</w:t>
      </w:r>
      <w:r>
        <w:rPr>
          <w:rFonts w:hint="eastAsia" w:ascii="宋体" w:hAnsi="宋体" w:eastAsia="宋体" w:cs="宋体"/>
          <w:bCs/>
          <w:color w:val="auto"/>
          <w:sz w:val="22"/>
          <w:szCs w:val="22"/>
          <w:highlight w:val="none"/>
          <w:lang w:val="zh-CN" w:eastAsia="zh-CN"/>
        </w:rPr>
        <w:t>维护等</w:t>
      </w:r>
      <w:r>
        <w:rPr>
          <w:rFonts w:hint="eastAsia" w:ascii="宋体" w:hAnsi="宋体" w:eastAsia="宋体" w:cs="宋体"/>
          <w:bCs/>
          <w:color w:val="auto"/>
          <w:sz w:val="22"/>
          <w:szCs w:val="22"/>
          <w:highlight w:val="none"/>
          <w:lang w:val="en-US" w:eastAsia="zh-CN"/>
        </w:rPr>
        <w:t>工作。</w:t>
      </w:r>
    </w:p>
    <w:p w14:paraId="7B14E33C">
      <w:pPr>
        <w:widowControl w:val="0"/>
        <w:adjustRightInd w:val="0"/>
        <w:snapToGrid w:val="0"/>
        <w:spacing w:line="408" w:lineRule="auto"/>
        <w:jc w:val="both"/>
        <w:rPr>
          <w:rFonts w:hint="eastAsia" w:ascii="宋体" w:hAnsi="宋体" w:eastAsia="宋体" w:cs="宋体"/>
          <w:b/>
          <w:bCs w:val="0"/>
          <w:color w:val="auto"/>
          <w:sz w:val="22"/>
          <w:szCs w:val="22"/>
          <w:highlight w:val="none"/>
          <w:lang w:val="en-US" w:eastAsia="zh-CN"/>
        </w:rPr>
      </w:pPr>
      <w:r>
        <w:rPr>
          <w:rFonts w:hint="eastAsia" w:ascii="宋体" w:hAnsi="宋体" w:eastAsia="宋体" w:cs="宋体"/>
          <w:b/>
          <w:bCs w:val="0"/>
          <w:color w:val="auto"/>
          <w:sz w:val="22"/>
          <w:szCs w:val="22"/>
          <w:highlight w:val="none"/>
          <w:lang w:val="zh-CN" w:eastAsia="zh-CN"/>
        </w:rPr>
        <w:t>二、合同金额</w:t>
      </w:r>
    </w:p>
    <w:p w14:paraId="6759248A">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1.</w:t>
      </w:r>
      <w:r>
        <w:rPr>
          <w:rFonts w:hint="eastAsia" w:ascii="宋体" w:hAnsi="宋体" w:eastAsia="宋体" w:cs="宋体"/>
          <w:bCs/>
          <w:color w:val="auto"/>
          <w:sz w:val="22"/>
          <w:szCs w:val="22"/>
          <w:highlight w:val="none"/>
          <w:lang w:eastAsia="zh-CN"/>
        </w:rPr>
        <w:t>合同总金额：</w:t>
      </w:r>
      <w:r>
        <w:rPr>
          <w:rFonts w:hint="eastAsia" w:ascii="宋体" w:hAnsi="宋体" w:eastAsia="宋体" w:cs="宋体"/>
          <w:bCs/>
          <w:color w:val="auto"/>
          <w:sz w:val="22"/>
          <w:szCs w:val="22"/>
          <w:highlight w:val="none"/>
          <w:u w:val="single"/>
          <w:lang w:val="en-US" w:eastAsia="zh-CN"/>
        </w:rPr>
        <w:t xml:space="preserve">         </w:t>
      </w:r>
      <w:r>
        <w:rPr>
          <w:rFonts w:hint="eastAsia" w:ascii="宋体" w:hAnsi="宋体" w:eastAsia="宋体" w:cs="宋体"/>
          <w:bCs/>
          <w:color w:val="auto"/>
          <w:sz w:val="22"/>
          <w:szCs w:val="22"/>
          <w:highlight w:val="none"/>
          <w:u w:val="none"/>
          <w:lang w:val="en-US" w:eastAsia="zh-CN"/>
        </w:rPr>
        <w:t>万元（大写：</w:t>
      </w:r>
      <w:r>
        <w:rPr>
          <w:rFonts w:hint="eastAsia" w:ascii="宋体" w:hAnsi="宋体" w:eastAsia="宋体" w:cs="宋体"/>
          <w:bCs/>
          <w:color w:val="auto"/>
          <w:sz w:val="22"/>
          <w:szCs w:val="22"/>
          <w:highlight w:val="none"/>
          <w:u w:val="single"/>
          <w:lang w:val="en-US" w:eastAsia="zh-CN"/>
        </w:rPr>
        <w:t xml:space="preserve">         </w:t>
      </w:r>
      <w:r>
        <w:rPr>
          <w:rFonts w:hint="eastAsia" w:ascii="宋体" w:hAnsi="宋体" w:eastAsia="宋体" w:cs="宋体"/>
          <w:bCs/>
          <w:color w:val="auto"/>
          <w:sz w:val="22"/>
          <w:szCs w:val="22"/>
          <w:highlight w:val="none"/>
          <w:u w:val="none"/>
          <w:lang w:val="en-US" w:eastAsia="zh-CN"/>
        </w:rPr>
        <w:t>元整）</w:t>
      </w:r>
      <w:r>
        <w:rPr>
          <w:rFonts w:hint="eastAsia" w:ascii="宋体" w:hAnsi="宋体" w:eastAsia="宋体" w:cs="宋体"/>
          <w:bCs/>
          <w:color w:val="auto"/>
          <w:sz w:val="22"/>
          <w:szCs w:val="22"/>
          <w:highlight w:val="none"/>
          <w:lang w:val="en-US" w:eastAsia="zh-CN"/>
        </w:rPr>
        <w:t>。中标折扣率为：</w:t>
      </w:r>
      <w:r>
        <w:rPr>
          <w:rFonts w:hint="eastAsia" w:ascii="宋体" w:hAnsi="宋体" w:eastAsia="宋体" w:cs="宋体"/>
          <w:bCs/>
          <w:color w:val="auto"/>
          <w:sz w:val="22"/>
          <w:szCs w:val="22"/>
          <w:highlight w:val="none"/>
          <w:u w:val="single"/>
          <w:lang w:val="en-US" w:eastAsia="zh-CN"/>
        </w:rPr>
        <w:t xml:space="preserve">      </w:t>
      </w:r>
      <w:r>
        <w:rPr>
          <w:rFonts w:hint="eastAsia" w:ascii="宋体" w:hAnsi="宋体" w:eastAsia="宋体" w:cs="宋体"/>
          <w:bCs/>
          <w:color w:val="auto"/>
          <w:sz w:val="22"/>
          <w:szCs w:val="22"/>
          <w:highlight w:val="none"/>
          <w:lang w:val="en-US" w:eastAsia="zh-CN"/>
        </w:rPr>
        <w:t xml:space="preserve"> ，中标单价=单价最高限价*中标折扣率，工作量暂定，结算按实际工作量*中标折扣率下浮后的单价办理，但不能超过采购预算150万元人民币。</w:t>
      </w:r>
    </w:p>
    <w:p w14:paraId="09D9710A">
      <w:pPr>
        <w:widowControl w:val="0"/>
        <w:adjustRightInd w:val="0"/>
        <w:snapToGrid w:val="0"/>
        <w:spacing w:line="408" w:lineRule="auto"/>
        <w:ind w:firstLine="431" w:firstLineChars="196"/>
        <w:jc w:val="both"/>
        <w:rPr>
          <w:rFonts w:hint="default"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2、风险提示：本项目工程量按实结算，</w:t>
      </w:r>
      <w:r>
        <w:rPr>
          <w:rFonts w:hint="eastAsia" w:ascii="宋体" w:hAnsi="宋体" w:eastAsia="宋体" w:cs="宋体"/>
          <w:bCs/>
          <w:color w:val="auto"/>
          <w:sz w:val="22"/>
          <w:szCs w:val="22"/>
          <w:highlight w:val="none"/>
        </w:rPr>
        <w:t>甲方不承担最终完成量达不到合同金额的责任，乙方已充分考虑该风险。</w:t>
      </w:r>
    </w:p>
    <w:p w14:paraId="3A39C918">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3.承包经费应包括为完成本项目服务可能发生的全部费用包括：</w:t>
      </w:r>
      <w:r>
        <w:rPr>
          <w:rFonts w:hint="eastAsia" w:ascii="宋体" w:hAnsi="宋体" w:eastAsia="宋体" w:cs="宋体"/>
          <w:bCs/>
          <w:color w:val="auto"/>
          <w:sz w:val="22"/>
          <w:szCs w:val="22"/>
          <w:highlight w:val="none"/>
        </w:rPr>
        <w:t>以上单价含</w:t>
      </w:r>
      <w:r>
        <w:rPr>
          <w:rFonts w:hint="eastAsia" w:cs="宋体"/>
          <w:bCs/>
          <w:color w:val="auto"/>
          <w:sz w:val="22"/>
          <w:szCs w:val="22"/>
          <w:highlight w:val="none"/>
          <w:lang w:val="en-US" w:eastAsia="zh-CN"/>
        </w:rPr>
        <w:t>货款、</w:t>
      </w:r>
      <w:r>
        <w:rPr>
          <w:rFonts w:hint="eastAsia" w:ascii="宋体" w:hAnsi="宋体" w:eastAsia="宋体" w:cs="宋体"/>
          <w:color w:val="auto"/>
          <w:kern w:val="0"/>
          <w:sz w:val="22"/>
          <w:szCs w:val="22"/>
          <w:highlight w:val="none"/>
          <w:lang w:val="en-US" w:eastAsia="zh-CN"/>
        </w:rPr>
        <w:t>标准附件、</w:t>
      </w:r>
      <w:r>
        <w:rPr>
          <w:rFonts w:hint="eastAsia" w:ascii="宋体" w:hAnsi="宋体" w:eastAsia="宋体" w:cs="宋体"/>
          <w:bCs/>
          <w:color w:val="auto"/>
          <w:sz w:val="22"/>
          <w:szCs w:val="22"/>
          <w:highlight w:val="none"/>
        </w:rPr>
        <w:t>人工、材料、机械、税金、管理费、规费及运保、安全文明施工、保险（包括工程一切险、人员意外险等）、</w:t>
      </w:r>
      <w:r>
        <w:rPr>
          <w:rFonts w:hint="eastAsia" w:ascii="宋体" w:hAnsi="宋体" w:eastAsia="宋体" w:cs="宋体"/>
          <w:color w:val="auto"/>
          <w:kern w:val="0"/>
          <w:sz w:val="22"/>
          <w:szCs w:val="22"/>
          <w:highlight w:val="none"/>
          <w:lang w:val="en-US" w:eastAsia="zh-CN"/>
        </w:rPr>
        <w:t>供货、运输、安装、调试和试运行、技术服务及培训、备品备件、售后服务、维修、</w:t>
      </w:r>
      <w:r>
        <w:rPr>
          <w:rFonts w:hint="eastAsia" w:ascii="宋体" w:hAnsi="宋体" w:eastAsia="宋体" w:cs="宋体"/>
          <w:bCs/>
          <w:color w:val="auto"/>
          <w:sz w:val="22"/>
          <w:szCs w:val="22"/>
          <w:highlight w:val="none"/>
        </w:rPr>
        <w:t>项目措施费、招标代理费、验收费等一切费用等相关其他费用，完成合同所需的一切本身和不可或缺的所有工作开支、政策性文件规定及合同包含的所有风险、责任等各项全部费用并承担一切风险责任。</w:t>
      </w:r>
    </w:p>
    <w:p w14:paraId="01620A07">
      <w:pPr>
        <w:widowControl w:val="0"/>
        <w:adjustRightInd w:val="0"/>
        <w:snapToGrid w:val="0"/>
        <w:spacing w:line="408" w:lineRule="auto"/>
        <w:jc w:val="both"/>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val="en-US" w:eastAsia="zh-CN"/>
        </w:rPr>
        <w:t>三、服务</w:t>
      </w:r>
      <w:r>
        <w:rPr>
          <w:rFonts w:hint="eastAsia" w:ascii="宋体" w:hAnsi="宋体" w:eastAsia="宋体" w:cs="宋体"/>
          <w:b/>
          <w:bCs w:val="0"/>
          <w:color w:val="auto"/>
          <w:sz w:val="22"/>
          <w:szCs w:val="22"/>
          <w:highlight w:val="none"/>
        </w:rPr>
        <w:t>期限</w:t>
      </w:r>
    </w:p>
    <w:p w14:paraId="1D9BEA50">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供货期为签订项目合同之日起一年或实际结算金额达到预算金额150万元（以先到者为准）则合同履约结束。乙方必须在与甲方签订完合同后10天内具备实施条件。若乙方有违约行为，甲方有权单方面解除合同。</w:t>
      </w:r>
    </w:p>
    <w:p w14:paraId="10FE1B00">
      <w:pPr>
        <w:widowControl w:val="0"/>
        <w:adjustRightInd w:val="0"/>
        <w:snapToGrid w:val="0"/>
        <w:spacing w:line="408" w:lineRule="auto"/>
        <w:jc w:val="both"/>
        <w:rPr>
          <w:rFonts w:hint="default" w:ascii="宋体" w:hAnsi="宋体" w:eastAsia="宋体" w:cs="宋体"/>
          <w:b/>
          <w:bCs w:val="0"/>
          <w:color w:val="auto"/>
          <w:sz w:val="22"/>
          <w:szCs w:val="22"/>
          <w:highlight w:val="none"/>
          <w:lang w:val="en-US" w:eastAsia="zh-CN"/>
        </w:rPr>
      </w:pPr>
      <w:r>
        <w:rPr>
          <w:rFonts w:hint="eastAsia" w:ascii="宋体" w:hAnsi="宋体" w:eastAsia="宋体" w:cs="宋体"/>
          <w:b/>
          <w:bCs w:val="0"/>
          <w:color w:val="auto"/>
          <w:sz w:val="22"/>
          <w:szCs w:val="22"/>
          <w:highlight w:val="none"/>
          <w:lang w:val="en-US" w:eastAsia="zh-CN"/>
        </w:rPr>
        <w:t>四、采购清单及技术要求</w:t>
      </w:r>
    </w:p>
    <w:p w14:paraId="21C4C965">
      <w:pPr>
        <w:snapToGrid w:val="0"/>
        <w:spacing w:line="360" w:lineRule="auto"/>
        <w:ind w:firstLine="442" w:firstLineChars="200"/>
        <w:rPr>
          <w:rFonts w:hint="eastAsia"/>
          <w:b/>
          <w:color w:val="auto"/>
          <w:sz w:val="22"/>
          <w:szCs w:val="22"/>
          <w:highlight w:val="none"/>
          <w:lang w:eastAsia="zh-CN"/>
        </w:rPr>
      </w:pPr>
      <w:r>
        <w:rPr>
          <w:rFonts w:hint="eastAsia"/>
          <w:b/>
          <w:color w:val="auto"/>
          <w:sz w:val="22"/>
          <w:szCs w:val="22"/>
          <w:highlight w:val="none"/>
          <w:lang w:eastAsia="zh-CN"/>
        </w:rPr>
        <w:t>（</w:t>
      </w:r>
      <w:r>
        <w:rPr>
          <w:rFonts w:hint="eastAsia" w:ascii="宋体" w:hAnsi="宋体" w:eastAsia="宋体" w:cs="宋体"/>
          <w:color w:val="auto"/>
          <w:sz w:val="22"/>
          <w:szCs w:val="22"/>
          <w:highlight w:val="none"/>
          <w:lang w:val="zh-CN"/>
        </w:rPr>
        <w:t>采购数量以实际为准）</w:t>
      </w:r>
    </w:p>
    <w:tbl>
      <w:tblPr>
        <w:tblStyle w:val="66"/>
        <w:tblW w:w="940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41"/>
        <w:gridCol w:w="1258"/>
        <w:gridCol w:w="5529"/>
        <w:gridCol w:w="622"/>
        <w:gridCol w:w="578"/>
        <w:gridCol w:w="879"/>
      </w:tblGrid>
      <w:tr w14:paraId="5B2081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54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623BD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序号</w:t>
            </w:r>
          </w:p>
        </w:tc>
        <w:tc>
          <w:tcPr>
            <w:tcW w:w="1258"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ADB18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名称</w:t>
            </w:r>
          </w:p>
        </w:tc>
        <w:tc>
          <w:tcPr>
            <w:tcW w:w="5529"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E5CA0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特征（</w:t>
            </w:r>
            <w:r>
              <w:rPr>
                <w:rFonts w:hint="eastAsia" w:ascii="宋体" w:hAnsi="宋体"/>
                <w:color w:val="auto"/>
                <w:sz w:val="22"/>
                <w:szCs w:val="22"/>
                <w:highlight w:val="none"/>
              </w:rPr>
              <w:t>技术要求</w:t>
            </w:r>
            <w:r>
              <w:rPr>
                <w:rFonts w:hint="eastAsia" w:ascii="宋体" w:hAnsi="宋体" w:eastAsia="宋体" w:cs="宋体"/>
                <w:i w:val="0"/>
                <w:iCs w:val="0"/>
                <w:color w:val="auto"/>
                <w:kern w:val="0"/>
                <w:sz w:val="18"/>
                <w:szCs w:val="18"/>
                <w:highlight w:val="none"/>
                <w:u w:val="none"/>
                <w:lang w:val="en-US" w:eastAsia="zh-CN" w:bidi="ar"/>
              </w:rPr>
              <w:t>）</w:t>
            </w:r>
          </w:p>
        </w:tc>
        <w:tc>
          <w:tcPr>
            <w:tcW w:w="622"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8DE0A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单位</w:t>
            </w:r>
          </w:p>
        </w:tc>
        <w:tc>
          <w:tcPr>
            <w:tcW w:w="578"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2C248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预估数量</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26A49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b w:val="0"/>
                <w:bCs w:val="0"/>
                <w:i w:val="0"/>
                <w:iCs w:val="0"/>
                <w:color w:val="auto"/>
                <w:kern w:val="0"/>
                <w:sz w:val="18"/>
                <w:szCs w:val="18"/>
                <w:highlight w:val="none"/>
                <w:u w:val="none"/>
                <w:lang w:val="en-US" w:eastAsia="zh-CN" w:bidi="ar"/>
              </w:rPr>
              <w:t>单价最高限价（元）</w:t>
            </w:r>
          </w:p>
        </w:tc>
      </w:tr>
      <w:tr w14:paraId="388E66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54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E06240">
            <w:pPr>
              <w:jc w:val="center"/>
              <w:rPr>
                <w:rFonts w:hint="eastAsia" w:ascii="宋体" w:hAnsi="宋体" w:eastAsia="宋体" w:cs="宋体"/>
                <w:i w:val="0"/>
                <w:iCs w:val="0"/>
                <w:color w:val="auto"/>
                <w:sz w:val="18"/>
                <w:szCs w:val="18"/>
                <w:highlight w:val="none"/>
                <w:u w:val="none"/>
              </w:rPr>
            </w:pPr>
          </w:p>
        </w:tc>
        <w:tc>
          <w:tcPr>
            <w:tcW w:w="1258"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0591AF">
            <w:pPr>
              <w:jc w:val="center"/>
              <w:rPr>
                <w:rFonts w:hint="eastAsia" w:ascii="宋体" w:hAnsi="宋体" w:eastAsia="宋体" w:cs="宋体"/>
                <w:i w:val="0"/>
                <w:iCs w:val="0"/>
                <w:color w:val="auto"/>
                <w:sz w:val="18"/>
                <w:szCs w:val="18"/>
                <w:highlight w:val="none"/>
                <w:u w:val="none"/>
              </w:rPr>
            </w:pPr>
          </w:p>
        </w:tc>
        <w:tc>
          <w:tcPr>
            <w:tcW w:w="552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107B99">
            <w:pPr>
              <w:jc w:val="center"/>
              <w:rPr>
                <w:rFonts w:hint="eastAsia" w:ascii="宋体" w:hAnsi="宋体" w:eastAsia="宋体" w:cs="宋体"/>
                <w:i w:val="0"/>
                <w:iCs w:val="0"/>
                <w:color w:val="auto"/>
                <w:sz w:val="18"/>
                <w:szCs w:val="18"/>
                <w:highlight w:val="none"/>
                <w:u w:val="none"/>
              </w:rPr>
            </w:pPr>
          </w:p>
        </w:tc>
        <w:tc>
          <w:tcPr>
            <w:tcW w:w="62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799C97">
            <w:pPr>
              <w:jc w:val="center"/>
              <w:rPr>
                <w:rFonts w:hint="eastAsia" w:ascii="宋体" w:hAnsi="宋体" w:eastAsia="宋体" w:cs="宋体"/>
                <w:i w:val="0"/>
                <w:iCs w:val="0"/>
                <w:color w:val="auto"/>
                <w:sz w:val="18"/>
                <w:szCs w:val="18"/>
                <w:highlight w:val="none"/>
                <w:u w:val="none"/>
              </w:rPr>
            </w:pPr>
          </w:p>
        </w:tc>
        <w:tc>
          <w:tcPr>
            <w:tcW w:w="578"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37456B">
            <w:pPr>
              <w:jc w:val="center"/>
              <w:rPr>
                <w:rFonts w:hint="eastAsia" w:ascii="宋体" w:hAnsi="宋体" w:eastAsia="宋体" w:cs="宋体"/>
                <w:i w:val="0"/>
                <w:iCs w:val="0"/>
                <w:color w:val="auto"/>
                <w:sz w:val="18"/>
                <w:szCs w:val="18"/>
                <w:highlight w:val="none"/>
                <w:u w:val="none"/>
              </w:rPr>
            </w:pP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E42B7B">
            <w:pPr>
              <w:jc w:val="center"/>
              <w:rPr>
                <w:rFonts w:hint="eastAsia" w:ascii="宋体" w:hAnsi="宋体" w:eastAsia="宋体" w:cs="宋体"/>
                <w:i w:val="0"/>
                <w:iCs w:val="0"/>
                <w:color w:val="auto"/>
                <w:sz w:val="18"/>
                <w:szCs w:val="18"/>
                <w:highlight w:val="none"/>
                <w:u w:val="none"/>
              </w:rPr>
            </w:pPr>
          </w:p>
        </w:tc>
      </w:tr>
      <w:tr w14:paraId="4CFDBB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54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1AB544">
            <w:pPr>
              <w:jc w:val="center"/>
              <w:rPr>
                <w:rFonts w:hint="eastAsia" w:ascii="宋体" w:hAnsi="宋体" w:eastAsia="宋体" w:cs="宋体"/>
                <w:i w:val="0"/>
                <w:iCs w:val="0"/>
                <w:color w:val="auto"/>
                <w:sz w:val="18"/>
                <w:szCs w:val="18"/>
                <w:highlight w:val="none"/>
                <w:u w:val="none"/>
              </w:rPr>
            </w:pPr>
          </w:p>
        </w:tc>
        <w:tc>
          <w:tcPr>
            <w:tcW w:w="1258"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C81888">
            <w:pPr>
              <w:jc w:val="center"/>
              <w:rPr>
                <w:rFonts w:hint="eastAsia" w:ascii="宋体" w:hAnsi="宋体" w:eastAsia="宋体" w:cs="宋体"/>
                <w:i w:val="0"/>
                <w:iCs w:val="0"/>
                <w:color w:val="auto"/>
                <w:sz w:val="18"/>
                <w:szCs w:val="18"/>
                <w:highlight w:val="none"/>
                <w:u w:val="none"/>
              </w:rPr>
            </w:pPr>
          </w:p>
        </w:tc>
        <w:tc>
          <w:tcPr>
            <w:tcW w:w="552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D6FA1B">
            <w:pPr>
              <w:jc w:val="center"/>
              <w:rPr>
                <w:rFonts w:hint="eastAsia" w:ascii="宋体" w:hAnsi="宋体" w:eastAsia="宋体" w:cs="宋体"/>
                <w:i w:val="0"/>
                <w:iCs w:val="0"/>
                <w:color w:val="auto"/>
                <w:sz w:val="18"/>
                <w:szCs w:val="18"/>
                <w:highlight w:val="none"/>
                <w:u w:val="none"/>
              </w:rPr>
            </w:pPr>
          </w:p>
        </w:tc>
        <w:tc>
          <w:tcPr>
            <w:tcW w:w="622"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785D8C">
            <w:pPr>
              <w:jc w:val="center"/>
              <w:rPr>
                <w:rFonts w:hint="eastAsia" w:ascii="宋体" w:hAnsi="宋体" w:eastAsia="宋体" w:cs="宋体"/>
                <w:i w:val="0"/>
                <w:iCs w:val="0"/>
                <w:color w:val="auto"/>
                <w:sz w:val="18"/>
                <w:szCs w:val="18"/>
                <w:highlight w:val="none"/>
                <w:u w:val="none"/>
              </w:rPr>
            </w:pPr>
          </w:p>
        </w:tc>
        <w:tc>
          <w:tcPr>
            <w:tcW w:w="578"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9B36BD">
            <w:pPr>
              <w:jc w:val="center"/>
              <w:rPr>
                <w:rFonts w:hint="eastAsia" w:ascii="宋体" w:hAnsi="宋体" w:eastAsia="宋体" w:cs="宋体"/>
                <w:i w:val="0"/>
                <w:iCs w:val="0"/>
                <w:color w:val="auto"/>
                <w:sz w:val="18"/>
                <w:szCs w:val="18"/>
                <w:highlight w:val="none"/>
                <w:u w:val="none"/>
              </w:rPr>
            </w:pP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00EC33">
            <w:pPr>
              <w:jc w:val="center"/>
              <w:rPr>
                <w:rFonts w:hint="eastAsia" w:ascii="宋体" w:hAnsi="宋体" w:eastAsia="宋体" w:cs="宋体"/>
                <w:i w:val="0"/>
                <w:iCs w:val="0"/>
                <w:color w:val="auto"/>
                <w:sz w:val="18"/>
                <w:szCs w:val="18"/>
                <w:highlight w:val="none"/>
                <w:u w:val="none"/>
              </w:rPr>
            </w:pPr>
          </w:p>
        </w:tc>
      </w:tr>
      <w:tr w14:paraId="525006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B16E1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928FEE">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rPr>
            </w:pPr>
            <w:r>
              <w:rPr>
                <w:rFonts w:hint="eastAsia" w:ascii="宋体" w:hAnsi="宋体" w:eastAsia="宋体" w:cs="宋体"/>
                <w:i w:val="0"/>
                <w:iCs w:val="0"/>
                <w:color w:val="auto"/>
                <w:kern w:val="0"/>
                <w:sz w:val="18"/>
                <w:szCs w:val="18"/>
                <w:highlight w:val="none"/>
                <w:u w:val="none"/>
                <w:lang w:val="en-US" w:eastAsia="zh-CN" w:bidi="ar"/>
              </w:rPr>
              <w:t>标线（含人行横道标线、网格线）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3B77D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1.材料品种及线型:黄（白）线</w:t>
            </w:r>
          </w:p>
          <w:p w14:paraId="4C1308B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p w14:paraId="741879E2">
            <w:pPr>
              <w:pStyle w:val="37"/>
              <w:rPr>
                <w:rFonts w:hint="default"/>
                <w:color w:val="auto"/>
                <w:highlight w:val="none"/>
                <w:lang w:val="en-US"/>
              </w:rPr>
            </w:pPr>
            <w:r>
              <w:rPr>
                <w:rFonts w:hint="eastAsia" w:ascii="宋体" w:hAnsi="宋体" w:eastAsia="宋体" w:cs="宋体"/>
                <w:i w:val="0"/>
                <w:iCs w:val="0"/>
                <w:color w:val="auto"/>
                <w:kern w:val="0"/>
                <w:sz w:val="18"/>
                <w:szCs w:val="18"/>
                <w:highlight w:val="none"/>
                <w:u w:val="none"/>
                <w:lang w:val="en-US" w:eastAsia="zh-CN" w:bidi="ar"/>
              </w:rPr>
              <w:t>3、按实际图画面积计算，不采用外边线计量</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CED30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m2</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72DD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B40AA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50</w:t>
            </w:r>
          </w:p>
        </w:tc>
      </w:tr>
      <w:tr w14:paraId="3F4748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8F4842">
            <w:pPr>
              <w:keepNext w:val="0"/>
              <w:keepLines w:val="0"/>
              <w:widowControl/>
              <w:suppressLineNumbers w:val="0"/>
              <w:jc w:val="center"/>
              <w:textAlignment w:val="center"/>
              <w:rPr>
                <w:rFonts w:hint="default"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8CDE9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直行箭头标记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45D7E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1.类型:直行箭头</w:t>
            </w:r>
          </w:p>
          <w:p w14:paraId="4004DA4E">
            <w:pPr>
              <w:pStyle w:val="37"/>
              <w:rPr>
                <w:rFonts w:hint="eastAsia" w:ascii="宋体" w:hAnsi="Courier New" w:cs="Times New Roman"/>
                <w:color w:val="auto"/>
                <w:kern w:val="2"/>
                <w:sz w:val="21"/>
                <w:szCs w:val="20"/>
                <w:highlight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E1925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12C5C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AF4FB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160</w:t>
            </w:r>
          </w:p>
        </w:tc>
      </w:tr>
      <w:tr w14:paraId="2F1501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4D295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F9FED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转弯箭头标记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9A87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1.类型:转弯箭头</w:t>
            </w:r>
          </w:p>
          <w:p w14:paraId="659A04B3">
            <w:pPr>
              <w:pStyle w:val="37"/>
              <w:rPr>
                <w:rFonts w:hint="default" w:ascii="宋体" w:hAnsi="Courier New" w:cs="Times New Roman"/>
                <w:color w:val="auto"/>
                <w:kern w:val="2"/>
                <w:sz w:val="21"/>
                <w:szCs w:val="20"/>
                <w:highlight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7990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F1865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661E32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210</w:t>
            </w:r>
          </w:p>
        </w:tc>
      </w:tr>
      <w:tr w14:paraId="13AD51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114DD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083EE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直行转弯箭头标记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AEA6F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1.类型:直行转弯箭头</w:t>
            </w:r>
          </w:p>
          <w:p w14:paraId="753D1F2A">
            <w:pPr>
              <w:pStyle w:val="37"/>
              <w:rPr>
                <w:rFonts w:hint="eastAsia" w:ascii="宋体" w:hAnsi="Courier New" w:cs="Times New Roman"/>
                <w:color w:val="auto"/>
                <w:kern w:val="2"/>
                <w:sz w:val="21"/>
                <w:szCs w:val="20"/>
                <w:highlight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EF706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F054E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25B378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270</w:t>
            </w:r>
          </w:p>
        </w:tc>
      </w:tr>
      <w:tr w14:paraId="637C3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1F2E7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F88D1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非机动车标标记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9FCF0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1.类型:非机动车标记</w:t>
            </w:r>
          </w:p>
          <w:p w14:paraId="37BB4E68">
            <w:pPr>
              <w:keepNext w:val="0"/>
              <w:keepLines w:val="0"/>
              <w:widowControl/>
              <w:suppressLineNumbers w:val="0"/>
              <w:jc w:val="left"/>
              <w:textAlignment w:val="center"/>
              <w:rPr>
                <w:rFonts w:hint="eastAsia" w:ascii="宋体" w:hAnsi="宋体" w:cs="宋体"/>
                <w:color w:val="auto"/>
                <w:sz w:val="24"/>
                <w:szCs w:val="24"/>
                <w:highlight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43AEB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1E9B38">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22FE2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350</w:t>
            </w:r>
          </w:p>
        </w:tc>
      </w:tr>
      <w:tr w14:paraId="794EE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1FC3C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39CF7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人行道预告标记标记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5F7DE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1.类型:人行道预告标记</w:t>
            </w:r>
          </w:p>
          <w:p w14:paraId="4AF4237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21A24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B2AE58">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02DDD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180</w:t>
            </w:r>
          </w:p>
        </w:tc>
      </w:tr>
      <w:tr w14:paraId="077A9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4DB4A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86690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文字标记</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8C510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1.类型:文字(按外尺寸边对边计量）</w:t>
            </w:r>
          </w:p>
          <w:p w14:paraId="1C46168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2.采用热熔反光型涂料并使用抗滑材料，涂膜厚度1.8-2mm，增加夜间反光性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313CC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m2</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37119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126B8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75</w:t>
            </w:r>
          </w:p>
        </w:tc>
      </w:tr>
      <w:tr w14:paraId="010786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23878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75FD4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水除线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100BD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水除线（文字图案按外尺寸边对边计量，箭头按规范规定的面积计量，其他按实地面积计量）</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85D674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m2</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64BA3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45854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150</w:t>
            </w:r>
          </w:p>
        </w:tc>
      </w:tr>
      <w:tr w14:paraId="171010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21353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14718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指路牌标杆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D45C4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1.类型:悬臂式F杆φ273*10*7900单悬臂无缝钢管</w:t>
            </w:r>
          </w:p>
          <w:p w14:paraId="08C54B8E">
            <w:pPr>
              <w:pStyle w:val="37"/>
              <w:rPr>
                <w:rFonts w:hint="eastAsia" w:ascii="宋体" w:hAnsi="Courier New" w:cs="Times New Roman"/>
                <w:color w:val="auto"/>
                <w:kern w:val="2"/>
                <w:sz w:val="21"/>
                <w:szCs w:val="20"/>
                <w:highlight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2.两条φ168*8*5000横挑无缝钢管，含法兰盘、抱箍、加劲肋、预埋件等，C25钢筋砼基础挖浇，以上构件全镀锌，镀锌要求柱体镀锌量为600g/m2，紧固件镀锌量为350g/m2，含土方挖、填、运、钢筋及模板等。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FFBEE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FBC5B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3D38E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24000</w:t>
            </w:r>
          </w:p>
        </w:tc>
      </w:tr>
      <w:tr w14:paraId="1A43C5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2D804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0678F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分道牌杆件</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F93F5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1.类型:悬臂式L杆D320~360*10*6900单悬臂八角钢管</w:t>
            </w:r>
          </w:p>
          <w:p w14:paraId="09EF9D28">
            <w:pPr>
              <w:pStyle w:val="37"/>
              <w:rPr>
                <w:rFonts w:hint="default"/>
                <w:color w:val="auto"/>
                <w:highlight w:val="none"/>
                <w:lang w:val="en-US"/>
              </w:rPr>
            </w:pPr>
            <w:r>
              <w:rPr>
                <w:rFonts w:hint="eastAsia" w:ascii="宋体" w:hAnsi="宋体" w:eastAsia="宋体" w:cs="宋体"/>
                <w:i w:val="0"/>
                <w:iCs w:val="0"/>
                <w:color w:val="auto"/>
                <w:kern w:val="0"/>
                <w:sz w:val="18"/>
                <w:szCs w:val="18"/>
                <w:highlight w:val="none"/>
                <w:u w:val="none"/>
                <w:lang w:val="en-US" w:eastAsia="zh-CN" w:bidi="ar"/>
              </w:rPr>
              <w:t>2.一条D(110~280)*8*9000横挑无缝钢管，含法兰盘、抱箍、加劲肋、预埋件等，C25钢筋砼基础挖浇，以上构件全镀锌，镀锌要求柱体镀锌量为600g/m2，紧固件镀锌量为350g/m2，含土方挖、填、运、钢筋及模板等。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ADAFF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08899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5F36F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17200</w:t>
            </w:r>
          </w:p>
        </w:tc>
      </w:tr>
      <w:tr w14:paraId="16022B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CDAB5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DE7F4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红路灯标杆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86333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1.类型:悬臂式L杆D320~360*10*6900单悬臂八角钢管</w:t>
            </w:r>
          </w:p>
          <w:p w14:paraId="6C508237">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2.一条D(110~280)*8*9000横挑无缝钢管，含法兰盘、抱箍、加劲肋、预埋件等，C25钢筋砼基础挖浇，以上构件全镀锌，镀锌要求柱体镀锌量为600g/m2，紧固件镀锌量为350g/m2，含土方挖、填、运、钢筋及模板等。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2D4F3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996D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5BF1D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17200</w:t>
            </w:r>
          </w:p>
        </w:tc>
      </w:tr>
      <w:tr w14:paraId="162762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60E71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F0140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电子警察标杆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142C1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1.类型:悬臂式L杆D320~360*10*6900单悬臂八角钢管</w:t>
            </w:r>
          </w:p>
          <w:p w14:paraId="16E12202">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2.一条D(110~280)*8*11000横挑无缝钢管，含法兰盘、抱箍、加劲肋、预埋件等，C25钢筋砼基础挖浇，以上构件全镀锌，镀锌要求柱体镀锌量为600g/m2，紧固件镀锌量为350g/m2，含土方挖、填、运、钢筋及模板等。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A2C47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40E0A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79E5D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17200</w:t>
            </w:r>
          </w:p>
        </w:tc>
      </w:tr>
      <w:tr w14:paraId="5A2F3C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B440E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0CBD3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违停标杆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A84C6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1.类型:悬臂式L杆φ219*10*8200单悬臂无缝钢管</w:t>
            </w:r>
          </w:p>
          <w:p w14:paraId="12584856">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2.一条φ121*10*5000横挑无缝钢管，含法兰盘、抱箍、加劲肋、预埋件等，C25钢筋砼基础挖浇，以上构件全镀锌，镀锌要求柱体镀锌量为600g/m2，紧固件镀锌量为350g/m2，含土方挖、填、运、钢筋及模板等。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C4EED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6AE62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23D17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12000</w:t>
            </w:r>
          </w:p>
        </w:tc>
      </w:tr>
      <w:tr w14:paraId="0B8E33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55363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A5E7B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路铭牌标杆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CFBBF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1.类型:单柱式Φ89*4.5*2200钢管</w:t>
            </w:r>
          </w:p>
          <w:p w14:paraId="6DA57188">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含法兰盘、预埋件等，C30钢筋砼基础挖浇，以上构件全镀锌，镀锌要求柱体镀锌量为600g/m2，紧固件镀锌量为350g/m2，含土方挖、填、运、钢筋及模板等。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4EE86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A8CFB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1C3C2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1200</w:t>
            </w:r>
          </w:p>
        </w:tc>
      </w:tr>
      <w:tr w14:paraId="04EC8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80A36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50635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指路牌标志板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8E730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1.类型及规格尺寸:4000*2400mm指路牌，3mm铝板，抱箍连接</w:t>
            </w:r>
          </w:p>
          <w:p w14:paraId="2641E087">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C382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F044F6">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61EBF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7000</w:t>
            </w:r>
          </w:p>
        </w:tc>
      </w:tr>
      <w:tr w14:paraId="1ABA0D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91181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5FD33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分道标志板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D67BE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1.类型及规格尺寸:1000*1200mm分道牌，2mm铝板，抱箍连接</w:t>
            </w:r>
          </w:p>
          <w:p w14:paraId="76176530">
            <w:pPr>
              <w:pStyle w:val="37"/>
              <w:rPr>
                <w:rFonts w:hint="eastAsia"/>
                <w:color w:val="auto"/>
                <w:highlight w:val="none"/>
                <w:lang w:val="en-US" w:eastAsia="zh-CN"/>
              </w:rPr>
            </w:pPr>
            <w:r>
              <w:rPr>
                <w:rFonts w:hint="eastAsia" w:ascii="宋体" w:hAnsi="宋体" w:eastAsia="宋体" w:cs="宋体"/>
                <w:i w:val="0"/>
                <w:iCs w:val="0"/>
                <w:color w:val="auto"/>
                <w:kern w:val="0"/>
                <w:sz w:val="18"/>
                <w:szCs w:val="18"/>
                <w:highlight w:val="none"/>
                <w:u w:val="none"/>
                <w:lang w:val="en-US" w:eastAsia="zh-CN" w:bidi="ar"/>
              </w:rPr>
              <w:t>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93032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6CAE6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9D5FE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1200</w:t>
            </w:r>
          </w:p>
        </w:tc>
      </w:tr>
      <w:tr w14:paraId="4E551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69A14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83334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违法牌标志板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26069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1.类型及规格尺寸:1000*800mm违法牌，2mm铝板，抱箍连接2.含安装及配件。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54498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8ADDC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A3E49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750</w:t>
            </w:r>
          </w:p>
        </w:tc>
      </w:tr>
      <w:tr w14:paraId="043AA1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3D771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723D2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指路牌标志板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84FE9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1.类型及规格尺寸:360*1180mm指路牌，3mm铝板，抱箍连接2.含安装及配件。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E2BEA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F379B8">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777AB8">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500</w:t>
            </w:r>
          </w:p>
        </w:tc>
      </w:tr>
      <w:tr w14:paraId="51E0C1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AB1C1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F6C4D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禁停牌标志板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6196E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1.类型及规格尺寸:∮800禁停牌，2mm铝板，抱箍连接</w:t>
            </w:r>
          </w:p>
          <w:p w14:paraId="3D356AC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2.含安装及配件</w:t>
            </w:r>
            <w:r>
              <w:rPr>
                <w:rFonts w:hint="eastAsia" w:cs="宋体"/>
                <w:i w:val="0"/>
                <w:iCs w:val="0"/>
                <w:color w:val="auto"/>
                <w:kern w:val="0"/>
                <w:sz w:val="18"/>
                <w:szCs w:val="18"/>
                <w:highlight w:val="none"/>
                <w:u w:val="none"/>
                <w:lang w:val="en-US" w:eastAsia="zh-CN" w:bidi="ar"/>
              </w:rPr>
              <w:t>。</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268EF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30D0F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CDE62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580</w:t>
            </w:r>
          </w:p>
        </w:tc>
      </w:tr>
      <w:tr w14:paraId="44E2D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5B849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5773A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人行道牌标志板</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F47E4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1.类型及规格尺寸:∮800*800人行道牌，mm2铝板，抱箍连接.</w:t>
            </w:r>
          </w:p>
          <w:p w14:paraId="34305B9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EE4E3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55153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BCE02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780</w:t>
            </w:r>
          </w:p>
        </w:tc>
      </w:tr>
      <w:tr w14:paraId="20C08B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D4858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D4747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信号灯1</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6C521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类型:一体式人行横道信号灯</w:t>
            </w:r>
          </w:p>
          <w:p w14:paraId="07385DD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工作温度：-40 ~ +85℃，相对湿度≤93%；</w:t>
            </w:r>
          </w:p>
          <w:p w14:paraId="741F285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防护等级：IP54；</w:t>
            </w:r>
          </w:p>
          <w:p w14:paraId="28B7043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中心光强：150cd ~ 400cd；</w:t>
            </w:r>
          </w:p>
          <w:p w14:paraId="4ACB88F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LED数量：人行灯：红60，绿65；倒计时：红140，绿140；；</w:t>
            </w:r>
          </w:p>
          <w:p w14:paraId="46631E1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LED寿命：≥70000小时；</w:t>
            </w:r>
          </w:p>
          <w:p w14:paraId="2D1742D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LED波长：红：625 nm绿：505 nm；</w:t>
            </w:r>
          </w:p>
          <w:p w14:paraId="766A83D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可视距离：&gt;300m 可视角度 &gt;30°；</w:t>
            </w:r>
          </w:p>
          <w:p w14:paraId="7C408A3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面罩规格：300mm，面罩材质，耐力板，玻璃</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900D8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0EBCA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C5648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9500</w:t>
            </w:r>
          </w:p>
        </w:tc>
      </w:tr>
      <w:tr w14:paraId="35FEA2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9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E8875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9CE19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信号灯2</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04FDA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面罩：Φ400mm </w:t>
            </w:r>
          </w:p>
          <w:p w14:paraId="1709BA8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外壳材质：铸铝</w:t>
            </w:r>
          </w:p>
          <w:p w14:paraId="6632617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LED数量：信号灯：红90，黄170，绿90；倒计时：红98，绿98</w:t>
            </w:r>
          </w:p>
          <w:p w14:paraId="19DDD72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可视距离：&gt;450m，可视角度&gt;30°</w:t>
            </w:r>
          </w:p>
          <w:p w14:paraId="6FD05CF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防护等级：IP53</w:t>
            </w:r>
          </w:p>
          <w:p w14:paraId="3497237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工作电压：AC176～264V，功率≤20W</w:t>
            </w:r>
          </w:p>
          <w:p w14:paraId="3BE63B1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重量：≤20KG</w:t>
            </w:r>
          </w:p>
          <w:p w14:paraId="0F89C3D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工作温度：-40 ~ +85℃，相对湿度≤93%</w:t>
            </w:r>
          </w:p>
          <w:p w14:paraId="6F37249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尺寸：1380×455×130 mm（灯体部分）</w:t>
            </w:r>
          </w:p>
          <w:p w14:paraId="7ACD7ED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计时方式：学习/触发/RS485通信</w:t>
            </w:r>
          </w:p>
          <w:p w14:paraId="489EBEC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LED使用寿命：≥100000小时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3CB07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0458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395CB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2800</w:t>
            </w:r>
          </w:p>
        </w:tc>
      </w:tr>
      <w:tr w14:paraId="45E97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77578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829949">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违停摄像机</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7C16F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采用400万像素1/1.8英寸CMOS 传感器，内置GPU芯片</w:t>
            </w:r>
          </w:p>
          <w:p w14:paraId="2D7DABA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光学变倍检验:不小于40倍，最大补光距离：250m（红外）</w:t>
            </w:r>
          </w:p>
          <w:p w14:paraId="0F37EC9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支持违停抓拍、卡口抓拍、电子警察，实现道路违法事件的抓拍</w:t>
            </w:r>
          </w:p>
          <w:p w14:paraId="683AFEA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支持1路音频输入和1路音频输出，内置7路报警输入和2路报警输出，支持报警联动功能，支持雨刷功能</w:t>
            </w:r>
          </w:p>
          <w:p w14:paraId="3923A4A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支持快速智能切换，当更换当前智能模式时设备不需重启，新智能使能后即可生效</w:t>
            </w:r>
          </w:p>
          <w:p w14:paraId="058FE66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多场景分别配置不同智能后,可进行多场景智能巡航,进行不同智能功能的分时复用。切换码流可继续支持原来的智能,支持跟踪抓拍</w:t>
            </w:r>
          </w:p>
          <w:p w14:paraId="4AC0BE0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在天气晴朗无雾，号牌无遮挡，无污染的条件下进行测试，白天测试时的环境光照度不低于200lx，晚上不高于50lx，球机处于设定的预制场景，且开启违法停车抓拍规则时，能够对违法停车行为进行抓拍，白天和晚上各测试100次，捕获次数均应不少于99次，图片模式应符合GA/T832-2014(道路交通安全违法行为图像取证技术规范）中模式九的相关规定</w:t>
            </w:r>
          </w:p>
          <w:p w14:paraId="5A70138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可准确抓拍车辆压白线、逆行、欠速、超速、不按车道行驶、压黄线、违法变道、加塞、黄牌车辆占道、机动车占非机动车道等可体现违章过程图片，当预置点场景内有违法规则被触发时，设备可联动报警输出和上传图片</w:t>
            </w:r>
          </w:p>
          <w:p w14:paraId="321BA71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设备支持违法停车监视,当镜头倍率为1倍时,白天有效监视距离最大为150米,当镜头倍率为最大倍率时,白天有效监视距离为400米。</w:t>
            </w:r>
          </w:p>
          <w:p w14:paraId="75093B1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 设备支持对机动车辆监视、行人监视、非机动车监视、违停、逆行、压线、变道、占用非机动车道、抛洒物、拥堵、路障、事故、浓雾等监视,支持交通数据采集,并可上传报警信息</w:t>
            </w:r>
          </w:p>
          <w:p w14:paraId="1725B67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 可按设定的时间对预置行人、非机动车、车辆监视场景进行巡航监视可选择全天或分段模式。全天模式下，将对选择的行人、非机动车、车辆监视场景按照其监视规则进行全天监视;分段模式下，可按设定的时间自动切换监视场景，按照相应场景的监视规则进行行人、非机动车、车辆监视</w:t>
            </w:r>
          </w:p>
          <w:p w14:paraId="336C481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 可识别正向和反向通过观测画面中的28种机动车车型，支持15种车身颜色识别，支持12种车牌类型识别，机动车子品牌及对应年款不少于5000种</w:t>
            </w:r>
          </w:p>
          <w:p w14:paraId="51BA724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 在天气晴朗无雾，车身无污损、无大面积遮挡的条件下进行测试，日间测试时的环境光照度不低于200lx，夜间测试时辅助照明光照度不高于30lx:白天车身颜色识别准确率≥99%:晚上车身颜色识别准确率≥99%。</w:t>
            </w:r>
          </w:p>
          <w:p w14:paraId="61CB920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14. 可识别通过观测画面中的机动车品牌标志。在天气晴朗无雾，车身无污损、无大面积遮挡的条件下进行测试，日间测试时的环境光照度不低于200lx，夜间测试时辅助照明光照度不高于30lx:白天车辆品牌标志识别准确率≥99%:晚上车辆品牌标志识别准确率≥99%。</w:t>
            </w:r>
          </w:p>
          <w:p w14:paraId="50E9ABD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15. 支持AC24V±25%宽电压输入，支持IP67防护等级，8000V防雷、防浪涌和防突波保护</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2E3A2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4A16C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E4D8B3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8900</w:t>
            </w:r>
          </w:p>
        </w:tc>
      </w:tr>
      <w:tr w14:paraId="22DF39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9E04C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7619F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音柱</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0BD25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1、采用可寻址全数字解码，接收上级远程控制，根据不同使用环境实现多级分区，支持全区播放、分区播放、单点播放。</w:t>
            </w:r>
          </w:p>
          <w:p w14:paraId="33D35A7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2、支持2G、3G、4G/IP全模式接收解码。</w:t>
            </w:r>
          </w:p>
          <w:p w14:paraId="4BD568A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3、支持多任务接收，终端可根据任务优先级选择高优先级的优先播放。</w:t>
            </w:r>
          </w:p>
          <w:p w14:paraId="7D1E8DA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4、支持设备断电广播自动恢复功能。</w:t>
            </w:r>
          </w:p>
          <w:p w14:paraId="69B885F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5、支持工作状态指示，产品带LED指示灯，可指示不同状态。</w:t>
            </w:r>
          </w:p>
          <w:p w14:paraId="6B9E9D6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6、支持通过APP及WEB客户端配置、查询终端参数。</w:t>
            </w:r>
          </w:p>
          <w:p w14:paraId="2C08A0C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7、支持通过WEB客户端远程升级。</w:t>
            </w:r>
          </w:p>
          <w:p w14:paraId="7B74D1A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8、支持远程重启。</w:t>
            </w:r>
          </w:p>
          <w:p w14:paraId="0BA1ABD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9、支持远程调取日志功能。</w:t>
            </w:r>
          </w:p>
          <w:p w14:paraId="08A4241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10、支持功放过热、过压、过流保护功能。</w:t>
            </w:r>
          </w:p>
          <w:p w14:paraId="79FFC8E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11、支持地理位置信息，可在APP/平台上显示终端位置，并可通过APP 直接导航到终端安装位置。（提供省级及以上国家职能部门下属检测机构出具符合国标（GD/J079-2018 至 GD/J089-2018）检测报告复印件并加盖原厂商公章）</w:t>
            </w:r>
          </w:p>
          <w:p w14:paraId="294079B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12、支持自动设备状态回传功能。</w:t>
            </w:r>
          </w:p>
          <w:p w14:paraId="733C3DD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技术参数1、输出功率：30W。</w:t>
            </w:r>
          </w:p>
          <w:p w14:paraId="728608E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2、频率响应：100Hz～16kHz。</w:t>
            </w:r>
          </w:p>
          <w:p w14:paraId="7D90CE4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3、信噪比：≥80dB。</w:t>
            </w:r>
          </w:p>
          <w:p w14:paraId="1727B4D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4、失真度：≤1%(@1W)。</w:t>
            </w:r>
          </w:p>
          <w:p w14:paraId="3B1DFDC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5、音频采样率：8kHz～96kHz。</w:t>
            </w:r>
          </w:p>
          <w:p w14:paraId="126ABFE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6、音频位率：8kbps～320kbps自适应。</w:t>
            </w:r>
          </w:p>
          <w:p w14:paraId="37165A8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7、音频格式： AAC、MP3。</w:t>
            </w:r>
          </w:p>
          <w:p w14:paraId="406B58F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8、支持协议：UDP、TCP、ARP、RTMP。</w:t>
            </w:r>
          </w:p>
          <w:p w14:paraId="6C08C9F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9、电源电压：AC 100～280V/50Hz。</w:t>
            </w:r>
          </w:p>
          <w:p w14:paraId="5162578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10、工作温度：-30～70℃。</w:t>
            </w:r>
          </w:p>
          <w:p w14:paraId="2DE2A6E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11、工作湿度：10%～90%。12、需接入现交警大队平台</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B4085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BB2188">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B4985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4500</w:t>
            </w:r>
          </w:p>
        </w:tc>
      </w:tr>
      <w:tr w14:paraId="4CE47D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DAEE2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DD284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落地式控制箱</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2E7E8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1.不锈钢信号控制箱（650*450*1470），含法兰盘及预埋件、C25砼基础、碎石找平层、片石夯实（灌砂）、模板和防雷器等2.含安装及配件。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1D977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65A66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AB97D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5300</w:t>
            </w:r>
          </w:p>
        </w:tc>
      </w:tr>
      <w:tr w14:paraId="11BDD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9E5CF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A1AA0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杆上控制箱</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F4EC7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1.尺寸规格：箱体厚度≥1.2mm，镀锌板喷塑，箱体外尺寸(含雨帽):430(宽)*535(高)*220(深)mm。</w:t>
            </w:r>
          </w:p>
          <w:p w14:paraId="2E2ED6C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外观要求：设备顶部具有圆弧形防雨帽，四边圆弧形；U形主体机壳，无棱角；柜门与机箱采用四杆风勾机构，设有限位装置，箱门打开后可自动限位，防止柜门转动回位；箱体内部预置可移动托板。（需提供公安部检测报告证明）</w:t>
            </w:r>
          </w:p>
          <w:p w14:paraId="595BD1F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接口规格：整机一体化设计，内部集成物联终端、2P16A空开、20KA电源防雷、5路AC220V远程可控5孔插座、1路AC220V远程可控输出端子、姿态检测模块（撞击/震动/倾斜）、DC12V风扇、柜门检测开关、熔纤盘及光纤固定器；1路DC5V和1路DC12V 网络输出接口，2路DC12V输出（1路预留电磁锁控制）、3路DI开关量输入、1路RJ45接口、1路RS485、1路RS232接口、1个复位按键。</w:t>
            </w:r>
          </w:p>
          <w:p w14:paraId="1FD815C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AC220V供电：支持≥5路AC220V输出，支持独立每路电压、电流检测、远程控制、实时发送每路电压电流值到客户端显示，支持通过客户端实时监测设备输出是否断电，并在客户端界面提示告警。（需提供公安部检测报告证明）</w:t>
            </w:r>
          </w:p>
          <w:p w14:paraId="3167F78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用电检测与统计：支持供电电压、电流、功率、电量监测，支持远程清空电量值；支持过压、欠压、过流、低载联动关闭指定输出接口；交流输出接口具有定时控制、远程控制功能，可远程设定工作模式；当供电断开时，提示供电异常告警；支持手动开启学习接入设备的功率，在当前设备的功率基础上接入其他设备时，自动关闭供电输出并且客户端提示非法取电告警。（需提供公安部检测报告证明）</w:t>
            </w:r>
          </w:p>
          <w:p w14:paraId="2014EF6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设备检测：支持≥8路检测摄像机工作状态，并设置定时/手动开启，当接入的摄像机断电或网络断开时，可通过客户端提示告警，支持在客户端内实现外接摄像机视频图像的播放；支持WEB及客户端显示网络传输工作状态，可设置定时/手动重启，当网络传输断开时，可自动进行重启网络传输设备电源，重启次数和时间可设置；支持多路补光灯检测，可设置定时/手动开启电源，支持补光灯功率自学习功能，手动开启自动学习多个补光灯设备的工作电流，区分补光灯白天异常亮起和晚上无法开启，支持≥4个时间段的分时控制。（需提供公安部检测报告证明）</w:t>
            </w:r>
          </w:p>
          <w:p w14:paraId="5FFD2B8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7.断电检测：支持在不使用外部蓄电池情况下，实时监测设备供电电源，并在客户端提示设备供电电源掉电告警。</w:t>
            </w:r>
          </w:p>
          <w:p w14:paraId="6F5F343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8.环境检测：支持箱内实时温度、湿度、防雷状态、门开关状态、风扇工作状态、风扇故障监测和告警。</w:t>
            </w:r>
          </w:p>
          <w:p w14:paraId="3576460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姿态检测：实时显示当前设备姿态信息（包括XYZ三个方向的角度）；当设备受到震动或撞击时，客户端提示震动或撞击告警，并显示震动加速度值，支持配置震动告警等级；当智能设备箱倾斜时，客户端提示倾斜告警，并显示倾斜角度，支持默认角度校正，支持配置倾斜角度上限；支持箱门打开后，支持联动球机转向监控箱位置录像，可配置开始球机转动时间和停留录像时长。（需提供公安部检测报告证明）</w:t>
            </w:r>
          </w:p>
          <w:p w14:paraId="5DE3582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10.网页配置：支持通过WEB直接查看实时数据、配置IP地址、客户端地址、传输模式、进行远程固件升级，支持IP地址冲突提示、MAC地址冲突提示；支持802.1x设置，可设置验证用户密码。</w:t>
            </w:r>
          </w:p>
          <w:p w14:paraId="3885DA2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工作环境：工作温度范围-40℃～+85℃，工作电压范围AC74V～AC280V（50Hz/60Hz范围内变化），外壳防护等级≥IP55，机械碰撞防护等级≥IK08，盐雾测试≥120小时，泄漏电流应不大于5mA(a.c.峰值)，绝缘电阻不小于2MΩ。（需提供公安部检测报告证明）</w:t>
            </w:r>
          </w:p>
          <w:p w14:paraId="3789D52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抗扰度试验：通过抗电强度试验、静电放电抗扰度试验、浪涌(冲击)抗扰度试验、电快速瞬变脉冲群抗扰度试验、射频电磁场辐射抗扰度试验、电源电压暂降和短时中断抗扰度试验。（需提供公安部检测报告证明）</w:t>
            </w:r>
          </w:p>
          <w:p w14:paraId="69AAF08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运维平台：提供运维管理平台软件，B/S架构，具有概述信息、电子地图、设备管理、点位管理、告警管理、工单管理、报表统计、考核计费等功能，支持报表包含：每日台账、视频无故障率统计、故障及时修复率统计、故障类型统计、考核计费统计、超期工单统计、区域用电量统计。</w:t>
            </w:r>
          </w:p>
          <w:p w14:paraId="10727FA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14.工单考核：支持自动派单和手动派单，工单记录故障产生时间、派单时间及修复时长等信息；工单状态包含待接单、维修中、待确认、已结束、挂起中、挂起待确认等；工单流程包含指派、接单、转派、挂起、确认挂起、拒绝挂起、重启、维修完成、确认完等；支持设备一机一档信息记录，包含设备名称、编号、国标编码、安装时间、品牌、类型、安装时间、质保期、到期时间等；支持设置设备运维、网络运维、电力运维并生成考核计费报表，支持设置考核标准、考核申诉，可根据不同故障类型设置不同考核模板，支持设定超过10个考核模板，支持自定义故障分类。（需提供公安部检测报告证明）</w:t>
            </w:r>
          </w:p>
          <w:p w14:paraId="5E931EF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15.安全等级保护：运维管理平台需符合《GB/T 22239-2019信息安全技术网络安全等级保护基本要求》第三级安全计算环境指标中应用系统相关要求，具有第三方测评机构出具的安全检测报告复印件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B9744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85E25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18738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1250</w:t>
            </w:r>
          </w:p>
        </w:tc>
      </w:tr>
      <w:tr w14:paraId="25048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187D6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4C78E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控制电缆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AF46D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线圈馈线（KVVP 2*1.5），含配件</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83246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66E6D6">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286CD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6.7</w:t>
            </w:r>
          </w:p>
        </w:tc>
      </w:tr>
      <w:tr w14:paraId="187CA5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506F9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AC4C4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配线1</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7916F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电源线RVV  3*1.5</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3EA7C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E8D1E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80D31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8.5</w:t>
            </w:r>
          </w:p>
        </w:tc>
      </w:tr>
      <w:tr w14:paraId="51EA2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AB1D1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A7A737">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配线2</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75B62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电源线RVV  16*1.5</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9EB6F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D2E95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B1991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40</w:t>
            </w:r>
          </w:p>
        </w:tc>
      </w:tr>
      <w:tr w14:paraId="42236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112EE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1DAABA">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配线3</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5BF7C2">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控制线RVVP  2*3</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59E48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CD664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09BC7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14</w:t>
            </w:r>
          </w:p>
        </w:tc>
      </w:tr>
      <w:tr w14:paraId="6AFEA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1A31F3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3D0B91">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配线4</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8DBAD1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电源线RVV  3*6</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D1152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4CA83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5D563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16</w:t>
            </w:r>
          </w:p>
        </w:tc>
      </w:tr>
      <w:tr w14:paraId="216F8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4113A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2984A4">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双绞线缆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72BFD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室外超五类屏蔽线  HSYV-5E4*2*0.5(灰)</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A42ED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38893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B2010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5.4</w:t>
            </w:r>
          </w:p>
        </w:tc>
      </w:tr>
      <w:tr w14:paraId="63E4B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FB237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B13BC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人(手)孔井</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10727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1.规格尺寸:交通信号工作井500*500</w:t>
            </w:r>
          </w:p>
          <w:p w14:paraId="3305F08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2.含土方挖、填、运、模板等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1F20D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座</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4E5AA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0CFCB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780</w:t>
            </w:r>
          </w:p>
        </w:tc>
      </w:tr>
      <w:tr w14:paraId="2A7081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28F55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317DE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塑料管（开挖）</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DB439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1.名称:PE管地埋敷设 </w:t>
            </w:r>
          </w:p>
          <w:p w14:paraId="6075F45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2.规格:2*De75（壁厚4.5mm）</w:t>
            </w:r>
          </w:p>
          <w:p w14:paraId="7256C38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3.含人行道拆除、土方挖、填、运等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72331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CBEAE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505CD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90</w:t>
            </w:r>
          </w:p>
        </w:tc>
      </w:tr>
      <w:tr w14:paraId="12BA4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EF6C8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B601E">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塑料管（水平导向钻进）</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7936F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1.名称:PE管牵引敷设 </w:t>
            </w:r>
          </w:p>
          <w:p w14:paraId="1A9F58A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2.规格:2*De75（壁厚4.5mm）</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1CABD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D28A0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DC0D5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320</w:t>
            </w:r>
          </w:p>
        </w:tc>
      </w:tr>
      <w:tr w14:paraId="542B4B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CEE77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B6FDA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保护钢套管</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27A2E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过街管道∮100镀锌管，土方挖，填，恢复</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39C56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ACFCB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23FF6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480</w:t>
            </w:r>
          </w:p>
        </w:tc>
      </w:tr>
      <w:tr w14:paraId="36616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8874D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424B4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红绿灯控制电缆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251C2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红绿灯电缆线采用KVV22 25*1.5mm</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52CBD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D1710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D8FC3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45</w:t>
            </w:r>
          </w:p>
        </w:tc>
      </w:tr>
      <w:tr w14:paraId="6F364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AA91C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D62A3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人行横道灯电缆</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264F0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人行横道灯电缆采用KVV 4*1.5mm</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1F05B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m</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DCF5B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D2B8B4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11</w:t>
            </w:r>
          </w:p>
        </w:tc>
      </w:tr>
      <w:tr w14:paraId="65EEB8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2E80B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39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3B270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警示柱（钢管）</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80871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1.钢管警示柱（地理式）Φ80*3*1200</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3BD3E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3CEE92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038D7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130</w:t>
            </w:r>
          </w:p>
        </w:tc>
      </w:tr>
      <w:tr w14:paraId="352D80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2A406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40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70EDE3">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警示柱（塑料）</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F7C09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1.塑料管警示柱（膨胀螺栓安装）Φ80*1200</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A4485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5EA65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73006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80</w:t>
            </w:r>
          </w:p>
        </w:tc>
      </w:tr>
      <w:tr w14:paraId="5769D9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2"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15813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41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74595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高杆照明灯</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2A33E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1.高杆灯D(100~252)*6.5*15000热镀锌钢管，经静电喷塑白色</w:t>
            </w:r>
          </w:p>
          <w:p w14:paraId="4857F38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2.带3盏130W LED灯，含法兰盘、预埋件等，C25钢筋砼基础挖浇，以上构件全镀锌，镀锌要求柱体镀锌量为600g/m2，紧固件镀锌量为350g/m2，含土方挖、填、运、钢筋及模板等。</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58D13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389F4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6FD2E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13800</w:t>
            </w:r>
          </w:p>
        </w:tc>
      </w:tr>
      <w:tr w14:paraId="454439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18"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745F1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42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40176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900万电警抓拍摄像设备</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AA66A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900万像素生态环保相机，采用先进的图像融合技术，夜间无需使用白光爆闪灯,即可输出高质量全彩图像</w:t>
            </w:r>
          </w:p>
          <w:p w14:paraId="3217C6A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支持1.1英寸传感器</w:t>
            </w:r>
          </w:p>
          <w:p w14:paraId="4D83C07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支持对机动车、非机动车、行人等混合目标进行检测。样机能同时检测不少于130个混合的静态目标并对这些目标进行绿框跟踪；可同时对至少130个混合的静态目标进行优选、抓拍及属性分析</w:t>
            </w:r>
          </w:p>
          <w:p w14:paraId="639722A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支持主辅码流平滑设置功能，可分别设置主副码流平滑度0~100可调</w:t>
            </w:r>
          </w:p>
          <w:p w14:paraId="4E3382E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支持单张图与合成图的OSD叠加，并可根据RGB分量值对叠加的字体颜色进行更改</w:t>
            </w:r>
          </w:p>
          <w:p w14:paraId="40E9380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支持自动画线功能，可自动识别并画出车道线、抓拍检测线</w:t>
            </w:r>
          </w:p>
          <w:p w14:paraId="3177222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分别支持爆闪灯（含多合一灯）、频闪灯、常亮灯连接；可获取灯的工作模式（白天、夜晚、傍晚/清晨）、点亮时长、LED爆闪次数、氙气爆闪次数等状态进行监测和记录；可分别设置氙气爆闪灯亮度、氙气延时时间、LED频闪亮度、LED爆闪脉宽</w:t>
            </w:r>
          </w:p>
          <w:p w14:paraId="5F5B280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支持TCP/IP、HTTP、HTTPS、FTP、DNS、RTP、RTSP、RTC、NTP、UpnP、IPV6、DHCP、802.1x等网络协议</w:t>
            </w:r>
          </w:p>
          <w:p w14:paraId="38D8E48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支持图片字符OSD叠加功能，可在抓拍的图片上叠加设备编号、地点、车道号、限速值、车速、车长、超速比、车牌号、车牌颜色、车辆品牌、车身颜色、车辆大小、时间（精确到毫秒）、 通行方向欠速比时间（精确到毫秒）、 通行方向、欠速比、安全带状态、遮阳板状态、车系、抽烟状态、打电话状态、GPS地点信息、年检标志、挂件、香水盒、纸巾盒等</w:t>
            </w:r>
          </w:p>
          <w:p w14:paraId="2B7CDCB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 支持识别并抓拍垂直倾斜角度≤55°、水平倾斜角度≤35°、俯仰角度≤40°的机动车车牌号码</w:t>
            </w:r>
          </w:p>
          <w:p w14:paraId="7DB6F76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 支持闯禁行记录功能，可对4种普通车型(包括大货车、中货车、小货车、皮卡车)及8种特种车型(包括危化品车辆、普通罐车、渣土车、混凝土搅拌车、工程车、粉粒物料运输车、吸污车、环卫车)进行检测、抓拍记录、识别及图片存储</w:t>
            </w:r>
          </w:p>
          <w:p w14:paraId="2FA8C26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  卡口模式：支持黄牌占道、超速、欠速、压白线、逆行、有车占道、违法变道、压黄线、不按车道行驶、主驾驶员不系安全带、副驾驶员不系安全带、驾驶员抽烟、驾驶员打电话、车辆排队加塞、禁货、违法停车、禁摩抓拍</w:t>
            </w:r>
          </w:p>
          <w:p w14:paraId="19FA9A6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 电警模式：支持闯红灯、压白线、逆行、超速、黄牌占道、违法停车、不按导向箭头行驶、违法变道、压黄线、有车占道、不按车道行驶、违法左转、违法右转、违法掉头、压停止线、左转不礼让直行、右转不礼让横向直行、大弯小转、车辆排队加塞、右转不礼让直行行人、禁货、黄网格违法停车、禁摩抓拍</w:t>
            </w:r>
          </w:p>
          <w:p w14:paraId="2C69229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14. 设备支持智能高级设置，可在设备中直接进行输入算法表达式并保存。</w:t>
            </w:r>
          </w:p>
          <w:p w14:paraId="2EDF63F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15. 支持暗光引擎功能，开启后可增加视频画面感光度</w:t>
            </w:r>
          </w:p>
          <w:p w14:paraId="7FAC4BD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16. 具有FPN功能设置选项，开启后可减少图像噪声</w:t>
            </w:r>
          </w:p>
          <w:p w14:paraId="1AA544A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17. 支持帧率1~50fps可调</w:t>
            </w:r>
          </w:p>
          <w:p w14:paraId="17BF7962">
            <w:pPr>
              <w:keepNext w:val="0"/>
              <w:keepLines w:val="0"/>
              <w:widowControl/>
              <w:suppressLineNumbers w:val="0"/>
              <w:jc w:val="left"/>
              <w:textAlignment w:val="center"/>
              <w:rPr>
                <w:rFonts w:hint="eastAsia"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18. 工作温度：-45℃~65℃，防护等级：IP67，支持在100V~240V供电的条件下正常工作</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20D13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C6ED1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72757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17500</w:t>
            </w:r>
          </w:p>
        </w:tc>
      </w:tr>
      <w:tr w14:paraId="47186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7"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BDAC8A">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43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D33B5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1600万电警抓拍摄像设备</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44AAB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高分辨率：采用1.1英寸GS-CMOS图像传感器，最大输出 5320*3032@25fps高清图像</w:t>
            </w:r>
          </w:p>
          <w:p w14:paraId="1AF53B5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像素检查：1600万像素(5320×3032)。</w:t>
            </w:r>
          </w:p>
          <w:p w14:paraId="02F2497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支持车长≤16米的大货车违法行为抓拍</w:t>
            </w:r>
          </w:p>
          <w:p w14:paraId="77F3D25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具有FPN功能设置选项，开启后可减少图像噪声。</w:t>
            </w:r>
          </w:p>
          <w:p w14:paraId="5BC9FD3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支持暗光引擎功能，开启后可增加视频画面感光度。</w:t>
            </w:r>
          </w:p>
          <w:p w14:paraId="390D847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支持在补光照度80lx的环境下输出全彩照片，图片中车内人像清晰可见。</w:t>
            </w:r>
          </w:p>
          <w:p w14:paraId="4A97970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支持1~5车道车辆抓拍、车牌识别和车辆结构化信息提取（5车道小车抓拍建议立杆距离25米，3车道大小车兼顾抓拍建议立杆距离31米）</w:t>
            </w:r>
          </w:p>
          <w:p w14:paraId="464B403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支持自动白平衡、自动电子快门、自动光圈，适应多种监控环境</w:t>
            </w:r>
          </w:p>
          <w:p w14:paraId="7A1C29C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支持单快门、双快门、三快门</w:t>
            </w:r>
          </w:p>
          <w:p w14:paraId="6A0DA80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 支持机动车过车记录、违法抓拍、车牌识别、车辆类型识别、车身颜色识别、图片合成、OSD信息叠加</w:t>
            </w:r>
          </w:p>
          <w:p w14:paraId="7695670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 支持非机动车过车记录、违法抓拍、车辆类型识别、人脸抠图、图片合成、OSD信息叠加</w:t>
            </w:r>
          </w:p>
          <w:p w14:paraId="14ADBA8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 支持车辆流量、平均速度、占有率等流量信息采集</w:t>
            </w:r>
          </w:p>
          <w:p w14:paraId="5C548E8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 支持视频检测、线圈两种触发方式</w:t>
            </w:r>
          </w:p>
          <w:p w14:paraId="026FC0A9">
            <w:pPr>
              <w:keepNext w:val="0"/>
              <w:keepLines w:val="0"/>
              <w:widowControl/>
              <w:suppressLineNumbers w:val="0"/>
              <w:jc w:val="left"/>
              <w:textAlignment w:val="center"/>
              <w:rPr>
                <w:rFonts w:hint="eastAsia"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14. 支持最大256GB TF卡本地存储，抓拍图片可断网续传</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6CA7B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AC16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604E1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25000</w:t>
            </w:r>
          </w:p>
        </w:tc>
      </w:tr>
      <w:tr w14:paraId="193D89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2"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B32ECB">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44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5EA83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流量相机</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BCC6D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1.400万像素微卡，采用星光级1/1.8英寸CMOS图像传感器，支持1~4车道车辆抓拍、车牌识别和车辆结构化信息提取</w:t>
            </w:r>
          </w:p>
          <w:p w14:paraId="52D0805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2.具有1个100M/1000M以太网口，1个CVBS接口，2个RS232接口，3个RS485接口，1个TF卡槽，1路DC12V电源输出接口，1路音频输入接口，1路音频输出接口，3路报警输入接口，2路报警输出接口，1路USB接口，1个reset 接口。</w:t>
            </w:r>
          </w:p>
          <w:p w14:paraId="57D88FA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支持对设定区域内的机动车、行人、非机动车进行检测、目标框跟踪和抓拍；支持实时图像中的多目标框显示，检测区域内最大支持同时对80个机动车、行人、非机动车进行检测盒目标框跟踪。</w:t>
            </w:r>
          </w:p>
          <w:p w14:paraId="3B4F062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支持车型识别，白天识别准确率≥99%；晚上识别准确率≥99%。</w:t>
            </w:r>
          </w:p>
          <w:p w14:paraId="540F22C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可根据设置车道个数（车道个数1～4可设），自动调节画面远近，并进行自动聚焦。</w:t>
            </w:r>
          </w:p>
          <w:p w14:paraId="378DE26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支持图形化展示人脸信息，可根据识别的不同信息展示不同图形，包括性别、年龄、表情、是否戴口罩等。</w:t>
            </w:r>
          </w:p>
          <w:p w14:paraId="29DF131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支持事件检测的业务类型设置，并可配置15 种事件，包括交通区域入侵、交通火焰检测、烟雾报警、逆行、超速、欠速、违法停车、违法变道、压黄线、交通拥堵、行人事件、交通抛洒物、交通道路施工、交通路障、交通事故等。</w:t>
            </w:r>
          </w:p>
          <w:p w14:paraId="77C47B1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8.帧率检查:50fps</w:t>
            </w:r>
          </w:p>
          <w:p w14:paraId="25A9A30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9. 工作温度：-45℃~+90℃。"</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3EE7E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4A153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25083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9500</w:t>
            </w:r>
          </w:p>
        </w:tc>
      </w:tr>
      <w:tr w14:paraId="21E2AA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9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DEC8D2">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45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9BAC9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诱导屏</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BB321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1. 材质：外壳不锈钢，表面喷塑哑光处理； </w:t>
            </w:r>
          </w:p>
          <w:p w14:paraId="0F0B709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显示内容：可直接显示8个32×32汉字或者图片内容，支持动态显示；发布内容和节目时长可由软件设置；</w:t>
            </w:r>
          </w:p>
          <w:p w14:paraId="6A16766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像素：（宽高）256×48；间距10mm；</w:t>
            </w:r>
          </w:p>
          <w:p w14:paraId="63951D0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外形尺寸：260×52×15cm（本体宽高厚）</w:t>
            </w:r>
          </w:p>
          <w:p w14:paraId="5CC018B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输入电源：220±20% V AC;</w:t>
            </w:r>
          </w:p>
          <w:p w14:paraId="366151D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LED屏功率（最高亮度状态）：全屏点亮&lt;950W；全屏点亮绿灯&lt;250W；全屏点亮红灯&lt;700W；</w:t>
            </w:r>
          </w:p>
          <w:p w14:paraId="78109A0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输入信号：220V交通信号，带RJ45口</w:t>
            </w:r>
          </w:p>
          <w:p w14:paraId="18F7E0A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待行信号触发方式： 220V交通信号输入；</w:t>
            </w:r>
          </w:p>
          <w:p w14:paraId="5D1ADE5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LED屏显示内容设定：远程设定或内置存储；</w:t>
            </w:r>
          </w:p>
          <w:p w14:paraId="2A46980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 模组参数：a) 红LED：420mcd &lt;红&lt;614mcd；波长620-625nm；b) 绿LED：1500mcd&lt;绿&lt;3296mcd；波长520-530nm；c) 像素密度 10000Dots；d) 像素构成 1R1G；e) 模组分辨率 32*16=512Dots；f) 最大电流3.2A±0.1A；g) 驱动方式  1/4恒流驱动；h) 模组功率&lt;16W；i) 套件材料 聚碳酸脂PC；j) 模组尺寸（长*宽*厚） 320*160*26mm；k) 重量 0.95±0.05kg；输入电压 4.8-5.5V；</w:t>
            </w:r>
          </w:p>
          <w:p w14:paraId="398AD30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 屏幕水平视角：80±15度。</w:t>
            </w:r>
          </w:p>
          <w:p w14:paraId="77BC6CB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 亮度：&gt;3000cd/㎡。</w:t>
            </w:r>
          </w:p>
          <w:p w14:paraId="1A0D7E7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 最佳视距：&gt;10m。</w:t>
            </w:r>
          </w:p>
          <w:p w14:paraId="3436072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14. 可视距离：&gt;400m</w:t>
            </w:r>
          </w:p>
          <w:p w14:paraId="5E2E4E3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15. 亮度均匀性：&gt;0.8。</w:t>
            </w:r>
          </w:p>
          <w:p w14:paraId="56B390B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16. 屏幕垂直视角：45±10度。</w:t>
            </w:r>
          </w:p>
          <w:p w14:paraId="4BF42E1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17. 盲点率：小于万分之三。</w:t>
            </w:r>
          </w:p>
          <w:p w14:paraId="74D1C01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18. 使用环境：户外-20 ~ +85 ℃；湿度≤93%</w:t>
            </w:r>
          </w:p>
          <w:p w14:paraId="3A9CC912">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19. 安装模式：横放。</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6B126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A4378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49FB8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12900</w:t>
            </w:r>
          </w:p>
        </w:tc>
      </w:tr>
      <w:tr w14:paraId="10543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1"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8A5B3B">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9F7552">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rPr>
            </w:pPr>
            <w:r>
              <w:rPr>
                <w:rFonts w:hint="eastAsia" w:ascii="宋体" w:hAnsi="宋体" w:eastAsia="宋体" w:cs="宋体"/>
                <w:i w:val="0"/>
                <w:iCs w:val="0"/>
                <w:color w:val="auto"/>
                <w:kern w:val="0"/>
                <w:sz w:val="18"/>
                <w:szCs w:val="18"/>
                <w:highlight w:val="none"/>
                <w:u w:val="none"/>
                <w:lang w:val="en-US" w:eastAsia="zh-CN" w:bidi="ar"/>
              </w:rPr>
              <w:t>取电(包干）</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5BB9EF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路口取电施工（含配电箱、空开、漏保等包工包料），施工完成后按一个路口一个电表，并资料报备（不包含电费）。</w:t>
            </w:r>
          </w:p>
          <w:p w14:paraId="264ABFFD">
            <w:pPr>
              <w:pStyle w:val="37"/>
              <w:rPr>
                <w:rFonts w:hint="default"/>
                <w:color w:val="auto"/>
                <w:highlight w:val="none"/>
                <w:lang w:val="en-US"/>
              </w:rPr>
            </w:pPr>
            <w:r>
              <w:rPr>
                <w:rFonts w:hint="eastAsia" w:ascii="宋体" w:hAnsi="宋体" w:eastAsia="宋体" w:cs="宋体"/>
                <w:i w:val="0"/>
                <w:iCs w:val="0"/>
                <w:color w:val="auto"/>
                <w:kern w:val="0"/>
                <w:sz w:val="18"/>
                <w:szCs w:val="18"/>
                <w:highlight w:val="none"/>
                <w:u w:val="none"/>
                <w:lang w:val="en-US" w:eastAsia="zh-CN" w:bidi="ar"/>
              </w:rPr>
              <w:t>不含强电电力电缆。</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8CDBF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B857D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92958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5000</w:t>
            </w:r>
          </w:p>
        </w:tc>
      </w:tr>
      <w:tr w14:paraId="642A9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A8521F">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47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2AFAA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杆件拆除</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C0C8D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杆件拆除：包含外运、所需车辆设备，路面开挖及恢复，车辆，人工。</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6000A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E1AE9E">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8AE85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2600</w:t>
            </w:r>
          </w:p>
        </w:tc>
      </w:tr>
      <w:tr w14:paraId="2A7FB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769F42">
            <w:pPr>
              <w:keepNext w:val="0"/>
              <w:keepLines w:val="0"/>
              <w:widowControl/>
              <w:suppressLineNumbers w:val="0"/>
              <w:jc w:val="center"/>
              <w:textAlignment w:val="center"/>
              <w:rPr>
                <w:rFonts w:hint="default" w:ascii="宋体" w:hAnsi="宋体" w:eastAsia="宋体" w:cs="宋体"/>
                <w:i w:val="0"/>
                <w:iCs w:val="0"/>
                <w:color w:val="auto"/>
                <w:sz w:val="16"/>
                <w:szCs w:val="16"/>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48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CC374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标牌拆除</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498BF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标牌拆除：包含外运、所需车辆设备，车辆，人工。</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1321C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点</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4FC21A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864451">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220</w:t>
            </w:r>
          </w:p>
        </w:tc>
      </w:tr>
      <w:tr w14:paraId="53822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C900BD">
            <w:pPr>
              <w:keepNext w:val="0"/>
              <w:keepLines w:val="0"/>
              <w:widowControl/>
              <w:suppressLineNumbers w:val="0"/>
              <w:jc w:val="center"/>
              <w:textAlignment w:val="center"/>
              <w:rPr>
                <w:rFonts w:hint="default" w:ascii="宋体" w:hAnsi="宋体" w:eastAsia="宋体" w:cs="宋体"/>
                <w:i w:val="0"/>
                <w:iCs w:val="0"/>
                <w:color w:val="auto"/>
                <w:sz w:val="16"/>
                <w:szCs w:val="16"/>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49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CE35E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多合一补光灯</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F5A11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1、集成LED和气体放电光源 ；</w:t>
            </w:r>
          </w:p>
          <w:p w14:paraId="1A87626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2、支持暖光LED频闪、暖光LED爆闪、白光氙气爆闪、红外氙气爆闪四种模式；</w:t>
            </w:r>
          </w:p>
          <w:p w14:paraId="11039B8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3、支持LED亮度等级0~99级可调；</w:t>
            </w:r>
          </w:p>
          <w:p w14:paraId="187F493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4、LED光源色温：3000K~6500K；</w:t>
            </w:r>
          </w:p>
          <w:p w14:paraId="0EB158A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5、支持通过光敏进行红外和白光切换；</w:t>
            </w:r>
          </w:p>
          <w:p w14:paraId="206E5CF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6、支持在红外模式下气体放电爆闪时，LED爆闪同步闪光；</w:t>
            </w:r>
          </w:p>
          <w:p w14:paraId="634F37B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7、支持LED频闪熄灭时，叶片自动切换成白光模式；</w:t>
            </w:r>
          </w:p>
          <w:p w14:paraId="7C80EF5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8、在距离补光灯20米处，LED频闪亮度等级20级时，中心光斑的照度不得超过40lx；</w:t>
            </w:r>
          </w:p>
          <w:p w14:paraId="04C9BA4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9、支持在白光模式下触发氙气爆闪时，LED爆闪不闪光；</w:t>
            </w:r>
          </w:p>
          <w:p w14:paraId="169F757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10、符合GA/T1202-2022《交通技术监控成像补光装置通用技术规范》的要求；</w:t>
            </w:r>
          </w:p>
          <w:p w14:paraId="6230828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11、支持通过光敏进行红外和白光切换；</w:t>
            </w:r>
          </w:p>
          <w:p w14:paraId="68A8353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12、在AC220V±44V、50Hz±2Hz的电源条件下，补光装置应能正常工作，基准轴上光照度的变化幅度应小于等于额定电压下的15%；</w:t>
            </w:r>
          </w:p>
          <w:p w14:paraId="7C6DDCD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13、支持在LED频闪开启时，气体放电红外叶片自动切换成红外模式；</w:t>
            </w:r>
          </w:p>
          <w:p w14:paraId="6FF964E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14、支持气体放电模式切换功能，可通过开关量或电平量或RS485信号控制红外透光叶片转动，切换成对应的红外或白光模式；</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AE593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726BD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B3ACB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3400</w:t>
            </w:r>
          </w:p>
        </w:tc>
      </w:tr>
      <w:tr w14:paraId="495880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49"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837330">
            <w:pPr>
              <w:keepNext w:val="0"/>
              <w:keepLines w:val="0"/>
              <w:widowControl/>
              <w:suppressLineNumbers w:val="0"/>
              <w:jc w:val="center"/>
              <w:textAlignment w:val="center"/>
              <w:rPr>
                <w:rFonts w:hint="default" w:ascii="宋体" w:hAnsi="宋体" w:eastAsia="宋体" w:cs="宋体"/>
                <w:i w:val="0"/>
                <w:iCs w:val="0"/>
                <w:color w:val="auto"/>
                <w:sz w:val="16"/>
                <w:szCs w:val="16"/>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50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2337C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频闪补光灯</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FF6546">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数字式照度传感器，补光装置的发光方式宜采用频闪方式、脉冲方式或持续点亮方式，频闪方式补光装置的闪烁频率应大于等于50Hz，符合GA/T1202-2022《交通技术监控成像补光装置通用技术规范》</w:t>
            </w:r>
          </w:p>
          <w:p w14:paraId="3B74CA3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可根据环境亮度自动点亮或者熄灭补光灯，环境亮度阀值10档可调（公安检测报告证明）</w:t>
            </w:r>
          </w:p>
          <w:p w14:paraId="2435B215">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要求具备符合GB/T 37958-2019《视频监控系统主动照明部件光辐射安全要求》的检测报告，且不超过1类危险。（公安检测报告证明）</w:t>
            </w:r>
          </w:p>
          <w:p w14:paraId="7BCD03F4">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在距补光灯20m处，亮度等级30、频闪频率100Hz时光斑的照度不得超过40lx</w:t>
            </w:r>
          </w:p>
          <w:p w14:paraId="2B0AD1BC">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支持远程控制亮度等级，亮度等级1~30级可设置</w:t>
            </w:r>
          </w:p>
          <w:p w14:paraId="42D1616D">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支持通过特定摄像机远程控制补光灯亮度、熄灭及点亮</w:t>
            </w:r>
          </w:p>
          <w:p w14:paraId="152CE2F4">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频闪信号输出至LED灯板响应的时间≤45us；</w:t>
            </w:r>
          </w:p>
          <w:p w14:paraId="31C2F337">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频闪频率：20、25、30、50、60、75、90、100、120Hz 9档可调，频闪脉宽1ms~6ms可调，频闪延时0ms~4ms可调；</w:t>
            </w:r>
          </w:p>
          <w:p w14:paraId="266D6346">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色温范围3000k~5500k</w:t>
            </w:r>
          </w:p>
          <w:p w14:paraId="7F8809A1">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10. 工作温度-40℃~70℃；</w:t>
            </w:r>
          </w:p>
          <w:p w14:paraId="5BCC3F50">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11. 外壳防护等级IP66</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CB65F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套</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A58D5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B9D45B">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2200</w:t>
            </w:r>
          </w:p>
        </w:tc>
      </w:tr>
      <w:tr w14:paraId="411FD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E2EF94">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rPr>
            </w:pPr>
            <w:r>
              <w:rPr>
                <w:rFonts w:hint="eastAsia" w:ascii="宋体" w:hAnsi="宋体" w:eastAsia="宋体" w:cs="宋体"/>
                <w:i w:val="0"/>
                <w:iCs w:val="0"/>
                <w:color w:val="auto"/>
                <w:kern w:val="0"/>
                <w:sz w:val="21"/>
                <w:szCs w:val="21"/>
                <w:highlight w:val="none"/>
                <w:u w:val="none"/>
                <w:lang w:val="en-US" w:eastAsia="zh-CN" w:bidi="ar"/>
              </w:rPr>
              <w:t>51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F57D6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道路交通信号控制机(电子红绿灯控制系统）</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2751D4">
            <w:pPr>
              <w:keepNext w:val="0"/>
              <w:keepLines w:val="0"/>
              <w:widowControl/>
              <w:suppressLineNumbers w:val="0"/>
              <w:jc w:val="left"/>
              <w:textAlignment w:val="center"/>
              <w:rPr>
                <w:rFonts w:hint="eastAsia" w:cs="宋体"/>
                <w:b/>
                <w:bCs/>
                <w:i w:val="0"/>
                <w:iCs w:val="0"/>
                <w:color w:val="auto"/>
                <w:kern w:val="0"/>
                <w:sz w:val="18"/>
                <w:szCs w:val="18"/>
                <w:highlight w:val="none"/>
                <w:u w:val="none"/>
                <w:lang w:val="en-US" w:eastAsia="zh-CN" w:bidi="ar"/>
              </w:rPr>
            </w:pPr>
            <w:r>
              <w:rPr>
                <w:rFonts w:hint="eastAsia" w:cs="宋体"/>
                <w:b/>
                <w:bCs/>
                <w:i w:val="0"/>
                <w:iCs w:val="0"/>
                <w:color w:val="auto"/>
                <w:kern w:val="0"/>
                <w:sz w:val="18"/>
                <w:szCs w:val="18"/>
                <w:highlight w:val="none"/>
                <w:u w:val="none"/>
                <w:lang w:val="en-US" w:eastAsia="zh-CN" w:bidi="ar"/>
              </w:rPr>
              <w:t>（核心产品）</w:t>
            </w:r>
          </w:p>
          <w:p w14:paraId="05BD3BD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最大支持16组车行相位， 16组跟随相位，并支持主相位重复运行，满足周期内交通流重复放行及参数独立设置</w:t>
            </w:r>
          </w:p>
          <w:p w14:paraId="6B8B59E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最大支持112个日计划方案设置；最大支持48个时段定时控制；最大支持20个周计划方案；最大支持16个日常调度和16个特殊调度</w:t>
            </w:r>
          </w:p>
          <w:p w14:paraId="325C5F9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最大支持16路环形线圈检测器输入；最大支持64路视频检测器输入；支持单车道双检测器配置</w:t>
            </w:r>
          </w:p>
          <w:p w14:paraId="69A6C31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支持手动控制、时间表控制、无电缆线协调控制、感应控制、自适应控制、路段行人过街协调控制</w:t>
            </w:r>
          </w:p>
          <w:p w14:paraId="647A1A3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支持默认灯色设置（全红、黄闪、关灯、红闪），方案中相位未启用及未配置通道均运行默认灯色</w:t>
            </w:r>
          </w:p>
          <w:p w14:paraId="78E1D48C">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特殊状态：支持方案放行灯色特殊控制，如时段式禁行功能（特殊状态：全红、黄闪、关灯、红闪）</w:t>
            </w:r>
          </w:p>
          <w:p w14:paraId="4D7414F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支持潮汐车道控制功能、可按参数配置(执行时段、潮汐车道行驶方向、清空时间、指示牌数)完成潮汐车道定时切换，支持人工实施切换方案，支持进行潮汐车道状态监控，支持多路段潮汐车道级联控制</w:t>
            </w:r>
          </w:p>
          <w:p w14:paraId="7C7A8C4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8.支持客户端锁定可变车道的某个方向</w:t>
            </w:r>
          </w:p>
          <w:p w14:paraId="0FC9F3D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工作温度：-40～+80︒C，防护等级：IP54</w:t>
            </w:r>
          </w:p>
          <w:p w14:paraId="158E6E0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10.日志定向功能：具有日志定向功能，可以将信号机的日志定向到U盘。</w:t>
            </w:r>
          </w:p>
          <w:p w14:paraId="1A76C7A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11.支持信号机支持同时控制两个交叉口，且两个交叉口的周期方案独立运行</w:t>
            </w:r>
          </w:p>
          <w:p w14:paraId="1B92026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color w:val="auto"/>
                <w:highlight w:val="none"/>
                <w:lang w:val="en-US" w:eastAsia="zh-CN"/>
              </w:rPr>
              <w:t>▲</w:t>
            </w:r>
            <w:r>
              <w:rPr>
                <w:rFonts w:hint="eastAsia" w:ascii="宋体" w:hAnsi="宋体" w:eastAsia="宋体" w:cs="宋体"/>
                <w:i w:val="0"/>
                <w:iCs w:val="0"/>
                <w:color w:val="auto"/>
                <w:kern w:val="0"/>
                <w:sz w:val="18"/>
                <w:szCs w:val="18"/>
                <w:highlight w:val="none"/>
                <w:u w:val="none"/>
                <w:lang w:val="en-US" w:eastAsia="zh-CN" w:bidi="ar"/>
              </w:rPr>
              <w:t>12. 需与交警大队现有的信号机系统无缝对接。</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18BED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719456">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FB737A">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54000</w:t>
            </w:r>
          </w:p>
        </w:tc>
      </w:tr>
      <w:tr w14:paraId="3BA21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F4B640">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D4911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红绿灯信号检测器</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E3D2D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1. 支持16路信号灯状态输入，输入电压范围AC100V~AC270V，支持16路信号灯状态通断检测，具备对应指示灯显示 </w:t>
            </w:r>
          </w:p>
          <w:p w14:paraId="1A3F05A8">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RS485口输出≥4路，RS232接口≥1路</w:t>
            </w:r>
          </w:p>
          <w:p w14:paraId="6FDEC13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具备八位拨码开关，支持红/绿灯信号检测模式切换，支持参数设置</w:t>
            </w:r>
            <w:r>
              <w:rPr>
                <w:rFonts w:hint="eastAsia" w:cs="宋体"/>
                <w:i w:val="0"/>
                <w:iCs w:val="0"/>
                <w:color w:val="auto"/>
                <w:kern w:val="0"/>
                <w:sz w:val="18"/>
                <w:szCs w:val="18"/>
                <w:highlight w:val="none"/>
                <w:u w:val="none"/>
                <w:lang w:val="en-US" w:eastAsia="zh-CN" w:bidi="ar"/>
              </w:rPr>
              <w:t>。</w:t>
            </w:r>
            <w:r>
              <w:rPr>
                <w:rFonts w:hint="eastAsia" w:ascii="宋体" w:hAnsi="宋体" w:eastAsia="宋体" w:cs="宋体"/>
                <w:i w:val="0"/>
                <w:iCs w:val="0"/>
                <w:color w:val="auto"/>
                <w:kern w:val="0"/>
                <w:sz w:val="18"/>
                <w:szCs w:val="18"/>
                <w:highlight w:val="none"/>
                <w:u w:val="none"/>
                <w:lang w:val="en-US" w:eastAsia="zh-CN" w:bidi="ar"/>
              </w:rPr>
              <w:t xml:space="preserve"> </w:t>
            </w:r>
          </w:p>
          <w:p w14:paraId="3E005B5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支持8台设备串联使用，可同时检测128路信号灯状态输入的通断</w:t>
            </w:r>
            <w:r>
              <w:rPr>
                <w:rFonts w:hint="eastAsia" w:cs="宋体"/>
                <w:i w:val="0"/>
                <w:iCs w:val="0"/>
                <w:color w:val="auto"/>
                <w:kern w:val="0"/>
                <w:sz w:val="18"/>
                <w:szCs w:val="18"/>
                <w:highlight w:val="none"/>
                <w:u w:val="none"/>
                <w:lang w:val="en-US" w:eastAsia="zh-CN" w:bidi="ar"/>
              </w:rPr>
              <w:t>。</w:t>
            </w:r>
            <w:r>
              <w:rPr>
                <w:rFonts w:hint="eastAsia" w:ascii="宋体" w:hAnsi="宋体" w:eastAsia="宋体" w:cs="宋体"/>
                <w:i w:val="0"/>
                <w:iCs w:val="0"/>
                <w:color w:val="auto"/>
                <w:kern w:val="0"/>
                <w:sz w:val="18"/>
                <w:szCs w:val="18"/>
                <w:highlight w:val="none"/>
                <w:u w:val="none"/>
                <w:lang w:val="en-US" w:eastAsia="zh-CN" w:bidi="ar"/>
              </w:rPr>
              <w:t xml:space="preserve"> </w:t>
            </w:r>
          </w:p>
          <w:p w14:paraId="73DD6DD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5. 支持红/绿信号灯状态检测手动切换 </w:t>
            </w:r>
          </w:p>
          <w:p w14:paraId="0A1590C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xml:space="preserve">6. 具有16组红绿灯状态指示灯，当信号灯状态变化时，对应接入检测器的指示灯有相应变化  </w:t>
            </w:r>
          </w:p>
          <w:p w14:paraId="36718DA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支持通过内部线路切换，切换额定输入电压DC12V/AC220V</w:t>
            </w:r>
          </w:p>
          <w:p w14:paraId="3E7D705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8. 红绿灯检测时间&lt;1ms，红绿灯上报时间&lt;1s</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C9DB4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291877">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F6551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8800</w:t>
            </w:r>
          </w:p>
        </w:tc>
      </w:tr>
      <w:tr w14:paraId="6F4048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15"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A5B6D2">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0B7E2B">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rPr>
            </w:pPr>
            <w:r>
              <w:rPr>
                <w:rFonts w:hint="eastAsia" w:ascii="宋体" w:hAnsi="宋体" w:eastAsia="宋体" w:cs="宋体"/>
                <w:i w:val="0"/>
                <w:iCs w:val="0"/>
                <w:color w:val="auto"/>
                <w:kern w:val="0"/>
                <w:sz w:val="18"/>
                <w:szCs w:val="18"/>
                <w:highlight w:val="none"/>
                <w:u w:val="none"/>
                <w:lang w:val="en-US" w:eastAsia="zh-CN" w:bidi="ar"/>
              </w:rPr>
              <w:t>智能终端管理设备(电子警察系统）</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B7998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标配1个2T硬盘，最大支持4个SATA接口3.5" 4T硬盘；</w:t>
            </w:r>
          </w:p>
          <w:p w14:paraId="73FC903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接口检查：硬盘接口：4个，3.5英寸；一键复位按钮：1个，长按复位键可恢复系统到出厂默认配置；SIM卡槽:1个；天线接口:1个3G/4G模块天线接口、1个GPS模块天线接口；RS232串口：3个；RS485接口：4个；报警输入接口：4个；报警输出接口：4个；音频输入接口:1个；音频输出接口：1个；状态指示灯:4个；USB3.0接口：2个；电源开关：1个；DC12V输出接口：1个。</w:t>
            </w:r>
          </w:p>
          <w:p w14:paraId="04CF2BD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支持视频接入和卡口合成两种工作模式切换，视频接入模式支持16路高清视频及图片输入，无图片合成功能，卡口合成模式支持12路高清视频及图片输入，同时支持图片合成；</w:t>
            </w:r>
          </w:p>
          <w:p w14:paraId="71BB675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内置16个10M/100M自适应以太网口，视频接入模式最大码流支持288Mbps，卡口合成模式最大码流支持240Mbps；</w:t>
            </w:r>
          </w:p>
          <w:p w14:paraId="1A6411C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支持1/2/3/4/5/6张图片普通合成和关联合成，支持两通道、三通道、多通道关联匹配并将图片合成或编组，支持ID匹配、车牌匹配、先ID后车牌匹配方式，支持以车型、车道、车牌颜色、车身颜色进行模糊匹配，支持多匹配方案独立设置，合成形状、顺序和特写图片序号可自定义设置；</w:t>
            </w:r>
          </w:p>
          <w:p w14:paraId="27A657C5">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支持数据直存，可将视频流直接写入存储，采用自动分段记录格式，相邻两段间最大记录间隔时间≤0.3s.；</w:t>
            </w:r>
          </w:p>
          <w:p w14:paraId="426F04B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支持手动上传图片至平台和FTP服务器，通道、时间、图片类型可自定义设置；</w:t>
            </w:r>
          </w:p>
          <w:p w14:paraId="437F630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支持跨网段远程升级、配置前端摄像机；</w:t>
            </w:r>
          </w:p>
          <w:p w14:paraId="6C9ABA82">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支持同时对接4个屏幕，支持按通道设置对应的屏号，支持按行驶方向将不同方向的车辆信息发布到不同屏幕上；</w:t>
            </w:r>
          </w:p>
          <w:p w14:paraId="589544A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10. 支持硬盘图片和录像配额比例设置，支持盘满循环覆盖；</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2B1F5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BBE313">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DD43B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13500</w:t>
            </w:r>
          </w:p>
        </w:tc>
      </w:tr>
      <w:tr w14:paraId="501DE7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BF02810">
            <w:pPr>
              <w:keepNext w:val="0"/>
              <w:keepLines w:val="0"/>
              <w:widowControl/>
              <w:suppressLineNumbers w:val="0"/>
              <w:jc w:val="center"/>
              <w:textAlignment w:val="center"/>
              <w:rPr>
                <w:rFonts w:hint="default"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54</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1B7D1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光纤收发器</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AF0E0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电口速率：1个10/100/1000Mbps Base-T；</w:t>
            </w:r>
          </w:p>
          <w:p w14:paraId="530B0CF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光口速率：1个1000BASE-SC接口；</w:t>
            </w:r>
          </w:p>
          <w:p w14:paraId="75BB819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光接口类型：SC；</w:t>
            </w:r>
          </w:p>
          <w:p w14:paraId="1340F48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形态：盒式；</w:t>
            </w:r>
          </w:p>
          <w:p w14:paraId="79C5008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传输距离：20km；</w:t>
            </w:r>
          </w:p>
          <w:p w14:paraId="1372DED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光纤类型：单模单纤；</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7918D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F05C0C">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A4313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500</w:t>
            </w:r>
          </w:p>
        </w:tc>
      </w:tr>
      <w:tr w14:paraId="7E5D92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8CF8D0">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55</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8CCD1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交换机</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F15E4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1、端口类型：千兆电口≥8个， 千兆 SFP光口≥4个；</w:t>
            </w:r>
          </w:p>
          <w:p w14:paraId="5895E069">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2、交换机性能：交换容量≥330Gbps；包转发率≥20Mpps；（若存在双参数，以官网最小值为准）提供官网截图及链接证明</w:t>
            </w:r>
          </w:p>
          <w:p w14:paraId="590726F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3、支持MAC地址自动学习；支持源MAC地址过滤；支持接口MAC地址学习个数限制；</w:t>
            </w:r>
          </w:p>
          <w:p w14:paraId="39EC62F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4、支持防网关ARP欺骗，支持端口保护、隔离，支持防止DOS、ARP攻击功能，支持CPU保护功能；</w:t>
            </w:r>
          </w:p>
          <w:p w14:paraId="0D7B1F9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5、支持M-LAG技术，跨设备链路聚合（非堆叠技术实现），要求配对的设备有独立的控制平面，要求提供工信部或下属实验室出具的第三方测试报告</w:t>
            </w:r>
          </w:p>
          <w:p w14:paraId="2D60BB70">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6、支持IEEE 802.3az 标准的 EEE节能技术：当EEE使能时，从而大幅度的减小端口在该阶段的功耗，达到了节能的目的。</w:t>
            </w:r>
          </w:p>
          <w:p w14:paraId="29E7C82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7、支持智能交换机和普通交换机两种工作模式，可以根据不同的组网需要，随时在控制器平台灵活的进行切换；提供官网截图及链接证明；</w:t>
            </w:r>
          </w:p>
          <w:p w14:paraId="7AD0D18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8、上线到管理平台的方式：支持二层广播自动发现平台；支持配置静态IP地址三层发现平台；支持DHCP Option43方式发现平台；支持DNS域名发现平台；以上方式提供官网截图及链接证明；</w:t>
            </w:r>
          </w:p>
          <w:p w14:paraId="7DA979A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9、支持通过APP进行远程管理，并且可以修改交换机网络配置</w:t>
            </w:r>
          </w:p>
          <w:p w14:paraId="523759D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10、支持通过平台的Web页面对交换机进行可视化管理查看，包括交换机的端口状态及配置、vlan信息；</w:t>
            </w:r>
          </w:p>
          <w:p w14:paraId="1D55591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11、支持通过平台查看交换机处于工作端口的最近5分钟、1小时、最近1天、最近1周发送与接收的流量趋势；提供功能截图证明；</w:t>
            </w:r>
          </w:p>
          <w:p w14:paraId="1C07939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12、支持终端类型库，可在平台上自动识别所接入的PC、路由器、摄像头设备等，提供平台终端类型识别库截图证明，要求提供工信部或下属实验室出具的第三方测试报告</w:t>
            </w:r>
          </w:p>
          <w:p w14:paraId="67C4F0E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13、支持基于终端类型自动识别结果，禁止非法终端(例如私接路由器)接入</w:t>
            </w:r>
          </w:p>
          <w:p w14:paraId="2450EDF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14、支持终端的MAC与交换机端口变更检测；支持终端发生安全策略事件后，交换机将终端加入黑名单；支持交换机端口终端类型变更后，通过APP、短信告警；可以自定义交换机端口接入终端类型，及MAC黑白名单；</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8833C7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315CF5">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FBC4C46">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900</w:t>
            </w:r>
          </w:p>
        </w:tc>
      </w:tr>
      <w:tr w14:paraId="06A540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DA3C69">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56</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3A7885">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存储设备</w:t>
            </w:r>
            <w:r>
              <w:rPr>
                <w:rFonts w:hint="eastAsia" w:cs="宋体"/>
                <w:i w:val="0"/>
                <w:iCs w:val="0"/>
                <w:color w:val="auto"/>
                <w:kern w:val="0"/>
                <w:sz w:val="18"/>
                <w:szCs w:val="18"/>
                <w:highlight w:val="none"/>
                <w:u w:val="none"/>
                <w:lang w:val="en-US" w:eastAsia="zh-CN" w:bidi="ar"/>
              </w:rPr>
              <w:t>A</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9B360F">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单盘容量：</w:t>
            </w:r>
            <w:r>
              <w:rPr>
                <w:rFonts w:hint="eastAsia" w:cs="宋体"/>
                <w:i w:val="0"/>
                <w:iCs w:val="0"/>
                <w:color w:val="auto"/>
                <w:kern w:val="0"/>
                <w:sz w:val="18"/>
                <w:szCs w:val="18"/>
                <w:highlight w:val="none"/>
                <w:u w:val="none"/>
                <w:lang w:val="en-US" w:eastAsia="zh-CN" w:bidi="ar"/>
              </w:rPr>
              <w:t>10</w:t>
            </w:r>
            <w:r>
              <w:rPr>
                <w:rFonts w:hint="eastAsia" w:ascii="宋体" w:hAnsi="宋体" w:eastAsia="宋体" w:cs="宋体"/>
                <w:i w:val="0"/>
                <w:iCs w:val="0"/>
                <w:color w:val="auto"/>
                <w:kern w:val="0"/>
                <w:sz w:val="18"/>
                <w:szCs w:val="18"/>
                <w:highlight w:val="none"/>
                <w:u w:val="none"/>
                <w:lang w:val="en-US" w:eastAsia="zh-CN" w:bidi="ar"/>
              </w:rPr>
              <w:t>TB；</w:t>
            </w:r>
          </w:p>
          <w:p w14:paraId="769572B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硬盘接口：SATA；</w:t>
            </w:r>
          </w:p>
          <w:p w14:paraId="03440FDD">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转速：7200RPM；</w:t>
            </w:r>
          </w:p>
          <w:p w14:paraId="5AC0242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缓存：256MB；</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F1A06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0E0F3D">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D1379F">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1600</w:t>
            </w:r>
          </w:p>
        </w:tc>
      </w:tr>
      <w:tr w14:paraId="1EC49A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8"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693A64">
            <w:pPr>
              <w:keepNext w:val="0"/>
              <w:keepLines w:val="0"/>
              <w:widowControl/>
              <w:suppressLineNumbers w:val="0"/>
              <w:jc w:val="center"/>
              <w:textAlignment w:val="center"/>
              <w:rPr>
                <w:rFonts w:hint="eastAsia" w:ascii="宋体" w:hAnsi="宋体" w:eastAsia="宋体" w:cs="宋体"/>
                <w:i w:val="0"/>
                <w:iCs w:val="0"/>
                <w:color w:val="auto"/>
                <w:sz w:val="16"/>
                <w:szCs w:val="16"/>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57</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2E7FBE">
            <w:pPr>
              <w:keepNext w:val="0"/>
              <w:keepLines w:val="0"/>
              <w:widowControl/>
              <w:suppressLineNumbers w:val="0"/>
              <w:jc w:val="left"/>
              <w:textAlignment w:val="center"/>
              <w:rPr>
                <w:rFonts w:hint="default"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存储设备B</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6E451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单盘容量：6TB；</w:t>
            </w:r>
          </w:p>
          <w:p w14:paraId="538DBF5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硬盘接口：SATA；</w:t>
            </w:r>
          </w:p>
          <w:p w14:paraId="67974E7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转速：7200RPM；</w:t>
            </w:r>
          </w:p>
          <w:p w14:paraId="0D3BFD19">
            <w:pPr>
              <w:keepNext w:val="0"/>
              <w:keepLines w:val="0"/>
              <w:widowControl/>
              <w:suppressLineNumbers w:val="0"/>
              <w:jc w:val="left"/>
              <w:textAlignment w:val="center"/>
              <w:rPr>
                <w:rFonts w:hint="default"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缓存：256MB；</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EFE05B">
            <w:pPr>
              <w:keepNext w:val="0"/>
              <w:keepLines w:val="0"/>
              <w:widowControl/>
              <w:suppressLineNumbers w:val="0"/>
              <w:jc w:val="center"/>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个</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BBE700">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3C280D">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kern w:val="0"/>
                <w:sz w:val="18"/>
                <w:szCs w:val="18"/>
                <w:highlight w:val="none"/>
                <w:u w:val="none"/>
                <w:lang w:val="en-US" w:eastAsia="zh-CN" w:bidi="ar"/>
              </w:rPr>
              <w:t>900</w:t>
            </w:r>
          </w:p>
        </w:tc>
      </w:tr>
      <w:tr w14:paraId="6551C3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12A5A">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58</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C41A9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机房主机</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9A50C1">
            <w:pPr>
              <w:keepNext w:val="0"/>
              <w:keepLines w:val="0"/>
              <w:widowControl/>
              <w:suppressLineNumbers w:val="0"/>
              <w:jc w:val="left"/>
              <w:textAlignment w:val="center"/>
              <w:rPr>
                <w:rFonts w:hint="eastAsia" w:cs="宋体"/>
                <w:b/>
                <w:bCs/>
                <w:i w:val="0"/>
                <w:iCs w:val="0"/>
                <w:color w:val="auto"/>
                <w:kern w:val="0"/>
                <w:sz w:val="18"/>
                <w:szCs w:val="18"/>
                <w:highlight w:val="none"/>
                <w:u w:val="none"/>
                <w:lang w:val="en-US" w:eastAsia="zh-CN" w:bidi="ar"/>
              </w:rPr>
            </w:pPr>
            <w:r>
              <w:rPr>
                <w:rFonts w:hint="eastAsia" w:cs="宋体"/>
                <w:b/>
                <w:bCs/>
                <w:i w:val="0"/>
                <w:iCs w:val="0"/>
                <w:color w:val="auto"/>
                <w:kern w:val="0"/>
                <w:sz w:val="18"/>
                <w:szCs w:val="18"/>
                <w:highlight w:val="none"/>
                <w:u w:val="none"/>
                <w:lang w:val="en-US" w:eastAsia="zh-CN" w:bidi="ar"/>
              </w:rPr>
              <w:t>（核心产品）</w:t>
            </w:r>
          </w:p>
          <w:p w14:paraId="6AC94874">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 主处理器：高性能六核处理器；</w:t>
            </w:r>
          </w:p>
          <w:p w14:paraId="49FB760B">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2. 控制器：单控制器；</w:t>
            </w:r>
          </w:p>
          <w:p w14:paraId="23B9B75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3. 高速缓存：16GB DDR4 主频2666MHz；</w:t>
            </w:r>
          </w:p>
          <w:p w14:paraId="1275405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 电源冗余：1+1冗余电源；</w:t>
            </w:r>
          </w:p>
          <w:p w14:paraId="6A74DD31">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 网络接口：8个千兆数据电口；</w:t>
            </w:r>
          </w:p>
          <w:p w14:paraId="0A7FEBF6">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6. eSATA接口：1个；RS-232接口：1个；USB接口：2个USB 3.0接口，2个USB 2.0接口；</w:t>
            </w:r>
          </w:p>
          <w:p w14:paraId="225543AA">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7. 硬盘个数：标配内置 1块 512G 企业级固态硬盘最大支持36个2.5""或3.5""的SATA硬盘或者SAS硬盘；</w:t>
            </w:r>
          </w:p>
          <w:p w14:paraId="7454A607">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 云存储系统支持全自动数据校验和数据恢复功能，支持包括快速校验、深度校验等20种数据自动校验策略和10种自动修复策略。支持将数据校验和元数据校验分开配置，支持指定数据校验和恢复的时间窗口，支持指定数据校验优先级和校验速率。支持数据检出不一致后自动触发数据恢复功能，自动选择数据副本进行恢复。支持全自动数据校验和恢复全程，无需人为干预，提升数据存储可靠性。（公安部检测报告证明）</w:t>
            </w:r>
          </w:p>
          <w:p w14:paraId="703CDF13">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9. 同一套存量云存储系统架构支持持续异构节点扩容，同一套集群中支持15种异构存储节点。其中，异构存储节点同时支持6种不同盘位，包括12/24/36/48/72/84盘位；同时支持11种不同硬盘容量混插或者不同硬盘大小节点，不同硬盘容量大小包括1T/2T/4T/6T/8T/12T/14T/16T/18T/20T/24T；同时支持CMR盘和SMR盘；同时支持3种异构CPU扩容节点，包括X86 CPU（包含海光CPU）、鲲鹏ARM CPU、龙芯CPU节点；同时支持5种操作系统扩容节点，包括欧拉系统节点、麒麟系统节点、统信系统节点、CentOS系统节点和自研系统节点。同一套集群内的异构节点最高容量比最低容量差20倍时，也支持容量负载均衡。（公安部检测报告证明）</w:t>
            </w:r>
          </w:p>
          <w:p w14:paraId="206151EE">
            <w:pPr>
              <w:keepNext w:val="0"/>
              <w:keepLines w:val="0"/>
              <w:widowControl/>
              <w:suppressLineNumbers w:val="0"/>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10. 云存储集群支持网络亚健康监测管理，支持6种网络异常监测，包括支持监测网卡丢包、网卡低于千兆速率（降速）、流量瞬时波峰数、网络重连数、ping大包丢失、网络超时数。支持主动网络健康检测，同时对业务、存储双网检测和隔离，最多支持隔离N-1台网络异常节点（N为存储节点数量），异常网络恢复之后自动开启存储节点服务，自动上线，业务自动负载均衡。同时自动探测网络丢包，当节点服务器存储网或者业务网丢包率高于10%时，自动将该节点进行网络隔离。当丢包率恢复到容忍阈值之内时，自动将该节点重新加入集群，承担业务写入。（公安部检测报告证明）</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95D3C9">
            <w:pPr>
              <w:keepNext w:val="0"/>
              <w:keepLines w:val="0"/>
              <w:widowControl/>
              <w:suppressLineNumbers w:val="0"/>
              <w:jc w:val="both"/>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台</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B6703C7">
            <w:pPr>
              <w:keepNext w:val="0"/>
              <w:keepLines w:val="0"/>
              <w:widowControl/>
              <w:suppressLineNumbers w:val="0"/>
              <w:jc w:val="righ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C9D781">
            <w:pPr>
              <w:keepNext w:val="0"/>
              <w:keepLines w:val="0"/>
              <w:widowControl/>
              <w:suppressLineNumbers w:val="0"/>
              <w:jc w:val="righ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85000</w:t>
            </w:r>
          </w:p>
        </w:tc>
      </w:tr>
      <w:tr w14:paraId="7FB82E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3AC756">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59</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C97FD2">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道路修补(沥青混凝土）</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F4DBF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AC-13沥青混凝土路面修补</w:t>
            </w:r>
          </w:p>
          <w:p w14:paraId="0DF72F0B">
            <w:pPr>
              <w:pStyle w:val="37"/>
              <w:rPr>
                <w:rFonts w:hint="default" w:ascii="宋体" w:hAnsi="Courier New" w:eastAsia="宋体" w:cs="Times New Roman"/>
                <w:color w:val="auto"/>
                <w:kern w:val="2"/>
                <w:sz w:val="21"/>
                <w:szCs w:val="20"/>
                <w:highlight w:val="none"/>
                <w:lang w:val="en-US" w:eastAsia="zh-CN" w:bidi="ar-SA"/>
              </w:rPr>
            </w:pPr>
            <w:r>
              <w:rPr>
                <w:rFonts w:hint="eastAsia" w:ascii="宋体" w:hAnsi="宋体" w:eastAsia="宋体" w:cs="宋体"/>
                <w:i w:val="0"/>
                <w:iCs w:val="0"/>
                <w:color w:val="auto"/>
                <w:sz w:val="18"/>
                <w:szCs w:val="18"/>
                <w:highlight w:val="none"/>
                <w:u w:val="none"/>
                <w:lang w:val="en-US" w:eastAsia="zh-CN" w:bidi="ar-SA"/>
              </w:rPr>
              <w:t>按实地平方面积计量</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D52ACC">
            <w:pPr>
              <w:keepNext w:val="0"/>
              <w:keepLines w:val="0"/>
              <w:widowControl/>
              <w:suppressLineNumbers w:val="0"/>
              <w:jc w:val="center"/>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M2</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80F316">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9D2955">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200</w:t>
            </w:r>
          </w:p>
        </w:tc>
      </w:tr>
      <w:tr w14:paraId="3B99F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A6AA22">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60</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78A79B">
            <w:pPr>
              <w:keepNext w:val="0"/>
              <w:keepLines w:val="0"/>
              <w:widowControl/>
              <w:suppressLineNumbers w:val="0"/>
              <w:jc w:val="lef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道路修补(水泥混凝土）</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7F4FC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C35水泥混凝土路面修补</w:t>
            </w:r>
          </w:p>
          <w:p w14:paraId="251DE6F9">
            <w:pPr>
              <w:pStyle w:val="37"/>
              <w:rPr>
                <w:rFonts w:hint="default" w:ascii="宋体" w:hAnsi="Courier New" w:eastAsia="宋体" w:cs="Times New Roman"/>
                <w:color w:val="auto"/>
                <w:kern w:val="2"/>
                <w:sz w:val="21"/>
                <w:szCs w:val="20"/>
                <w:highlight w:val="none"/>
                <w:lang w:val="en-US" w:eastAsia="zh-CN" w:bidi="ar-SA"/>
              </w:rPr>
            </w:pPr>
            <w:r>
              <w:rPr>
                <w:rFonts w:hint="eastAsia" w:ascii="宋体" w:hAnsi="宋体" w:eastAsia="宋体" w:cs="宋体"/>
                <w:i w:val="0"/>
                <w:iCs w:val="0"/>
                <w:color w:val="auto"/>
                <w:sz w:val="18"/>
                <w:szCs w:val="18"/>
                <w:highlight w:val="none"/>
                <w:u w:val="none"/>
                <w:lang w:val="en-US" w:eastAsia="zh-CN" w:bidi="ar-SA"/>
              </w:rPr>
              <w:t>按实地平方面积计量</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1D92C9">
            <w:pPr>
              <w:keepNext w:val="0"/>
              <w:keepLines w:val="0"/>
              <w:widowControl/>
              <w:suppressLineNumbers w:val="0"/>
              <w:jc w:val="center"/>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M3</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681278">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EFCCD5">
            <w:pPr>
              <w:keepNext w:val="0"/>
              <w:keepLines w:val="0"/>
              <w:widowControl/>
              <w:suppressLineNumbers w:val="0"/>
              <w:jc w:val="right"/>
              <w:textAlignment w:val="center"/>
              <w:rPr>
                <w:rFonts w:hint="default"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700</w:t>
            </w:r>
          </w:p>
        </w:tc>
      </w:tr>
      <w:tr w14:paraId="28AC9B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7E3A7B">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61</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7B37B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水泥稳定层</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4C784F">
            <w:pPr>
              <w:pStyle w:val="37"/>
              <w:rPr>
                <w:rFonts w:hint="default"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含施工、养护。</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1E7C3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M3</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8A72F4">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BFE410">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350</w:t>
            </w:r>
          </w:p>
        </w:tc>
      </w:tr>
      <w:tr w14:paraId="30BA39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A41E39">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62</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BCA1C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路面井座修补(更换井盖）</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21FB0">
            <w:pPr>
              <w:pStyle w:val="37"/>
              <w:rPr>
                <w:rFonts w:hint="eastAsia"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综合考虑各种路口井座修补,井盖更换包干</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9CC028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座</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679012">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E59F80">
            <w:pPr>
              <w:keepNext w:val="0"/>
              <w:keepLines w:val="0"/>
              <w:widowControl/>
              <w:suppressLineNumbers w:val="0"/>
              <w:jc w:val="right"/>
              <w:textAlignment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1500</w:t>
            </w:r>
          </w:p>
        </w:tc>
      </w:tr>
      <w:tr w14:paraId="4A46B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6" w:hRule="atLeast"/>
          <w:jc w:val="center"/>
        </w:trPr>
        <w:tc>
          <w:tcPr>
            <w:tcW w:w="54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F3C578">
            <w:pPr>
              <w:keepNext w:val="0"/>
              <w:keepLines w:val="0"/>
              <w:widowControl/>
              <w:suppressLineNumbers w:val="0"/>
              <w:jc w:val="center"/>
              <w:textAlignment w:val="center"/>
              <w:rPr>
                <w:rFonts w:hint="default" w:ascii="宋体" w:hAnsi="宋体" w:eastAsia="宋体" w:cs="宋体"/>
                <w:i w:val="0"/>
                <w:iCs w:val="0"/>
                <w:color w:val="auto"/>
                <w:kern w:val="0"/>
                <w:sz w:val="16"/>
                <w:szCs w:val="16"/>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63</w:t>
            </w:r>
          </w:p>
        </w:tc>
        <w:tc>
          <w:tcPr>
            <w:tcW w:w="125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5F69C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路面井座修补(不更换井盖）</w:t>
            </w:r>
          </w:p>
        </w:tc>
        <w:tc>
          <w:tcPr>
            <w:tcW w:w="552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DACC88">
            <w:pPr>
              <w:pStyle w:val="37"/>
              <w:rPr>
                <w:rFonts w:hint="eastAsia"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综合考虑各种路口井座修补,井盖利旧。</w:t>
            </w:r>
          </w:p>
        </w:tc>
        <w:tc>
          <w:tcPr>
            <w:tcW w:w="6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D0546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座</w:t>
            </w:r>
          </w:p>
        </w:tc>
        <w:tc>
          <w:tcPr>
            <w:tcW w:w="57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9E41B9">
            <w:pPr>
              <w:keepNext w:val="0"/>
              <w:keepLines w:val="0"/>
              <w:widowControl/>
              <w:suppressLineNumbers w:val="0"/>
              <w:jc w:val="right"/>
              <w:textAlignment w:val="center"/>
              <w:rPr>
                <w:rFonts w:hint="eastAsia" w:ascii="宋体" w:hAnsi="宋体" w:eastAsia="宋体" w:cs="宋体"/>
                <w:i w:val="0"/>
                <w:iCs w:val="0"/>
                <w:color w:val="auto"/>
                <w:sz w:val="18"/>
                <w:szCs w:val="18"/>
                <w:highlight w:val="none"/>
                <w:u w:val="none"/>
                <w:lang w:val="en-US" w:eastAsia="zh-CN" w:bidi="ar-SA"/>
              </w:rPr>
            </w:pPr>
            <w:r>
              <w:rPr>
                <w:rFonts w:hint="eastAsia" w:ascii="宋体" w:hAnsi="宋体" w:eastAsia="宋体" w:cs="宋体"/>
                <w:i w:val="0"/>
                <w:iCs w:val="0"/>
                <w:color w:val="auto"/>
                <w:sz w:val="18"/>
                <w:szCs w:val="18"/>
                <w:highlight w:val="none"/>
                <w:u w:val="none"/>
                <w:lang w:val="en-US" w:eastAsia="zh-CN" w:bidi="ar-SA"/>
              </w:rPr>
              <w:t>1</w:t>
            </w:r>
          </w:p>
        </w:tc>
        <w:tc>
          <w:tcPr>
            <w:tcW w:w="8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95F4AA">
            <w:pPr>
              <w:keepNext w:val="0"/>
              <w:keepLines w:val="0"/>
              <w:widowControl/>
              <w:suppressLineNumbers w:val="0"/>
              <w:jc w:val="right"/>
              <w:textAlignment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i w:val="0"/>
                <w:iCs w:val="0"/>
                <w:color w:val="auto"/>
                <w:sz w:val="18"/>
                <w:szCs w:val="18"/>
                <w:highlight w:val="none"/>
                <w:u w:val="none"/>
                <w:lang w:val="en-US" w:eastAsia="zh-CN" w:bidi="ar-SA"/>
              </w:rPr>
              <w:t>600</w:t>
            </w:r>
          </w:p>
        </w:tc>
      </w:tr>
    </w:tbl>
    <w:p w14:paraId="37A9FC90">
      <w:pPr>
        <w:widowControl w:val="0"/>
        <w:adjustRightInd w:val="0"/>
        <w:snapToGrid w:val="0"/>
        <w:spacing w:line="408" w:lineRule="auto"/>
        <w:jc w:val="both"/>
        <w:rPr>
          <w:rFonts w:hint="eastAsia" w:ascii="宋体" w:hAnsi="宋体" w:eastAsia="宋体" w:cs="宋体"/>
          <w:b/>
          <w:bCs w:val="0"/>
          <w:color w:val="auto"/>
          <w:sz w:val="22"/>
          <w:szCs w:val="22"/>
          <w:highlight w:val="none"/>
          <w:lang w:val="en-US" w:eastAsia="zh-CN"/>
        </w:rPr>
      </w:pPr>
      <w:r>
        <w:rPr>
          <w:rFonts w:hint="eastAsia" w:ascii="宋体" w:hAnsi="宋体" w:eastAsia="宋体" w:cs="宋体"/>
          <w:b/>
          <w:bCs w:val="0"/>
          <w:color w:val="auto"/>
          <w:sz w:val="22"/>
          <w:szCs w:val="22"/>
          <w:highlight w:val="none"/>
          <w:lang w:val="en-US" w:eastAsia="zh-CN"/>
        </w:rPr>
        <w:t>五、货物（设备）验收</w:t>
      </w:r>
    </w:p>
    <w:p w14:paraId="057AF64F">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1、为保证项目质量，乙方需保证投标产品参数的真实性，供货时甲方及监理单位将进行如实核对，如查实投标产品技术参数有弄虚作假，将上报采购主管部门，废除乙方资格并保留追究责任的权利。</w:t>
      </w:r>
    </w:p>
    <w:p w14:paraId="5A7170C2">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2、为保证项目质量，本项目甲方（监理）将对到货设备进行严格验收，如实际安装设备达不到招标文件技术要求或安装型号参数与投标文件不一致的，做验收不通过处理，对此甲方有权无条件取消合同并不予退还履约保证金；乙方到货及安装、退货等所造成的损失自行承担。</w:t>
      </w:r>
    </w:p>
    <w:p w14:paraId="2AC3BA84">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3、本次建设的交通信号机系统、电警抓拍系统、诱导屏和后端存储设备必须能够与温州市平阳县交警大队智能交通控制平台实现无缝对接，平台接入遇有技术性问题或费用问题由乙方自行解决。</w:t>
      </w:r>
    </w:p>
    <w:p w14:paraId="4E36F4BA">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cs="宋体"/>
          <w:bCs/>
          <w:color w:val="auto"/>
          <w:sz w:val="22"/>
          <w:szCs w:val="22"/>
          <w:highlight w:val="none"/>
          <w:lang w:val="en-US" w:eastAsia="zh-CN"/>
        </w:rPr>
        <w:t>4、</w:t>
      </w:r>
      <w:r>
        <w:rPr>
          <w:rFonts w:hint="eastAsia" w:ascii="宋体" w:hAnsi="宋体" w:eastAsia="宋体" w:cs="宋体"/>
          <w:bCs/>
          <w:color w:val="auto"/>
          <w:sz w:val="22"/>
          <w:szCs w:val="22"/>
          <w:highlight w:val="none"/>
          <w:lang w:val="en-US" w:eastAsia="zh-CN"/>
        </w:rPr>
        <w:t>所有产品须符合国家强制认证要求，国家暂无规定的，应符合行业或企业标准。</w:t>
      </w:r>
    </w:p>
    <w:p w14:paraId="5A4A76A0">
      <w:pPr>
        <w:spacing w:line="360" w:lineRule="auto"/>
        <w:ind w:firstLine="440" w:firstLineChars="200"/>
        <w:rPr>
          <w:rFonts w:hint="eastAsia" w:ascii="宋体" w:hAnsi="宋体" w:eastAsia="宋体" w:cs="宋体"/>
          <w:bCs/>
          <w:color w:val="auto"/>
          <w:sz w:val="22"/>
          <w:szCs w:val="22"/>
          <w:highlight w:val="none"/>
          <w:lang w:val="en-US" w:eastAsia="zh-CN"/>
        </w:rPr>
      </w:pPr>
      <w:r>
        <w:rPr>
          <w:rFonts w:hint="eastAsia" w:cs="宋体"/>
          <w:bCs/>
          <w:color w:val="auto"/>
          <w:sz w:val="22"/>
          <w:szCs w:val="22"/>
          <w:highlight w:val="none"/>
          <w:lang w:val="en-US" w:eastAsia="zh-CN"/>
        </w:rPr>
        <w:t>5、</w:t>
      </w:r>
      <w:r>
        <w:rPr>
          <w:rFonts w:hint="eastAsia" w:ascii="宋体" w:hAnsi="宋体" w:eastAsia="宋体" w:cs="宋体"/>
          <w:bCs/>
          <w:color w:val="auto"/>
          <w:sz w:val="22"/>
          <w:szCs w:val="22"/>
          <w:highlight w:val="none"/>
          <w:lang w:val="en-US" w:eastAsia="zh-CN"/>
        </w:rPr>
        <w:t>乙方需保证设备均为制造商原产原装产品，保证所提供设备是全新的、未使用过的，并完全符合采购文件规定的质量、规格和性能的要求。</w:t>
      </w:r>
    </w:p>
    <w:p w14:paraId="4280BD6C">
      <w:pPr>
        <w:widowControl w:val="0"/>
        <w:adjustRightInd w:val="0"/>
        <w:snapToGrid w:val="0"/>
        <w:spacing w:line="408" w:lineRule="auto"/>
        <w:jc w:val="both"/>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val="en-US" w:eastAsia="zh-CN"/>
        </w:rPr>
        <w:t>六、设备安装相关</w:t>
      </w:r>
      <w:r>
        <w:rPr>
          <w:rFonts w:hint="eastAsia" w:ascii="宋体" w:hAnsi="宋体" w:eastAsia="宋体" w:cs="宋体"/>
          <w:b/>
          <w:bCs w:val="0"/>
          <w:color w:val="auto"/>
          <w:sz w:val="22"/>
          <w:szCs w:val="22"/>
          <w:highlight w:val="none"/>
        </w:rPr>
        <w:t>要求</w:t>
      </w:r>
    </w:p>
    <w:p w14:paraId="4494C23D">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1、</w:t>
      </w:r>
      <w:r>
        <w:rPr>
          <w:rFonts w:hint="eastAsia"/>
          <w:bCs/>
          <w:color w:val="auto"/>
          <w:sz w:val="22"/>
          <w:szCs w:val="22"/>
          <w:highlight w:val="none"/>
          <w:lang w:val="en-US" w:eastAsia="zh-CN"/>
        </w:rPr>
        <w:t>实施</w:t>
      </w:r>
      <w:r>
        <w:rPr>
          <w:rFonts w:hint="eastAsia" w:ascii="宋体" w:hAnsi="宋体" w:eastAsia="宋体" w:cs="宋体"/>
          <w:bCs/>
          <w:color w:val="auto"/>
          <w:sz w:val="22"/>
          <w:szCs w:val="22"/>
          <w:highlight w:val="none"/>
        </w:rPr>
        <w:t>条件：</w:t>
      </w:r>
      <w:r>
        <w:rPr>
          <w:rFonts w:hint="eastAsia"/>
          <w:bCs/>
          <w:color w:val="auto"/>
          <w:sz w:val="22"/>
          <w:szCs w:val="22"/>
          <w:highlight w:val="none"/>
          <w:lang w:val="en-US" w:eastAsia="zh-CN"/>
        </w:rPr>
        <w:t>实施</w:t>
      </w:r>
      <w:r>
        <w:rPr>
          <w:rFonts w:hint="eastAsia" w:ascii="宋体" w:hAnsi="宋体" w:eastAsia="宋体" w:cs="宋体"/>
          <w:bCs/>
          <w:color w:val="auto"/>
          <w:sz w:val="22"/>
          <w:szCs w:val="22"/>
          <w:highlight w:val="none"/>
        </w:rPr>
        <w:t>条件由</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负责并承担费用，</w:t>
      </w:r>
      <w:r>
        <w:rPr>
          <w:rFonts w:hint="eastAsia"/>
          <w:bCs/>
          <w:color w:val="auto"/>
          <w:sz w:val="22"/>
          <w:szCs w:val="22"/>
          <w:highlight w:val="none"/>
          <w:lang w:val="en-US" w:eastAsia="zh-CN"/>
        </w:rPr>
        <w:t>实施</w:t>
      </w:r>
      <w:r>
        <w:rPr>
          <w:rFonts w:hint="eastAsia" w:ascii="宋体" w:hAnsi="宋体" w:eastAsia="宋体" w:cs="宋体"/>
          <w:bCs/>
          <w:color w:val="auto"/>
          <w:sz w:val="22"/>
          <w:szCs w:val="22"/>
          <w:highlight w:val="none"/>
        </w:rPr>
        <w:t>接电接水由</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负责并承担费用，根据</w:t>
      </w:r>
      <w:r>
        <w:rPr>
          <w:rFonts w:hint="eastAsia" w:ascii="宋体" w:hAnsi="宋体" w:eastAsia="宋体" w:cs="宋体"/>
          <w:bCs/>
          <w:color w:val="auto"/>
          <w:sz w:val="22"/>
          <w:szCs w:val="22"/>
          <w:highlight w:val="none"/>
          <w:lang w:val="en-US" w:eastAsia="zh-CN"/>
        </w:rPr>
        <w:t>项目</w:t>
      </w:r>
      <w:r>
        <w:rPr>
          <w:rFonts w:hint="eastAsia" w:ascii="宋体" w:hAnsi="宋体" w:eastAsia="宋体" w:cs="宋体"/>
          <w:bCs/>
          <w:color w:val="auto"/>
          <w:sz w:val="22"/>
          <w:szCs w:val="22"/>
          <w:highlight w:val="none"/>
        </w:rPr>
        <w:t>需要，所有</w:t>
      </w:r>
      <w:r>
        <w:rPr>
          <w:rFonts w:hint="eastAsia"/>
          <w:bCs/>
          <w:color w:val="auto"/>
          <w:sz w:val="22"/>
          <w:szCs w:val="22"/>
          <w:highlight w:val="none"/>
          <w:lang w:val="en-US" w:eastAsia="zh-CN"/>
        </w:rPr>
        <w:t>实施</w:t>
      </w:r>
      <w:r>
        <w:rPr>
          <w:rFonts w:hint="eastAsia" w:ascii="宋体" w:hAnsi="宋体" w:eastAsia="宋体" w:cs="宋体"/>
          <w:bCs/>
          <w:color w:val="auto"/>
          <w:sz w:val="22"/>
          <w:szCs w:val="22"/>
          <w:highlight w:val="none"/>
        </w:rPr>
        <w:t>使用的照明、围护等安全文明施工所需设施，以及安全保卫，由</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负责并承担此项费用。</w:t>
      </w:r>
      <w:r>
        <w:rPr>
          <w:rFonts w:hint="eastAsia" w:ascii="宋体" w:hAnsi="宋体" w:eastAsia="宋体" w:cs="宋体"/>
          <w:bCs/>
          <w:color w:val="auto"/>
          <w:sz w:val="22"/>
          <w:szCs w:val="22"/>
          <w:highlight w:val="none"/>
          <w:lang w:val="en-US" w:eastAsia="zh-CN"/>
        </w:rPr>
        <w:t>项目实施</w:t>
      </w:r>
      <w:r>
        <w:rPr>
          <w:rFonts w:hint="eastAsia" w:ascii="宋体" w:hAnsi="宋体" w:eastAsia="宋体" w:cs="宋体"/>
          <w:bCs/>
          <w:color w:val="auto"/>
          <w:sz w:val="22"/>
          <w:szCs w:val="22"/>
          <w:highlight w:val="none"/>
        </w:rPr>
        <w:t>所产生建筑垃圾由</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负责及时清理及外运。</w:t>
      </w:r>
    </w:p>
    <w:p w14:paraId="04D2BFC7">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2、</w:t>
      </w:r>
      <w:r>
        <w:rPr>
          <w:rFonts w:hint="eastAsia" w:ascii="宋体" w:hAnsi="宋体" w:eastAsia="宋体" w:cs="宋体"/>
          <w:bCs/>
          <w:color w:val="auto"/>
          <w:sz w:val="22"/>
          <w:szCs w:val="22"/>
          <w:highlight w:val="none"/>
        </w:rPr>
        <w:t>拟投入本项目的所有设备</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自备。设备要求：</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自有或租赁或承诺项目实施期间提供满足本项目要求的相关设备与设施。</w:t>
      </w:r>
    </w:p>
    <w:p w14:paraId="4BFC235A">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3、</w:t>
      </w:r>
      <w:r>
        <w:rPr>
          <w:rFonts w:hint="eastAsia"/>
          <w:bCs/>
          <w:color w:val="auto"/>
          <w:sz w:val="22"/>
          <w:szCs w:val="22"/>
          <w:highlight w:val="none"/>
          <w:lang w:val="en-US" w:eastAsia="zh-CN"/>
        </w:rPr>
        <w:t>实施</w:t>
      </w:r>
      <w:r>
        <w:rPr>
          <w:rFonts w:hint="eastAsia" w:ascii="宋体" w:hAnsi="宋体" w:eastAsia="宋体" w:cs="宋体"/>
          <w:bCs/>
          <w:color w:val="auto"/>
          <w:sz w:val="22"/>
          <w:szCs w:val="22"/>
          <w:highlight w:val="none"/>
        </w:rPr>
        <w:t>响应时间：考虑到实际情况有时紧急，</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在接到</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要求</w:t>
      </w:r>
      <w:r>
        <w:rPr>
          <w:rFonts w:hint="eastAsia"/>
          <w:bCs/>
          <w:color w:val="auto"/>
          <w:sz w:val="22"/>
          <w:szCs w:val="22"/>
          <w:highlight w:val="none"/>
          <w:lang w:val="en-US" w:eastAsia="zh-CN"/>
        </w:rPr>
        <w:t>实施</w:t>
      </w:r>
      <w:r>
        <w:rPr>
          <w:rFonts w:hint="eastAsia" w:ascii="宋体" w:hAnsi="宋体" w:eastAsia="宋体" w:cs="宋体"/>
          <w:bCs/>
          <w:color w:val="auto"/>
          <w:sz w:val="22"/>
          <w:szCs w:val="22"/>
          <w:highlight w:val="none"/>
        </w:rPr>
        <w:t>电话后须在1小时内响应，并在2小时内派人及安排设备到达现场开始处理问题，提供不间断的</w:t>
      </w:r>
      <w:r>
        <w:rPr>
          <w:rFonts w:hint="eastAsia"/>
          <w:bCs/>
          <w:color w:val="auto"/>
          <w:sz w:val="22"/>
          <w:szCs w:val="22"/>
          <w:highlight w:val="none"/>
          <w:lang w:val="en-US" w:eastAsia="zh-CN"/>
        </w:rPr>
        <w:t>实施安装</w:t>
      </w:r>
      <w:r>
        <w:rPr>
          <w:rFonts w:hint="eastAsia" w:ascii="宋体" w:hAnsi="宋体" w:eastAsia="宋体" w:cs="宋体"/>
          <w:bCs/>
          <w:color w:val="auto"/>
          <w:sz w:val="22"/>
          <w:szCs w:val="22"/>
          <w:highlight w:val="none"/>
        </w:rPr>
        <w:t>直到结束。若未在1小时内响应或未在2小时内赶到现场处理问题的将在履约保证金中扣除1000元/次。若连续发生三次</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有权终止取消承包合同，同时履约保证金将不予退还。</w:t>
      </w:r>
    </w:p>
    <w:p w14:paraId="08F436B2">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4、</w:t>
      </w:r>
      <w:r>
        <w:rPr>
          <w:rFonts w:hint="eastAsia" w:ascii="宋体" w:hAnsi="宋体" w:eastAsia="宋体" w:cs="宋体"/>
          <w:bCs/>
          <w:color w:val="auto"/>
          <w:sz w:val="22"/>
          <w:szCs w:val="22"/>
          <w:highlight w:val="none"/>
        </w:rPr>
        <w:t>因</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安全生产、文明施工、工程质量等未到位等原因引起的投诉事件或不良事件等，乙方向甲方支付违约金xxx元/次。（从</w:t>
      </w:r>
      <w:r>
        <w:rPr>
          <w:rFonts w:hint="eastAsia" w:ascii="宋体" w:hAnsi="宋体" w:eastAsia="宋体" w:cs="宋体"/>
          <w:bCs/>
          <w:color w:val="auto"/>
          <w:sz w:val="22"/>
          <w:szCs w:val="22"/>
          <w:highlight w:val="none"/>
          <w:lang w:val="en-US" w:eastAsia="zh-CN"/>
        </w:rPr>
        <w:t>货款</w:t>
      </w:r>
      <w:r>
        <w:rPr>
          <w:rFonts w:hint="eastAsia" w:ascii="宋体" w:hAnsi="宋体" w:eastAsia="宋体" w:cs="宋体"/>
          <w:bCs/>
          <w:color w:val="auto"/>
          <w:sz w:val="22"/>
          <w:szCs w:val="22"/>
          <w:highlight w:val="none"/>
        </w:rPr>
        <w:t>中扣除，并赔偿相应损失）。</w:t>
      </w:r>
    </w:p>
    <w:p w14:paraId="38685743">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5、</w:t>
      </w:r>
      <w:r>
        <w:rPr>
          <w:rFonts w:hint="eastAsia" w:ascii="宋体" w:hAnsi="宋体" w:eastAsia="宋体" w:cs="宋体"/>
          <w:bCs/>
          <w:color w:val="auto"/>
          <w:sz w:val="22"/>
          <w:szCs w:val="22"/>
          <w:highlight w:val="none"/>
        </w:rPr>
        <w:t>在履行合同中，如</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未按</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要求的时间保质保量完工，不服从</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的指导检查或拒绝履行合同规定的任何义务，经催告后在合理期限内仍不履行的，</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有权没收全部履约保证金。由</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承担违约责任，并另行赔偿</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全部损失。</w:t>
      </w:r>
    </w:p>
    <w:p w14:paraId="77722ED7">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6、</w:t>
      </w:r>
      <w:r>
        <w:rPr>
          <w:rFonts w:hint="eastAsia" w:ascii="宋体" w:hAnsi="宋体" w:eastAsia="宋体" w:cs="宋体"/>
          <w:bCs/>
          <w:color w:val="auto"/>
          <w:sz w:val="22"/>
          <w:szCs w:val="22"/>
          <w:highlight w:val="none"/>
        </w:rPr>
        <w:t>在履行合同中，如</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未按</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要求的时间保质保量完工，不服从</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的指导检查，</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有权终止合同，同时履约保证金将不予退还。</w:t>
      </w:r>
    </w:p>
    <w:p w14:paraId="053CB144">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7、</w:t>
      </w:r>
      <w:r>
        <w:rPr>
          <w:rFonts w:hint="eastAsia"/>
          <w:bCs/>
          <w:color w:val="auto"/>
          <w:sz w:val="22"/>
          <w:szCs w:val="22"/>
          <w:highlight w:val="none"/>
          <w:lang w:val="en-US" w:eastAsia="zh-CN"/>
        </w:rPr>
        <w:t>实施工作</w:t>
      </w:r>
      <w:r>
        <w:rPr>
          <w:rFonts w:hint="eastAsia"/>
          <w:bCs/>
          <w:color w:val="auto"/>
          <w:sz w:val="22"/>
          <w:szCs w:val="22"/>
          <w:highlight w:val="none"/>
        </w:rPr>
        <w:t>人员</w:t>
      </w:r>
      <w:r>
        <w:rPr>
          <w:rFonts w:hint="eastAsia" w:ascii="宋体" w:hAnsi="宋体" w:eastAsia="宋体" w:cs="宋体"/>
          <w:bCs/>
          <w:color w:val="auto"/>
          <w:sz w:val="22"/>
          <w:szCs w:val="22"/>
          <w:highlight w:val="none"/>
        </w:rPr>
        <w:t>要求：根据实际情况投入</w:t>
      </w:r>
      <w:r>
        <w:rPr>
          <w:rFonts w:hint="eastAsia"/>
          <w:bCs/>
          <w:color w:val="auto"/>
          <w:sz w:val="22"/>
          <w:szCs w:val="22"/>
          <w:highlight w:val="none"/>
          <w:lang w:val="en-US" w:eastAsia="zh-CN"/>
        </w:rPr>
        <w:t>实施工作</w:t>
      </w:r>
      <w:r>
        <w:rPr>
          <w:rFonts w:hint="eastAsia"/>
          <w:bCs/>
          <w:color w:val="auto"/>
          <w:sz w:val="22"/>
          <w:szCs w:val="22"/>
          <w:highlight w:val="none"/>
        </w:rPr>
        <w:t>人员</w:t>
      </w:r>
      <w:r>
        <w:rPr>
          <w:rFonts w:hint="eastAsia" w:ascii="宋体" w:hAnsi="宋体" w:eastAsia="宋体" w:cs="宋体"/>
          <w:bCs/>
          <w:color w:val="auto"/>
          <w:sz w:val="22"/>
          <w:szCs w:val="22"/>
          <w:highlight w:val="none"/>
        </w:rPr>
        <w:t>。</w:t>
      </w:r>
    </w:p>
    <w:p w14:paraId="53B237F9">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8、</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在合同履行期间必须接受</w:t>
      </w:r>
      <w:r>
        <w:rPr>
          <w:rFonts w:hint="eastAsia" w:ascii="宋体" w:eastAsia="宋体"/>
          <w:b w:val="0"/>
          <w:color w:val="auto"/>
          <w:sz w:val="22"/>
          <w:szCs w:val="22"/>
          <w:highlight w:val="none"/>
          <w:lang w:val="en-US" w:eastAsia="zh-CN"/>
        </w:rPr>
        <w:t>甲方</w:t>
      </w:r>
      <w:r>
        <w:rPr>
          <w:rFonts w:hint="eastAsia" w:ascii="宋体" w:eastAsia="宋体"/>
          <w:b w:val="0"/>
          <w:color w:val="auto"/>
          <w:sz w:val="22"/>
          <w:szCs w:val="22"/>
          <w:highlight w:val="none"/>
        </w:rPr>
        <w:t>的业务指导和监督管理。</w:t>
      </w:r>
    </w:p>
    <w:p w14:paraId="15BCCD9E">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9、</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为本项目投入的专业相关</w:t>
      </w:r>
      <w:r>
        <w:rPr>
          <w:rFonts w:hint="eastAsia"/>
          <w:b w:val="0"/>
          <w:color w:val="auto"/>
          <w:sz w:val="22"/>
          <w:szCs w:val="22"/>
          <w:highlight w:val="none"/>
          <w:lang w:val="en-US" w:eastAsia="zh-CN"/>
        </w:rPr>
        <w:t>工作</w:t>
      </w:r>
      <w:r>
        <w:rPr>
          <w:rFonts w:hint="eastAsia" w:ascii="宋体" w:eastAsia="宋体"/>
          <w:b w:val="0"/>
          <w:color w:val="auto"/>
          <w:sz w:val="22"/>
          <w:szCs w:val="22"/>
          <w:highlight w:val="none"/>
        </w:rPr>
        <w:t>人员不少于3名。</w:t>
      </w:r>
    </w:p>
    <w:p w14:paraId="45CC728D">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10、</w:t>
      </w:r>
      <w:r>
        <w:rPr>
          <w:rFonts w:hint="eastAsia" w:ascii="宋体" w:eastAsia="宋体"/>
          <w:b w:val="0"/>
          <w:color w:val="auto"/>
          <w:sz w:val="22"/>
          <w:szCs w:val="22"/>
          <w:highlight w:val="none"/>
        </w:rPr>
        <w:t>若线路井盖及线箱损坏或被盗时，</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必须负责更换；如在更换或维</w:t>
      </w:r>
      <w:r>
        <w:rPr>
          <w:rFonts w:hint="eastAsia" w:ascii="宋体" w:eastAsia="宋体"/>
          <w:b w:val="0"/>
          <w:color w:val="auto"/>
          <w:sz w:val="22"/>
          <w:szCs w:val="22"/>
          <w:highlight w:val="none"/>
          <w:lang w:val="en-US" w:eastAsia="zh-CN"/>
        </w:rPr>
        <w:t>护</w:t>
      </w:r>
      <w:r>
        <w:rPr>
          <w:rFonts w:hint="eastAsia" w:ascii="宋体" w:eastAsia="宋体"/>
          <w:b w:val="0"/>
          <w:color w:val="auto"/>
          <w:sz w:val="22"/>
          <w:szCs w:val="22"/>
          <w:highlight w:val="none"/>
        </w:rPr>
        <w:t>交通信号灯时对绿化造成损害，</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必须负责补种，补种费用由</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负责。</w:t>
      </w:r>
    </w:p>
    <w:p w14:paraId="06D865DC">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11、</w:t>
      </w:r>
      <w:r>
        <w:rPr>
          <w:rFonts w:hint="eastAsia" w:ascii="宋体" w:eastAsia="宋体"/>
          <w:b w:val="0"/>
          <w:color w:val="auto"/>
          <w:sz w:val="22"/>
          <w:szCs w:val="22"/>
          <w:highlight w:val="none"/>
        </w:rPr>
        <w:t>如果线路维修需要开凿路面的，须经有关部门批准后，</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才能施行路面开凿工作。</w:t>
      </w:r>
    </w:p>
    <w:p w14:paraId="1F8F2190">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12、</w:t>
      </w:r>
      <w:r>
        <w:rPr>
          <w:rFonts w:hint="eastAsia" w:ascii="宋体" w:eastAsia="宋体"/>
          <w:b w:val="0"/>
          <w:color w:val="auto"/>
          <w:sz w:val="22"/>
          <w:szCs w:val="22"/>
          <w:highlight w:val="none"/>
        </w:rPr>
        <w:t>对承包项目内的电子警察、卡口、视频监控、交通信号灯，</w:t>
      </w:r>
      <w:r>
        <w:rPr>
          <w:rFonts w:hint="eastAsia"/>
          <w:b w:val="0"/>
          <w:color w:val="auto"/>
          <w:sz w:val="22"/>
          <w:szCs w:val="22"/>
          <w:highlight w:val="none"/>
          <w:lang w:val="en-US" w:eastAsia="zh-CN"/>
        </w:rPr>
        <w:t>在实施期及质保期内，乙方</w:t>
      </w:r>
      <w:r>
        <w:rPr>
          <w:rFonts w:hint="eastAsia" w:ascii="宋体" w:eastAsia="宋体"/>
          <w:b w:val="0"/>
          <w:color w:val="auto"/>
          <w:sz w:val="22"/>
          <w:szCs w:val="22"/>
          <w:highlight w:val="none"/>
        </w:rPr>
        <w:t>必须定期保养以便其正常运转。</w:t>
      </w:r>
    </w:p>
    <w:p w14:paraId="0DCBADFF">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13、</w:t>
      </w:r>
      <w:r>
        <w:rPr>
          <w:rFonts w:hint="eastAsia" w:ascii="宋体" w:eastAsia="宋体"/>
          <w:b w:val="0"/>
          <w:color w:val="auto"/>
          <w:sz w:val="22"/>
          <w:szCs w:val="22"/>
          <w:highlight w:val="none"/>
        </w:rPr>
        <w:t>在设施维修</w:t>
      </w:r>
      <w:r>
        <w:rPr>
          <w:rFonts w:hint="eastAsia"/>
          <w:b w:val="0"/>
          <w:color w:val="auto"/>
          <w:sz w:val="22"/>
          <w:szCs w:val="22"/>
          <w:highlight w:val="none"/>
          <w:lang w:eastAsia="zh-CN"/>
        </w:rPr>
        <w:t>实施</w:t>
      </w:r>
      <w:r>
        <w:rPr>
          <w:rFonts w:hint="eastAsia" w:ascii="宋体" w:eastAsia="宋体"/>
          <w:b w:val="0"/>
          <w:color w:val="auto"/>
          <w:sz w:val="22"/>
          <w:szCs w:val="22"/>
          <w:highlight w:val="none"/>
        </w:rPr>
        <w:t>过程中，</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必须做好安全防护措施，并且遵守和执行安全、文明施工等规定，尽可能不影响道路交通。必须为所有</w:t>
      </w:r>
      <w:r>
        <w:rPr>
          <w:rFonts w:hint="eastAsia" w:ascii="宋体" w:eastAsia="宋体"/>
          <w:b w:val="0"/>
          <w:color w:val="auto"/>
          <w:sz w:val="22"/>
          <w:szCs w:val="22"/>
          <w:highlight w:val="none"/>
          <w:lang w:val="en-US" w:eastAsia="zh-CN"/>
        </w:rPr>
        <w:t>工作</w:t>
      </w:r>
      <w:r>
        <w:rPr>
          <w:rFonts w:hint="eastAsia" w:ascii="宋体" w:eastAsia="宋体"/>
          <w:b w:val="0"/>
          <w:color w:val="auto"/>
          <w:sz w:val="22"/>
          <w:szCs w:val="22"/>
          <w:highlight w:val="none"/>
        </w:rPr>
        <w:t>人员购买人身意外保险，</w:t>
      </w:r>
      <w:r>
        <w:rPr>
          <w:rFonts w:hint="eastAsia" w:ascii="宋体" w:eastAsia="宋体"/>
          <w:b w:val="0"/>
          <w:color w:val="auto"/>
          <w:sz w:val="22"/>
          <w:szCs w:val="22"/>
          <w:highlight w:val="none"/>
          <w:lang w:val="en-US" w:eastAsia="zh-CN"/>
        </w:rPr>
        <w:t>服务</w:t>
      </w:r>
      <w:r>
        <w:rPr>
          <w:rFonts w:hint="eastAsia" w:ascii="宋体" w:eastAsia="宋体"/>
          <w:b w:val="0"/>
          <w:color w:val="auto"/>
          <w:sz w:val="22"/>
          <w:szCs w:val="22"/>
          <w:highlight w:val="none"/>
        </w:rPr>
        <w:t>期</w:t>
      </w:r>
      <w:r>
        <w:rPr>
          <w:rFonts w:hint="eastAsia" w:ascii="宋体" w:eastAsia="宋体"/>
          <w:b w:val="0"/>
          <w:color w:val="auto"/>
          <w:sz w:val="22"/>
          <w:szCs w:val="22"/>
          <w:highlight w:val="none"/>
          <w:lang w:val="en-US" w:eastAsia="zh-CN"/>
        </w:rPr>
        <w:t>及售后阶段</w:t>
      </w:r>
      <w:r>
        <w:rPr>
          <w:rFonts w:hint="eastAsia" w:ascii="宋体" w:eastAsia="宋体"/>
          <w:b w:val="0"/>
          <w:color w:val="auto"/>
          <w:sz w:val="22"/>
          <w:szCs w:val="22"/>
          <w:highlight w:val="none"/>
        </w:rPr>
        <w:t>所有发生的安全事故均由</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自行承担，</w:t>
      </w:r>
      <w:r>
        <w:rPr>
          <w:rFonts w:hint="eastAsia" w:ascii="宋体" w:eastAsia="宋体"/>
          <w:b w:val="0"/>
          <w:color w:val="auto"/>
          <w:sz w:val="22"/>
          <w:szCs w:val="22"/>
          <w:highlight w:val="none"/>
          <w:lang w:val="en-US" w:eastAsia="zh-CN"/>
        </w:rPr>
        <w:t>甲方</w:t>
      </w:r>
      <w:r>
        <w:rPr>
          <w:rFonts w:hint="eastAsia" w:ascii="宋体" w:eastAsia="宋体"/>
          <w:b w:val="0"/>
          <w:color w:val="auto"/>
          <w:sz w:val="22"/>
          <w:szCs w:val="22"/>
          <w:highlight w:val="none"/>
        </w:rPr>
        <w:t>不承担任何责任。</w:t>
      </w:r>
    </w:p>
    <w:p w14:paraId="45153425">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14、</w:t>
      </w:r>
      <w:r>
        <w:rPr>
          <w:rFonts w:hint="eastAsia" w:ascii="宋体" w:eastAsia="宋体"/>
          <w:b w:val="0"/>
          <w:color w:val="auto"/>
          <w:sz w:val="22"/>
          <w:szCs w:val="22"/>
          <w:highlight w:val="none"/>
        </w:rPr>
        <w:t>在维护管理期间，</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必须购置相应的维修应急配件一批，承包费用不作增减，由</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在报价中考虑。</w:t>
      </w:r>
    </w:p>
    <w:p w14:paraId="1D6FD945">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15、</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必须接受</w:t>
      </w:r>
      <w:r>
        <w:rPr>
          <w:rFonts w:hint="eastAsia" w:ascii="宋体" w:eastAsia="宋体"/>
          <w:b w:val="0"/>
          <w:color w:val="auto"/>
          <w:sz w:val="22"/>
          <w:szCs w:val="22"/>
          <w:highlight w:val="none"/>
          <w:lang w:val="en-US" w:eastAsia="zh-CN"/>
        </w:rPr>
        <w:t>采购</w:t>
      </w:r>
      <w:r>
        <w:rPr>
          <w:rFonts w:hint="eastAsia" w:ascii="宋体" w:eastAsia="宋体"/>
          <w:b w:val="0"/>
          <w:color w:val="auto"/>
          <w:sz w:val="22"/>
          <w:szCs w:val="22"/>
          <w:highlight w:val="none"/>
        </w:rPr>
        <w:t>的业务指导，及时处理和改正提出的存在问题。</w:t>
      </w:r>
    </w:p>
    <w:p w14:paraId="4088717E">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16、</w:t>
      </w:r>
      <w:r>
        <w:rPr>
          <w:rFonts w:hint="eastAsia" w:ascii="宋体" w:eastAsia="宋体"/>
          <w:b w:val="0"/>
          <w:color w:val="auto"/>
          <w:sz w:val="22"/>
          <w:szCs w:val="22"/>
          <w:highlight w:val="none"/>
        </w:rPr>
        <w:t>各路口如设备损坏后，无法修复，必须更换新的设备时，更换设备应与原有设备同系列同型号，如原型号的产品停产或不再销售时，需更换为同系列更高级别的产品，不得以次充好，设备更换前需征得</w:t>
      </w:r>
      <w:r>
        <w:rPr>
          <w:rFonts w:hint="eastAsia" w:ascii="宋体" w:eastAsia="宋体"/>
          <w:b w:val="0"/>
          <w:color w:val="auto"/>
          <w:sz w:val="22"/>
          <w:szCs w:val="22"/>
          <w:highlight w:val="none"/>
          <w:lang w:val="en-US" w:eastAsia="zh-CN"/>
        </w:rPr>
        <w:t>采购人</w:t>
      </w:r>
      <w:r>
        <w:rPr>
          <w:rFonts w:hint="eastAsia" w:ascii="宋体" w:eastAsia="宋体"/>
          <w:b w:val="0"/>
          <w:color w:val="auto"/>
          <w:sz w:val="22"/>
          <w:szCs w:val="22"/>
          <w:highlight w:val="none"/>
        </w:rPr>
        <w:t>的同意。</w:t>
      </w:r>
    </w:p>
    <w:p w14:paraId="4913B8B6">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17、</w:t>
      </w:r>
      <w:r>
        <w:rPr>
          <w:rFonts w:hint="eastAsia" w:ascii="宋体" w:eastAsia="宋体"/>
          <w:b w:val="0"/>
          <w:color w:val="auto"/>
          <w:sz w:val="22"/>
          <w:szCs w:val="22"/>
          <w:highlight w:val="none"/>
        </w:rPr>
        <w:t>为保证</w:t>
      </w:r>
      <w:r>
        <w:rPr>
          <w:rFonts w:hint="eastAsia"/>
          <w:b w:val="0"/>
          <w:color w:val="auto"/>
          <w:sz w:val="22"/>
          <w:szCs w:val="22"/>
          <w:highlight w:val="none"/>
          <w:lang w:val="en-US" w:eastAsia="zh-CN"/>
        </w:rPr>
        <w:t>项目</w:t>
      </w:r>
      <w:r>
        <w:rPr>
          <w:rFonts w:hint="eastAsia" w:ascii="宋体" w:eastAsia="宋体"/>
          <w:b w:val="0"/>
          <w:color w:val="auto"/>
          <w:sz w:val="22"/>
          <w:szCs w:val="22"/>
          <w:highlight w:val="none"/>
        </w:rPr>
        <w:t>质量，</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须自行根据项目实际情况提供</w:t>
      </w:r>
      <w:r>
        <w:rPr>
          <w:rFonts w:hint="eastAsia"/>
          <w:b w:val="0"/>
          <w:color w:val="auto"/>
          <w:sz w:val="22"/>
          <w:szCs w:val="22"/>
          <w:highlight w:val="none"/>
          <w:lang w:val="en-US" w:eastAsia="zh-CN"/>
        </w:rPr>
        <w:t>符合要求的相关</w:t>
      </w:r>
      <w:r>
        <w:rPr>
          <w:rFonts w:hint="eastAsia" w:ascii="宋体" w:eastAsia="宋体"/>
          <w:b w:val="0"/>
          <w:color w:val="auto"/>
          <w:sz w:val="22"/>
          <w:szCs w:val="22"/>
          <w:highlight w:val="none"/>
        </w:rPr>
        <w:t>软件，能够与</w:t>
      </w:r>
      <w:r>
        <w:rPr>
          <w:rFonts w:hint="eastAsia" w:ascii="宋体" w:eastAsia="宋体"/>
          <w:b w:val="0"/>
          <w:color w:val="auto"/>
          <w:sz w:val="22"/>
          <w:szCs w:val="22"/>
          <w:highlight w:val="none"/>
          <w:lang w:val="en-US" w:eastAsia="zh-CN"/>
        </w:rPr>
        <w:t>甲方或</w:t>
      </w:r>
      <w:r>
        <w:rPr>
          <w:rFonts w:hint="eastAsia" w:ascii="宋体" w:eastAsia="宋体"/>
          <w:b w:val="0"/>
          <w:color w:val="auto"/>
          <w:sz w:val="22"/>
          <w:szCs w:val="22"/>
          <w:highlight w:val="none"/>
        </w:rPr>
        <w:t>交警大队实时通讯，能够实现与</w:t>
      </w:r>
      <w:r>
        <w:rPr>
          <w:rFonts w:hint="eastAsia" w:ascii="宋体" w:eastAsia="宋体"/>
          <w:b w:val="0"/>
          <w:color w:val="auto"/>
          <w:sz w:val="22"/>
          <w:szCs w:val="22"/>
          <w:highlight w:val="none"/>
          <w:lang w:val="en-US" w:eastAsia="zh-CN"/>
        </w:rPr>
        <w:t>采购人</w:t>
      </w:r>
      <w:r>
        <w:rPr>
          <w:rFonts w:hint="eastAsia" w:ascii="宋体" w:eastAsia="宋体"/>
          <w:b w:val="0"/>
          <w:color w:val="auto"/>
          <w:sz w:val="22"/>
          <w:szCs w:val="22"/>
          <w:highlight w:val="none"/>
        </w:rPr>
        <w:t>的实时通讯。系统要求具有网络派单、网络接收派单、派单反馈、派单确认、信息查询等相关功能，能够对每次</w:t>
      </w:r>
      <w:r>
        <w:rPr>
          <w:rFonts w:hint="eastAsia" w:ascii="宋体" w:eastAsia="宋体"/>
          <w:b w:val="0"/>
          <w:color w:val="auto"/>
          <w:sz w:val="22"/>
          <w:szCs w:val="22"/>
          <w:highlight w:val="none"/>
          <w:lang w:val="en-US" w:eastAsia="zh-CN"/>
        </w:rPr>
        <w:t>安装及维护</w:t>
      </w:r>
      <w:r>
        <w:rPr>
          <w:rFonts w:hint="eastAsia" w:ascii="宋体" w:eastAsia="宋体"/>
          <w:b w:val="0"/>
          <w:color w:val="auto"/>
          <w:sz w:val="22"/>
          <w:szCs w:val="22"/>
          <w:highlight w:val="none"/>
        </w:rPr>
        <w:t>须做好相应的</w:t>
      </w:r>
      <w:r>
        <w:rPr>
          <w:rFonts w:hint="eastAsia" w:ascii="宋体" w:eastAsia="宋体"/>
          <w:b w:val="0"/>
          <w:color w:val="auto"/>
          <w:sz w:val="22"/>
          <w:szCs w:val="22"/>
          <w:highlight w:val="none"/>
          <w:lang w:val="en-US" w:eastAsia="zh-CN"/>
        </w:rPr>
        <w:t>维护</w:t>
      </w:r>
      <w:r>
        <w:rPr>
          <w:rFonts w:hint="eastAsia" w:ascii="宋体" w:eastAsia="宋体"/>
          <w:b w:val="0"/>
          <w:color w:val="auto"/>
          <w:sz w:val="22"/>
          <w:szCs w:val="22"/>
          <w:highlight w:val="none"/>
        </w:rPr>
        <w:t>记录。</w:t>
      </w:r>
    </w:p>
    <w:p w14:paraId="47D18E56">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18、</w:t>
      </w:r>
      <w:r>
        <w:rPr>
          <w:rFonts w:hint="eastAsia" w:ascii="宋体" w:eastAsia="宋体"/>
          <w:b w:val="0"/>
          <w:color w:val="auto"/>
          <w:sz w:val="22"/>
          <w:szCs w:val="22"/>
          <w:highlight w:val="none"/>
        </w:rPr>
        <w:t>电子警察、卡口、视频监控、交通信号灯维护内容及范围：</w:t>
      </w:r>
    </w:p>
    <w:p w14:paraId="4AA9B9DB">
      <w:pPr>
        <w:widowControl/>
        <w:autoSpaceDE w:val="0"/>
        <w:autoSpaceDN w:val="0"/>
        <w:adjustRightInd w:val="0"/>
        <w:spacing w:line="420" w:lineRule="atLeast"/>
        <w:ind w:firstLine="660" w:firstLineChars="3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1）在期限内维保内容包括各灯控路口的电子警察、卡口、视频监控、交通信号机、信号灯（车道灯、非机动车道灯、人行横道灯）倒计时器以及地下管道、馈线、窨井等。</w:t>
      </w:r>
    </w:p>
    <w:p w14:paraId="36B30CF9">
      <w:pPr>
        <w:widowControl/>
        <w:autoSpaceDE w:val="0"/>
        <w:autoSpaceDN w:val="0"/>
        <w:adjustRightInd w:val="0"/>
        <w:spacing w:line="420" w:lineRule="atLeast"/>
        <w:ind w:firstLine="660" w:firstLineChars="3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2）电子警察、卡口、视频监控、交通信号灯线缆短路、断路及交通信号灯配件、附件损坏的，信号机自然损坏、烧毁以及电子元件故障的，凡影响设备正常运转的都在维护之列。</w:t>
      </w:r>
    </w:p>
    <w:p w14:paraId="43B0FAD1">
      <w:pPr>
        <w:widowControl/>
        <w:autoSpaceDE w:val="0"/>
        <w:autoSpaceDN w:val="0"/>
        <w:adjustRightInd w:val="0"/>
        <w:spacing w:line="420" w:lineRule="atLeast"/>
        <w:ind w:firstLine="660" w:firstLineChars="3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3）如网络信号机损坏，经厂方检测无法修复，需重新购置的，在维护之列。</w:t>
      </w:r>
    </w:p>
    <w:p w14:paraId="56F41C58">
      <w:pPr>
        <w:widowControl/>
        <w:autoSpaceDE w:val="0"/>
        <w:autoSpaceDN w:val="0"/>
        <w:adjustRightInd w:val="0"/>
        <w:spacing w:line="420" w:lineRule="atLeast"/>
        <w:ind w:firstLine="660" w:firstLineChars="3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4）设备设施因交通事故、他人施工、故意破坏及盗窃等因素导致损坏的，在维护之列。</w:t>
      </w:r>
    </w:p>
    <w:p w14:paraId="2A2C3B99">
      <w:pPr>
        <w:widowControl/>
        <w:autoSpaceDE w:val="0"/>
        <w:autoSpaceDN w:val="0"/>
        <w:adjustRightInd w:val="0"/>
        <w:spacing w:line="420" w:lineRule="atLeast"/>
        <w:ind w:firstLine="660" w:firstLineChars="300"/>
        <w:textAlignment w:val="bottom"/>
        <w:rPr>
          <w:rFonts w:hint="eastAsia" w:ascii="宋体" w:eastAsia="宋体"/>
          <w:bCs/>
          <w:color w:val="auto"/>
          <w:sz w:val="22"/>
          <w:szCs w:val="22"/>
          <w:highlight w:val="none"/>
        </w:rPr>
      </w:pPr>
      <w:r>
        <w:rPr>
          <w:rFonts w:hint="eastAsia" w:ascii="宋体" w:eastAsia="宋体"/>
          <w:bCs/>
          <w:color w:val="auto"/>
          <w:sz w:val="22"/>
          <w:szCs w:val="22"/>
          <w:highlight w:val="none"/>
        </w:rPr>
        <w:t>5）因不可抗拒力如遇自然灾害（指台风、火灾、地震、雷击等）在维护范围。</w:t>
      </w:r>
    </w:p>
    <w:p w14:paraId="61F3179C">
      <w:pPr>
        <w:widowControl/>
        <w:autoSpaceDE w:val="0"/>
        <w:autoSpaceDN w:val="0"/>
        <w:adjustRightInd w:val="0"/>
        <w:spacing w:line="420" w:lineRule="atLeast"/>
        <w:ind w:firstLine="660" w:firstLineChars="3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rPr>
        <w:t>6）因道路改造、交通重新组织需移动或改变设备设施的，其修复费用不在维护范围之内。</w:t>
      </w:r>
    </w:p>
    <w:p w14:paraId="14A5D354">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19、</w:t>
      </w:r>
      <w:r>
        <w:rPr>
          <w:rFonts w:hint="eastAsia" w:ascii="宋体" w:eastAsia="宋体"/>
          <w:b w:val="0"/>
          <w:color w:val="auto"/>
          <w:sz w:val="22"/>
          <w:szCs w:val="22"/>
          <w:highlight w:val="none"/>
        </w:rPr>
        <w:t>质量安全责任：</w:t>
      </w:r>
      <w:r>
        <w:rPr>
          <w:rFonts w:hint="eastAsia"/>
          <w:b w:val="0"/>
          <w:color w:val="auto"/>
          <w:sz w:val="22"/>
          <w:szCs w:val="22"/>
          <w:highlight w:val="none"/>
          <w:lang w:val="en-US" w:eastAsia="zh-CN"/>
        </w:rPr>
        <w:t>乙方</w:t>
      </w:r>
      <w:r>
        <w:rPr>
          <w:rFonts w:hint="eastAsia"/>
          <w:b w:val="0"/>
          <w:color w:val="auto"/>
          <w:sz w:val="22"/>
          <w:szCs w:val="22"/>
          <w:highlight w:val="none"/>
          <w:lang w:eastAsia="zh-CN"/>
        </w:rPr>
        <w:t>实施</w:t>
      </w:r>
      <w:r>
        <w:rPr>
          <w:rFonts w:hint="eastAsia" w:ascii="宋体" w:eastAsia="宋体"/>
          <w:b w:val="0"/>
          <w:color w:val="auto"/>
          <w:sz w:val="22"/>
          <w:szCs w:val="22"/>
          <w:highlight w:val="none"/>
        </w:rPr>
        <w:t>安装期间严格按照国家有关规定安装</w:t>
      </w:r>
      <w:r>
        <w:rPr>
          <w:rFonts w:hint="eastAsia"/>
          <w:b w:val="0"/>
          <w:color w:val="auto"/>
          <w:sz w:val="22"/>
          <w:szCs w:val="22"/>
          <w:highlight w:val="none"/>
          <w:lang w:eastAsia="zh-CN"/>
        </w:rPr>
        <w:t>实施</w:t>
      </w:r>
      <w:r>
        <w:rPr>
          <w:rFonts w:hint="eastAsia" w:ascii="宋体" w:eastAsia="宋体"/>
          <w:b w:val="0"/>
          <w:color w:val="auto"/>
          <w:sz w:val="22"/>
          <w:szCs w:val="22"/>
          <w:highlight w:val="none"/>
        </w:rPr>
        <w:t>，确保安装质量和生产安全，自行承担全部责任。因</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质量原因造成人身和财产损害的，</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应承担损害赔偿责任。在日常新建和维修隐蔽（地下）管道中不得有电源接头并且保证交通信号灯是一灯一线的要求或者乱拉电线，隐蔽工程</w:t>
      </w:r>
      <w:r>
        <w:rPr>
          <w:rFonts w:hint="eastAsia"/>
          <w:b w:val="0"/>
          <w:color w:val="auto"/>
          <w:sz w:val="22"/>
          <w:szCs w:val="22"/>
          <w:highlight w:val="none"/>
          <w:lang w:eastAsia="zh-CN"/>
        </w:rPr>
        <w:t>实施</w:t>
      </w:r>
      <w:r>
        <w:rPr>
          <w:rFonts w:hint="eastAsia" w:ascii="宋体" w:eastAsia="宋体"/>
          <w:b w:val="0"/>
          <w:color w:val="auto"/>
          <w:sz w:val="22"/>
          <w:szCs w:val="22"/>
          <w:highlight w:val="none"/>
        </w:rPr>
        <w:t>要求达到相关技术标注。</w:t>
      </w:r>
    </w:p>
    <w:p w14:paraId="6AE0BD58">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20、</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提供维修备件。交警大队重新渠化路口时，</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负责对相关设施进行拆除、增加、修改，保证交通信号灯适应新的路口渠化方案。</w:t>
      </w:r>
    </w:p>
    <w:p w14:paraId="48144C53">
      <w:pPr>
        <w:widowControl/>
        <w:autoSpaceDE w:val="0"/>
        <w:autoSpaceDN w:val="0"/>
        <w:adjustRightInd w:val="0"/>
        <w:spacing w:line="420" w:lineRule="atLeast"/>
        <w:ind w:firstLine="440" w:firstLineChars="200"/>
        <w:textAlignment w:val="bottom"/>
        <w:rPr>
          <w:rFonts w:hint="eastAsia" w:ascii="宋体" w:eastAsia="宋体"/>
          <w:b w:val="0"/>
          <w:color w:val="auto"/>
          <w:sz w:val="22"/>
          <w:szCs w:val="22"/>
          <w:highlight w:val="none"/>
        </w:rPr>
      </w:pPr>
      <w:r>
        <w:rPr>
          <w:rFonts w:hint="eastAsia" w:ascii="宋体" w:eastAsia="宋体"/>
          <w:b w:val="0"/>
          <w:color w:val="auto"/>
          <w:sz w:val="22"/>
          <w:szCs w:val="22"/>
          <w:highlight w:val="none"/>
          <w:lang w:val="en-US" w:eastAsia="zh-CN"/>
        </w:rPr>
        <w:t>21、</w:t>
      </w:r>
      <w:r>
        <w:rPr>
          <w:rFonts w:hint="eastAsia" w:ascii="宋体" w:eastAsia="宋体"/>
          <w:b w:val="0"/>
          <w:color w:val="auto"/>
          <w:sz w:val="22"/>
          <w:szCs w:val="22"/>
          <w:highlight w:val="none"/>
        </w:rPr>
        <w:t>因</w:t>
      </w:r>
      <w:r>
        <w:rPr>
          <w:rFonts w:hint="eastAsia"/>
          <w:b w:val="0"/>
          <w:color w:val="auto"/>
          <w:sz w:val="22"/>
          <w:szCs w:val="22"/>
          <w:highlight w:val="none"/>
          <w:lang w:val="en-US" w:eastAsia="zh-CN"/>
        </w:rPr>
        <w:t>项目</w:t>
      </w:r>
      <w:r>
        <w:rPr>
          <w:rFonts w:hint="eastAsia" w:ascii="宋体" w:eastAsia="宋体"/>
          <w:b w:val="0"/>
          <w:color w:val="auto"/>
          <w:sz w:val="22"/>
          <w:szCs w:val="22"/>
          <w:highlight w:val="none"/>
        </w:rPr>
        <w:t>验收不合格或出现重大质量安全隐患问题，</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应无条件进行返工，直至验收合格或隐患消除，由此而产生的一切责任由</w:t>
      </w:r>
      <w:r>
        <w:rPr>
          <w:rFonts w:hint="eastAsia"/>
          <w:b w:val="0"/>
          <w:color w:val="auto"/>
          <w:sz w:val="22"/>
          <w:szCs w:val="22"/>
          <w:highlight w:val="none"/>
          <w:lang w:val="en-US" w:eastAsia="zh-CN"/>
        </w:rPr>
        <w:t>乙方</w:t>
      </w:r>
      <w:r>
        <w:rPr>
          <w:rFonts w:hint="eastAsia" w:ascii="宋体" w:eastAsia="宋体"/>
          <w:b w:val="0"/>
          <w:color w:val="auto"/>
          <w:sz w:val="22"/>
          <w:szCs w:val="22"/>
          <w:highlight w:val="none"/>
        </w:rPr>
        <w:t>负责，产生的费用，</w:t>
      </w:r>
      <w:r>
        <w:rPr>
          <w:rFonts w:hint="eastAsia" w:ascii="宋体" w:eastAsia="宋体"/>
          <w:b w:val="0"/>
          <w:color w:val="auto"/>
          <w:sz w:val="22"/>
          <w:szCs w:val="22"/>
          <w:highlight w:val="none"/>
          <w:lang w:val="en-US" w:eastAsia="zh-CN"/>
        </w:rPr>
        <w:t>采购人</w:t>
      </w:r>
      <w:r>
        <w:rPr>
          <w:rFonts w:hint="eastAsia" w:ascii="宋体" w:eastAsia="宋体"/>
          <w:b w:val="0"/>
          <w:color w:val="auto"/>
          <w:sz w:val="22"/>
          <w:szCs w:val="22"/>
          <w:highlight w:val="none"/>
        </w:rPr>
        <w:t>不予支付。</w:t>
      </w:r>
    </w:p>
    <w:p w14:paraId="3F931FEB">
      <w:pPr>
        <w:spacing w:line="360" w:lineRule="auto"/>
        <w:ind w:firstLine="442" w:firstLineChars="200"/>
        <w:rPr>
          <w:rFonts w:hint="eastAsia"/>
          <w:b/>
          <w:color w:val="auto"/>
          <w:sz w:val="22"/>
          <w:szCs w:val="22"/>
          <w:highlight w:val="none"/>
          <w:lang w:val="en-US" w:eastAsia="zh-CN"/>
        </w:rPr>
      </w:pPr>
      <w:r>
        <w:rPr>
          <w:rFonts w:hint="eastAsia"/>
          <w:b/>
          <w:color w:val="auto"/>
          <w:sz w:val="22"/>
          <w:szCs w:val="22"/>
          <w:highlight w:val="none"/>
          <w:lang w:val="en-US" w:eastAsia="zh-CN"/>
        </w:rPr>
        <w:t>6、其他要求</w:t>
      </w:r>
    </w:p>
    <w:p w14:paraId="395E68BF">
      <w:pPr>
        <w:keepNext w:val="0"/>
        <w:keepLines w:val="0"/>
        <w:pageBreakBefore w:val="0"/>
        <w:numPr>
          <w:ilvl w:val="0"/>
          <w:numId w:val="18"/>
        </w:numPr>
        <w:kinsoku/>
        <w:wordWrap/>
        <w:overflowPunct/>
        <w:topLinePunct w:val="0"/>
        <w:bidi w:val="0"/>
        <w:adjustRightInd w:val="0"/>
        <w:snapToGrid w:val="0"/>
        <w:spacing w:line="420" w:lineRule="exact"/>
        <w:ind w:left="0" w:leftChars="0" w:firstLine="440" w:firstLineChars="0"/>
        <w:outlineLvl w:val="9"/>
        <w:rPr>
          <w:rFonts w:ascii="宋体" w:hAnsi="宋体" w:cs="Arial"/>
          <w:b w:val="0"/>
          <w:bCs/>
          <w:color w:val="auto"/>
          <w:sz w:val="22"/>
          <w:szCs w:val="22"/>
          <w:highlight w:val="none"/>
        </w:rPr>
      </w:pPr>
      <w:r>
        <w:rPr>
          <w:rFonts w:hint="eastAsia" w:ascii="宋体" w:hAnsi="宋体" w:cs="Arial"/>
          <w:b w:val="0"/>
          <w:bCs/>
          <w:color w:val="auto"/>
          <w:sz w:val="22"/>
          <w:szCs w:val="22"/>
          <w:highlight w:val="none"/>
          <w:lang w:val="en-US" w:eastAsia="zh-CN"/>
        </w:rPr>
        <w:t>采购</w:t>
      </w:r>
      <w:r>
        <w:rPr>
          <w:rFonts w:hint="eastAsia" w:ascii="宋体" w:hAnsi="宋体" w:cs="Arial"/>
          <w:b w:val="0"/>
          <w:bCs/>
          <w:color w:val="auto"/>
          <w:sz w:val="22"/>
          <w:szCs w:val="22"/>
          <w:highlight w:val="none"/>
        </w:rPr>
        <w:t>文件的配置要求仅是本项目的关键技术要求，</w:t>
      </w:r>
      <w:r>
        <w:rPr>
          <w:rFonts w:hint="eastAsia" w:ascii="宋体" w:hAnsi="宋体" w:cs="Arial"/>
          <w:b w:val="0"/>
          <w:bCs/>
          <w:color w:val="auto"/>
          <w:sz w:val="22"/>
          <w:szCs w:val="22"/>
          <w:highlight w:val="none"/>
          <w:lang w:eastAsia="zh-CN"/>
        </w:rPr>
        <w:t>乙方</w:t>
      </w:r>
      <w:r>
        <w:rPr>
          <w:rFonts w:hint="eastAsia" w:ascii="宋体" w:hAnsi="宋体" w:cs="Arial"/>
          <w:b w:val="0"/>
          <w:bCs/>
          <w:color w:val="auto"/>
          <w:sz w:val="22"/>
          <w:szCs w:val="22"/>
          <w:highlight w:val="none"/>
        </w:rPr>
        <w:t>需对整体</w:t>
      </w:r>
      <w:r>
        <w:rPr>
          <w:rFonts w:hint="eastAsia" w:ascii="宋体" w:hAnsi="宋体" w:cs="Arial"/>
          <w:b w:val="0"/>
          <w:bCs/>
          <w:color w:val="auto"/>
          <w:sz w:val="22"/>
          <w:szCs w:val="22"/>
          <w:highlight w:val="none"/>
          <w:lang w:val="en-US" w:eastAsia="zh-CN"/>
        </w:rPr>
        <w:t>项目</w:t>
      </w:r>
      <w:r>
        <w:rPr>
          <w:rFonts w:hint="eastAsia" w:ascii="宋体" w:hAnsi="宋体" w:cs="Arial"/>
          <w:b w:val="0"/>
          <w:bCs/>
          <w:color w:val="auto"/>
          <w:sz w:val="22"/>
          <w:szCs w:val="22"/>
          <w:highlight w:val="none"/>
        </w:rPr>
        <w:t>负责，如在</w:t>
      </w:r>
      <w:r>
        <w:rPr>
          <w:rFonts w:hint="eastAsia" w:cs="Arial"/>
          <w:b w:val="0"/>
          <w:bCs/>
          <w:color w:val="auto"/>
          <w:sz w:val="22"/>
          <w:szCs w:val="22"/>
          <w:highlight w:val="none"/>
          <w:lang w:val="en-US" w:eastAsia="zh-CN"/>
        </w:rPr>
        <w:t>实施</w:t>
      </w:r>
      <w:r>
        <w:rPr>
          <w:rFonts w:hint="eastAsia" w:ascii="宋体" w:hAnsi="宋体" w:cs="Arial"/>
          <w:b w:val="0"/>
          <w:bCs/>
          <w:color w:val="auto"/>
          <w:sz w:val="22"/>
          <w:szCs w:val="22"/>
          <w:highlight w:val="none"/>
        </w:rPr>
        <w:t>过程中出现无法实施或者缺少相关设备和配件的情况，</w:t>
      </w:r>
      <w:r>
        <w:rPr>
          <w:rFonts w:hint="eastAsia" w:ascii="宋体" w:hAnsi="宋体" w:cs="Arial"/>
          <w:b w:val="0"/>
          <w:bCs/>
          <w:color w:val="auto"/>
          <w:sz w:val="22"/>
          <w:szCs w:val="22"/>
          <w:highlight w:val="none"/>
          <w:lang w:eastAsia="zh-CN"/>
        </w:rPr>
        <w:t>乙方</w:t>
      </w:r>
      <w:r>
        <w:rPr>
          <w:rFonts w:hint="eastAsia" w:ascii="宋体" w:hAnsi="宋体" w:cs="Arial"/>
          <w:b w:val="0"/>
          <w:bCs/>
          <w:color w:val="auto"/>
          <w:sz w:val="22"/>
          <w:szCs w:val="22"/>
          <w:highlight w:val="none"/>
        </w:rPr>
        <w:t>应免费予以更换或补充同档次或更高档次的相关设备和配件。</w:t>
      </w:r>
    </w:p>
    <w:p w14:paraId="04BB2DAF">
      <w:pPr>
        <w:keepNext w:val="0"/>
        <w:keepLines w:val="0"/>
        <w:pageBreakBefore w:val="0"/>
        <w:numPr>
          <w:ilvl w:val="0"/>
          <w:numId w:val="18"/>
        </w:numPr>
        <w:kinsoku/>
        <w:wordWrap/>
        <w:overflowPunct/>
        <w:topLinePunct w:val="0"/>
        <w:bidi w:val="0"/>
        <w:spacing w:line="420" w:lineRule="exact"/>
        <w:ind w:left="0" w:leftChars="0" w:firstLine="440" w:firstLineChars="0"/>
        <w:outlineLvl w:val="9"/>
        <w:rPr>
          <w:rFonts w:hint="eastAsia" w:ascii="宋体" w:hAnsi="宋体" w:cs="Arial"/>
          <w:b w:val="0"/>
          <w:bCs/>
          <w:color w:val="auto"/>
          <w:sz w:val="22"/>
          <w:szCs w:val="22"/>
          <w:highlight w:val="none"/>
        </w:rPr>
      </w:pPr>
      <w:r>
        <w:rPr>
          <w:rFonts w:hint="eastAsia" w:ascii="宋体" w:hAnsi="宋体" w:cs="Arial"/>
          <w:b w:val="0"/>
          <w:bCs/>
          <w:color w:val="auto"/>
          <w:sz w:val="22"/>
          <w:szCs w:val="22"/>
          <w:highlight w:val="none"/>
          <w:lang w:eastAsia="zh-CN"/>
        </w:rPr>
        <w:t>乙方</w:t>
      </w:r>
      <w:r>
        <w:rPr>
          <w:rFonts w:hint="eastAsia" w:ascii="宋体" w:hAnsi="宋体" w:cs="Arial"/>
          <w:b w:val="0"/>
          <w:bCs/>
          <w:color w:val="auto"/>
          <w:sz w:val="22"/>
          <w:szCs w:val="22"/>
          <w:highlight w:val="none"/>
        </w:rPr>
        <w:t>应明确参投货物的品牌型号，如果该品牌型号中有分不同系列的，还应明确系列的型号，否则在供货验收时以该品牌型号的最高系列最高配置验收。</w:t>
      </w:r>
    </w:p>
    <w:p w14:paraId="71D054A5">
      <w:pPr>
        <w:keepNext w:val="0"/>
        <w:keepLines w:val="0"/>
        <w:pageBreakBefore w:val="0"/>
        <w:numPr>
          <w:ilvl w:val="0"/>
          <w:numId w:val="18"/>
        </w:numPr>
        <w:kinsoku/>
        <w:wordWrap/>
        <w:overflowPunct/>
        <w:topLinePunct w:val="0"/>
        <w:bidi w:val="0"/>
        <w:spacing w:line="420" w:lineRule="exact"/>
        <w:ind w:left="0" w:leftChars="0" w:firstLine="440" w:firstLineChars="0"/>
        <w:outlineLvl w:val="9"/>
        <w:rPr>
          <w:rFonts w:hint="eastAsia" w:ascii="宋体" w:hAnsi="宋体" w:cs="Arial"/>
          <w:b w:val="0"/>
          <w:bCs/>
          <w:color w:val="auto"/>
          <w:sz w:val="22"/>
          <w:szCs w:val="22"/>
          <w:highlight w:val="none"/>
        </w:rPr>
      </w:pPr>
      <w:r>
        <w:rPr>
          <w:rFonts w:hint="eastAsia" w:ascii="宋体" w:hAnsi="宋体" w:cs="Arial"/>
          <w:b w:val="0"/>
          <w:bCs/>
          <w:color w:val="auto"/>
          <w:sz w:val="22"/>
          <w:szCs w:val="22"/>
          <w:highlight w:val="none"/>
          <w:lang w:eastAsia="zh-CN"/>
        </w:rPr>
        <w:t>乙方</w:t>
      </w:r>
      <w:r>
        <w:rPr>
          <w:rFonts w:hint="eastAsia" w:ascii="宋体" w:hAnsi="宋体" w:cs="Arial"/>
          <w:b w:val="0"/>
          <w:bCs/>
          <w:color w:val="auto"/>
          <w:sz w:val="22"/>
          <w:szCs w:val="22"/>
          <w:highlight w:val="none"/>
        </w:rPr>
        <w:t>须充分考虑到完成该项目的运输费，搬运费，质保期间人员的安装费和维修维护费，住宿餐饮费等均由</w:t>
      </w:r>
      <w:r>
        <w:rPr>
          <w:rFonts w:hint="eastAsia" w:ascii="宋体" w:hAnsi="宋体" w:cs="Arial"/>
          <w:b w:val="0"/>
          <w:bCs/>
          <w:color w:val="auto"/>
          <w:sz w:val="22"/>
          <w:szCs w:val="22"/>
          <w:highlight w:val="none"/>
          <w:lang w:eastAsia="zh-CN"/>
        </w:rPr>
        <w:t>乙方</w:t>
      </w:r>
      <w:r>
        <w:rPr>
          <w:rFonts w:hint="eastAsia" w:ascii="宋体" w:hAnsi="宋体" w:cs="Arial"/>
          <w:b w:val="0"/>
          <w:bCs/>
          <w:color w:val="auto"/>
          <w:sz w:val="22"/>
          <w:szCs w:val="22"/>
          <w:highlight w:val="none"/>
        </w:rPr>
        <w:t>负责。考虑到货物在搬运过程中有可能有损坏现象，</w:t>
      </w:r>
      <w:r>
        <w:rPr>
          <w:rFonts w:hint="eastAsia" w:ascii="宋体" w:hAnsi="宋体" w:cs="Arial"/>
          <w:b w:val="0"/>
          <w:bCs/>
          <w:color w:val="auto"/>
          <w:sz w:val="22"/>
          <w:szCs w:val="22"/>
          <w:highlight w:val="none"/>
          <w:lang w:eastAsia="zh-CN"/>
        </w:rPr>
        <w:t>乙方</w:t>
      </w:r>
      <w:r>
        <w:rPr>
          <w:rFonts w:hint="eastAsia" w:ascii="宋体" w:hAnsi="宋体" w:cs="Arial"/>
          <w:b w:val="0"/>
          <w:bCs/>
          <w:color w:val="auto"/>
          <w:sz w:val="22"/>
          <w:szCs w:val="22"/>
          <w:highlight w:val="none"/>
        </w:rPr>
        <w:t>需做</w:t>
      </w:r>
      <w:r>
        <w:rPr>
          <w:rFonts w:hint="eastAsia" w:cs="Arial"/>
          <w:b w:val="0"/>
          <w:bCs/>
          <w:color w:val="auto"/>
          <w:sz w:val="22"/>
          <w:szCs w:val="22"/>
          <w:highlight w:val="none"/>
          <w:lang w:val="en-US" w:eastAsia="zh-CN"/>
        </w:rPr>
        <w:t>好</w:t>
      </w:r>
      <w:r>
        <w:rPr>
          <w:rFonts w:hint="eastAsia" w:ascii="宋体" w:hAnsi="宋体" w:cs="Arial"/>
          <w:b w:val="0"/>
          <w:bCs/>
          <w:color w:val="auto"/>
          <w:sz w:val="22"/>
          <w:szCs w:val="22"/>
          <w:highlight w:val="none"/>
        </w:rPr>
        <w:t>货物的运输包装，损害严重的</w:t>
      </w:r>
      <w:r>
        <w:rPr>
          <w:rFonts w:hint="eastAsia" w:ascii="宋体" w:hAnsi="宋体" w:cs="Arial"/>
          <w:b w:val="0"/>
          <w:bCs/>
          <w:color w:val="auto"/>
          <w:sz w:val="22"/>
          <w:szCs w:val="22"/>
          <w:highlight w:val="none"/>
          <w:lang w:val="en-US" w:eastAsia="zh-CN"/>
        </w:rPr>
        <w:t>货物设备</w:t>
      </w:r>
      <w:r>
        <w:rPr>
          <w:rFonts w:hint="eastAsia" w:ascii="宋体" w:hAnsi="宋体" w:cs="Arial"/>
          <w:b w:val="0"/>
          <w:bCs/>
          <w:color w:val="auto"/>
          <w:sz w:val="22"/>
          <w:szCs w:val="22"/>
          <w:highlight w:val="none"/>
        </w:rPr>
        <w:t>采购人有权拒绝收货。</w:t>
      </w:r>
    </w:p>
    <w:p w14:paraId="4CFED7C6">
      <w:pPr>
        <w:keepNext w:val="0"/>
        <w:keepLines w:val="0"/>
        <w:pageBreakBefore w:val="0"/>
        <w:widowControl w:val="0"/>
        <w:numPr>
          <w:ilvl w:val="0"/>
          <w:numId w:val="18"/>
        </w:numPr>
        <w:kinsoku/>
        <w:wordWrap/>
        <w:overflowPunct/>
        <w:topLinePunct w:val="0"/>
        <w:bidi w:val="0"/>
        <w:spacing w:line="420" w:lineRule="exact"/>
        <w:ind w:left="0" w:leftChars="0" w:firstLine="440" w:firstLineChars="0"/>
        <w:rPr>
          <w:rFonts w:hint="eastAsia" w:ascii="宋体" w:hAnsi="宋体" w:eastAsia="宋体" w:cs="宋体"/>
          <w:b/>
          <w:bCs w:val="0"/>
          <w:i w:val="0"/>
          <w:iCs w:val="0"/>
          <w:color w:val="auto"/>
          <w:sz w:val="22"/>
          <w:szCs w:val="22"/>
          <w:highlight w:val="none"/>
          <w:u w:val="none"/>
          <w:lang w:val="en-US" w:eastAsia="zh-CN"/>
        </w:rPr>
      </w:pPr>
      <w:r>
        <w:rPr>
          <w:rFonts w:hint="eastAsia" w:ascii="宋体" w:hAnsi="宋体" w:eastAsia="宋体" w:cs="宋体"/>
          <w:b/>
          <w:bCs w:val="0"/>
          <w:i w:val="0"/>
          <w:iCs w:val="0"/>
          <w:color w:val="auto"/>
          <w:sz w:val="22"/>
          <w:szCs w:val="22"/>
          <w:highlight w:val="none"/>
          <w:u w:val="none"/>
          <w:lang w:val="en-US" w:eastAsia="zh-CN"/>
        </w:rPr>
        <w:t>乙方须在采购人对上述货物验收时提供相关证书证明资料，否则按验收不能通过，采购人给予退货、解除合同或经采购人同意换货处理，乙方自行承担由此造成的损失。</w:t>
      </w:r>
    </w:p>
    <w:p w14:paraId="4E82D000">
      <w:pPr>
        <w:keepNext w:val="0"/>
        <w:keepLines w:val="0"/>
        <w:pageBreakBefore w:val="0"/>
        <w:widowControl w:val="0"/>
        <w:numPr>
          <w:ilvl w:val="0"/>
          <w:numId w:val="18"/>
        </w:numPr>
        <w:kinsoku/>
        <w:wordWrap/>
        <w:overflowPunct/>
        <w:topLinePunct w:val="0"/>
        <w:bidi w:val="0"/>
        <w:spacing w:line="420" w:lineRule="exact"/>
        <w:ind w:left="0" w:leftChars="0" w:firstLine="440" w:firstLineChars="0"/>
        <w:rPr>
          <w:rFonts w:hint="eastAsia" w:asciiTheme="minorEastAsia" w:hAnsiTheme="minorEastAsia" w:eastAsiaTheme="minorEastAsia" w:cstheme="minorEastAsia"/>
          <w:strike w:val="0"/>
          <w:dstrike w:val="0"/>
          <w:color w:val="auto"/>
          <w:sz w:val="22"/>
          <w:szCs w:val="22"/>
          <w:highlight w:val="none"/>
        </w:rPr>
      </w:pPr>
      <w:r>
        <w:rPr>
          <w:rFonts w:hint="eastAsia" w:ascii="宋体" w:hAnsi="宋体" w:eastAsia="宋体" w:cs="宋体"/>
          <w:b/>
          <w:bCs w:val="0"/>
          <w:i w:val="0"/>
          <w:iCs w:val="0"/>
          <w:color w:val="auto"/>
          <w:sz w:val="22"/>
          <w:szCs w:val="22"/>
          <w:highlight w:val="none"/>
          <w:u w:val="none"/>
          <w:lang w:val="en-US" w:eastAsia="zh-CN"/>
        </w:rPr>
        <w:t>乙方须和采购人确定最终参数及实际采购数量后再进行供货，否则采购人有权拒收。</w:t>
      </w:r>
    </w:p>
    <w:p w14:paraId="352B5852">
      <w:pPr>
        <w:keepNext w:val="0"/>
        <w:keepLines w:val="0"/>
        <w:pageBreakBefore w:val="0"/>
        <w:widowControl w:val="0"/>
        <w:numPr>
          <w:ilvl w:val="0"/>
          <w:numId w:val="18"/>
        </w:numPr>
        <w:kinsoku/>
        <w:wordWrap/>
        <w:overflowPunct/>
        <w:topLinePunct w:val="0"/>
        <w:bidi w:val="0"/>
        <w:spacing w:line="420" w:lineRule="exact"/>
        <w:ind w:left="0" w:leftChars="0" w:firstLine="440" w:firstLineChars="0"/>
        <w:rPr>
          <w:rFonts w:hint="eastAsia" w:asciiTheme="minorEastAsia" w:hAnsiTheme="minorEastAsia" w:eastAsiaTheme="minorEastAsia" w:cstheme="minorEastAsia"/>
          <w:strike w:val="0"/>
          <w:dstrike w:val="0"/>
          <w:color w:val="auto"/>
          <w:sz w:val="22"/>
          <w:szCs w:val="22"/>
          <w:highlight w:val="none"/>
        </w:rPr>
      </w:pPr>
      <w:r>
        <w:rPr>
          <w:rFonts w:hint="eastAsia" w:asciiTheme="minorEastAsia" w:hAnsiTheme="minorEastAsia" w:eastAsiaTheme="minorEastAsia" w:cstheme="minorEastAsia"/>
          <w:strike w:val="0"/>
          <w:dstrike w:val="0"/>
          <w:color w:val="auto"/>
          <w:sz w:val="22"/>
          <w:szCs w:val="22"/>
          <w:highlight w:val="none"/>
          <w:lang w:eastAsia="zh-CN"/>
        </w:rPr>
        <w:t>乙方</w:t>
      </w:r>
      <w:r>
        <w:rPr>
          <w:rFonts w:hint="eastAsia" w:asciiTheme="minorEastAsia" w:hAnsiTheme="minorEastAsia" w:eastAsiaTheme="minorEastAsia" w:cstheme="minorEastAsia"/>
          <w:strike w:val="0"/>
          <w:dstrike w:val="0"/>
          <w:color w:val="auto"/>
          <w:sz w:val="22"/>
          <w:szCs w:val="22"/>
          <w:highlight w:val="none"/>
        </w:rPr>
        <w:t>所提供的货物必须严格按国家最新的行业或部门规定执行，并满足本</w:t>
      </w:r>
      <w:r>
        <w:rPr>
          <w:rFonts w:hint="eastAsia" w:asciiTheme="minorEastAsia" w:hAnsiTheme="minorEastAsia" w:eastAsiaTheme="minorEastAsia" w:cstheme="minorEastAsia"/>
          <w:strike w:val="0"/>
          <w:dstrike w:val="0"/>
          <w:color w:val="auto"/>
          <w:sz w:val="22"/>
          <w:szCs w:val="22"/>
          <w:highlight w:val="none"/>
          <w:lang w:val="en-US" w:eastAsia="zh-CN"/>
        </w:rPr>
        <w:t>采购清单</w:t>
      </w:r>
      <w:r>
        <w:rPr>
          <w:rFonts w:hint="eastAsia" w:asciiTheme="minorEastAsia" w:hAnsiTheme="minorEastAsia" w:eastAsiaTheme="minorEastAsia" w:cstheme="minorEastAsia"/>
          <w:strike w:val="0"/>
          <w:dstrike w:val="0"/>
          <w:color w:val="auto"/>
          <w:sz w:val="22"/>
          <w:szCs w:val="22"/>
          <w:highlight w:val="none"/>
        </w:rPr>
        <w:t>中的参数及性能要求。</w:t>
      </w:r>
    </w:p>
    <w:p w14:paraId="374D4F1D">
      <w:pPr>
        <w:keepNext w:val="0"/>
        <w:keepLines w:val="0"/>
        <w:pageBreakBefore w:val="0"/>
        <w:widowControl w:val="0"/>
        <w:numPr>
          <w:ilvl w:val="0"/>
          <w:numId w:val="18"/>
        </w:numPr>
        <w:kinsoku/>
        <w:wordWrap/>
        <w:overflowPunct/>
        <w:topLinePunct w:val="0"/>
        <w:bidi w:val="0"/>
        <w:spacing w:line="420" w:lineRule="exact"/>
        <w:ind w:left="0" w:leftChars="0" w:firstLine="440" w:firstLineChars="0"/>
        <w:rPr>
          <w:rFonts w:hint="eastAsia" w:asciiTheme="minorEastAsia" w:hAnsiTheme="minorEastAsia" w:eastAsiaTheme="minorEastAsia" w:cstheme="minorEastAsia"/>
          <w:strike w:val="0"/>
          <w:dstrike w:val="0"/>
          <w:color w:val="auto"/>
          <w:sz w:val="22"/>
          <w:szCs w:val="22"/>
          <w:highlight w:val="none"/>
        </w:rPr>
      </w:pPr>
      <w:r>
        <w:rPr>
          <w:rFonts w:hint="eastAsia" w:asciiTheme="minorEastAsia" w:hAnsiTheme="minorEastAsia" w:eastAsiaTheme="minorEastAsia" w:cstheme="minorEastAsia"/>
          <w:strike w:val="0"/>
          <w:dstrike w:val="0"/>
          <w:color w:val="auto"/>
          <w:sz w:val="22"/>
          <w:szCs w:val="22"/>
          <w:highlight w:val="none"/>
          <w:lang w:eastAsia="zh-CN"/>
        </w:rPr>
        <w:t>乙方</w:t>
      </w:r>
      <w:r>
        <w:rPr>
          <w:rFonts w:hint="eastAsia" w:asciiTheme="minorEastAsia" w:hAnsiTheme="minorEastAsia" w:eastAsiaTheme="minorEastAsia" w:cstheme="minorEastAsia"/>
          <w:strike w:val="0"/>
          <w:dstrike w:val="0"/>
          <w:color w:val="auto"/>
          <w:sz w:val="22"/>
          <w:szCs w:val="22"/>
          <w:highlight w:val="none"/>
        </w:rPr>
        <w:t>需向采购人提供技术成熟、功能齐全先进，品牌在行业中较认可的全新产品，不得使用库存或功能严重落后或淘汰的产品。</w:t>
      </w:r>
    </w:p>
    <w:p w14:paraId="73030BDC">
      <w:pPr>
        <w:keepNext w:val="0"/>
        <w:keepLines w:val="0"/>
        <w:pageBreakBefore w:val="0"/>
        <w:widowControl w:val="0"/>
        <w:numPr>
          <w:ilvl w:val="0"/>
          <w:numId w:val="18"/>
        </w:numPr>
        <w:kinsoku/>
        <w:wordWrap/>
        <w:overflowPunct/>
        <w:topLinePunct w:val="0"/>
        <w:bidi w:val="0"/>
        <w:spacing w:line="420" w:lineRule="exact"/>
        <w:ind w:left="0" w:leftChars="0" w:firstLine="440" w:firstLineChars="0"/>
        <w:rPr>
          <w:rFonts w:hint="eastAsia" w:asciiTheme="minorEastAsia" w:hAnsiTheme="minorEastAsia" w:eastAsiaTheme="minorEastAsia" w:cstheme="minorEastAsia"/>
          <w:strike w:val="0"/>
          <w:dstrike w:val="0"/>
          <w:color w:val="auto"/>
          <w:sz w:val="22"/>
          <w:szCs w:val="22"/>
          <w:highlight w:val="none"/>
        </w:rPr>
      </w:pPr>
      <w:r>
        <w:rPr>
          <w:rFonts w:hint="eastAsia" w:asciiTheme="minorEastAsia" w:hAnsiTheme="minorEastAsia" w:eastAsiaTheme="minorEastAsia" w:cstheme="minorEastAsia"/>
          <w:strike w:val="0"/>
          <w:dstrike w:val="0"/>
          <w:color w:val="auto"/>
          <w:sz w:val="22"/>
          <w:szCs w:val="22"/>
          <w:highlight w:val="none"/>
          <w:lang w:eastAsia="zh-CN"/>
        </w:rPr>
        <w:t>乙方</w:t>
      </w:r>
      <w:r>
        <w:rPr>
          <w:rFonts w:hint="eastAsia" w:asciiTheme="minorEastAsia" w:hAnsiTheme="minorEastAsia" w:eastAsiaTheme="minorEastAsia" w:cstheme="minorEastAsia"/>
          <w:strike w:val="0"/>
          <w:dstrike w:val="0"/>
          <w:color w:val="auto"/>
          <w:sz w:val="22"/>
          <w:szCs w:val="22"/>
          <w:highlight w:val="none"/>
        </w:rPr>
        <w:t>须保证所供货物全新、原包装，若事后发现所供货物不符要求并引起纠纷的，采购人保留对</w:t>
      </w:r>
      <w:r>
        <w:rPr>
          <w:rFonts w:hint="eastAsia" w:asciiTheme="minorEastAsia" w:hAnsiTheme="minorEastAsia" w:eastAsiaTheme="minorEastAsia" w:cstheme="minorEastAsia"/>
          <w:strike w:val="0"/>
          <w:dstrike w:val="0"/>
          <w:color w:val="auto"/>
          <w:sz w:val="22"/>
          <w:szCs w:val="22"/>
          <w:highlight w:val="none"/>
          <w:lang w:eastAsia="zh-CN"/>
        </w:rPr>
        <w:t>乙方</w:t>
      </w:r>
      <w:r>
        <w:rPr>
          <w:rFonts w:hint="eastAsia" w:asciiTheme="minorEastAsia" w:hAnsiTheme="minorEastAsia" w:eastAsiaTheme="minorEastAsia" w:cstheme="minorEastAsia"/>
          <w:strike w:val="0"/>
          <w:dstrike w:val="0"/>
          <w:color w:val="auto"/>
          <w:sz w:val="22"/>
          <w:szCs w:val="22"/>
          <w:highlight w:val="none"/>
        </w:rPr>
        <w:t>索赔的权利。</w:t>
      </w:r>
    </w:p>
    <w:p w14:paraId="390CA5F6">
      <w:pPr>
        <w:widowControl w:val="0"/>
        <w:adjustRightInd w:val="0"/>
        <w:snapToGrid w:val="0"/>
        <w:spacing w:line="408" w:lineRule="auto"/>
        <w:jc w:val="both"/>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val="en-US" w:eastAsia="zh-CN"/>
        </w:rPr>
        <w:t>七</w:t>
      </w:r>
      <w:r>
        <w:rPr>
          <w:rFonts w:hint="eastAsia" w:ascii="宋体" w:hAnsi="宋体" w:eastAsia="宋体" w:cs="宋体"/>
          <w:b/>
          <w:bCs w:val="0"/>
          <w:color w:val="auto"/>
          <w:sz w:val="22"/>
          <w:szCs w:val="22"/>
          <w:highlight w:val="none"/>
        </w:rPr>
        <w:t>、质量及保修要求</w:t>
      </w:r>
    </w:p>
    <w:p w14:paraId="1047184B">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1、保质期与售后服务：</w:t>
      </w:r>
    </w:p>
    <w:p w14:paraId="373A9BB0">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w:t>
      </w:r>
      <w:r>
        <w:rPr>
          <w:rFonts w:hint="eastAsia" w:ascii="宋体" w:hAnsi="宋体" w:eastAsia="宋体" w:cs="宋体"/>
          <w:bCs/>
          <w:color w:val="auto"/>
          <w:sz w:val="22"/>
          <w:szCs w:val="22"/>
          <w:highlight w:val="none"/>
          <w:lang w:val="en-US" w:eastAsia="zh-CN"/>
        </w:rPr>
        <w:t>1</w:t>
      </w:r>
      <w:r>
        <w:rPr>
          <w:rFonts w:hint="eastAsia" w:ascii="宋体" w:hAnsi="宋体" w:eastAsia="宋体" w:cs="宋体"/>
          <w:bCs/>
          <w:color w:val="auto"/>
          <w:sz w:val="22"/>
          <w:szCs w:val="22"/>
          <w:highlight w:val="none"/>
          <w:lang w:val="zh-CN" w:eastAsia="zh-CN"/>
        </w:rPr>
        <w:t>）乙方须按</w:t>
      </w:r>
      <w:commentRangeStart w:id="0"/>
      <w:r>
        <w:rPr>
          <w:rFonts w:hint="eastAsia" w:ascii="宋体" w:hAnsi="宋体" w:eastAsia="宋体" w:cs="宋体"/>
          <w:bCs/>
          <w:color w:val="auto"/>
          <w:sz w:val="22"/>
          <w:szCs w:val="22"/>
          <w:highlight w:val="none"/>
          <w:lang w:val="zh-CN" w:eastAsia="zh-CN"/>
        </w:rPr>
        <w:t>国家及省规定的工作规范、规程操作</w:t>
      </w:r>
      <w:commentRangeEnd w:id="0"/>
      <w:r>
        <w:rPr>
          <w:color w:val="auto"/>
          <w:highlight w:val="none"/>
        </w:rPr>
        <w:commentReference w:id="0"/>
      </w:r>
      <w:r>
        <w:rPr>
          <w:rFonts w:hint="eastAsia" w:ascii="宋体" w:hAnsi="宋体" w:eastAsia="宋体" w:cs="宋体"/>
          <w:bCs/>
          <w:color w:val="auto"/>
          <w:sz w:val="22"/>
          <w:szCs w:val="22"/>
          <w:highlight w:val="none"/>
          <w:lang w:val="zh-CN" w:eastAsia="zh-CN"/>
        </w:rPr>
        <w:t>，并通过验收。</w:t>
      </w:r>
    </w:p>
    <w:p w14:paraId="582650EB">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en-US" w:eastAsia="zh-CN"/>
        </w:rPr>
        <w:t>2</w:t>
      </w:r>
      <w:r>
        <w:rPr>
          <w:rFonts w:hint="eastAsia" w:ascii="宋体" w:hAnsi="宋体" w:eastAsia="宋体" w:cs="宋体"/>
          <w:bCs/>
          <w:color w:val="auto"/>
          <w:sz w:val="22"/>
          <w:szCs w:val="22"/>
          <w:highlight w:val="none"/>
        </w:rPr>
        <w:t>）本项目所有设备质保期均至少两年（技术参数中有详细说明的除外），质保期从</w:t>
      </w:r>
      <w:r>
        <w:rPr>
          <w:rFonts w:hint="eastAsia" w:ascii="宋体" w:hAnsi="宋体" w:eastAsia="宋体" w:cs="宋体"/>
          <w:bCs/>
          <w:color w:val="auto"/>
          <w:sz w:val="22"/>
          <w:szCs w:val="22"/>
          <w:highlight w:val="none"/>
          <w:lang w:val="en-US" w:eastAsia="zh-CN"/>
        </w:rPr>
        <w:t>所有设备安装</w:t>
      </w:r>
      <w:r>
        <w:rPr>
          <w:rFonts w:hint="eastAsia" w:ascii="宋体" w:hAnsi="宋体" w:eastAsia="宋体" w:cs="宋体"/>
          <w:bCs/>
          <w:color w:val="auto"/>
          <w:sz w:val="22"/>
          <w:szCs w:val="22"/>
          <w:highlight w:val="none"/>
        </w:rPr>
        <w:t>验收合格交付使用之日起算；</w:t>
      </w:r>
      <w:r>
        <w:rPr>
          <w:rFonts w:hint="eastAsia" w:ascii="宋体" w:hAnsi="宋体" w:eastAsia="宋体" w:cs="宋体"/>
          <w:bCs/>
          <w:color w:val="auto"/>
          <w:sz w:val="22"/>
          <w:szCs w:val="22"/>
          <w:highlight w:val="none"/>
          <w:lang w:val="en-US" w:eastAsia="zh-CN"/>
        </w:rPr>
        <w:t>质保</w:t>
      </w:r>
      <w:r>
        <w:rPr>
          <w:rFonts w:hint="eastAsia" w:ascii="宋体" w:hAnsi="宋体" w:eastAsia="宋体" w:cs="宋体"/>
          <w:bCs/>
          <w:color w:val="auto"/>
          <w:sz w:val="22"/>
          <w:szCs w:val="22"/>
          <w:highlight w:val="none"/>
        </w:rPr>
        <w:t>期内</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lang w:val="zh-CN" w:eastAsia="zh-CN"/>
        </w:rPr>
        <w:t>免费负责疑问解答，</w:t>
      </w:r>
      <w:r>
        <w:rPr>
          <w:rFonts w:hint="eastAsia" w:ascii="宋体" w:hAnsi="宋体" w:eastAsia="宋体" w:cs="宋体"/>
          <w:bCs/>
          <w:color w:val="auto"/>
          <w:sz w:val="22"/>
          <w:szCs w:val="22"/>
          <w:highlight w:val="none"/>
        </w:rPr>
        <w:t>因产品本身缺陷（非人为因素）造成各种故障应由</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免费技术服务和维修及维护。</w:t>
      </w:r>
    </w:p>
    <w:p w14:paraId="6F990ED2">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en-US" w:eastAsia="zh-CN"/>
        </w:rPr>
        <w:t>3</w:t>
      </w:r>
      <w:r>
        <w:rPr>
          <w:rFonts w:hint="eastAsia" w:ascii="宋体" w:hAnsi="宋体" w:eastAsia="宋体" w:cs="宋体"/>
          <w:bCs/>
          <w:color w:val="auto"/>
          <w:sz w:val="22"/>
          <w:szCs w:val="22"/>
          <w:highlight w:val="none"/>
        </w:rPr>
        <w:t>）在质保期内，</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应负责对其提供的设备进行现场维修、损坏件更换，不收取额外费用，响应时间必须满足系统正常运行的要求。</w:t>
      </w:r>
    </w:p>
    <w:p w14:paraId="54BEC85B">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en-US" w:eastAsia="zh-CN"/>
        </w:rPr>
        <w:t>4</w:t>
      </w:r>
      <w:r>
        <w:rPr>
          <w:rFonts w:hint="eastAsia" w:ascii="宋体" w:hAnsi="宋体" w:eastAsia="宋体" w:cs="宋体"/>
          <w:bCs/>
          <w:color w:val="auto"/>
          <w:sz w:val="22"/>
          <w:szCs w:val="22"/>
          <w:highlight w:val="none"/>
        </w:rPr>
        <w:t>）质量保修期内，要求</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7×24小时电话响应技术咨询；除非采购文件另有规定，</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须在接到</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维修要求电话后，8小时内派技术人员到现场维修，如果在24小时内不能修复，则提供同样备机供</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使用，直至设备修复。</w:t>
      </w:r>
    </w:p>
    <w:p w14:paraId="3006A4FF">
      <w:pPr>
        <w:widowControl w:val="0"/>
        <w:adjustRightInd w:val="0"/>
        <w:snapToGrid w:val="0"/>
        <w:spacing w:line="408" w:lineRule="auto"/>
        <w:ind w:firstLine="431" w:firstLineChars="196"/>
        <w:jc w:val="both"/>
        <w:rPr>
          <w:rFonts w:hint="default"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eastAsia="zh-CN"/>
        </w:rPr>
        <w:t>（</w:t>
      </w:r>
      <w:r>
        <w:rPr>
          <w:rFonts w:hint="eastAsia" w:ascii="宋体" w:hAnsi="宋体" w:eastAsia="宋体" w:cs="宋体"/>
          <w:bCs/>
          <w:color w:val="auto"/>
          <w:sz w:val="22"/>
          <w:szCs w:val="22"/>
          <w:highlight w:val="none"/>
          <w:lang w:val="en-US" w:eastAsia="zh-CN"/>
        </w:rPr>
        <w:t>5）</w:t>
      </w:r>
      <w:r>
        <w:rPr>
          <w:rFonts w:hint="eastAsia" w:ascii="宋体" w:hAnsi="宋体" w:eastAsia="宋体" w:cs="宋体"/>
          <w:bCs/>
          <w:color w:val="auto"/>
          <w:sz w:val="22"/>
          <w:szCs w:val="22"/>
          <w:highlight w:val="none"/>
          <w:lang w:val="zh-CN" w:eastAsia="zh-CN"/>
        </w:rPr>
        <w:t>在</w:t>
      </w:r>
      <w:r>
        <w:rPr>
          <w:rFonts w:hint="eastAsia" w:ascii="宋体" w:hAnsi="宋体" w:eastAsia="宋体" w:cs="宋体"/>
          <w:bCs/>
          <w:color w:val="auto"/>
          <w:sz w:val="22"/>
          <w:szCs w:val="22"/>
          <w:highlight w:val="none"/>
          <w:lang w:val="en-US" w:eastAsia="zh-CN"/>
        </w:rPr>
        <w:t>保修</w:t>
      </w:r>
      <w:r>
        <w:rPr>
          <w:rFonts w:hint="eastAsia" w:ascii="宋体" w:hAnsi="宋体" w:eastAsia="宋体" w:cs="宋体"/>
          <w:bCs/>
          <w:color w:val="auto"/>
          <w:sz w:val="22"/>
          <w:szCs w:val="22"/>
          <w:highlight w:val="none"/>
          <w:lang w:val="zh-CN" w:eastAsia="zh-CN"/>
        </w:rPr>
        <w:t>期内，乙方应对出现的质量及安全问题负责处理解决并承担一切费用。</w:t>
      </w:r>
    </w:p>
    <w:p w14:paraId="622ACBCB">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2、培训：</w:t>
      </w:r>
    </w:p>
    <w:p w14:paraId="77377B14">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应对</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的维修人员提供培训，使其能对设备进行日常的维护保养及能对一般故障进行维修。</w:t>
      </w:r>
    </w:p>
    <w:p w14:paraId="68E6C9CD">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3、安装调试</w:t>
      </w:r>
    </w:p>
    <w:p w14:paraId="3716FFC9">
      <w:pPr>
        <w:spacing w:line="360"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w:t>
      </w:r>
      <w:r>
        <w:rPr>
          <w:rFonts w:hint="eastAsia" w:cs="宋体"/>
          <w:bCs/>
          <w:color w:val="auto"/>
          <w:sz w:val="22"/>
          <w:szCs w:val="22"/>
          <w:highlight w:val="none"/>
          <w:lang w:val="en-US" w:eastAsia="zh-CN"/>
        </w:rPr>
        <w:t>签</w:t>
      </w:r>
      <w:r>
        <w:rPr>
          <w:rFonts w:hint="eastAsia" w:ascii="宋体" w:hAnsi="宋体" w:eastAsia="宋体" w:cs="宋体"/>
          <w:bCs/>
          <w:color w:val="auto"/>
          <w:sz w:val="22"/>
          <w:szCs w:val="22"/>
          <w:highlight w:val="none"/>
        </w:rPr>
        <w:t>订合同后，接到</w:t>
      </w:r>
      <w:r>
        <w:rPr>
          <w:rFonts w:hint="eastAsia" w:cs="宋体"/>
          <w:bCs/>
          <w:color w:val="auto"/>
          <w:sz w:val="22"/>
          <w:szCs w:val="22"/>
          <w:highlight w:val="none"/>
          <w:lang w:val="en-US" w:eastAsia="zh-CN"/>
        </w:rPr>
        <w:t>甲方通知后进行</w:t>
      </w:r>
      <w:r>
        <w:rPr>
          <w:rFonts w:hint="eastAsia" w:cs="宋体"/>
          <w:bCs/>
          <w:color w:val="auto"/>
          <w:sz w:val="22"/>
          <w:szCs w:val="22"/>
          <w:highlight w:val="none"/>
          <w:lang w:eastAsia="zh-CN"/>
        </w:rPr>
        <w:t>实施</w:t>
      </w:r>
      <w:r>
        <w:rPr>
          <w:rFonts w:hint="eastAsia" w:ascii="宋体" w:hAnsi="宋体" w:eastAsia="宋体" w:cs="宋体"/>
          <w:bCs/>
          <w:color w:val="auto"/>
          <w:sz w:val="22"/>
          <w:szCs w:val="22"/>
          <w:highlight w:val="none"/>
        </w:rPr>
        <w:t>安装调试。</w:t>
      </w:r>
    </w:p>
    <w:p w14:paraId="722DB352">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（2）安装地点：按</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要求。</w:t>
      </w:r>
    </w:p>
    <w:p w14:paraId="41A951DD">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（3）质量标准：</w:t>
      </w:r>
      <w:commentRangeStart w:id="1"/>
      <w:r>
        <w:rPr>
          <w:rFonts w:hint="eastAsia" w:ascii="宋体" w:hAnsi="宋体" w:eastAsia="宋体" w:cs="宋体"/>
          <w:bCs/>
          <w:color w:val="auto"/>
          <w:sz w:val="22"/>
          <w:szCs w:val="22"/>
          <w:highlight w:val="none"/>
        </w:rPr>
        <w:t>符合我国国家有关技术规范要求和技术标准。</w:t>
      </w:r>
      <w:commentRangeEnd w:id="1"/>
      <w:r>
        <w:rPr>
          <w:color w:val="auto"/>
          <w:highlight w:val="none"/>
        </w:rPr>
        <w:commentReference w:id="1"/>
      </w:r>
    </w:p>
    <w:p w14:paraId="0C52EDBB">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（4）</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须派技术人员提供送货及安装服务。送货、安装全过程中发生的所有费用由</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负责。</w:t>
      </w:r>
    </w:p>
    <w:p w14:paraId="3353121D">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en-US" w:eastAsia="zh-CN"/>
        </w:rPr>
        <w:t>5</w:t>
      </w: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安装完毕后要恢复安装现场并保持安装现场清洁。</w:t>
      </w:r>
    </w:p>
    <w:p w14:paraId="5F5F2F26">
      <w:pPr>
        <w:widowControl w:val="0"/>
        <w:adjustRightInd w:val="0"/>
        <w:snapToGrid w:val="0"/>
        <w:spacing w:line="408" w:lineRule="auto"/>
        <w:jc w:val="both"/>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val="en-US" w:eastAsia="zh-CN"/>
        </w:rPr>
        <w:t>八</w:t>
      </w:r>
      <w:r>
        <w:rPr>
          <w:rFonts w:hint="eastAsia" w:ascii="宋体" w:hAnsi="宋体" w:eastAsia="宋体" w:cs="宋体"/>
          <w:b/>
          <w:bCs w:val="0"/>
          <w:color w:val="auto"/>
          <w:sz w:val="22"/>
          <w:szCs w:val="22"/>
          <w:highlight w:val="none"/>
        </w:rPr>
        <w:t>、商务条款</w:t>
      </w:r>
    </w:p>
    <w:p w14:paraId="6258AA53">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1、履约保证金：合同签订后7个工作日内</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应当向</w:t>
      </w:r>
      <w:r>
        <w:rPr>
          <w:rFonts w:hint="eastAsia" w:ascii="宋体" w:hAnsi="宋体" w:eastAsia="宋体" w:cs="宋体"/>
          <w:bCs/>
          <w:color w:val="auto"/>
          <w:sz w:val="22"/>
          <w:szCs w:val="22"/>
          <w:highlight w:val="none"/>
          <w:lang w:val="en-US" w:eastAsia="zh-CN"/>
        </w:rPr>
        <w:t>甲方</w:t>
      </w:r>
      <w:r>
        <w:rPr>
          <w:rFonts w:hint="eastAsia"/>
          <w:bCs/>
          <w:color w:val="auto"/>
          <w:sz w:val="22"/>
          <w:szCs w:val="22"/>
          <w:highlight w:val="none"/>
        </w:rPr>
        <w:t>提供合同金额1%作为履约保证金</w:t>
      </w:r>
      <w:r>
        <w:rPr>
          <w:rFonts w:hint="eastAsia"/>
          <w:bCs/>
          <w:color w:val="auto"/>
          <w:sz w:val="22"/>
          <w:szCs w:val="22"/>
          <w:highlight w:val="none"/>
          <w:lang w:eastAsia="zh-CN"/>
        </w:rPr>
        <w:t>（</w:t>
      </w:r>
      <w:r>
        <w:rPr>
          <w:rFonts w:hint="eastAsia"/>
          <w:bCs/>
          <w:color w:val="auto"/>
          <w:sz w:val="22"/>
          <w:szCs w:val="22"/>
          <w:highlight w:val="none"/>
        </w:rPr>
        <w:t>以银行转账、支票、汇票、本票或者金融机构、担保机构出具的保函</w:t>
      </w:r>
      <w:r>
        <w:rPr>
          <w:rFonts w:hint="eastAsia"/>
          <w:bCs/>
          <w:color w:val="auto"/>
          <w:sz w:val="22"/>
          <w:szCs w:val="22"/>
          <w:highlight w:val="none"/>
          <w:lang w:val="en-US" w:eastAsia="zh-CN"/>
        </w:rPr>
        <w:t>的非现金方式</w:t>
      </w:r>
      <w:r>
        <w:rPr>
          <w:rFonts w:hint="eastAsia"/>
          <w:bCs/>
          <w:color w:val="auto"/>
          <w:sz w:val="22"/>
          <w:szCs w:val="22"/>
          <w:highlight w:val="none"/>
          <w:lang w:eastAsia="zh-CN"/>
        </w:rPr>
        <w:t>）。</w:t>
      </w:r>
      <w:r>
        <w:rPr>
          <w:rFonts w:hint="eastAsia" w:ascii="宋体" w:hAnsi="宋体" w:eastAsia="宋体" w:cs="宋体"/>
          <w:bCs/>
          <w:color w:val="auto"/>
          <w:sz w:val="22"/>
          <w:szCs w:val="22"/>
          <w:highlight w:val="none"/>
        </w:rPr>
        <w:t>如</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未在规定的时间内提交履约保证金则</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有权终止合同。</w:t>
      </w:r>
    </w:p>
    <w:p w14:paraId="5017B1D1">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2、支付方式和时间：</w:t>
      </w:r>
    </w:p>
    <w:p w14:paraId="1F80E264">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付款方式（具体按财政资金拨款情况或按实际签订的合同约定（须符合浙江省财政厅关于进一步发挥政府采购政策功能全力推动经济稳进提质的通知(浙财采监〔2022〕3号)相关规定）：</w:t>
      </w:r>
    </w:p>
    <w:p w14:paraId="50BA6A03">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（1）签订合同后七个工作日内，</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向</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支付合同价的40%作为预付款（在签订合同时，</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明确表示无需预付款或者主动要求降低预付款比例的，</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可不适用前述规定。</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rPr>
        <w:t>根据项目特点、</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诚信等因素，可以要求</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rPr>
        <w:t>提交银行、保险公司等金融机构出具的预付款保函或其他担保措施。政府采购预付款应在合同生效以及</w:t>
      </w:r>
      <w:commentRangeStart w:id="2"/>
      <w:r>
        <w:rPr>
          <w:rFonts w:hint="eastAsia" w:ascii="宋体" w:hAnsi="宋体" w:eastAsia="宋体" w:cs="宋体"/>
          <w:bCs/>
          <w:color w:val="auto"/>
          <w:sz w:val="22"/>
          <w:szCs w:val="22"/>
          <w:highlight w:val="none"/>
        </w:rPr>
        <w:t>具备实施条件</w:t>
      </w:r>
      <w:commentRangeEnd w:id="2"/>
      <w:r>
        <w:rPr>
          <w:color w:val="auto"/>
          <w:highlight w:val="none"/>
        </w:rPr>
        <w:commentReference w:id="2"/>
      </w:r>
      <w:r>
        <w:rPr>
          <w:rFonts w:hint="eastAsia" w:ascii="宋体" w:hAnsi="宋体" w:eastAsia="宋体" w:cs="宋体"/>
          <w:bCs/>
          <w:color w:val="auto"/>
          <w:sz w:val="22"/>
          <w:szCs w:val="22"/>
          <w:highlight w:val="none"/>
        </w:rPr>
        <w:t>后7个工作日内支付。）；</w:t>
      </w:r>
    </w:p>
    <w:p w14:paraId="71C26F07">
      <w:pPr>
        <w:spacing w:line="360" w:lineRule="auto"/>
        <w:ind w:firstLine="440" w:firstLineChars="200"/>
        <w:rPr>
          <w:rFonts w:hint="eastAsia"/>
          <w:color w:val="auto"/>
          <w:highlight w:val="none"/>
        </w:rPr>
      </w:pPr>
      <w:r>
        <w:rPr>
          <w:rFonts w:hint="eastAsia"/>
          <w:bCs/>
          <w:color w:val="auto"/>
          <w:sz w:val="22"/>
          <w:szCs w:val="22"/>
          <w:highlight w:val="none"/>
          <w:lang w:eastAsia="zh-CN"/>
        </w:rPr>
        <w:t>（</w:t>
      </w:r>
      <w:r>
        <w:rPr>
          <w:rFonts w:hint="eastAsia"/>
          <w:bCs/>
          <w:color w:val="auto"/>
          <w:sz w:val="22"/>
          <w:szCs w:val="22"/>
          <w:highlight w:val="none"/>
          <w:lang w:val="en-US" w:eastAsia="zh-CN"/>
        </w:rPr>
        <w:t>2</w:t>
      </w:r>
      <w:r>
        <w:rPr>
          <w:rFonts w:hint="eastAsia"/>
          <w:bCs/>
          <w:color w:val="auto"/>
          <w:sz w:val="22"/>
          <w:szCs w:val="22"/>
          <w:highlight w:val="none"/>
          <w:lang w:eastAsia="zh-CN"/>
        </w:rPr>
        <w:t>）</w:t>
      </w:r>
      <w:r>
        <w:rPr>
          <w:rFonts w:hint="eastAsia"/>
          <w:bCs/>
          <w:color w:val="auto"/>
          <w:sz w:val="22"/>
          <w:szCs w:val="22"/>
          <w:highlight w:val="none"/>
          <w:lang w:val="en-US" w:eastAsia="zh-CN"/>
        </w:rPr>
        <w:t>按</w:t>
      </w:r>
      <w:r>
        <w:rPr>
          <w:rFonts w:hint="eastAsia" w:ascii="宋体" w:hAnsi="宋体" w:eastAsia="宋体" w:cs="宋体"/>
          <w:bCs/>
          <w:color w:val="auto"/>
          <w:sz w:val="22"/>
          <w:szCs w:val="22"/>
          <w:highlight w:val="none"/>
          <w:lang w:val="en-US" w:eastAsia="zh-CN"/>
        </w:rPr>
        <w:t>甲方</w:t>
      </w:r>
      <w:r>
        <w:rPr>
          <w:rFonts w:hint="eastAsia"/>
          <w:bCs/>
          <w:color w:val="auto"/>
          <w:sz w:val="22"/>
          <w:szCs w:val="22"/>
          <w:highlight w:val="none"/>
          <w:lang w:val="en-US" w:eastAsia="zh-CN"/>
        </w:rPr>
        <w:t>要求</w:t>
      </w:r>
      <w:r>
        <w:rPr>
          <w:rFonts w:hint="eastAsia"/>
          <w:bCs/>
          <w:color w:val="auto"/>
          <w:sz w:val="22"/>
          <w:szCs w:val="22"/>
          <w:highlight w:val="none"/>
        </w:rPr>
        <w:t>进行</w:t>
      </w:r>
      <w:r>
        <w:rPr>
          <w:rFonts w:hint="eastAsia"/>
          <w:bCs/>
          <w:color w:val="auto"/>
          <w:sz w:val="22"/>
          <w:szCs w:val="22"/>
          <w:highlight w:val="none"/>
          <w:lang w:eastAsia="zh-CN"/>
        </w:rPr>
        <w:t>实施，</w:t>
      </w:r>
      <w:r>
        <w:rPr>
          <w:rFonts w:hint="eastAsia"/>
          <w:bCs/>
          <w:color w:val="auto"/>
          <w:sz w:val="22"/>
          <w:szCs w:val="22"/>
          <w:highlight w:val="none"/>
          <w:lang w:val="en-US" w:eastAsia="zh-CN"/>
        </w:rPr>
        <w:t>待整个项目履约验收合格后</w:t>
      </w:r>
      <w:r>
        <w:rPr>
          <w:rFonts w:hint="eastAsia"/>
          <w:bCs/>
          <w:color w:val="auto"/>
          <w:sz w:val="22"/>
          <w:szCs w:val="22"/>
          <w:highlight w:val="none"/>
        </w:rPr>
        <w:t>并办理项目结算核审后</w:t>
      </w:r>
      <w:r>
        <w:rPr>
          <w:rFonts w:hint="eastAsia"/>
          <w:bCs/>
          <w:color w:val="auto"/>
          <w:sz w:val="22"/>
          <w:szCs w:val="22"/>
          <w:highlight w:val="none"/>
          <w:lang w:val="en-US" w:eastAsia="zh-CN"/>
        </w:rPr>
        <w:t>支付</w:t>
      </w:r>
      <w:r>
        <w:rPr>
          <w:rFonts w:hint="eastAsia"/>
          <w:bCs/>
          <w:color w:val="auto"/>
          <w:sz w:val="22"/>
          <w:szCs w:val="22"/>
          <w:highlight w:val="none"/>
        </w:rPr>
        <w:t>至该结算价的</w:t>
      </w:r>
      <w:r>
        <w:rPr>
          <w:rFonts w:hint="eastAsia"/>
          <w:bCs/>
          <w:color w:val="auto"/>
          <w:sz w:val="22"/>
          <w:szCs w:val="22"/>
          <w:highlight w:val="none"/>
          <w:lang w:val="en-US" w:eastAsia="zh-CN"/>
        </w:rPr>
        <w:t>100</w:t>
      </w:r>
      <w:r>
        <w:rPr>
          <w:rFonts w:hint="eastAsia"/>
          <w:bCs/>
          <w:color w:val="auto"/>
          <w:sz w:val="22"/>
          <w:szCs w:val="22"/>
          <w:highlight w:val="none"/>
        </w:rPr>
        <w:t>%。</w:t>
      </w:r>
    </w:p>
    <w:p w14:paraId="4E57ED99">
      <w:pPr>
        <w:widowControl w:val="0"/>
        <w:adjustRightInd w:val="0"/>
        <w:snapToGrid w:val="0"/>
        <w:spacing w:line="408" w:lineRule="auto"/>
        <w:jc w:val="both"/>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val="en-US" w:eastAsia="zh-CN"/>
        </w:rPr>
        <w:t>九</w:t>
      </w:r>
      <w:r>
        <w:rPr>
          <w:rFonts w:hint="eastAsia" w:ascii="宋体" w:hAnsi="宋体" w:eastAsia="宋体" w:cs="宋体"/>
          <w:b/>
          <w:bCs w:val="0"/>
          <w:color w:val="auto"/>
          <w:sz w:val="22"/>
          <w:szCs w:val="22"/>
          <w:highlight w:val="none"/>
          <w:lang w:eastAsia="zh-CN"/>
        </w:rPr>
        <w:t>、</w:t>
      </w:r>
      <w:r>
        <w:rPr>
          <w:rFonts w:hint="eastAsia" w:ascii="宋体" w:hAnsi="宋体" w:eastAsia="宋体" w:cs="宋体"/>
          <w:b/>
          <w:bCs w:val="0"/>
          <w:color w:val="auto"/>
          <w:sz w:val="22"/>
          <w:szCs w:val="22"/>
          <w:highlight w:val="none"/>
        </w:rPr>
        <w:t>验收（验收费用由乙方负责）</w:t>
      </w:r>
    </w:p>
    <w:p w14:paraId="404D5BE2">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en-US" w:eastAsia="zh-CN"/>
        </w:rPr>
        <w:t>1、验收要求：</w:t>
      </w:r>
    </w:p>
    <w:p w14:paraId="6BF81D07">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w:t>
      </w:r>
      <w:r>
        <w:rPr>
          <w:rFonts w:hint="eastAsia" w:ascii="宋体" w:hAnsi="宋体" w:eastAsia="宋体" w:cs="宋体"/>
          <w:bCs/>
          <w:color w:val="auto"/>
          <w:sz w:val="22"/>
          <w:szCs w:val="22"/>
          <w:highlight w:val="none"/>
          <w:lang w:val="en-US" w:eastAsia="zh-CN"/>
        </w:rPr>
        <w:t>1</w:t>
      </w:r>
      <w:r>
        <w:rPr>
          <w:rFonts w:hint="eastAsia" w:ascii="宋体" w:hAnsi="宋体" w:eastAsia="宋体" w:cs="宋体"/>
          <w:bCs/>
          <w:color w:val="auto"/>
          <w:sz w:val="22"/>
          <w:szCs w:val="22"/>
          <w:highlight w:val="none"/>
          <w:lang w:val="zh-CN" w:eastAsia="zh-CN"/>
        </w:rPr>
        <w:t>）政府采购项目无论金额大小，都要进行履约验收，履约验收工作由</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lang w:val="zh-CN" w:eastAsia="zh-CN"/>
        </w:rPr>
        <w:t>负责。</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lang w:val="zh-CN" w:eastAsia="zh-CN"/>
        </w:rPr>
        <w:t>可以根据采购项目具体情况自行组织验收，或者委托采购代理机构组织验收，但委托验收不能免除</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lang w:val="zh-CN" w:eastAsia="zh-CN"/>
        </w:rPr>
        <w:t>应当承担的法律责任。</w:t>
      </w:r>
    </w:p>
    <w:p w14:paraId="678FAE7C">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zh-CN" w:eastAsia="zh-CN"/>
        </w:rPr>
        <w:t>（</w:t>
      </w:r>
      <w:r>
        <w:rPr>
          <w:rFonts w:hint="eastAsia" w:ascii="宋体" w:hAnsi="宋体" w:eastAsia="宋体" w:cs="宋体"/>
          <w:bCs/>
          <w:color w:val="auto"/>
          <w:sz w:val="22"/>
          <w:szCs w:val="22"/>
          <w:highlight w:val="none"/>
          <w:lang w:val="en-US" w:eastAsia="zh-CN"/>
        </w:rPr>
        <w:t>2</w:t>
      </w:r>
      <w:r>
        <w:rPr>
          <w:rFonts w:hint="eastAsia" w:ascii="宋体" w:hAnsi="宋体" w:eastAsia="宋体" w:cs="宋体"/>
          <w:bCs/>
          <w:color w:val="auto"/>
          <w:sz w:val="22"/>
          <w:szCs w:val="22"/>
          <w:highlight w:val="none"/>
          <w:lang w:val="zh-CN" w:eastAsia="zh-CN"/>
        </w:rPr>
        <w:t>）</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lang w:val="zh-CN" w:eastAsia="zh-CN"/>
        </w:rPr>
        <w:t>对</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lang w:val="zh-CN" w:eastAsia="zh-CN"/>
        </w:rPr>
        <w:t>的履约验收应按《温州市政府采购履约验收办法》执行。</w:t>
      </w:r>
    </w:p>
    <w:p w14:paraId="4360E9B7">
      <w:pPr>
        <w:widowControl w:val="0"/>
        <w:adjustRightInd w:val="0"/>
        <w:snapToGrid w:val="0"/>
        <w:spacing w:line="408" w:lineRule="auto"/>
        <w:jc w:val="both"/>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val="en-US" w:eastAsia="zh-CN"/>
        </w:rPr>
        <w:t>十</w:t>
      </w:r>
      <w:r>
        <w:rPr>
          <w:rFonts w:hint="eastAsia" w:ascii="宋体" w:hAnsi="宋体" w:eastAsia="宋体" w:cs="宋体"/>
          <w:b/>
          <w:bCs w:val="0"/>
          <w:color w:val="auto"/>
          <w:sz w:val="22"/>
          <w:szCs w:val="22"/>
          <w:highlight w:val="none"/>
          <w:lang w:eastAsia="zh-CN"/>
        </w:rPr>
        <w:t>、</w:t>
      </w:r>
      <w:r>
        <w:rPr>
          <w:rFonts w:hint="eastAsia" w:ascii="宋体" w:hAnsi="宋体" w:eastAsia="宋体" w:cs="宋体"/>
          <w:b/>
          <w:bCs w:val="0"/>
          <w:color w:val="auto"/>
          <w:sz w:val="22"/>
          <w:szCs w:val="22"/>
          <w:highlight w:val="none"/>
        </w:rPr>
        <w:t>权利和义务</w:t>
      </w:r>
    </w:p>
    <w:p w14:paraId="00D7FBB2">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（一）甲方权利与义务</w:t>
      </w:r>
    </w:p>
    <w:p w14:paraId="0842D11E">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1、甲方对乙方的本次服务项目进行全面的技术指导、检查、管理和监督，对检查中发现的质量问题及时向乙方提出书面或口头改进意见，直至终止本合同。</w:t>
      </w:r>
    </w:p>
    <w:p w14:paraId="79659CB3">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2、甲方监督检查乙方落实安全防火和安全生产措施。</w:t>
      </w:r>
    </w:p>
    <w:p w14:paraId="2CBF23E8">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3、甲方可要求乙方调整不合格员工。</w:t>
      </w:r>
    </w:p>
    <w:p w14:paraId="18EDEA30">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4、甲方应按时支付款项。本合同的服务经费由政府拨款，如因政策影响，拨款未能及时到位，乙方不得以此为由而不履行本合同规定的义务。</w:t>
      </w:r>
    </w:p>
    <w:p w14:paraId="25D808EB">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（二）乙方权利和义务</w:t>
      </w:r>
    </w:p>
    <w:p w14:paraId="4AC25500">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1、乙方有权根据承包合同按期领取</w:t>
      </w:r>
      <w:r>
        <w:rPr>
          <w:rFonts w:hint="eastAsia" w:ascii="宋体" w:hAnsi="宋体" w:eastAsia="宋体" w:cs="宋体"/>
          <w:bCs/>
          <w:color w:val="auto"/>
          <w:sz w:val="22"/>
          <w:szCs w:val="22"/>
          <w:highlight w:val="none"/>
          <w:lang w:eastAsia="zh-CN"/>
        </w:rPr>
        <w:t>服务款</w:t>
      </w:r>
      <w:r>
        <w:rPr>
          <w:rFonts w:hint="eastAsia" w:ascii="宋体" w:hAnsi="宋体" w:eastAsia="宋体" w:cs="宋体"/>
          <w:bCs/>
          <w:color w:val="auto"/>
          <w:sz w:val="22"/>
          <w:szCs w:val="22"/>
          <w:highlight w:val="none"/>
        </w:rPr>
        <w:t>。</w:t>
      </w:r>
    </w:p>
    <w:p w14:paraId="3D6EA1D2">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2、乙方</w:t>
      </w:r>
      <w:r>
        <w:rPr>
          <w:rFonts w:hint="eastAsia" w:ascii="宋体" w:hAnsi="宋体" w:eastAsia="宋体" w:cs="宋体"/>
          <w:bCs/>
          <w:color w:val="auto"/>
          <w:sz w:val="22"/>
          <w:szCs w:val="22"/>
          <w:highlight w:val="none"/>
          <w:lang w:val="en-US" w:eastAsia="zh-CN"/>
        </w:rPr>
        <w:t>按照本合同约定</w:t>
      </w:r>
      <w:r>
        <w:rPr>
          <w:rFonts w:hint="eastAsia" w:ascii="宋体" w:hAnsi="宋体" w:eastAsia="宋体" w:cs="宋体"/>
          <w:bCs/>
          <w:color w:val="auto"/>
          <w:sz w:val="22"/>
          <w:szCs w:val="22"/>
          <w:highlight w:val="none"/>
        </w:rPr>
        <w:t>参加由甲方组织的检查和综合考评。</w:t>
      </w:r>
    </w:p>
    <w:p w14:paraId="465076DF">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3、乙方应接受甲方的检查监督及指导。</w:t>
      </w:r>
    </w:p>
    <w:p w14:paraId="7FEA1337">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4、按甲方的要求开展工作，如有改变，乙方应提出书面申请，并征得甲方的书面同意。</w:t>
      </w:r>
    </w:p>
    <w:p w14:paraId="25960E44">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5、乙方负责作业过程中员工安全及事故处理和一切费用。</w:t>
      </w:r>
    </w:p>
    <w:p w14:paraId="4A70517A">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6、乙方不得有弄虚作假及其不正当行为。</w:t>
      </w:r>
    </w:p>
    <w:p w14:paraId="71019A72">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8、在合同期内，因国家建设需要调整乙方管理任务时，</w:t>
      </w:r>
      <w:r>
        <w:rPr>
          <w:rFonts w:hint="eastAsia"/>
          <w:color w:val="auto"/>
          <w:highlight w:val="none"/>
          <w:lang w:val="en-US" w:eastAsia="zh-CN"/>
        </w:rPr>
        <w:t>乙方应积极配合</w:t>
      </w:r>
      <w:r>
        <w:rPr>
          <w:rFonts w:hint="eastAsia" w:ascii="宋体" w:hAnsi="宋体" w:eastAsia="宋体" w:cs="宋体"/>
          <w:bCs/>
          <w:color w:val="auto"/>
          <w:sz w:val="22"/>
          <w:szCs w:val="22"/>
          <w:highlight w:val="none"/>
        </w:rPr>
        <w:t>，相应增减承包事项及经费。由此造成的经济损失，甲方不负赔偿责任。</w:t>
      </w:r>
    </w:p>
    <w:p w14:paraId="2CFE45D9">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9</w:t>
      </w:r>
      <w:r>
        <w:rPr>
          <w:rFonts w:hint="eastAsia" w:ascii="宋体" w:hAnsi="宋体" w:eastAsia="宋体" w:cs="宋体"/>
          <w:bCs/>
          <w:color w:val="auto"/>
          <w:sz w:val="22"/>
          <w:szCs w:val="22"/>
          <w:highlight w:val="none"/>
        </w:rPr>
        <w:t>、乙方承诺在承包服务期内，在执行事务过程中，加强消除现场风险隐患，全力确保现场安全。</w:t>
      </w:r>
    </w:p>
    <w:p w14:paraId="43B96577">
      <w:pPr>
        <w:widowControl w:val="0"/>
        <w:adjustRightInd w:val="0"/>
        <w:snapToGrid w:val="0"/>
        <w:spacing w:line="408" w:lineRule="auto"/>
        <w:jc w:val="both"/>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val="en-US" w:eastAsia="zh-CN"/>
        </w:rPr>
        <w:t>十一、合同生效和终止</w:t>
      </w:r>
      <w:r>
        <w:rPr>
          <w:rFonts w:hint="eastAsia" w:ascii="宋体" w:hAnsi="宋体" w:eastAsia="宋体" w:cs="宋体"/>
          <w:b/>
          <w:bCs w:val="0"/>
          <w:color w:val="auto"/>
          <w:sz w:val="22"/>
          <w:szCs w:val="22"/>
          <w:highlight w:val="none"/>
        </w:rPr>
        <w:t>：</w:t>
      </w:r>
    </w:p>
    <w:p w14:paraId="0FE1A575">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（一）合同生效：本合同自甲乙双方法定代表人签字、盖章之日起生效。</w:t>
      </w:r>
    </w:p>
    <w:p w14:paraId="50E962DC">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（二）合同终止：本项目有下列情形的，</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lang w:val="zh-CN" w:eastAsia="zh-CN"/>
        </w:rPr>
        <w:t>有权终止合同：</w:t>
      </w:r>
    </w:p>
    <w:p w14:paraId="7DA8C047">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 xml:space="preserve">1）本项目遇不可抗力影响或法律、法规、国家政策重大调整影响合同无法执行的； </w:t>
      </w:r>
    </w:p>
    <w:p w14:paraId="1D4EDF4D">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2）</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lang w:val="zh-CN" w:eastAsia="zh-CN"/>
        </w:rPr>
        <w:t>对监管人员，考核成员有行贿或其它利益输送行为的。</w:t>
      </w:r>
    </w:p>
    <w:p w14:paraId="7BF9162E">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3）按相关法律、法规、招标文件规定及考核办法，有下列情形之一的，</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lang w:val="zh-CN" w:eastAsia="zh-CN"/>
        </w:rPr>
        <w:t>有权终止合同：</w:t>
      </w:r>
    </w:p>
    <w:p w14:paraId="6577D69A">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（1）全年有两次被严重警告或三次被警告（含一次严重警告，两次警告）的承包单位，</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lang w:val="zh-CN" w:eastAsia="zh-CN"/>
        </w:rPr>
        <w:t>有权无责任终止采购合同。</w:t>
      </w:r>
    </w:p>
    <w:p w14:paraId="23DD769C">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（2）二次平均考核得分率低于</w:t>
      </w:r>
      <w:r>
        <w:rPr>
          <w:rFonts w:hint="eastAsia" w:ascii="宋体" w:hAnsi="宋体" w:eastAsia="宋体" w:cs="宋体"/>
          <w:bCs/>
          <w:color w:val="auto"/>
          <w:sz w:val="22"/>
          <w:szCs w:val="22"/>
          <w:highlight w:val="none"/>
          <w:lang w:val="en-US" w:eastAsia="zh-CN"/>
        </w:rPr>
        <w:t>75</w:t>
      </w:r>
      <w:r>
        <w:rPr>
          <w:rFonts w:hint="eastAsia" w:ascii="宋体" w:hAnsi="宋体" w:eastAsia="宋体" w:cs="宋体"/>
          <w:bCs/>
          <w:color w:val="auto"/>
          <w:sz w:val="22"/>
          <w:szCs w:val="22"/>
          <w:highlight w:val="none"/>
          <w:lang w:val="zh-CN" w:eastAsia="zh-CN"/>
        </w:rPr>
        <w:t>%（不含）的，</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lang w:val="zh-CN" w:eastAsia="zh-CN"/>
        </w:rPr>
        <w:t>有权无责任终止采购合同。</w:t>
      </w:r>
    </w:p>
    <w:p w14:paraId="4F044084">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（3）经有关部门认定严重违反劳动法，造成恶劣影响的；或其它因违法经营受到刑事处罚或者责令停产停业、吊销许可证或者执照、较大数额罚款等行政处罚的。</w:t>
      </w:r>
    </w:p>
    <w:p w14:paraId="09AD8D29">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（4）其它弄虚作假及其他不正当行为。</w:t>
      </w:r>
    </w:p>
    <w:p w14:paraId="7F2CC48F">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（5）合同履约期间，</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lang w:val="zh-CN" w:eastAsia="zh-CN"/>
        </w:rPr>
        <w:t>法人组织破产，或重组变更法人主体的；</w:t>
      </w:r>
    </w:p>
    <w:p w14:paraId="5E38ACDC">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（6）根据招标文件及合同约定，其它终止合同的规定，其它法律规定的终止情形。</w:t>
      </w:r>
    </w:p>
    <w:p w14:paraId="2A2EBCFD">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zh-CN" w:eastAsia="zh-CN"/>
        </w:rPr>
        <w:t>（</w:t>
      </w:r>
      <w:r>
        <w:rPr>
          <w:rFonts w:hint="eastAsia" w:ascii="宋体" w:hAnsi="宋体" w:eastAsia="宋体" w:cs="宋体"/>
          <w:bCs/>
          <w:color w:val="auto"/>
          <w:sz w:val="22"/>
          <w:szCs w:val="22"/>
          <w:highlight w:val="none"/>
          <w:lang w:val="en-US" w:eastAsia="zh-CN"/>
        </w:rPr>
        <w:t>7</w:t>
      </w:r>
      <w:r>
        <w:rPr>
          <w:rFonts w:hint="eastAsia" w:ascii="宋体" w:hAnsi="宋体" w:eastAsia="宋体" w:cs="宋体"/>
          <w:bCs/>
          <w:color w:val="auto"/>
          <w:sz w:val="22"/>
          <w:szCs w:val="22"/>
          <w:highlight w:val="none"/>
          <w:lang w:val="zh-CN" w:eastAsia="zh-CN"/>
        </w:rPr>
        <w:t>）由于</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lang w:val="zh-CN" w:eastAsia="zh-CN"/>
        </w:rPr>
        <w:t>原因造成</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lang w:val="zh-CN" w:eastAsia="zh-CN"/>
        </w:rPr>
        <w:t>经济损失的，所造成的损失由</w:t>
      </w:r>
      <w:r>
        <w:rPr>
          <w:rFonts w:hint="eastAsia" w:ascii="宋体" w:hAnsi="宋体" w:eastAsia="宋体" w:cs="宋体"/>
          <w:bCs/>
          <w:color w:val="auto"/>
          <w:sz w:val="22"/>
          <w:szCs w:val="22"/>
          <w:highlight w:val="none"/>
          <w:lang w:val="en-US" w:eastAsia="zh-CN"/>
        </w:rPr>
        <w:t>乙方</w:t>
      </w:r>
      <w:r>
        <w:rPr>
          <w:rFonts w:hint="eastAsia" w:ascii="宋体" w:hAnsi="宋体" w:eastAsia="宋体" w:cs="宋体"/>
          <w:bCs/>
          <w:color w:val="auto"/>
          <w:sz w:val="22"/>
          <w:szCs w:val="22"/>
          <w:highlight w:val="none"/>
          <w:lang w:val="zh-CN" w:eastAsia="zh-CN"/>
        </w:rPr>
        <w:t>承担；同时</w:t>
      </w:r>
      <w:r>
        <w:rPr>
          <w:rFonts w:hint="eastAsia" w:ascii="宋体" w:hAnsi="宋体" w:eastAsia="宋体" w:cs="宋体"/>
          <w:bCs/>
          <w:color w:val="auto"/>
          <w:sz w:val="22"/>
          <w:szCs w:val="22"/>
          <w:highlight w:val="none"/>
          <w:lang w:val="en-US" w:eastAsia="zh-CN"/>
        </w:rPr>
        <w:t>甲方</w:t>
      </w:r>
      <w:r>
        <w:rPr>
          <w:rFonts w:hint="eastAsia" w:ascii="宋体" w:hAnsi="宋体" w:eastAsia="宋体" w:cs="宋体"/>
          <w:bCs/>
          <w:color w:val="auto"/>
          <w:sz w:val="22"/>
          <w:szCs w:val="22"/>
          <w:highlight w:val="none"/>
          <w:lang w:val="zh-CN" w:eastAsia="zh-CN"/>
        </w:rPr>
        <w:t>有权终止合同。</w:t>
      </w:r>
    </w:p>
    <w:p w14:paraId="484C8293">
      <w:pPr>
        <w:widowControl w:val="0"/>
        <w:adjustRightInd w:val="0"/>
        <w:snapToGrid w:val="0"/>
        <w:spacing w:line="408" w:lineRule="auto"/>
        <w:jc w:val="both"/>
        <w:rPr>
          <w:rFonts w:hint="eastAsia" w:ascii="宋体" w:hAnsi="宋体" w:eastAsia="宋体" w:cs="宋体"/>
          <w:b/>
          <w:bCs w:val="0"/>
          <w:color w:val="auto"/>
          <w:sz w:val="22"/>
          <w:szCs w:val="22"/>
          <w:highlight w:val="none"/>
          <w:lang w:val="en-US" w:eastAsia="zh-CN"/>
        </w:rPr>
      </w:pPr>
      <w:r>
        <w:rPr>
          <w:rFonts w:hint="eastAsia" w:ascii="宋体" w:hAnsi="宋体" w:eastAsia="宋体" w:cs="宋体"/>
          <w:b/>
          <w:bCs w:val="0"/>
          <w:color w:val="auto"/>
          <w:sz w:val="22"/>
          <w:szCs w:val="22"/>
          <w:highlight w:val="none"/>
          <w:lang w:val="en-US" w:eastAsia="zh-CN"/>
        </w:rPr>
        <w:t>十二、转包或分包</w:t>
      </w:r>
    </w:p>
    <w:p w14:paraId="7554EC92">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本合同范围的服务，应由乙方直接供应，不得转让或分包他人供应。</w:t>
      </w:r>
    </w:p>
    <w:p w14:paraId="27923BE6">
      <w:pPr>
        <w:widowControl w:val="0"/>
        <w:adjustRightInd w:val="0"/>
        <w:snapToGrid w:val="0"/>
        <w:spacing w:line="408" w:lineRule="auto"/>
        <w:jc w:val="both"/>
        <w:rPr>
          <w:rFonts w:hint="eastAsia" w:ascii="宋体" w:hAnsi="宋体" w:eastAsia="宋体" w:cs="宋体"/>
          <w:b/>
          <w:bCs w:val="0"/>
          <w:color w:val="auto"/>
          <w:sz w:val="22"/>
          <w:szCs w:val="22"/>
          <w:highlight w:val="none"/>
          <w:lang w:val="en-US" w:eastAsia="zh-CN"/>
        </w:rPr>
      </w:pPr>
      <w:r>
        <w:rPr>
          <w:rFonts w:hint="eastAsia" w:ascii="宋体" w:hAnsi="宋体" w:eastAsia="宋体" w:cs="宋体"/>
          <w:b/>
          <w:bCs w:val="0"/>
          <w:color w:val="auto"/>
          <w:sz w:val="22"/>
          <w:szCs w:val="22"/>
          <w:highlight w:val="none"/>
          <w:lang w:val="en-US" w:eastAsia="zh-CN"/>
        </w:rPr>
        <w:t>十三、违约责任</w:t>
      </w:r>
    </w:p>
    <w:p w14:paraId="46526DA5">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1、甲方无正当理由拒收接受服务的，甲方向乙方偿付合同款项百分之五作为违约金。</w:t>
      </w:r>
    </w:p>
    <w:p w14:paraId="31F6A4FB">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2、乙方</w:t>
      </w:r>
      <w:r>
        <w:rPr>
          <w:rFonts w:hint="eastAsia" w:ascii="宋体" w:hAnsi="宋体" w:eastAsia="宋体" w:cs="宋体"/>
          <w:bCs/>
          <w:color w:val="auto"/>
          <w:sz w:val="22"/>
          <w:szCs w:val="22"/>
          <w:highlight w:val="none"/>
          <w:lang w:val="en-US" w:eastAsia="zh-CN"/>
        </w:rPr>
        <w:t>未按甲方要求开始</w:t>
      </w:r>
      <w:r>
        <w:rPr>
          <w:rFonts w:hint="eastAsia" w:ascii="宋体" w:hAnsi="宋体" w:eastAsia="宋体" w:cs="宋体"/>
          <w:bCs/>
          <w:color w:val="auto"/>
          <w:sz w:val="22"/>
          <w:szCs w:val="22"/>
          <w:highlight w:val="none"/>
          <w:lang w:val="zh-CN" w:eastAsia="zh-CN"/>
        </w:rPr>
        <w:t>期提供服务的，</w:t>
      </w:r>
      <w:r>
        <w:rPr>
          <w:rFonts w:hint="eastAsia" w:ascii="宋体" w:hAnsi="宋体" w:eastAsia="宋体" w:cs="宋体"/>
          <w:bCs/>
          <w:color w:val="auto"/>
          <w:sz w:val="22"/>
          <w:szCs w:val="22"/>
          <w:highlight w:val="none"/>
          <w:lang w:val="en-US" w:eastAsia="zh-CN"/>
        </w:rPr>
        <w:t>逾期</w:t>
      </w:r>
      <w:r>
        <w:rPr>
          <w:rFonts w:hint="eastAsia" w:ascii="宋体" w:hAnsi="宋体" w:eastAsia="宋体" w:cs="宋体"/>
          <w:bCs/>
          <w:color w:val="auto"/>
          <w:sz w:val="22"/>
          <w:szCs w:val="22"/>
          <w:highlight w:val="none"/>
          <w:lang w:val="zh-CN" w:eastAsia="zh-CN"/>
        </w:rPr>
        <w:t>每日向甲方支付合同款项的万分之五作为违约金。乙方超过约定日期10个工作日仍不能提供服务的，甲方可解除本合同。乙方因未能如期提供服务或因其他违约行为导致甲方解除合同的，乙方应向甲方支付合同总值</w:t>
      </w:r>
      <w:r>
        <w:rPr>
          <w:rFonts w:hint="eastAsia" w:ascii="宋体" w:hAnsi="宋体" w:eastAsia="宋体" w:cs="宋体"/>
          <w:bCs/>
          <w:color w:val="auto"/>
          <w:sz w:val="22"/>
          <w:szCs w:val="22"/>
          <w:highlight w:val="none"/>
          <w:lang w:val="en-US" w:eastAsia="zh-CN"/>
        </w:rPr>
        <w:t>20</w:t>
      </w:r>
      <w:r>
        <w:rPr>
          <w:rFonts w:hint="eastAsia" w:ascii="宋体" w:hAnsi="宋体" w:eastAsia="宋体" w:cs="宋体"/>
          <w:bCs/>
          <w:color w:val="auto"/>
          <w:sz w:val="22"/>
          <w:szCs w:val="22"/>
          <w:highlight w:val="none"/>
          <w:lang w:val="zh-CN" w:eastAsia="zh-CN"/>
        </w:rPr>
        <w:t>%的违约金，如造成甲方损失超过违约金的，超出部分由乙方继续承担赔偿责任。</w:t>
      </w:r>
    </w:p>
    <w:p w14:paraId="4ACF5CE6">
      <w:pPr>
        <w:widowControl w:val="0"/>
        <w:adjustRightInd w:val="0"/>
        <w:snapToGrid w:val="0"/>
        <w:spacing w:line="408" w:lineRule="auto"/>
        <w:ind w:firstLine="431" w:firstLineChars="196"/>
        <w:jc w:val="both"/>
        <w:rPr>
          <w:rFonts w:hint="default"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3、乙方在设备安装调试完毕后，配合甲方验收、考核，甲方按《鳌江镇塘川高速互通路网交通安全设施项目实时动态考核评分细则》（后附）规定评分。具体违约责任约定，见《评分细则》内容。</w:t>
      </w:r>
    </w:p>
    <w:p w14:paraId="28FDE674">
      <w:pPr>
        <w:widowControl w:val="0"/>
        <w:adjustRightInd w:val="0"/>
        <w:snapToGrid w:val="0"/>
        <w:spacing w:line="408" w:lineRule="auto"/>
        <w:jc w:val="both"/>
        <w:rPr>
          <w:rFonts w:hint="eastAsia" w:ascii="宋体" w:hAnsi="宋体" w:eastAsia="宋体" w:cs="宋体"/>
          <w:b/>
          <w:bCs w:val="0"/>
          <w:color w:val="auto"/>
          <w:sz w:val="22"/>
          <w:szCs w:val="22"/>
          <w:highlight w:val="none"/>
          <w:lang w:val="zh-CN" w:eastAsia="zh-CN"/>
        </w:rPr>
      </w:pPr>
      <w:r>
        <w:rPr>
          <w:rFonts w:hint="eastAsia" w:ascii="宋体" w:hAnsi="宋体" w:eastAsia="宋体" w:cs="宋体"/>
          <w:b/>
          <w:bCs w:val="0"/>
          <w:color w:val="auto"/>
          <w:sz w:val="22"/>
          <w:szCs w:val="22"/>
          <w:highlight w:val="none"/>
          <w:lang w:val="zh-CN" w:eastAsia="zh-CN"/>
        </w:rPr>
        <w:t>十</w:t>
      </w:r>
      <w:r>
        <w:rPr>
          <w:rFonts w:hint="eastAsia" w:ascii="宋体" w:hAnsi="宋体" w:eastAsia="宋体" w:cs="宋体"/>
          <w:b/>
          <w:bCs w:val="0"/>
          <w:color w:val="auto"/>
          <w:sz w:val="22"/>
          <w:szCs w:val="22"/>
          <w:highlight w:val="none"/>
          <w:lang w:val="en-US" w:eastAsia="zh-CN"/>
        </w:rPr>
        <w:t>四</w:t>
      </w:r>
      <w:r>
        <w:rPr>
          <w:rFonts w:hint="eastAsia" w:ascii="宋体" w:hAnsi="宋体" w:eastAsia="宋体" w:cs="宋体"/>
          <w:b/>
          <w:bCs w:val="0"/>
          <w:color w:val="auto"/>
          <w:sz w:val="22"/>
          <w:szCs w:val="22"/>
          <w:highlight w:val="none"/>
          <w:lang w:val="zh-CN" w:eastAsia="zh-CN"/>
        </w:rPr>
        <w:t>、不可抗力事件处理</w:t>
      </w:r>
    </w:p>
    <w:p w14:paraId="5E97AAD4">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1、在合同有效期内，任何一方因不可抗力事件导致不能履行合同，则合同履行期可延长，其延长期与不可抗力影响期相同。</w:t>
      </w:r>
    </w:p>
    <w:p w14:paraId="69936DEC">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2、不可抗力事件发生后，应立即通知对方，并寄送有关权威机构出具的证明。</w:t>
      </w:r>
    </w:p>
    <w:p w14:paraId="08912B74">
      <w:pPr>
        <w:widowControl w:val="0"/>
        <w:adjustRightInd w:val="0"/>
        <w:snapToGrid w:val="0"/>
        <w:spacing w:line="408" w:lineRule="auto"/>
        <w:ind w:firstLine="431" w:firstLineChars="196"/>
        <w:jc w:val="both"/>
        <w:rPr>
          <w:rFonts w:hint="eastAsia" w:ascii="宋体" w:hAnsi="宋体" w:eastAsia="宋体" w:cs="宋体"/>
          <w:b w:val="0"/>
          <w:bCs/>
          <w:color w:val="auto"/>
          <w:sz w:val="22"/>
          <w:szCs w:val="22"/>
          <w:highlight w:val="none"/>
          <w:lang w:val="zh-CN" w:eastAsia="zh-CN"/>
        </w:rPr>
      </w:pPr>
      <w:r>
        <w:rPr>
          <w:rFonts w:hint="eastAsia" w:ascii="宋体" w:hAnsi="宋体" w:eastAsia="宋体" w:cs="宋体"/>
          <w:b w:val="0"/>
          <w:bCs/>
          <w:color w:val="auto"/>
          <w:sz w:val="22"/>
          <w:szCs w:val="22"/>
          <w:highlight w:val="none"/>
          <w:lang w:val="zh-CN" w:eastAsia="zh-CN"/>
        </w:rPr>
        <w:t>3、不可抗力事件延续120天以上，双方应通过友好协商，确定是否继续履行合同。</w:t>
      </w:r>
    </w:p>
    <w:p w14:paraId="6C7FCA1F">
      <w:pPr>
        <w:widowControl w:val="0"/>
        <w:adjustRightInd w:val="0"/>
        <w:snapToGrid w:val="0"/>
        <w:spacing w:line="408" w:lineRule="auto"/>
        <w:jc w:val="both"/>
        <w:rPr>
          <w:rFonts w:hint="eastAsia" w:ascii="宋体" w:hAnsi="宋体" w:eastAsia="宋体" w:cs="宋体"/>
          <w:b/>
          <w:bCs w:val="0"/>
          <w:color w:val="auto"/>
          <w:sz w:val="22"/>
          <w:szCs w:val="22"/>
          <w:highlight w:val="none"/>
          <w:lang w:val="zh-CN" w:eastAsia="zh-CN"/>
        </w:rPr>
      </w:pPr>
      <w:r>
        <w:rPr>
          <w:rFonts w:hint="eastAsia" w:ascii="宋体" w:hAnsi="宋体" w:eastAsia="宋体" w:cs="宋体"/>
          <w:b/>
          <w:bCs w:val="0"/>
          <w:color w:val="auto"/>
          <w:sz w:val="22"/>
          <w:szCs w:val="22"/>
          <w:highlight w:val="none"/>
          <w:lang w:val="zh-CN" w:eastAsia="zh-CN"/>
        </w:rPr>
        <w:t>十</w:t>
      </w:r>
      <w:r>
        <w:rPr>
          <w:rFonts w:hint="eastAsia" w:ascii="宋体" w:hAnsi="宋体" w:eastAsia="宋体" w:cs="宋体"/>
          <w:b/>
          <w:bCs w:val="0"/>
          <w:color w:val="auto"/>
          <w:sz w:val="22"/>
          <w:szCs w:val="22"/>
          <w:highlight w:val="none"/>
          <w:lang w:val="en-US" w:eastAsia="zh-CN"/>
        </w:rPr>
        <w:t>五</w:t>
      </w:r>
      <w:r>
        <w:rPr>
          <w:rFonts w:hint="eastAsia" w:ascii="宋体" w:hAnsi="宋体" w:eastAsia="宋体" w:cs="宋体"/>
          <w:b/>
          <w:bCs w:val="0"/>
          <w:color w:val="auto"/>
          <w:sz w:val="22"/>
          <w:szCs w:val="22"/>
          <w:highlight w:val="none"/>
          <w:lang w:val="zh-CN" w:eastAsia="zh-CN"/>
        </w:rPr>
        <w:t>、争议的解决</w:t>
      </w:r>
    </w:p>
    <w:p w14:paraId="6389F8D7">
      <w:pPr>
        <w:widowControl w:val="0"/>
        <w:adjustRightInd w:val="0"/>
        <w:snapToGrid w:val="0"/>
        <w:spacing w:line="408" w:lineRule="auto"/>
        <w:ind w:firstLine="431" w:firstLineChars="196"/>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合同在履行过程中发生争议时或对于因违反或终止合同而引起的损失、损害的赔偿，甲方与乙方及时协商解决，经协商仍未能达成一致的，向平阳县人民法院进行诉讼。</w:t>
      </w:r>
    </w:p>
    <w:p w14:paraId="29C7008A">
      <w:pPr>
        <w:adjustRightInd w:val="0"/>
        <w:snapToGrid w:val="0"/>
        <w:spacing w:line="408" w:lineRule="auto"/>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eastAsia="zh-CN"/>
        </w:rPr>
        <w:t>十</w:t>
      </w:r>
      <w:r>
        <w:rPr>
          <w:rFonts w:hint="eastAsia" w:ascii="宋体" w:hAnsi="宋体" w:eastAsia="宋体" w:cs="宋体"/>
          <w:b/>
          <w:bCs w:val="0"/>
          <w:color w:val="auto"/>
          <w:sz w:val="22"/>
          <w:szCs w:val="22"/>
          <w:highlight w:val="none"/>
          <w:lang w:val="en-US" w:eastAsia="zh-CN"/>
        </w:rPr>
        <w:t>六</w:t>
      </w:r>
      <w:r>
        <w:rPr>
          <w:rFonts w:hint="eastAsia" w:ascii="宋体" w:hAnsi="宋体" w:eastAsia="宋体" w:cs="宋体"/>
          <w:b/>
          <w:bCs w:val="0"/>
          <w:color w:val="auto"/>
          <w:sz w:val="22"/>
          <w:szCs w:val="22"/>
          <w:highlight w:val="none"/>
          <w:lang w:eastAsia="zh-CN"/>
        </w:rPr>
        <w:t>、</w:t>
      </w:r>
      <w:r>
        <w:rPr>
          <w:rFonts w:hint="eastAsia" w:ascii="宋体" w:hAnsi="宋体" w:eastAsia="宋体" w:cs="宋体"/>
          <w:b/>
          <w:bCs w:val="0"/>
          <w:color w:val="auto"/>
          <w:sz w:val="22"/>
          <w:szCs w:val="22"/>
          <w:highlight w:val="none"/>
        </w:rPr>
        <w:t>合同文件构成</w:t>
      </w:r>
    </w:p>
    <w:p w14:paraId="37E3588C">
      <w:pPr>
        <w:adjustRightInd w:val="0"/>
        <w:snapToGrid w:val="0"/>
        <w:spacing w:line="408"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本协议书与下列文件一起构成合同文件：</w:t>
      </w:r>
    </w:p>
    <w:p w14:paraId="2AFCDB0B">
      <w:pPr>
        <w:autoSpaceDE w:val="0"/>
        <w:autoSpaceDN w:val="0"/>
        <w:adjustRightInd w:val="0"/>
        <w:snapToGrid w:val="0"/>
        <w:spacing w:line="408" w:lineRule="auto"/>
        <w:ind w:firstLine="444" w:firstLineChars="202"/>
        <w:jc w:val="left"/>
        <w:rPr>
          <w:rFonts w:hint="eastAsia" w:ascii="宋体" w:hAnsi="宋体" w:eastAsia="宋体" w:cs="宋体"/>
          <w:bCs/>
          <w:color w:val="auto"/>
          <w:sz w:val="22"/>
          <w:szCs w:val="22"/>
          <w:highlight w:val="none"/>
          <w:u w:val="single"/>
          <w:lang w:val="en-US" w:eastAsia="zh-CN"/>
        </w:rPr>
      </w:pPr>
      <w:r>
        <w:rPr>
          <w:rFonts w:hint="eastAsia" w:ascii="宋体" w:hAnsi="宋体" w:eastAsia="宋体" w:cs="宋体"/>
          <w:bCs/>
          <w:color w:val="auto"/>
          <w:sz w:val="22"/>
          <w:szCs w:val="22"/>
          <w:highlight w:val="none"/>
          <w:u w:val="single"/>
          <w:lang w:val="en-US" w:eastAsia="zh-CN"/>
        </w:rPr>
        <w:t>1、采购文件及补充文件；</w:t>
      </w:r>
    </w:p>
    <w:p w14:paraId="686DCE38">
      <w:pPr>
        <w:autoSpaceDE w:val="0"/>
        <w:autoSpaceDN w:val="0"/>
        <w:adjustRightInd w:val="0"/>
        <w:snapToGrid w:val="0"/>
        <w:spacing w:line="408" w:lineRule="auto"/>
        <w:ind w:firstLine="444" w:firstLineChars="202"/>
        <w:jc w:val="left"/>
        <w:rPr>
          <w:rFonts w:hint="eastAsia" w:ascii="宋体" w:hAnsi="宋体" w:eastAsia="宋体" w:cs="宋体"/>
          <w:bCs/>
          <w:color w:val="auto"/>
          <w:sz w:val="22"/>
          <w:szCs w:val="22"/>
          <w:highlight w:val="none"/>
          <w:u w:val="single"/>
          <w:lang w:val="en-US" w:eastAsia="zh-CN"/>
        </w:rPr>
      </w:pPr>
      <w:r>
        <w:rPr>
          <w:rFonts w:hint="eastAsia" w:ascii="宋体" w:hAnsi="宋体" w:eastAsia="宋体" w:cs="宋体"/>
          <w:bCs/>
          <w:color w:val="auto"/>
          <w:sz w:val="22"/>
          <w:szCs w:val="22"/>
          <w:highlight w:val="none"/>
          <w:u w:val="single"/>
          <w:lang w:val="en-US" w:eastAsia="zh-CN"/>
        </w:rPr>
        <w:t>2、投标文件及补充文件；</w:t>
      </w:r>
    </w:p>
    <w:p w14:paraId="4F53B35C">
      <w:pPr>
        <w:autoSpaceDE w:val="0"/>
        <w:autoSpaceDN w:val="0"/>
        <w:adjustRightInd w:val="0"/>
        <w:snapToGrid w:val="0"/>
        <w:spacing w:line="408" w:lineRule="auto"/>
        <w:ind w:firstLine="444" w:firstLineChars="202"/>
        <w:jc w:val="left"/>
        <w:rPr>
          <w:rFonts w:hint="eastAsia" w:ascii="宋体" w:hAnsi="宋体" w:eastAsia="宋体" w:cs="宋体"/>
          <w:bCs/>
          <w:color w:val="auto"/>
          <w:sz w:val="22"/>
          <w:szCs w:val="22"/>
          <w:highlight w:val="none"/>
          <w:u w:val="single"/>
          <w:lang w:val="en-US" w:eastAsia="zh-CN"/>
        </w:rPr>
      </w:pPr>
      <w:r>
        <w:rPr>
          <w:rFonts w:hint="eastAsia" w:ascii="宋体" w:hAnsi="宋体" w:eastAsia="宋体" w:cs="宋体"/>
          <w:bCs/>
          <w:color w:val="auto"/>
          <w:sz w:val="22"/>
          <w:szCs w:val="22"/>
          <w:highlight w:val="none"/>
          <w:u w:val="single"/>
          <w:lang w:val="en-US" w:eastAsia="zh-CN"/>
        </w:rPr>
        <w:t>3、中标成交同通知书；</w:t>
      </w:r>
    </w:p>
    <w:p w14:paraId="54162AC4">
      <w:pPr>
        <w:autoSpaceDE w:val="0"/>
        <w:autoSpaceDN w:val="0"/>
        <w:adjustRightInd w:val="0"/>
        <w:snapToGrid w:val="0"/>
        <w:spacing w:line="408" w:lineRule="auto"/>
        <w:ind w:firstLine="444" w:firstLineChars="202"/>
        <w:jc w:val="left"/>
        <w:rPr>
          <w:rFonts w:hint="eastAsia" w:ascii="宋体" w:hAnsi="宋体" w:eastAsia="宋体" w:cs="宋体"/>
          <w:bCs/>
          <w:color w:val="auto"/>
          <w:sz w:val="22"/>
          <w:szCs w:val="22"/>
          <w:highlight w:val="none"/>
          <w:u w:val="single"/>
          <w:lang w:val="en-US" w:eastAsia="zh-CN"/>
        </w:rPr>
      </w:pPr>
      <w:r>
        <w:rPr>
          <w:rFonts w:hint="eastAsia" w:ascii="宋体" w:hAnsi="宋体" w:eastAsia="宋体" w:cs="宋体"/>
          <w:bCs/>
          <w:color w:val="auto"/>
          <w:sz w:val="22"/>
          <w:szCs w:val="22"/>
          <w:highlight w:val="none"/>
          <w:u w:val="single"/>
          <w:lang w:val="en-US" w:eastAsia="zh-CN"/>
        </w:rPr>
        <w:t>4、本合同及补充协议；</w:t>
      </w:r>
    </w:p>
    <w:p w14:paraId="1D294648">
      <w:pPr>
        <w:autoSpaceDE w:val="0"/>
        <w:autoSpaceDN w:val="0"/>
        <w:adjustRightInd w:val="0"/>
        <w:snapToGrid w:val="0"/>
        <w:spacing w:line="408" w:lineRule="auto"/>
        <w:ind w:firstLine="444" w:firstLineChars="202"/>
        <w:jc w:val="left"/>
        <w:rPr>
          <w:rFonts w:hint="eastAsia" w:ascii="宋体" w:hAnsi="宋体" w:eastAsia="宋体" w:cs="宋体"/>
          <w:bCs/>
          <w:color w:val="auto"/>
          <w:sz w:val="22"/>
          <w:szCs w:val="22"/>
          <w:highlight w:val="none"/>
          <w:u w:val="single"/>
          <w:lang w:val="en-US" w:eastAsia="zh-CN"/>
        </w:rPr>
      </w:pPr>
      <w:r>
        <w:rPr>
          <w:rFonts w:hint="eastAsia" w:ascii="宋体" w:hAnsi="宋体" w:eastAsia="宋体" w:cs="宋体"/>
          <w:bCs/>
          <w:color w:val="auto"/>
          <w:sz w:val="22"/>
          <w:szCs w:val="22"/>
          <w:highlight w:val="none"/>
          <w:u w:val="single"/>
          <w:lang w:val="en-US" w:eastAsia="zh-CN"/>
        </w:rPr>
        <w:t>5、图纸、设计方案、招控制价；</w:t>
      </w:r>
    </w:p>
    <w:p w14:paraId="4292F7E0">
      <w:pPr>
        <w:autoSpaceDE w:val="0"/>
        <w:autoSpaceDN w:val="0"/>
        <w:adjustRightInd w:val="0"/>
        <w:snapToGrid w:val="0"/>
        <w:spacing w:line="408" w:lineRule="auto"/>
        <w:ind w:firstLine="444" w:firstLineChars="202"/>
        <w:jc w:val="left"/>
        <w:rPr>
          <w:rFonts w:hint="eastAsia" w:ascii="宋体" w:hAnsi="宋体" w:eastAsia="宋体" w:cs="宋体"/>
          <w:bCs/>
          <w:color w:val="auto"/>
          <w:sz w:val="22"/>
          <w:szCs w:val="22"/>
          <w:highlight w:val="none"/>
          <w:u w:val="single"/>
          <w:lang w:val="en-US" w:eastAsia="zh-CN"/>
        </w:rPr>
      </w:pPr>
      <w:r>
        <w:rPr>
          <w:rFonts w:hint="eastAsia" w:ascii="宋体" w:hAnsi="宋体" w:eastAsia="宋体" w:cs="宋体"/>
          <w:bCs/>
          <w:color w:val="auto"/>
          <w:sz w:val="22"/>
          <w:szCs w:val="22"/>
          <w:highlight w:val="none"/>
          <w:u w:val="single"/>
          <w:lang w:val="en-US" w:eastAsia="zh-CN"/>
        </w:rPr>
        <w:t>6、标准、规范及有关技术文件；</w:t>
      </w:r>
    </w:p>
    <w:p w14:paraId="4CAC882C">
      <w:pPr>
        <w:autoSpaceDE w:val="0"/>
        <w:autoSpaceDN w:val="0"/>
        <w:adjustRightInd w:val="0"/>
        <w:snapToGrid w:val="0"/>
        <w:spacing w:line="408" w:lineRule="auto"/>
        <w:ind w:firstLine="444" w:firstLineChars="202"/>
        <w:jc w:val="left"/>
        <w:rPr>
          <w:rFonts w:hint="default" w:ascii="宋体" w:hAnsi="宋体" w:eastAsia="宋体" w:cs="宋体"/>
          <w:bCs/>
          <w:color w:val="auto"/>
          <w:sz w:val="22"/>
          <w:szCs w:val="22"/>
          <w:highlight w:val="none"/>
          <w:u w:val="single"/>
          <w:lang w:val="en-US" w:eastAsia="zh-CN"/>
        </w:rPr>
      </w:pPr>
      <w:r>
        <w:rPr>
          <w:rFonts w:hint="eastAsia" w:ascii="宋体" w:hAnsi="宋体" w:eastAsia="宋体" w:cs="宋体"/>
          <w:bCs/>
          <w:color w:val="auto"/>
          <w:sz w:val="22"/>
          <w:szCs w:val="22"/>
          <w:highlight w:val="none"/>
          <w:u w:val="single"/>
          <w:lang w:val="en-US" w:eastAsia="zh-CN"/>
        </w:rPr>
        <w:t>7、其他文件。</w:t>
      </w:r>
    </w:p>
    <w:p w14:paraId="72060CE4">
      <w:pPr>
        <w:autoSpaceDE w:val="0"/>
        <w:autoSpaceDN w:val="0"/>
        <w:adjustRightInd w:val="0"/>
        <w:snapToGrid w:val="0"/>
        <w:spacing w:line="408" w:lineRule="auto"/>
        <w:ind w:firstLine="440" w:firstLineChars="200"/>
        <w:jc w:val="lef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在合同订立及履行过程中形成的与合同有关的文件均构成合同文件组成部分。</w:t>
      </w:r>
    </w:p>
    <w:p w14:paraId="7DD44255">
      <w:pPr>
        <w:autoSpaceDE w:val="0"/>
        <w:autoSpaceDN w:val="0"/>
        <w:adjustRightInd w:val="0"/>
        <w:snapToGrid w:val="0"/>
        <w:spacing w:line="408" w:lineRule="auto"/>
        <w:ind w:firstLine="440" w:firstLineChars="200"/>
        <w:jc w:val="lef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上述各项合同文件包括合同当事人就该项合同文件所作出的补充和修改，属于同一类内容的文件，应以最新签署的为准。专用合同条款及其附件须经合同当事人签字或盖章。</w:t>
      </w:r>
    </w:p>
    <w:p w14:paraId="4039B81F">
      <w:pPr>
        <w:adjustRightInd w:val="0"/>
        <w:snapToGrid w:val="0"/>
        <w:spacing w:line="408" w:lineRule="auto"/>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eastAsia="zh-CN"/>
        </w:rPr>
        <w:t>十</w:t>
      </w:r>
      <w:r>
        <w:rPr>
          <w:rFonts w:hint="eastAsia" w:ascii="宋体" w:hAnsi="宋体" w:cs="宋体"/>
          <w:b/>
          <w:bCs w:val="0"/>
          <w:color w:val="auto"/>
          <w:sz w:val="22"/>
          <w:szCs w:val="22"/>
          <w:highlight w:val="none"/>
          <w:lang w:val="en-US" w:eastAsia="zh-CN"/>
        </w:rPr>
        <w:t>七</w:t>
      </w:r>
      <w:r>
        <w:rPr>
          <w:rFonts w:hint="eastAsia" w:ascii="宋体" w:hAnsi="宋体" w:eastAsia="宋体" w:cs="宋体"/>
          <w:b/>
          <w:bCs w:val="0"/>
          <w:color w:val="auto"/>
          <w:sz w:val="22"/>
          <w:szCs w:val="22"/>
          <w:highlight w:val="none"/>
        </w:rPr>
        <w:t>、签订时间</w:t>
      </w:r>
    </w:p>
    <w:p w14:paraId="39A73BD0">
      <w:pPr>
        <w:adjustRightInd w:val="0"/>
        <w:snapToGrid w:val="0"/>
        <w:spacing w:line="408"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本合同于</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年</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月</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日签订。</w:t>
      </w:r>
    </w:p>
    <w:p w14:paraId="5794AA69">
      <w:pPr>
        <w:adjustRightInd w:val="0"/>
        <w:snapToGrid w:val="0"/>
        <w:spacing w:line="408" w:lineRule="auto"/>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val="en-US" w:eastAsia="zh-CN"/>
        </w:rPr>
        <w:t>十八</w:t>
      </w:r>
      <w:r>
        <w:rPr>
          <w:rFonts w:hint="eastAsia" w:ascii="宋体" w:hAnsi="宋体" w:eastAsia="宋体" w:cs="宋体"/>
          <w:b/>
          <w:bCs w:val="0"/>
          <w:color w:val="auto"/>
          <w:sz w:val="22"/>
          <w:szCs w:val="22"/>
          <w:highlight w:val="none"/>
        </w:rPr>
        <w:t>、签订地点</w:t>
      </w:r>
    </w:p>
    <w:p w14:paraId="310E378B">
      <w:pPr>
        <w:adjustRightInd w:val="0"/>
        <w:snapToGrid w:val="0"/>
        <w:spacing w:line="408"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本合同在</w:t>
      </w:r>
      <w:r>
        <w:rPr>
          <w:rFonts w:hint="eastAsia" w:ascii="宋体" w:hAnsi="宋体" w:eastAsia="宋体" w:cs="宋体"/>
          <w:bCs/>
          <w:color w:val="auto"/>
          <w:sz w:val="22"/>
          <w:szCs w:val="22"/>
          <w:highlight w:val="none"/>
          <w:u w:val="single"/>
          <w:lang w:val="en-US" w:eastAsia="zh-CN"/>
        </w:rPr>
        <w:t xml:space="preserve">           （地点） </w:t>
      </w:r>
      <w:r>
        <w:rPr>
          <w:rFonts w:hint="eastAsia" w:ascii="宋体" w:hAnsi="宋体" w:eastAsia="宋体" w:cs="宋体"/>
          <w:bCs/>
          <w:color w:val="auto"/>
          <w:sz w:val="22"/>
          <w:szCs w:val="22"/>
          <w:highlight w:val="none"/>
        </w:rPr>
        <w:t>签订。</w:t>
      </w:r>
    </w:p>
    <w:p w14:paraId="432BBE95">
      <w:pPr>
        <w:adjustRightInd w:val="0"/>
        <w:snapToGrid w:val="0"/>
        <w:spacing w:line="408" w:lineRule="auto"/>
        <w:rPr>
          <w:rFonts w:hint="eastAsia" w:ascii="宋体" w:hAnsi="宋体" w:eastAsia="宋体" w:cs="宋体"/>
          <w:b/>
          <w:bCs w:val="0"/>
          <w:color w:val="auto"/>
          <w:sz w:val="22"/>
          <w:szCs w:val="22"/>
          <w:highlight w:val="none"/>
        </w:rPr>
      </w:pPr>
      <w:bookmarkStart w:id="12" w:name="_Toc351203491"/>
      <w:r>
        <w:rPr>
          <w:rFonts w:hint="eastAsia" w:ascii="宋体" w:hAnsi="宋体" w:eastAsia="宋体" w:cs="宋体"/>
          <w:b/>
          <w:bCs w:val="0"/>
          <w:color w:val="auto"/>
          <w:sz w:val="22"/>
          <w:szCs w:val="22"/>
          <w:highlight w:val="none"/>
          <w:lang w:val="en-US" w:eastAsia="zh-CN"/>
        </w:rPr>
        <w:t>十九</w:t>
      </w:r>
      <w:r>
        <w:rPr>
          <w:rFonts w:hint="eastAsia" w:ascii="宋体" w:hAnsi="宋体" w:eastAsia="宋体" w:cs="宋体"/>
          <w:b/>
          <w:bCs w:val="0"/>
          <w:color w:val="auto"/>
          <w:sz w:val="22"/>
          <w:szCs w:val="22"/>
          <w:highlight w:val="none"/>
        </w:rPr>
        <w:t>、补充协议</w:t>
      </w:r>
      <w:bookmarkEnd w:id="12"/>
    </w:p>
    <w:p w14:paraId="22690691">
      <w:pPr>
        <w:adjustRightInd w:val="0"/>
        <w:snapToGrid w:val="0"/>
        <w:spacing w:line="408" w:lineRule="auto"/>
        <w:ind w:firstLine="440" w:firstLine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合同未尽事宜，合同当事人另行签订补充协议，补充协议是合同的组成部分。</w:t>
      </w:r>
    </w:p>
    <w:p w14:paraId="72978039">
      <w:pPr>
        <w:adjustRightInd w:val="0"/>
        <w:snapToGrid w:val="0"/>
        <w:spacing w:line="408" w:lineRule="auto"/>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lang w:val="en-US" w:eastAsia="zh-CN"/>
        </w:rPr>
        <w:t>二十</w:t>
      </w:r>
      <w:r>
        <w:rPr>
          <w:rFonts w:hint="eastAsia" w:ascii="宋体" w:hAnsi="宋体" w:eastAsia="宋体" w:cs="宋体"/>
          <w:b/>
          <w:bCs w:val="0"/>
          <w:color w:val="auto"/>
          <w:sz w:val="22"/>
          <w:szCs w:val="22"/>
          <w:highlight w:val="none"/>
          <w:lang w:eastAsia="zh-CN"/>
        </w:rPr>
        <w:t>、</w:t>
      </w:r>
      <w:r>
        <w:rPr>
          <w:rFonts w:hint="eastAsia" w:ascii="宋体" w:hAnsi="宋体" w:eastAsia="宋体" w:cs="宋体"/>
          <w:b/>
          <w:bCs w:val="0"/>
          <w:color w:val="auto"/>
          <w:sz w:val="22"/>
          <w:szCs w:val="22"/>
          <w:highlight w:val="none"/>
        </w:rPr>
        <w:t>合同份数</w:t>
      </w:r>
    </w:p>
    <w:p w14:paraId="2FE66F5E">
      <w:pPr>
        <w:adjustRightInd w:val="0"/>
        <w:snapToGrid w:val="0"/>
        <w:spacing w:line="408" w:lineRule="auto"/>
        <w:ind w:firstLine="440" w:firstLineChars="20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rPr>
        <w:t>本合同一式</w:t>
      </w:r>
      <w:r>
        <w:rPr>
          <w:rFonts w:hint="eastAsia" w:ascii="宋体" w:hAnsi="宋体" w:eastAsia="宋体" w:cs="宋体"/>
          <w:bCs/>
          <w:color w:val="auto"/>
          <w:sz w:val="22"/>
          <w:szCs w:val="22"/>
          <w:highlight w:val="none"/>
          <w:lang w:val="en-US" w:eastAsia="zh-CN"/>
        </w:rPr>
        <w:t>伍</w:t>
      </w:r>
      <w:r>
        <w:rPr>
          <w:rFonts w:hint="eastAsia" w:ascii="宋体" w:hAnsi="宋体" w:eastAsia="宋体" w:cs="宋体"/>
          <w:bCs/>
          <w:color w:val="auto"/>
          <w:sz w:val="22"/>
          <w:szCs w:val="22"/>
          <w:highlight w:val="none"/>
        </w:rPr>
        <w:t>份，均具有同等法律效力，</w:t>
      </w:r>
      <w:r>
        <w:rPr>
          <w:rFonts w:hint="eastAsia" w:ascii="宋体" w:hAnsi="宋体" w:eastAsia="宋体" w:cs="宋体"/>
          <w:bCs/>
          <w:color w:val="auto"/>
          <w:sz w:val="22"/>
          <w:szCs w:val="22"/>
          <w:highlight w:val="none"/>
          <w:lang w:eastAsia="zh-CN"/>
        </w:rPr>
        <w:t>甲方</w:t>
      </w:r>
      <w:r>
        <w:rPr>
          <w:rFonts w:hint="eastAsia" w:ascii="宋体" w:hAnsi="宋体" w:eastAsia="宋体" w:cs="宋体"/>
          <w:bCs/>
          <w:color w:val="auto"/>
          <w:sz w:val="22"/>
          <w:szCs w:val="22"/>
          <w:highlight w:val="none"/>
        </w:rPr>
        <w:t>执</w:t>
      </w:r>
      <w:r>
        <w:rPr>
          <w:rFonts w:hint="eastAsia" w:ascii="宋体" w:hAnsi="宋体" w:eastAsia="宋体" w:cs="宋体"/>
          <w:bCs/>
          <w:color w:val="auto"/>
          <w:sz w:val="22"/>
          <w:szCs w:val="22"/>
          <w:highlight w:val="none"/>
          <w:u w:val="single"/>
          <w:lang w:val="en-US" w:eastAsia="zh-CN"/>
        </w:rPr>
        <w:t>贰</w:t>
      </w:r>
      <w:r>
        <w:rPr>
          <w:rFonts w:hint="eastAsia" w:ascii="宋体" w:hAnsi="宋体" w:eastAsia="宋体" w:cs="宋体"/>
          <w:bCs/>
          <w:color w:val="auto"/>
          <w:sz w:val="22"/>
          <w:szCs w:val="22"/>
          <w:highlight w:val="none"/>
        </w:rPr>
        <w:t>份，</w:t>
      </w:r>
      <w:r>
        <w:rPr>
          <w:rFonts w:hint="eastAsia" w:ascii="宋体" w:hAnsi="宋体" w:eastAsia="宋体" w:cs="宋体"/>
          <w:bCs/>
          <w:color w:val="auto"/>
          <w:sz w:val="22"/>
          <w:szCs w:val="22"/>
          <w:highlight w:val="none"/>
          <w:lang w:eastAsia="zh-CN"/>
        </w:rPr>
        <w:t>乙方</w:t>
      </w:r>
      <w:r>
        <w:rPr>
          <w:rFonts w:hint="eastAsia" w:ascii="宋体" w:hAnsi="宋体" w:eastAsia="宋体" w:cs="宋体"/>
          <w:bCs/>
          <w:color w:val="auto"/>
          <w:sz w:val="22"/>
          <w:szCs w:val="22"/>
          <w:highlight w:val="none"/>
        </w:rPr>
        <w:t>执</w:t>
      </w:r>
      <w:r>
        <w:rPr>
          <w:rFonts w:hint="eastAsia" w:ascii="宋体" w:hAnsi="宋体" w:eastAsia="宋体" w:cs="宋体"/>
          <w:bCs/>
          <w:color w:val="auto"/>
          <w:sz w:val="22"/>
          <w:szCs w:val="22"/>
          <w:highlight w:val="none"/>
          <w:lang w:val="en-US" w:eastAsia="zh-CN"/>
        </w:rPr>
        <w:t>贰</w:t>
      </w:r>
      <w:r>
        <w:rPr>
          <w:rFonts w:hint="eastAsia" w:ascii="宋体" w:hAnsi="宋体" w:eastAsia="宋体" w:cs="宋体"/>
          <w:bCs/>
          <w:color w:val="auto"/>
          <w:sz w:val="22"/>
          <w:szCs w:val="22"/>
          <w:highlight w:val="none"/>
        </w:rPr>
        <w:t>份，</w:t>
      </w:r>
      <w:r>
        <w:rPr>
          <w:rFonts w:hint="eastAsia" w:ascii="宋体" w:hAnsi="宋体" w:eastAsia="宋体" w:cs="宋体"/>
          <w:bCs/>
          <w:color w:val="auto"/>
          <w:sz w:val="22"/>
          <w:szCs w:val="22"/>
          <w:highlight w:val="none"/>
          <w:lang w:val="en-US" w:eastAsia="zh-CN"/>
        </w:rPr>
        <w:t>代理公司</w:t>
      </w:r>
      <w:r>
        <w:rPr>
          <w:rFonts w:hint="eastAsia" w:ascii="宋体" w:hAnsi="宋体" w:eastAsia="宋体" w:cs="宋体"/>
          <w:bCs/>
          <w:color w:val="auto"/>
          <w:sz w:val="22"/>
          <w:szCs w:val="22"/>
          <w:highlight w:val="none"/>
        </w:rPr>
        <w:t>执</w:t>
      </w:r>
      <w:r>
        <w:rPr>
          <w:rFonts w:hint="eastAsia" w:ascii="宋体" w:hAnsi="宋体" w:eastAsia="宋体" w:cs="宋体"/>
          <w:bCs/>
          <w:color w:val="auto"/>
          <w:sz w:val="22"/>
          <w:szCs w:val="22"/>
          <w:highlight w:val="none"/>
          <w:lang w:val="en-US" w:eastAsia="zh-CN"/>
        </w:rPr>
        <w:t>壹</w:t>
      </w:r>
      <w:r>
        <w:rPr>
          <w:rFonts w:hint="eastAsia" w:ascii="宋体" w:hAnsi="宋体" w:eastAsia="宋体" w:cs="宋体"/>
          <w:bCs/>
          <w:color w:val="auto"/>
          <w:sz w:val="22"/>
          <w:szCs w:val="22"/>
          <w:highlight w:val="none"/>
        </w:rPr>
        <w:t>份</w:t>
      </w:r>
      <w:r>
        <w:rPr>
          <w:rFonts w:hint="eastAsia" w:ascii="宋体" w:hAnsi="宋体" w:eastAsia="宋体" w:cs="宋体"/>
          <w:bCs/>
          <w:color w:val="auto"/>
          <w:sz w:val="22"/>
          <w:szCs w:val="22"/>
          <w:highlight w:val="none"/>
          <w:lang w:eastAsia="zh-CN"/>
        </w:rPr>
        <w:t>。</w:t>
      </w:r>
    </w:p>
    <w:p w14:paraId="72FFE344">
      <w:pPr>
        <w:spacing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甲方（盖章）：                            乙方（盖章）：</w:t>
      </w:r>
    </w:p>
    <w:p w14:paraId="3C642C9E">
      <w:pPr>
        <w:spacing w:line="440" w:lineRule="exact"/>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法定代表人：（签字）　　　　　　　　　　　法定代表人：（签字）</w:t>
      </w:r>
    </w:p>
    <w:p w14:paraId="7D9C6365">
      <w:pPr>
        <w:spacing w:line="440" w:lineRule="exact"/>
        <w:rPr>
          <w:rFonts w:ascii="宋体" w:hAnsi="宋体" w:eastAsia="宋体" w:cs="宋体"/>
          <w:color w:val="auto"/>
          <w:sz w:val="22"/>
          <w:szCs w:val="22"/>
          <w:highlight w:val="none"/>
        </w:rPr>
      </w:pPr>
      <w:r>
        <w:rPr>
          <w:rFonts w:hint="eastAsia" w:cs="宋体"/>
          <w:color w:val="auto"/>
          <w:sz w:val="22"/>
          <w:szCs w:val="22"/>
          <w:highlight w:val="none"/>
          <w:lang w:val="en-US" w:eastAsia="zh-CN"/>
        </w:rPr>
        <w:t>或</w:t>
      </w:r>
      <w:r>
        <w:rPr>
          <w:rFonts w:hint="eastAsia" w:ascii="宋体" w:hAnsi="宋体" w:eastAsia="宋体" w:cs="宋体"/>
          <w:color w:val="auto"/>
          <w:sz w:val="22"/>
          <w:szCs w:val="22"/>
          <w:highlight w:val="none"/>
        </w:rPr>
        <w:t>委托代理人：（签字）　　　　　　　　　　　</w:t>
      </w:r>
      <w:r>
        <w:rPr>
          <w:rFonts w:hint="eastAsia" w:cs="宋体"/>
          <w:color w:val="auto"/>
          <w:sz w:val="22"/>
          <w:szCs w:val="22"/>
          <w:highlight w:val="none"/>
          <w:lang w:val="en-US" w:eastAsia="zh-CN"/>
        </w:rPr>
        <w:t>或</w:t>
      </w:r>
      <w:r>
        <w:rPr>
          <w:rFonts w:hint="eastAsia" w:ascii="宋体" w:hAnsi="宋体" w:eastAsia="宋体" w:cs="宋体"/>
          <w:color w:val="auto"/>
          <w:sz w:val="22"/>
          <w:szCs w:val="22"/>
          <w:highlight w:val="none"/>
        </w:rPr>
        <w:t>委托代理人：（签字）</w:t>
      </w:r>
    </w:p>
    <w:p w14:paraId="3DBF3B02">
      <w:pPr>
        <w:spacing w:line="440" w:lineRule="exact"/>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　　住　　所：　　　　　　　　　　　　　　　　住　　所：</w:t>
      </w:r>
    </w:p>
    <w:p w14:paraId="75E60B94">
      <w:pPr>
        <w:spacing w:line="440" w:lineRule="exact"/>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　　开户银行：　　　　　　　　　　　　　　　　开户银行：</w:t>
      </w:r>
    </w:p>
    <w:p w14:paraId="43DA0B24">
      <w:pPr>
        <w:spacing w:line="440" w:lineRule="exact"/>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　　帐　　号：　　　　　　　　　　　　　　　　帐　　号：</w:t>
      </w:r>
    </w:p>
    <w:p w14:paraId="79C196F5">
      <w:pPr>
        <w:spacing w:line="440" w:lineRule="exact"/>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　　邮政编码：　　　　　　　　　　　　　　　　邮政编码：</w:t>
      </w:r>
    </w:p>
    <w:p w14:paraId="60E64432">
      <w:pPr>
        <w:spacing w:line="440" w:lineRule="exact"/>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　　电　　话：　　　　　　　　　　　　　　　　电　　话：</w:t>
      </w:r>
    </w:p>
    <w:p w14:paraId="6134C6FF">
      <w:pPr>
        <w:spacing w:line="440" w:lineRule="exact"/>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　　传　　真：　　　　　　　　　　　　　　　　传　　真：</w:t>
      </w:r>
    </w:p>
    <w:p w14:paraId="109F9460">
      <w:pPr>
        <w:spacing w:line="440" w:lineRule="exact"/>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　　电子信箱：　　　　　　　　　　　　　　　　电子信箱：</w:t>
      </w:r>
    </w:p>
    <w:p w14:paraId="662D2568">
      <w:pPr>
        <w:spacing w:line="440" w:lineRule="exact"/>
        <w:rPr>
          <w:rFonts w:ascii="宋体" w:hAnsi="宋体" w:eastAsia="宋体" w:cs="宋体"/>
          <w:color w:val="auto"/>
          <w:sz w:val="22"/>
          <w:szCs w:val="22"/>
          <w:highlight w:val="none"/>
        </w:rPr>
      </w:pPr>
      <w:r>
        <w:rPr>
          <w:rFonts w:hint="eastAsia" w:ascii="宋体" w:hAnsi="宋体" w:eastAsia="宋体" w:cs="宋体"/>
          <w:color w:val="auto"/>
          <w:sz w:val="22"/>
          <w:szCs w:val="22"/>
          <w:highlight w:val="none"/>
        </w:rPr>
        <w:t>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年  月  日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年  月  日</w:t>
      </w:r>
    </w:p>
    <w:p w14:paraId="4E2F5501">
      <w:pPr>
        <w:pStyle w:val="81"/>
        <w:rPr>
          <w:rFonts w:hint="eastAsia" w:ascii="宋体"/>
          <w:color w:val="auto"/>
          <w:sz w:val="22"/>
          <w:szCs w:val="22"/>
          <w:highlight w:val="none"/>
        </w:rPr>
      </w:pPr>
    </w:p>
    <w:p w14:paraId="05C78F0F">
      <w:pPr>
        <w:snapToGrid w:val="0"/>
        <w:spacing w:line="360" w:lineRule="exact"/>
        <w:rPr>
          <w:rFonts w:hint="eastAsia" w:ascii="宋体"/>
          <w:color w:val="auto"/>
          <w:sz w:val="22"/>
          <w:szCs w:val="22"/>
          <w:highlight w:val="none"/>
        </w:rPr>
      </w:pPr>
      <w:r>
        <w:rPr>
          <w:rFonts w:hint="eastAsia" w:ascii="宋体"/>
          <w:color w:val="auto"/>
          <w:sz w:val="22"/>
          <w:szCs w:val="22"/>
          <w:highlight w:val="none"/>
        </w:rPr>
        <w:t>注：本合同作为示范文本，具体以成交供应商与招标人所签</w:t>
      </w:r>
      <w:r>
        <w:rPr>
          <w:rFonts w:hint="eastAsia"/>
          <w:color w:val="auto"/>
          <w:sz w:val="22"/>
          <w:szCs w:val="22"/>
          <w:highlight w:val="none"/>
          <w:lang w:val="en-US" w:eastAsia="zh-CN"/>
        </w:rPr>
        <w:t>订</w:t>
      </w:r>
      <w:r>
        <w:rPr>
          <w:rFonts w:hint="eastAsia" w:ascii="宋体"/>
          <w:color w:val="auto"/>
          <w:sz w:val="22"/>
          <w:szCs w:val="22"/>
          <w:highlight w:val="none"/>
        </w:rPr>
        <w:t>正式合同为准。</w:t>
      </w:r>
    </w:p>
    <w:p w14:paraId="09C103B2">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br w:type="page"/>
      </w:r>
    </w:p>
    <w:p w14:paraId="0C0DF176">
      <w:pPr>
        <w:rPr>
          <w:rFonts w:hint="eastAsia" w:ascii="宋体" w:hAnsi="宋体" w:eastAsia="宋体" w:cs="宋体"/>
          <w:bCs/>
          <w:color w:val="auto"/>
          <w:sz w:val="22"/>
          <w:szCs w:val="22"/>
          <w:highlight w:val="none"/>
        </w:rPr>
      </w:pPr>
    </w:p>
    <w:p w14:paraId="32F55854">
      <w:pPr>
        <w:pStyle w:val="37"/>
        <w:adjustRightInd w:val="0"/>
        <w:snapToGrid w:val="0"/>
        <w:spacing w:line="360" w:lineRule="auto"/>
        <w:jc w:val="center"/>
        <w:rPr>
          <w:rFonts w:hint="eastAsia" w:hAnsi="宋体" w:cs="宋体"/>
          <w:color w:val="auto"/>
          <w:sz w:val="32"/>
          <w:szCs w:val="32"/>
          <w:highlight w:val="none"/>
        </w:rPr>
      </w:pPr>
      <w:r>
        <w:rPr>
          <w:rFonts w:hint="eastAsia" w:hAnsi="宋体" w:cs="宋体"/>
          <w:color w:val="auto"/>
          <w:sz w:val="32"/>
          <w:szCs w:val="32"/>
          <w:highlight w:val="none"/>
        </w:rPr>
        <w:t>第六部分    附件—投标文件格式</w:t>
      </w:r>
    </w:p>
    <w:p w14:paraId="22AE1577">
      <w:pPr>
        <w:snapToGrid w:val="0"/>
        <w:spacing w:line="460" w:lineRule="atLeast"/>
        <w:jc w:val="center"/>
        <w:rPr>
          <w:rFonts w:hint="eastAsia"/>
          <w:color w:val="auto"/>
          <w:sz w:val="36"/>
          <w:highlight w:val="none"/>
        </w:rPr>
      </w:pPr>
      <w:r>
        <w:rPr>
          <w:rFonts w:hint="eastAsia"/>
          <w:color w:val="auto"/>
          <w:sz w:val="36"/>
          <w:highlight w:val="none"/>
        </w:rPr>
        <w:t>（未提供格式的由供应商自拟）</w:t>
      </w:r>
    </w:p>
    <w:p w14:paraId="5A6485F7">
      <w:pPr>
        <w:spacing w:line="360" w:lineRule="auto"/>
        <w:ind w:firstLine="424" w:firstLineChars="151"/>
        <w:rPr>
          <w:rFonts w:hint="eastAsia"/>
          <w:b/>
          <w:color w:val="auto"/>
          <w:sz w:val="28"/>
          <w:szCs w:val="22"/>
          <w:highlight w:val="none"/>
          <w:u w:val="single"/>
        </w:rPr>
      </w:pPr>
      <w:r>
        <w:rPr>
          <w:rFonts w:hint="eastAsia"/>
          <w:b/>
          <w:color w:val="auto"/>
          <w:sz w:val="28"/>
          <w:szCs w:val="22"/>
          <w:highlight w:val="none"/>
        </w:rPr>
        <w:t>重要提示：</w:t>
      </w:r>
    </w:p>
    <w:p w14:paraId="1DA059AD">
      <w:pPr>
        <w:spacing w:line="360" w:lineRule="auto"/>
        <w:ind w:firstLine="424" w:firstLineChars="151"/>
        <w:rPr>
          <w:rFonts w:hint="eastAsia"/>
          <w:b/>
          <w:color w:val="auto"/>
          <w:sz w:val="28"/>
          <w:szCs w:val="28"/>
          <w:highlight w:val="none"/>
          <w:u w:val="single"/>
        </w:rPr>
      </w:pPr>
      <w:r>
        <w:rPr>
          <w:rFonts w:hint="eastAsia"/>
          <w:b/>
          <w:color w:val="auto"/>
          <w:sz w:val="28"/>
          <w:szCs w:val="28"/>
          <w:highlight w:val="none"/>
        </w:rPr>
        <w:t>（1）</w:t>
      </w:r>
      <w:r>
        <w:rPr>
          <w:rFonts w:hint="eastAsia"/>
          <w:b/>
          <w:color w:val="auto"/>
          <w:sz w:val="28"/>
          <w:szCs w:val="28"/>
          <w:highlight w:val="none"/>
          <w:u w:val="single"/>
        </w:rPr>
        <w:t>本章节中有提供格式的，供应商可参照本章节提供的格式进行编制（格式中要求提供相关证明材料的还需后附相关证明材料）。并按格式要求在指定位置根据要求进行电子签章，否则视为未提供；</w:t>
      </w:r>
    </w:p>
    <w:p w14:paraId="6E425488">
      <w:pPr>
        <w:spacing w:line="360" w:lineRule="auto"/>
        <w:ind w:firstLine="424" w:firstLineChars="151"/>
        <w:rPr>
          <w:rFonts w:hint="eastAsia" w:ascii="宋体" w:hAnsi="宋体" w:eastAsia="宋体" w:cs="宋体"/>
          <w:b/>
          <w:color w:val="auto"/>
          <w:sz w:val="28"/>
          <w:szCs w:val="28"/>
          <w:highlight w:val="none"/>
          <w:u w:val="single"/>
          <w:lang w:eastAsia="zh-CN"/>
        </w:rPr>
      </w:pPr>
      <w:r>
        <w:rPr>
          <w:rFonts w:hint="eastAsia" w:ascii="宋体" w:hAnsi="宋体" w:eastAsia="宋体" w:cs="宋体"/>
          <w:b/>
          <w:color w:val="auto"/>
          <w:sz w:val="28"/>
          <w:szCs w:val="28"/>
          <w:highlight w:val="none"/>
          <w:u w:val="none"/>
        </w:rPr>
        <w:t>（2）</w:t>
      </w:r>
      <w:r>
        <w:rPr>
          <w:rFonts w:hint="eastAsia" w:ascii="宋体" w:hAnsi="宋体" w:eastAsia="宋体" w:cs="宋体"/>
          <w:b/>
          <w:color w:val="auto"/>
          <w:sz w:val="28"/>
          <w:szCs w:val="28"/>
          <w:highlight w:val="none"/>
          <w:u w:val="single"/>
        </w:rPr>
        <w:t>本章节未提供格式的，请各投标单位自行拟定格式，并加盖单位公章并由法定代表人或其授权代表签署（签字或盖章），否则视为未提供</w:t>
      </w:r>
      <w:r>
        <w:rPr>
          <w:rFonts w:hint="eastAsia" w:cs="宋体"/>
          <w:b/>
          <w:color w:val="auto"/>
          <w:sz w:val="28"/>
          <w:szCs w:val="28"/>
          <w:highlight w:val="none"/>
          <w:u w:val="single"/>
          <w:lang w:eastAsia="zh-CN"/>
        </w:rPr>
        <w:t>。</w:t>
      </w:r>
    </w:p>
    <w:p w14:paraId="3D7B0F87">
      <w:pPr>
        <w:spacing w:line="360" w:lineRule="auto"/>
        <w:ind w:firstLine="424" w:firstLineChars="151"/>
        <w:rPr>
          <w:rFonts w:hint="eastAsia"/>
          <w:b/>
          <w:color w:val="auto"/>
          <w:sz w:val="28"/>
          <w:szCs w:val="28"/>
          <w:highlight w:val="none"/>
          <w:u w:val="single"/>
        </w:rPr>
      </w:pPr>
    </w:p>
    <w:p w14:paraId="54F55514">
      <w:pPr>
        <w:pStyle w:val="9"/>
        <w:rPr>
          <w:rFonts w:hint="eastAsia" w:ascii="宋体" w:hAnsi="宋体" w:eastAsia="宋体" w:cs="宋体"/>
          <w:color w:val="auto"/>
          <w:highlight w:val="none"/>
        </w:rPr>
        <w:sectPr>
          <w:footerReference r:id="rId13" w:type="default"/>
          <w:pgSz w:w="11906" w:h="16838"/>
          <w:pgMar w:top="1134" w:right="1134" w:bottom="1134" w:left="1134" w:header="720" w:footer="720" w:gutter="0"/>
          <w:pgNumType w:fmt="decimal"/>
          <w:cols w:space="720" w:num="1"/>
          <w:titlePg/>
          <w:docGrid w:linePitch="326" w:charSpace="-3831"/>
        </w:sectPr>
      </w:pPr>
      <w:bookmarkStart w:id="13" w:name="_Toc30408914"/>
      <w:bookmarkStart w:id="14" w:name="_Toc24550049"/>
    </w:p>
    <w:bookmarkEnd w:id="13"/>
    <w:bookmarkEnd w:id="14"/>
    <w:p w14:paraId="7D3A19D7">
      <w:pPr>
        <w:pStyle w:val="9"/>
        <w:rPr>
          <w:rFonts w:hint="eastAsia" w:ascii="宋体" w:hAnsi="宋体" w:eastAsia="宋体" w:cs="宋体"/>
          <w:color w:val="auto"/>
          <w:highlight w:val="none"/>
        </w:rPr>
      </w:pPr>
      <w:r>
        <w:rPr>
          <w:rFonts w:hint="eastAsia" w:ascii="宋体" w:hAnsi="宋体" w:eastAsia="宋体" w:cs="宋体"/>
          <w:color w:val="auto"/>
          <w:highlight w:val="none"/>
        </w:rPr>
        <w:t>一、“资格文件”格式</w:t>
      </w:r>
    </w:p>
    <w:p w14:paraId="6B31F833">
      <w:pPr>
        <w:pStyle w:val="10"/>
        <w:rPr>
          <w:rFonts w:hint="eastAsia" w:ascii="宋体" w:hAnsi="宋体" w:cs="宋体"/>
          <w:color w:val="auto"/>
          <w:highlight w:val="none"/>
        </w:rPr>
      </w:pPr>
      <w:r>
        <w:rPr>
          <w:rFonts w:hint="eastAsia" w:ascii="宋体" w:hAnsi="宋体" w:cs="宋体"/>
          <w:color w:val="auto"/>
          <w:highlight w:val="none"/>
        </w:rPr>
        <w:t>1.1 “资格文件”封面</w:t>
      </w:r>
    </w:p>
    <w:p w14:paraId="0C4343E1">
      <w:pPr>
        <w:spacing w:line="360" w:lineRule="auto"/>
        <w:jc w:val="right"/>
        <w:rPr>
          <w:rFonts w:hint="eastAsia"/>
          <w:b/>
          <w:color w:val="auto"/>
          <w:sz w:val="32"/>
          <w:szCs w:val="22"/>
          <w:highlight w:val="none"/>
        </w:rPr>
      </w:pPr>
    </w:p>
    <w:p w14:paraId="1852914B">
      <w:pPr>
        <w:spacing w:line="276" w:lineRule="auto"/>
        <w:jc w:val="center"/>
        <w:rPr>
          <w:rFonts w:hint="eastAsia" w:eastAsia="宋体"/>
          <w:b/>
          <w:color w:val="auto"/>
          <w:w w:val="90"/>
          <w:sz w:val="220"/>
          <w:szCs w:val="22"/>
          <w:highlight w:val="none"/>
          <w:lang w:eastAsia="zh-CN"/>
        </w:rPr>
      </w:pPr>
      <w:r>
        <w:rPr>
          <w:rFonts w:hint="eastAsia"/>
          <w:b/>
          <w:color w:val="auto"/>
          <w:w w:val="90"/>
          <w:sz w:val="44"/>
          <w:szCs w:val="22"/>
          <w:highlight w:val="none"/>
          <w:lang w:eastAsia="zh-CN"/>
        </w:rPr>
        <w:t>鳌江镇塘川高速互通路网交通安全设施项目</w:t>
      </w:r>
    </w:p>
    <w:p w14:paraId="61421C9D">
      <w:pPr>
        <w:spacing w:line="360" w:lineRule="auto"/>
        <w:jc w:val="center"/>
        <w:rPr>
          <w:rFonts w:hint="eastAsia"/>
          <w:b/>
          <w:color w:val="auto"/>
          <w:sz w:val="52"/>
          <w:szCs w:val="22"/>
          <w:highlight w:val="none"/>
        </w:rPr>
      </w:pPr>
    </w:p>
    <w:p w14:paraId="6A932282">
      <w:pPr>
        <w:spacing w:line="360" w:lineRule="auto"/>
        <w:jc w:val="center"/>
        <w:rPr>
          <w:rFonts w:hint="eastAsia"/>
          <w:b/>
          <w:color w:val="auto"/>
          <w:sz w:val="52"/>
          <w:szCs w:val="22"/>
          <w:highlight w:val="none"/>
        </w:rPr>
      </w:pPr>
    </w:p>
    <w:p w14:paraId="49C482E6">
      <w:pPr>
        <w:spacing w:line="276" w:lineRule="auto"/>
        <w:jc w:val="center"/>
        <w:rPr>
          <w:rFonts w:hint="eastAsia"/>
          <w:color w:val="auto"/>
          <w:sz w:val="96"/>
          <w:szCs w:val="22"/>
          <w:highlight w:val="none"/>
        </w:rPr>
      </w:pPr>
      <w:r>
        <w:rPr>
          <w:rFonts w:hint="eastAsia"/>
          <w:color w:val="auto"/>
          <w:sz w:val="96"/>
          <w:szCs w:val="22"/>
          <w:highlight w:val="none"/>
        </w:rPr>
        <w:t>投 标 文 件</w:t>
      </w:r>
    </w:p>
    <w:p w14:paraId="54955565">
      <w:pPr>
        <w:spacing w:line="360" w:lineRule="auto"/>
        <w:jc w:val="center"/>
        <w:rPr>
          <w:rFonts w:hint="eastAsia"/>
          <w:b/>
          <w:color w:val="auto"/>
          <w:sz w:val="52"/>
          <w:szCs w:val="22"/>
          <w:highlight w:val="none"/>
        </w:rPr>
      </w:pPr>
      <w:r>
        <w:rPr>
          <w:rFonts w:hint="eastAsia"/>
          <w:b/>
          <w:color w:val="auto"/>
          <w:sz w:val="52"/>
          <w:szCs w:val="22"/>
          <w:highlight w:val="none"/>
        </w:rPr>
        <w:t>（资格文件）</w:t>
      </w:r>
    </w:p>
    <w:p w14:paraId="10B65BB7">
      <w:pPr>
        <w:spacing w:line="360" w:lineRule="auto"/>
        <w:jc w:val="center"/>
        <w:rPr>
          <w:rFonts w:hint="eastAsia"/>
          <w:b/>
          <w:color w:val="auto"/>
          <w:sz w:val="52"/>
          <w:szCs w:val="22"/>
          <w:highlight w:val="none"/>
        </w:rPr>
      </w:pPr>
    </w:p>
    <w:tbl>
      <w:tblPr>
        <w:tblStyle w:val="66"/>
        <w:tblW w:w="0" w:type="auto"/>
        <w:tblInd w:w="250" w:type="dxa"/>
        <w:tblLayout w:type="fixed"/>
        <w:tblCellMar>
          <w:top w:w="0" w:type="dxa"/>
          <w:left w:w="108" w:type="dxa"/>
          <w:bottom w:w="0" w:type="dxa"/>
          <w:right w:w="108" w:type="dxa"/>
        </w:tblCellMar>
      </w:tblPr>
      <w:tblGrid>
        <w:gridCol w:w="8789"/>
      </w:tblGrid>
      <w:tr w14:paraId="2231D64B">
        <w:tblPrEx>
          <w:tblCellMar>
            <w:top w:w="0" w:type="dxa"/>
            <w:left w:w="108" w:type="dxa"/>
            <w:bottom w:w="0" w:type="dxa"/>
            <w:right w:w="108" w:type="dxa"/>
          </w:tblCellMar>
        </w:tblPrEx>
        <w:trPr>
          <w:trHeight w:val="680" w:hRule="atLeast"/>
        </w:trPr>
        <w:tc>
          <w:tcPr>
            <w:tcW w:w="8789" w:type="dxa"/>
            <w:noWrap w:val="0"/>
            <w:vAlign w:val="center"/>
          </w:tcPr>
          <w:p w14:paraId="2EE78FF3">
            <w:pPr>
              <w:rPr>
                <w:rFonts w:hint="eastAsia" w:eastAsia="宋体"/>
                <w:b/>
                <w:color w:val="auto"/>
                <w:sz w:val="28"/>
                <w:szCs w:val="28"/>
                <w:highlight w:val="none"/>
                <w:lang w:eastAsia="zh-CN"/>
              </w:rPr>
            </w:pPr>
            <w:r>
              <w:rPr>
                <w:rFonts w:hint="eastAsia"/>
                <w:b/>
                <w:color w:val="auto"/>
                <w:sz w:val="28"/>
                <w:szCs w:val="28"/>
                <w:highlight w:val="none"/>
              </w:rPr>
              <w:t>项目编号：</w:t>
            </w:r>
            <w:r>
              <w:rPr>
                <w:rFonts w:hint="eastAsia"/>
                <w:bCs/>
                <w:color w:val="auto"/>
                <w:sz w:val="30"/>
                <w:szCs w:val="30"/>
                <w:highlight w:val="none"/>
                <w:lang w:val="en-US" w:eastAsia="zh-CN"/>
              </w:rPr>
              <w:t xml:space="preserve"> </w:t>
            </w:r>
            <w:r>
              <w:rPr>
                <w:rFonts w:hint="eastAsia"/>
                <w:bCs/>
                <w:color w:val="auto"/>
                <w:sz w:val="30"/>
                <w:szCs w:val="30"/>
                <w:highlight w:val="none"/>
                <w:lang w:eastAsia="zh-CN"/>
              </w:rPr>
              <w:t xml:space="preserve">    </w:t>
            </w:r>
          </w:p>
        </w:tc>
      </w:tr>
      <w:tr w14:paraId="6CE6BE38">
        <w:tblPrEx>
          <w:tblCellMar>
            <w:top w:w="0" w:type="dxa"/>
            <w:left w:w="108" w:type="dxa"/>
            <w:bottom w:w="0" w:type="dxa"/>
            <w:right w:w="108" w:type="dxa"/>
          </w:tblCellMar>
        </w:tblPrEx>
        <w:trPr>
          <w:trHeight w:val="680" w:hRule="atLeast"/>
        </w:trPr>
        <w:tc>
          <w:tcPr>
            <w:tcW w:w="8789" w:type="dxa"/>
            <w:noWrap w:val="0"/>
            <w:vAlign w:val="center"/>
          </w:tcPr>
          <w:p w14:paraId="7CA85AAD">
            <w:pPr>
              <w:rPr>
                <w:rFonts w:hint="eastAsia"/>
                <w:b/>
                <w:color w:val="auto"/>
                <w:sz w:val="28"/>
                <w:szCs w:val="28"/>
                <w:highlight w:val="none"/>
              </w:rPr>
            </w:pPr>
            <w:r>
              <w:rPr>
                <w:rFonts w:hint="eastAsia"/>
                <w:b/>
                <w:color w:val="auto"/>
                <w:sz w:val="28"/>
                <w:szCs w:val="28"/>
                <w:highlight w:val="none"/>
              </w:rPr>
              <w:t>供应商名称（盖章）：</w:t>
            </w:r>
            <w:r>
              <w:rPr>
                <w:rFonts w:hint="eastAsia"/>
                <w:b/>
                <w:color w:val="auto"/>
                <w:w w:val="90"/>
                <w:sz w:val="28"/>
                <w:szCs w:val="28"/>
                <w:highlight w:val="none"/>
              </w:rPr>
              <w:t>_______________________________________</w:t>
            </w:r>
          </w:p>
        </w:tc>
      </w:tr>
      <w:tr w14:paraId="24982DC7">
        <w:tblPrEx>
          <w:tblCellMar>
            <w:top w:w="0" w:type="dxa"/>
            <w:left w:w="108" w:type="dxa"/>
            <w:bottom w:w="0" w:type="dxa"/>
            <w:right w:w="108" w:type="dxa"/>
          </w:tblCellMar>
        </w:tblPrEx>
        <w:trPr>
          <w:trHeight w:val="680" w:hRule="atLeast"/>
        </w:trPr>
        <w:tc>
          <w:tcPr>
            <w:tcW w:w="8789" w:type="dxa"/>
            <w:noWrap w:val="0"/>
            <w:vAlign w:val="center"/>
          </w:tcPr>
          <w:p w14:paraId="6300A910">
            <w:pPr>
              <w:rPr>
                <w:rFonts w:hint="eastAsia"/>
                <w:b/>
                <w:color w:val="auto"/>
                <w:sz w:val="28"/>
                <w:szCs w:val="28"/>
                <w:highlight w:val="none"/>
              </w:rPr>
            </w:pPr>
            <w:r>
              <w:rPr>
                <w:rFonts w:hint="eastAsia"/>
                <w:b/>
                <w:color w:val="auto"/>
                <w:sz w:val="28"/>
                <w:szCs w:val="28"/>
                <w:highlight w:val="none"/>
              </w:rPr>
              <w:t>供应商地址：</w:t>
            </w:r>
            <w:r>
              <w:rPr>
                <w:rFonts w:hint="eastAsia"/>
                <w:b/>
                <w:color w:val="auto"/>
                <w:w w:val="90"/>
                <w:sz w:val="28"/>
                <w:szCs w:val="28"/>
                <w:highlight w:val="none"/>
              </w:rPr>
              <w:t>_______________________________________________</w:t>
            </w:r>
          </w:p>
        </w:tc>
      </w:tr>
      <w:tr w14:paraId="153CEB8C">
        <w:tblPrEx>
          <w:tblCellMar>
            <w:top w:w="0" w:type="dxa"/>
            <w:left w:w="108" w:type="dxa"/>
            <w:bottom w:w="0" w:type="dxa"/>
            <w:right w:w="108" w:type="dxa"/>
          </w:tblCellMar>
        </w:tblPrEx>
        <w:trPr>
          <w:trHeight w:val="680" w:hRule="atLeast"/>
        </w:trPr>
        <w:tc>
          <w:tcPr>
            <w:tcW w:w="8789" w:type="dxa"/>
            <w:noWrap w:val="0"/>
            <w:vAlign w:val="center"/>
          </w:tcPr>
          <w:p w14:paraId="530ADBC2">
            <w:pPr>
              <w:rPr>
                <w:rFonts w:hint="eastAsia"/>
                <w:b/>
                <w:color w:val="auto"/>
                <w:sz w:val="28"/>
                <w:szCs w:val="28"/>
                <w:highlight w:val="none"/>
              </w:rPr>
            </w:pPr>
            <w:r>
              <w:rPr>
                <w:rFonts w:hint="eastAsia"/>
                <w:b/>
                <w:color w:val="auto"/>
                <w:sz w:val="28"/>
                <w:szCs w:val="28"/>
                <w:highlight w:val="none"/>
              </w:rPr>
              <w:t>法定代表人或其授权代表（签字或盖章）：</w:t>
            </w:r>
            <w:r>
              <w:rPr>
                <w:rFonts w:hint="eastAsia"/>
                <w:b/>
                <w:color w:val="auto"/>
                <w:w w:val="90"/>
                <w:sz w:val="28"/>
                <w:szCs w:val="28"/>
                <w:highlight w:val="none"/>
              </w:rPr>
              <w:t>________________________</w:t>
            </w:r>
          </w:p>
        </w:tc>
      </w:tr>
      <w:tr w14:paraId="692F5DBA">
        <w:tblPrEx>
          <w:tblCellMar>
            <w:top w:w="0" w:type="dxa"/>
            <w:left w:w="108" w:type="dxa"/>
            <w:bottom w:w="0" w:type="dxa"/>
            <w:right w:w="108" w:type="dxa"/>
          </w:tblCellMar>
        </w:tblPrEx>
        <w:trPr>
          <w:trHeight w:val="680" w:hRule="atLeast"/>
        </w:trPr>
        <w:tc>
          <w:tcPr>
            <w:tcW w:w="8789" w:type="dxa"/>
            <w:noWrap w:val="0"/>
            <w:vAlign w:val="center"/>
          </w:tcPr>
          <w:p w14:paraId="5E411444">
            <w:pPr>
              <w:rPr>
                <w:rFonts w:hint="eastAsia"/>
                <w:b/>
                <w:color w:val="auto"/>
                <w:sz w:val="28"/>
                <w:szCs w:val="28"/>
                <w:highlight w:val="none"/>
              </w:rPr>
            </w:pPr>
            <w:r>
              <w:rPr>
                <w:rFonts w:hint="eastAsia"/>
                <w:b/>
                <w:color w:val="auto"/>
                <w:sz w:val="28"/>
                <w:szCs w:val="28"/>
                <w:highlight w:val="none"/>
              </w:rPr>
              <w:t>日期：</w:t>
            </w:r>
            <w:r>
              <w:rPr>
                <w:rFonts w:hint="eastAsia"/>
                <w:b/>
                <w:color w:val="auto"/>
                <w:w w:val="90"/>
                <w:sz w:val="28"/>
                <w:szCs w:val="28"/>
                <w:highlight w:val="none"/>
              </w:rPr>
              <w:t>__________________________________________________________</w:t>
            </w:r>
          </w:p>
        </w:tc>
      </w:tr>
    </w:tbl>
    <w:p w14:paraId="6B64A5AC">
      <w:pPr>
        <w:pStyle w:val="10"/>
        <w:rPr>
          <w:rFonts w:hint="eastAsia" w:ascii="宋体" w:hAnsi="宋体" w:eastAsia="宋体" w:cs="宋体"/>
          <w:color w:val="auto"/>
          <w:sz w:val="24"/>
          <w:szCs w:val="24"/>
          <w:highlight w:val="none"/>
          <w:lang w:eastAsia="zh-CN"/>
        </w:rPr>
      </w:pPr>
      <w:r>
        <w:rPr>
          <w:rFonts w:hint="eastAsia" w:ascii="宋体" w:hAnsi="宋体" w:cs="宋体"/>
          <w:color w:val="auto"/>
          <w:highlight w:val="none"/>
        </w:rPr>
        <w:br w:type="page"/>
      </w:r>
      <w:r>
        <w:rPr>
          <w:rFonts w:hint="eastAsia" w:ascii="宋体" w:hAnsi="宋体" w:cs="宋体"/>
          <w:color w:val="auto"/>
          <w:sz w:val="32"/>
          <w:szCs w:val="32"/>
          <w:highlight w:val="none"/>
        </w:rPr>
        <w:t>1.2</w:t>
      </w:r>
      <w:r>
        <w:rPr>
          <w:rFonts w:hint="eastAsia" w:ascii="宋体" w:hAnsi="宋体" w:cs="宋体"/>
          <w:color w:val="auto"/>
          <w:sz w:val="32"/>
          <w:szCs w:val="32"/>
          <w:highlight w:val="none"/>
          <w:lang w:eastAsia="zh-CN"/>
        </w:rPr>
        <w:t>供应商符合参与政府采购活动资格条件的承诺函</w:t>
      </w:r>
    </w:p>
    <w:p w14:paraId="1C8368B4">
      <w:pPr>
        <w:jc w:val="center"/>
        <w:rPr>
          <w:rFonts w:hint="eastAsia"/>
          <w:b/>
          <w:color w:val="auto"/>
          <w:highlight w:val="none"/>
        </w:rPr>
      </w:pPr>
    </w:p>
    <w:p w14:paraId="1D6E0DD2">
      <w:pPr>
        <w:jc w:val="center"/>
        <w:rPr>
          <w:rFonts w:hint="eastAsia" w:eastAsia="宋体"/>
          <w:color w:val="auto"/>
          <w:highlight w:val="none"/>
          <w:lang w:eastAsia="zh-CN"/>
        </w:rPr>
      </w:pPr>
      <w:r>
        <w:rPr>
          <w:rFonts w:hint="eastAsia"/>
          <w:b/>
          <w:color w:val="auto"/>
          <w:highlight w:val="none"/>
          <w:lang w:eastAsia="zh-CN"/>
        </w:rPr>
        <w:t>供应商符合参与政府采购活动资格条件的承诺函</w:t>
      </w:r>
    </w:p>
    <w:p w14:paraId="159CAE01">
      <w:pPr>
        <w:spacing w:line="360" w:lineRule="auto"/>
        <w:rPr>
          <w:rFonts w:hint="eastAsia"/>
          <w:b/>
          <w:color w:val="auto"/>
          <w:w w:val="90"/>
          <w:highlight w:val="none"/>
          <w:u w:val="single"/>
        </w:rPr>
      </w:pPr>
    </w:p>
    <w:p w14:paraId="31C40503">
      <w:pPr>
        <w:spacing w:line="360" w:lineRule="auto"/>
        <w:rPr>
          <w:rFonts w:hint="eastAsia"/>
          <w:b/>
          <w:color w:val="auto"/>
          <w:sz w:val="28"/>
          <w:szCs w:val="24"/>
          <w:highlight w:val="none"/>
          <w:u w:val="single"/>
        </w:rPr>
      </w:pPr>
      <w:r>
        <w:rPr>
          <w:rFonts w:hint="eastAsia"/>
          <w:b/>
          <w:color w:val="auto"/>
          <w:sz w:val="28"/>
          <w:szCs w:val="24"/>
          <w:highlight w:val="none"/>
          <w:u w:val="single"/>
          <w:lang w:eastAsia="zh-CN"/>
        </w:rPr>
        <w:t>平阳县鳌江镇人民政府</w:t>
      </w:r>
      <w:r>
        <w:rPr>
          <w:rFonts w:hint="eastAsia"/>
          <w:b/>
          <w:color w:val="auto"/>
          <w:w w:val="90"/>
          <w:sz w:val="24"/>
          <w:szCs w:val="21"/>
          <w:highlight w:val="none"/>
          <w:u w:val="single"/>
        </w:rPr>
        <w:t>：</w:t>
      </w:r>
    </w:p>
    <w:p w14:paraId="7CE1F74A">
      <w:pPr>
        <w:pStyle w:val="61"/>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44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w:t>
      </w:r>
      <w:r>
        <w:rPr>
          <w:rFonts w:hint="eastAsia" w:ascii="宋体" w:hAnsi="宋体" w:eastAsia="宋体" w:cs="宋体"/>
          <w:color w:val="auto"/>
          <w:sz w:val="22"/>
          <w:szCs w:val="22"/>
          <w:highlight w:val="none"/>
          <w:u w:val="single"/>
        </w:rPr>
        <w:t xml:space="preserve">    </w:t>
      </w:r>
      <w:r>
        <w:rPr>
          <w:rFonts w:hint="eastAsia" w:ascii="宋体" w:hAnsi="宋体" w:eastAsia="宋体" w:cs="宋体"/>
          <w:i/>
          <w:iCs/>
          <w:color w:val="auto"/>
          <w:sz w:val="22"/>
          <w:szCs w:val="22"/>
          <w:highlight w:val="none"/>
          <w:u w:val="single"/>
        </w:rPr>
        <w:t>（供应商名称）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参与</w:t>
      </w:r>
      <w:r>
        <w:rPr>
          <w:rFonts w:hint="eastAsia" w:ascii="宋体" w:hAnsi="宋体" w:eastAsia="宋体" w:cs="宋体"/>
          <w:color w:val="auto"/>
          <w:sz w:val="22"/>
          <w:szCs w:val="22"/>
          <w:highlight w:val="none"/>
          <w:u w:val="single"/>
        </w:rPr>
        <w:t xml:space="preserve">    </w:t>
      </w:r>
      <w:r>
        <w:rPr>
          <w:rFonts w:hint="eastAsia" w:ascii="宋体" w:hAnsi="宋体" w:eastAsia="宋体" w:cs="宋体"/>
          <w:i/>
          <w:iCs/>
          <w:color w:val="auto"/>
          <w:sz w:val="22"/>
          <w:szCs w:val="22"/>
          <w:highlight w:val="none"/>
          <w:u w:val="single"/>
        </w:rPr>
        <w:t xml:space="preserve">  （项目名称）   </w:t>
      </w:r>
      <w:r>
        <w:rPr>
          <w:rFonts w:hint="eastAsia" w:ascii="宋体" w:hAnsi="宋体" w:eastAsia="宋体" w:cs="宋体"/>
          <w:color w:val="auto"/>
          <w:sz w:val="22"/>
          <w:szCs w:val="22"/>
          <w:highlight w:val="none"/>
        </w:rPr>
        <w:t>政府采购活动，针对《中华人民共和国政府采购法》第二十二条所述条件做如下承诺：</w:t>
      </w:r>
    </w:p>
    <w:p w14:paraId="223EAD63">
      <w:pPr>
        <w:pStyle w:val="61"/>
        <w:keepNext w:val="0"/>
        <w:keepLines w:val="0"/>
        <w:pageBreakBefore w:val="0"/>
        <w:numPr>
          <w:ilvl w:val="0"/>
          <w:numId w:val="19"/>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我方</w:t>
      </w:r>
      <w:r>
        <w:rPr>
          <w:rFonts w:hint="eastAsia" w:ascii="宋体" w:hAnsi="宋体" w:eastAsia="宋体" w:cs="宋体"/>
          <w:color w:val="auto"/>
          <w:sz w:val="22"/>
          <w:szCs w:val="22"/>
          <w:highlight w:val="none"/>
        </w:rPr>
        <w:t>具有独立承担民事责任的能力；</w:t>
      </w:r>
    </w:p>
    <w:p w14:paraId="1D129AAB">
      <w:pPr>
        <w:pStyle w:val="61"/>
        <w:keepNext w:val="0"/>
        <w:keepLines w:val="0"/>
        <w:pageBreakBefore w:val="0"/>
        <w:numPr>
          <w:ilvl w:val="0"/>
          <w:numId w:val="19"/>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我方具有良好的商业信誉和健全的财务会计制度；</w:t>
      </w:r>
    </w:p>
    <w:p w14:paraId="1189F0FB">
      <w:pPr>
        <w:pStyle w:val="61"/>
        <w:keepNext w:val="0"/>
        <w:keepLines w:val="0"/>
        <w:pageBreakBefore w:val="0"/>
        <w:numPr>
          <w:ilvl w:val="0"/>
          <w:numId w:val="19"/>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我方具有履行本项目合同所必需的设备和专业技术能力；</w:t>
      </w:r>
    </w:p>
    <w:p w14:paraId="2D321E58">
      <w:pPr>
        <w:pStyle w:val="61"/>
        <w:keepNext w:val="0"/>
        <w:keepLines w:val="0"/>
        <w:pageBreakBefore w:val="0"/>
        <w:numPr>
          <w:ilvl w:val="0"/>
          <w:numId w:val="19"/>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我方没有缴纳税收和社会保障等方面的失信记录；</w:t>
      </w:r>
    </w:p>
    <w:p w14:paraId="7625349F">
      <w:pPr>
        <w:pStyle w:val="61"/>
        <w:keepNext w:val="0"/>
        <w:keepLines w:val="0"/>
        <w:pageBreakBefore w:val="0"/>
        <w:numPr>
          <w:ilvl w:val="0"/>
          <w:numId w:val="19"/>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在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r>
        <w:rPr>
          <w:rFonts w:hint="eastAsia" w:ascii="宋体" w:hAnsi="宋体" w:eastAsia="宋体" w:cs="宋体"/>
          <w:color w:val="auto"/>
          <w:sz w:val="22"/>
          <w:szCs w:val="22"/>
          <w:highlight w:val="none"/>
          <w:lang w:eastAsia="zh-CN"/>
        </w:rPr>
        <w:t>。</w:t>
      </w:r>
    </w:p>
    <w:p w14:paraId="7E395BDC">
      <w:pPr>
        <w:pStyle w:val="61"/>
        <w:keepNext w:val="0"/>
        <w:keepLines w:val="0"/>
        <w:pageBreakBefore w:val="0"/>
        <w:numPr>
          <w:ilvl w:val="0"/>
          <w:numId w:val="19"/>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我方与参加本次项目同一合同项下政府采购活动的其他供应商不存在单位负责人为同一人或者直接控股、管理关系</w:t>
      </w:r>
      <w:r>
        <w:rPr>
          <w:rFonts w:hint="eastAsia" w:ascii="宋体" w:hAnsi="宋体" w:eastAsia="宋体" w:cs="宋体"/>
          <w:color w:val="auto"/>
          <w:sz w:val="22"/>
          <w:szCs w:val="22"/>
          <w:highlight w:val="none"/>
          <w:lang w:eastAsia="zh-CN"/>
        </w:rPr>
        <w:t>。</w:t>
      </w:r>
    </w:p>
    <w:p w14:paraId="0FA0E7A8">
      <w:pPr>
        <w:pStyle w:val="61"/>
        <w:keepNext w:val="0"/>
        <w:keepLines w:val="0"/>
        <w:pageBreakBefore w:val="0"/>
        <w:numPr>
          <w:ilvl w:val="0"/>
          <w:numId w:val="19"/>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我方未被“信用中国”（www.creditchina.gov.cn）、中国政府采购网（www.ccgp.gov.cn）列入失信被执行人名单、重大税收违法案件当事人名单、政府采购严重违法失信行为记录名单</w:t>
      </w:r>
    </w:p>
    <w:p w14:paraId="5C8C91C9">
      <w:pPr>
        <w:pStyle w:val="61"/>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我方对上述承诺内容的真实性负责。我公司郑重声明，我公司参加</w:t>
      </w:r>
      <w:r>
        <w:rPr>
          <w:rFonts w:hint="eastAsia" w:ascii="宋体" w:hAnsi="宋体" w:eastAsia="宋体" w:cs="宋体"/>
          <w:color w:val="auto"/>
          <w:sz w:val="22"/>
          <w:szCs w:val="22"/>
          <w:highlight w:val="none"/>
          <w:u w:val="none"/>
          <w:lang w:eastAsia="zh-CN"/>
        </w:rPr>
        <w:t>本次</w:t>
      </w:r>
      <w:r>
        <w:rPr>
          <w:rFonts w:hint="eastAsia" w:ascii="宋体" w:hAnsi="宋体" w:eastAsia="宋体" w:cs="宋体"/>
          <w:color w:val="auto"/>
          <w:sz w:val="22"/>
          <w:szCs w:val="22"/>
          <w:highlight w:val="none"/>
        </w:rPr>
        <w:t>政府采购活动中所提交的《资格文件》所有内容真实、有效，不存在提供虚假材料的行为。如有违反，愿承担一切责任。如有虚假，将依法承担相应责任。</w:t>
      </w:r>
    </w:p>
    <w:p w14:paraId="24FF5553">
      <w:pPr>
        <w:spacing w:line="360" w:lineRule="auto"/>
        <w:ind w:firstLine="480" w:firstLineChars="200"/>
        <w:rPr>
          <w:rFonts w:hint="eastAsia"/>
          <w:color w:val="auto"/>
          <w:highlight w:val="none"/>
        </w:rPr>
      </w:pPr>
    </w:p>
    <w:p w14:paraId="47168FE5">
      <w:pPr>
        <w:spacing w:line="360" w:lineRule="auto"/>
        <w:ind w:firstLine="480" w:firstLineChars="200"/>
        <w:rPr>
          <w:rFonts w:hint="eastAsia"/>
          <w:color w:val="auto"/>
          <w:highlight w:val="none"/>
        </w:rPr>
      </w:pPr>
    </w:p>
    <w:p w14:paraId="5E33FC43">
      <w:pPr>
        <w:snapToGrid w:val="0"/>
        <w:spacing w:line="360" w:lineRule="auto"/>
        <w:rPr>
          <w:rFonts w:hint="eastAsia"/>
          <w:color w:val="auto"/>
          <w:highlight w:val="none"/>
        </w:rPr>
      </w:pPr>
      <w:r>
        <w:rPr>
          <w:rFonts w:hint="eastAsia"/>
          <w:color w:val="auto"/>
          <w:highlight w:val="none"/>
        </w:rPr>
        <w:t>供应商</w:t>
      </w:r>
      <w:r>
        <w:rPr>
          <w:rFonts w:hint="eastAsia"/>
          <w:b/>
          <w:color w:val="auto"/>
          <w:highlight w:val="none"/>
        </w:rPr>
        <w:t>名称（盖章）</w:t>
      </w:r>
      <w:r>
        <w:rPr>
          <w:rFonts w:hint="eastAsia"/>
          <w:color w:val="auto"/>
          <w:highlight w:val="none"/>
        </w:rPr>
        <w:t>：</w:t>
      </w:r>
      <w:r>
        <w:rPr>
          <w:rFonts w:hint="eastAsia"/>
          <w:color w:val="auto"/>
          <w:w w:val="90"/>
          <w:highlight w:val="none"/>
        </w:rPr>
        <w:t>_________________________________________</w:t>
      </w:r>
    </w:p>
    <w:p w14:paraId="5699ADDF">
      <w:pPr>
        <w:snapToGrid w:val="0"/>
        <w:spacing w:line="360" w:lineRule="auto"/>
        <w:rPr>
          <w:rFonts w:hint="eastAsia"/>
          <w:color w:val="auto"/>
          <w:highlight w:val="none"/>
        </w:rPr>
      </w:pPr>
      <w:r>
        <w:rPr>
          <w:rFonts w:hint="eastAsia"/>
          <w:color w:val="auto"/>
          <w:highlight w:val="none"/>
        </w:rPr>
        <w:t>法定代表人或其授权代表</w:t>
      </w:r>
      <w:r>
        <w:rPr>
          <w:rFonts w:hint="eastAsia"/>
          <w:b/>
          <w:color w:val="auto"/>
          <w:highlight w:val="none"/>
        </w:rPr>
        <w:t>（签字或盖章）</w:t>
      </w:r>
      <w:r>
        <w:rPr>
          <w:rFonts w:hint="eastAsia"/>
          <w:color w:val="auto"/>
          <w:highlight w:val="none"/>
        </w:rPr>
        <w:t>：</w:t>
      </w:r>
      <w:r>
        <w:rPr>
          <w:rFonts w:hint="eastAsia"/>
          <w:color w:val="auto"/>
          <w:w w:val="90"/>
          <w:highlight w:val="none"/>
        </w:rPr>
        <w:t>__________________________</w:t>
      </w:r>
    </w:p>
    <w:p w14:paraId="765589C2">
      <w:pPr>
        <w:rPr>
          <w:rFonts w:hint="eastAsia"/>
          <w:b/>
          <w:color w:val="auto"/>
          <w:highlight w:val="none"/>
        </w:rPr>
      </w:pPr>
      <w:r>
        <w:rPr>
          <w:rFonts w:hint="eastAsia"/>
          <w:color w:val="auto"/>
          <w:highlight w:val="none"/>
        </w:rPr>
        <w:t>日期：</w:t>
      </w:r>
      <w:r>
        <w:rPr>
          <w:rFonts w:hint="eastAsia"/>
          <w:color w:val="auto"/>
          <w:w w:val="90"/>
          <w:highlight w:val="none"/>
        </w:rPr>
        <w:t>________年____月____日</w:t>
      </w:r>
    </w:p>
    <w:p w14:paraId="20769DCE">
      <w:pPr>
        <w:rPr>
          <w:rFonts w:hint="eastAsia"/>
          <w:color w:val="auto"/>
          <w:highlight w:val="none"/>
        </w:rPr>
      </w:pPr>
    </w:p>
    <w:p w14:paraId="7F5674F9">
      <w:pPr>
        <w:pStyle w:val="10"/>
        <w:rPr>
          <w:rFonts w:hint="eastAsia" w:ascii="宋体" w:hAnsi="宋体" w:cs="宋体"/>
          <w:color w:val="auto"/>
          <w:sz w:val="24"/>
          <w:szCs w:val="24"/>
          <w:highlight w:val="none"/>
        </w:rPr>
      </w:pPr>
      <w:r>
        <w:rPr>
          <w:rFonts w:hint="eastAsia" w:ascii="宋体" w:hAnsi="宋体" w:cs="宋体"/>
          <w:color w:val="auto"/>
          <w:sz w:val="24"/>
          <w:szCs w:val="24"/>
          <w:highlight w:val="none"/>
        </w:rPr>
        <w:br w:type="page"/>
      </w:r>
      <w:r>
        <w:rPr>
          <w:rFonts w:hint="eastAsia" w:ascii="宋体" w:hAnsi="宋体" w:cs="宋体"/>
          <w:color w:val="auto"/>
          <w:sz w:val="32"/>
          <w:szCs w:val="32"/>
          <w:highlight w:val="none"/>
        </w:rPr>
        <w:t>1.3具有独立承担民事责任能力的证明材料</w:t>
      </w:r>
    </w:p>
    <w:p w14:paraId="608FFA70">
      <w:pPr>
        <w:spacing w:line="360" w:lineRule="auto"/>
        <w:jc w:val="center"/>
        <w:rPr>
          <w:rFonts w:hint="eastAsia"/>
          <w:b/>
          <w:color w:val="auto"/>
          <w:sz w:val="22"/>
          <w:szCs w:val="22"/>
          <w:highlight w:val="none"/>
        </w:rPr>
      </w:pPr>
      <w:r>
        <w:rPr>
          <w:rFonts w:hint="eastAsia"/>
          <w:b/>
          <w:color w:val="auto"/>
          <w:sz w:val="22"/>
          <w:szCs w:val="22"/>
          <w:highlight w:val="none"/>
        </w:rPr>
        <w:t>企业法人营业执照</w:t>
      </w:r>
    </w:p>
    <w:tbl>
      <w:tblPr>
        <w:tblStyle w:val="66"/>
        <w:tblW w:w="0" w:type="auto"/>
        <w:tblInd w:w="0" w:type="dxa"/>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Layout w:type="fixed"/>
        <w:tblCellMar>
          <w:top w:w="0" w:type="dxa"/>
          <w:left w:w="108" w:type="dxa"/>
          <w:bottom w:w="0" w:type="dxa"/>
          <w:right w:w="108" w:type="dxa"/>
        </w:tblCellMar>
      </w:tblPr>
      <w:tblGrid>
        <w:gridCol w:w="9145"/>
      </w:tblGrid>
      <w:tr w14:paraId="439F90F8">
        <w:tblPrEx>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CellMar>
            <w:top w:w="0" w:type="dxa"/>
            <w:left w:w="108" w:type="dxa"/>
            <w:bottom w:w="0" w:type="dxa"/>
            <w:right w:w="108" w:type="dxa"/>
          </w:tblCellMar>
        </w:tblPrEx>
        <w:trPr>
          <w:trHeight w:val="10874" w:hRule="atLeast"/>
        </w:trPr>
        <w:tc>
          <w:tcPr>
            <w:tcW w:w="9145" w:type="dxa"/>
            <w:noWrap w:val="0"/>
            <w:vAlign w:val="center"/>
          </w:tcPr>
          <w:p w14:paraId="0429EF0E">
            <w:pPr>
              <w:spacing w:line="276" w:lineRule="auto"/>
              <w:rPr>
                <w:rFonts w:hint="eastAsia"/>
                <w:b/>
                <w:color w:val="auto"/>
                <w:sz w:val="22"/>
                <w:szCs w:val="22"/>
                <w:highlight w:val="none"/>
              </w:rPr>
            </w:pPr>
            <w:r>
              <w:rPr>
                <w:rFonts w:hint="eastAsia"/>
                <w:b/>
                <w:color w:val="auto"/>
                <w:sz w:val="22"/>
                <w:szCs w:val="22"/>
                <w:highlight w:val="none"/>
              </w:rPr>
              <w:t>资格要求：具有独立承担民事责任能力</w:t>
            </w:r>
          </w:p>
          <w:p w14:paraId="7459AE24">
            <w:pPr>
              <w:spacing w:line="276" w:lineRule="auto"/>
              <w:rPr>
                <w:rFonts w:hint="eastAsia"/>
                <w:b/>
                <w:color w:val="auto"/>
                <w:sz w:val="22"/>
                <w:szCs w:val="22"/>
                <w:highlight w:val="none"/>
              </w:rPr>
            </w:pPr>
          </w:p>
          <w:p w14:paraId="76778946">
            <w:pPr>
              <w:spacing w:line="360" w:lineRule="auto"/>
              <w:rPr>
                <w:rFonts w:hint="eastAsia"/>
                <w:bCs/>
                <w:color w:val="auto"/>
                <w:sz w:val="22"/>
                <w:szCs w:val="22"/>
                <w:highlight w:val="none"/>
              </w:rPr>
            </w:pPr>
            <w:r>
              <w:rPr>
                <w:rFonts w:hint="eastAsia"/>
                <w:b/>
                <w:color w:val="auto"/>
                <w:sz w:val="22"/>
                <w:szCs w:val="22"/>
                <w:highlight w:val="none"/>
              </w:rPr>
              <w:t>证明材料：</w:t>
            </w:r>
            <w:r>
              <w:rPr>
                <w:rFonts w:hint="eastAsia"/>
                <w:bCs/>
                <w:color w:val="auto"/>
                <w:sz w:val="22"/>
                <w:szCs w:val="22"/>
                <w:highlight w:val="none"/>
              </w:rPr>
              <w:t>营业执照(或事业法人登记证书或其它工商等登记证明材料)</w:t>
            </w:r>
          </w:p>
          <w:p w14:paraId="254CBBAA">
            <w:pPr>
              <w:spacing w:line="360" w:lineRule="auto"/>
              <w:rPr>
                <w:rFonts w:hint="eastAsia"/>
                <w:bCs/>
                <w:color w:val="auto"/>
                <w:sz w:val="22"/>
                <w:szCs w:val="22"/>
                <w:highlight w:val="none"/>
              </w:rPr>
            </w:pPr>
            <w:r>
              <w:rPr>
                <w:rFonts w:hint="eastAsia"/>
                <w:bCs/>
                <w:color w:val="auto"/>
                <w:sz w:val="22"/>
                <w:szCs w:val="22"/>
                <w:highlight w:val="none"/>
              </w:rPr>
              <w:t>a.供应商为企业或个体工商户的，提供有效的“营业执照”；供应商为事业单位的，提供有效的“事业单位法人证书”；供应商为非企业专业服务机构的，提供执业许可证等证明文件；供应商为自然人（中国公民）的，提供个人有效身份证明文件。</w:t>
            </w:r>
          </w:p>
          <w:p w14:paraId="228D2793">
            <w:pPr>
              <w:spacing w:line="360" w:lineRule="auto"/>
              <w:rPr>
                <w:rFonts w:hint="eastAsia"/>
                <w:color w:val="auto"/>
                <w:sz w:val="22"/>
                <w:szCs w:val="22"/>
                <w:highlight w:val="none"/>
              </w:rPr>
            </w:pPr>
            <w:r>
              <w:rPr>
                <w:rFonts w:hint="eastAsia"/>
                <w:bCs/>
                <w:color w:val="auto"/>
                <w:sz w:val="22"/>
                <w:szCs w:val="22"/>
                <w:highlight w:val="none"/>
              </w:rPr>
              <w:t>b.金融、保险、通讯等特定行业的全国性企业所设立的区域性分支机构，以及个体工商户、个人独资企业、合伙企业参加本项目投标的，除提供供应商自身的营业执照外，还须提供总公司（总机构）授权书或房产权证或其他有效财产证明材料（提供复印件加盖供应商公章），以证明其具备实际承担责任的能力和法定的缔结合同能力。</w:t>
            </w:r>
          </w:p>
        </w:tc>
      </w:tr>
    </w:tbl>
    <w:p w14:paraId="284BFBEE">
      <w:pPr>
        <w:spacing w:line="360" w:lineRule="auto"/>
        <w:rPr>
          <w:rFonts w:hint="eastAsia"/>
          <w:i/>
          <w:color w:val="auto"/>
          <w:highlight w:val="none"/>
        </w:rPr>
      </w:pPr>
    </w:p>
    <w:p w14:paraId="6F038063">
      <w:pPr>
        <w:pStyle w:val="10"/>
        <w:rPr>
          <w:rFonts w:ascii="宋体" w:hAnsi="宋体"/>
          <w:color w:val="auto"/>
          <w:sz w:val="28"/>
          <w:szCs w:val="28"/>
          <w:highlight w:val="none"/>
        </w:rPr>
      </w:pPr>
      <w:r>
        <w:rPr>
          <w:rFonts w:hint="eastAsia" w:ascii="宋体" w:hAnsi="宋体" w:cs="宋体"/>
          <w:color w:val="auto"/>
          <w:sz w:val="24"/>
          <w:szCs w:val="24"/>
          <w:highlight w:val="none"/>
        </w:rPr>
        <w:br w:type="page"/>
      </w:r>
      <w:r>
        <w:rPr>
          <w:rFonts w:hint="eastAsia" w:ascii="宋体" w:hAnsi="宋体"/>
          <w:color w:val="auto"/>
          <w:sz w:val="32"/>
          <w:szCs w:val="32"/>
          <w:highlight w:val="none"/>
        </w:rPr>
        <w:t>1.</w:t>
      </w:r>
      <w:r>
        <w:rPr>
          <w:rFonts w:hint="eastAsia" w:ascii="宋体" w:hAnsi="宋体"/>
          <w:color w:val="auto"/>
          <w:sz w:val="32"/>
          <w:szCs w:val="32"/>
          <w:highlight w:val="none"/>
          <w:lang w:val="en-US" w:eastAsia="zh-CN"/>
        </w:rPr>
        <w:t>4.1</w:t>
      </w:r>
      <w:r>
        <w:rPr>
          <w:rFonts w:ascii="宋体" w:hAnsi="宋体"/>
          <w:color w:val="auto"/>
          <w:sz w:val="32"/>
          <w:szCs w:val="32"/>
          <w:highlight w:val="none"/>
        </w:rPr>
        <w:t>法定代表人授权书</w:t>
      </w:r>
    </w:p>
    <w:p w14:paraId="1F2B06CB">
      <w:pPr>
        <w:widowControl/>
        <w:autoSpaceDE w:val="0"/>
        <w:autoSpaceDN w:val="0"/>
        <w:snapToGrid w:val="0"/>
        <w:spacing w:line="460" w:lineRule="exact"/>
        <w:jc w:val="center"/>
        <w:rPr>
          <w:b/>
          <w:color w:val="auto"/>
          <w:sz w:val="28"/>
          <w:highlight w:val="none"/>
        </w:rPr>
      </w:pPr>
      <w:r>
        <w:rPr>
          <w:b/>
          <w:color w:val="auto"/>
          <w:sz w:val="28"/>
          <w:highlight w:val="none"/>
        </w:rPr>
        <w:t>法定代表人授权书</w:t>
      </w:r>
    </w:p>
    <w:p w14:paraId="0AEFC1CA">
      <w:pPr>
        <w:widowControl/>
        <w:autoSpaceDE w:val="0"/>
        <w:autoSpaceDN w:val="0"/>
        <w:snapToGrid w:val="0"/>
        <w:spacing w:line="460" w:lineRule="exact"/>
        <w:jc w:val="left"/>
        <w:rPr>
          <w:color w:val="auto"/>
          <w:sz w:val="24"/>
          <w:highlight w:val="none"/>
        </w:rPr>
      </w:pPr>
    </w:p>
    <w:p w14:paraId="45D330A7">
      <w:pPr>
        <w:widowControl/>
        <w:snapToGrid w:val="0"/>
        <w:spacing w:line="360" w:lineRule="auto"/>
        <w:jc w:val="left"/>
        <w:rPr>
          <w:color w:val="auto"/>
          <w:highlight w:val="none"/>
          <w:u w:val="single"/>
        </w:rPr>
      </w:pPr>
    </w:p>
    <w:p w14:paraId="60209641">
      <w:pPr>
        <w:widowControl/>
        <w:snapToGrid w:val="0"/>
        <w:spacing w:line="360" w:lineRule="auto"/>
        <w:jc w:val="left"/>
        <w:rPr>
          <w:color w:val="auto"/>
          <w:sz w:val="22"/>
          <w:highlight w:val="none"/>
        </w:rPr>
      </w:pPr>
      <w:r>
        <w:rPr>
          <w:rFonts w:hint="eastAsia"/>
          <w:color w:val="auto"/>
          <w:sz w:val="22"/>
          <w:highlight w:val="none"/>
          <w:u w:val="single"/>
          <w:lang w:eastAsia="zh-CN"/>
        </w:rPr>
        <w:t>平阳县鳌江镇人民政府</w:t>
      </w:r>
      <w:r>
        <w:rPr>
          <w:color w:val="auto"/>
          <w:sz w:val="22"/>
          <w:highlight w:val="none"/>
        </w:rPr>
        <w:t>：</w:t>
      </w:r>
    </w:p>
    <w:p w14:paraId="3739B09F">
      <w:pPr>
        <w:widowControl/>
        <w:snapToGrid w:val="0"/>
        <w:spacing w:line="360" w:lineRule="auto"/>
        <w:ind w:firstLine="440"/>
        <w:jc w:val="left"/>
        <w:rPr>
          <w:color w:val="auto"/>
          <w:sz w:val="22"/>
          <w:highlight w:val="none"/>
        </w:rPr>
      </w:pPr>
      <w:r>
        <w:rPr>
          <w:color w:val="auto"/>
          <w:sz w:val="22"/>
          <w:highlight w:val="none"/>
        </w:rPr>
        <w:t>本授权委托书声明：我</w:t>
      </w:r>
      <w:r>
        <w:rPr>
          <w:color w:val="auto"/>
          <w:sz w:val="22"/>
          <w:highlight w:val="none"/>
          <w:u w:val="single"/>
        </w:rPr>
        <w:t xml:space="preserve">   （法定代表人姓名）   </w:t>
      </w:r>
      <w:r>
        <w:rPr>
          <w:color w:val="auto"/>
          <w:sz w:val="22"/>
          <w:highlight w:val="none"/>
        </w:rPr>
        <w:t>系</w:t>
      </w:r>
      <w:r>
        <w:rPr>
          <w:color w:val="auto"/>
          <w:sz w:val="22"/>
          <w:highlight w:val="none"/>
          <w:u w:val="single"/>
        </w:rPr>
        <w:t xml:space="preserve">   （供应商名 称）  </w:t>
      </w:r>
      <w:r>
        <w:rPr>
          <w:color w:val="auto"/>
          <w:sz w:val="22"/>
          <w:highlight w:val="none"/>
        </w:rPr>
        <w:t>的法定代表人，现授权委托</w:t>
      </w:r>
      <w:r>
        <w:rPr>
          <w:color w:val="auto"/>
          <w:sz w:val="22"/>
          <w:highlight w:val="none"/>
          <w:u w:val="single"/>
        </w:rPr>
        <w:t xml:space="preserve">  （单 位 名 称）   </w:t>
      </w:r>
      <w:r>
        <w:rPr>
          <w:color w:val="auto"/>
          <w:sz w:val="22"/>
          <w:highlight w:val="none"/>
        </w:rPr>
        <w:t>的</w:t>
      </w:r>
      <w:r>
        <w:rPr>
          <w:color w:val="auto"/>
          <w:sz w:val="22"/>
          <w:highlight w:val="none"/>
          <w:u w:val="single"/>
        </w:rPr>
        <w:t xml:space="preserve">  （授权代表姓名）  </w:t>
      </w:r>
      <w:r>
        <w:rPr>
          <w:color w:val="auto"/>
          <w:sz w:val="22"/>
          <w:highlight w:val="none"/>
        </w:rPr>
        <w:t>为我公司法定代表人授权代表，参加贵处组织的</w:t>
      </w:r>
      <w:r>
        <w:rPr>
          <w:color w:val="auto"/>
          <w:sz w:val="22"/>
          <w:highlight w:val="none"/>
          <w:u w:val="single"/>
        </w:rPr>
        <w:t xml:space="preserve">  招标项目名称（括号中填写项目编号）  </w:t>
      </w:r>
      <w:r>
        <w:rPr>
          <w:color w:val="auto"/>
          <w:sz w:val="22"/>
          <w:highlight w:val="none"/>
        </w:rPr>
        <w:t>项目投标，全权处理本次招投标活动中的一切事宜，我承认授权代表全权代表我所签署的本项目的投标文件的内容。</w:t>
      </w:r>
    </w:p>
    <w:p w14:paraId="724D6297">
      <w:pPr>
        <w:widowControl/>
        <w:snapToGrid w:val="0"/>
        <w:spacing w:line="360" w:lineRule="auto"/>
        <w:ind w:firstLine="440"/>
        <w:jc w:val="left"/>
        <w:rPr>
          <w:color w:val="auto"/>
          <w:sz w:val="22"/>
          <w:highlight w:val="none"/>
        </w:rPr>
      </w:pPr>
      <w:r>
        <w:rPr>
          <w:color w:val="auto"/>
          <w:sz w:val="22"/>
          <w:highlight w:val="none"/>
        </w:rPr>
        <w:t>授权代表无转授权，特此授权</w:t>
      </w:r>
    </w:p>
    <w:p w14:paraId="388F34D0">
      <w:pPr>
        <w:widowControl/>
        <w:snapToGrid w:val="0"/>
        <w:spacing w:line="360" w:lineRule="auto"/>
        <w:ind w:left="1260"/>
        <w:jc w:val="left"/>
        <w:rPr>
          <w:color w:val="auto"/>
          <w:sz w:val="22"/>
          <w:highlight w:val="none"/>
        </w:rPr>
      </w:pPr>
    </w:p>
    <w:p w14:paraId="1B675D14">
      <w:pPr>
        <w:widowControl/>
        <w:snapToGrid w:val="0"/>
        <w:spacing w:line="360" w:lineRule="auto"/>
        <w:ind w:left="2098" w:firstLine="959"/>
        <w:jc w:val="left"/>
        <w:rPr>
          <w:color w:val="auto"/>
          <w:sz w:val="22"/>
          <w:highlight w:val="none"/>
          <w:u w:val="single"/>
        </w:rPr>
      </w:pPr>
      <w:r>
        <w:rPr>
          <w:color w:val="auto"/>
          <w:sz w:val="22"/>
          <w:highlight w:val="none"/>
        </w:rPr>
        <w:t>授权代表：</w:t>
      </w:r>
      <w:r>
        <w:rPr>
          <w:color w:val="auto"/>
          <w:sz w:val="22"/>
          <w:highlight w:val="none"/>
          <w:u w:val="single"/>
        </w:rPr>
        <w:t xml:space="preserve">   </w:t>
      </w:r>
      <w:r>
        <w:rPr>
          <w:rFonts w:hint="eastAsia"/>
          <w:color w:val="auto"/>
          <w:sz w:val="22"/>
          <w:highlight w:val="none"/>
          <w:u w:val="single"/>
        </w:rPr>
        <w:t xml:space="preserve">    </w:t>
      </w:r>
      <w:r>
        <w:rPr>
          <w:color w:val="auto"/>
          <w:sz w:val="22"/>
          <w:highlight w:val="none"/>
          <w:u w:val="single"/>
        </w:rPr>
        <w:t xml:space="preserve"> </w:t>
      </w:r>
      <w:r>
        <w:rPr>
          <w:color w:val="auto"/>
          <w:sz w:val="22"/>
          <w:highlight w:val="none"/>
        </w:rPr>
        <w:t xml:space="preserve"> 性别 ：</w:t>
      </w:r>
      <w:r>
        <w:rPr>
          <w:color w:val="auto"/>
          <w:sz w:val="22"/>
          <w:highlight w:val="none"/>
          <w:u w:val="single"/>
        </w:rPr>
        <w:t xml:space="preserve">     </w:t>
      </w:r>
      <w:r>
        <w:rPr>
          <w:color w:val="auto"/>
          <w:sz w:val="22"/>
          <w:highlight w:val="none"/>
        </w:rPr>
        <w:t xml:space="preserve"> 年龄：</w:t>
      </w:r>
      <w:r>
        <w:rPr>
          <w:color w:val="auto"/>
          <w:sz w:val="22"/>
          <w:highlight w:val="none"/>
          <w:u w:val="single"/>
        </w:rPr>
        <w:t xml:space="preserve">    </w:t>
      </w:r>
    </w:p>
    <w:p w14:paraId="00EE4863">
      <w:pPr>
        <w:widowControl/>
        <w:snapToGrid w:val="0"/>
        <w:spacing w:line="360" w:lineRule="auto"/>
        <w:ind w:left="2098" w:firstLine="959"/>
        <w:jc w:val="left"/>
        <w:rPr>
          <w:color w:val="auto"/>
          <w:sz w:val="22"/>
          <w:highlight w:val="none"/>
          <w:u w:val="single"/>
        </w:rPr>
      </w:pPr>
      <w:r>
        <w:rPr>
          <w:color w:val="auto"/>
          <w:sz w:val="22"/>
          <w:highlight w:val="none"/>
        </w:rPr>
        <w:t>身份证号码：</w:t>
      </w:r>
      <w:r>
        <w:rPr>
          <w:color w:val="auto"/>
          <w:sz w:val="22"/>
          <w:highlight w:val="none"/>
          <w:u w:val="single"/>
        </w:rPr>
        <w:t xml:space="preserve">                         </w:t>
      </w:r>
      <w:r>
        <w:rPr>
          <w:color w:val="auto"/>
          <w:sz w:val="22"/>
          <w:highlight w:val="none"/>
        </w:rPr>
        <w:t xml:space="preserve"> 职务：</w:t>
      </w:r>
      <w:r>
        <w:rPr>
          <w:color w:val="auto"/>
          <w:sz w:val="22"/>
          <w:highlight w:val="none"/>
          <w:u w:val="single"/>
        </w:rPr>
        <w:t xml:space="preserve">      </w:t>
      </w:r>
    </w:p>
    <w:p w14:paraId="0A54CE7B">
      <w:pPr>
        <w:widowControl/>
        <w:snapToGrid w:val="0"/>
        <w:spacing w:line="360" w:lineRule="auto"/>
        <w:ind w:left="2098" w:firstLine="959"/>
        <w:jc w:val="left"/>
        <w:rPr>
          <w:color w:val="auto"/>
          <w:sz w:val="22"/>
          <w:highlight w:val="none"/>
          <w:u w:val="single"/>
        </w:rPr>
      </w:pPr>
      <w:r>
        <w:rPr>
          <w:color w:val="auto"/>
          <w:sz w:val="22"/>
          <w:highlight w:val="none"/>
        </w:rPr>
        <w:t>详细通讯地址：</w:t>
      </w:r>
      <w:r>
        <w:rPr>
          <w:color w:val="auto"/>
          <w:sz w:val="22"/>
          <w:highlight w:val="none"/>
          <w:u w:val="single"/>
        </w:rPr>
        <w:t xml:space="preserve">                 </w:t>
      </w:r>
      <w:r>
        <w:rPr>
          <w:color w:val="auto"/>
          <w:sz w:val="22"/>
          <w:highlight w:val="none"/>
        </w:rPr>
        <w:t xml:space="preserve"> 邮政编码：</w:t>
      </w:r>
      <w:r>
        <w:rPr>
          <w:color w:val="auto"/>
          <w:sz w:val="22"/>
          <w:highlight w:val="none"/>
          <w:u w:val="single"/>
        </w:rPr>
        <w:t xml:space="preserve">           </w:t>
      </w:r>
    </w:p>
    <w:p w14:paraId="6755A729">
      <w:pPr>
        <w:widowControl/>
        <w:snapToGrid w:val="0"/>
        <w:ind w:left="2098" w:firstLine="959"/>
        <w:jc w:val="left"/>
        <w:rPr>
          <w:color w:val="auto"/>
          <w:sz w:val="22"/>
          <w:highlight w:val="none"/>
          <w:u w:val="single"/>
        </w:rPr>
      </w:pPr>
      <w:r>
        <w:rPr>
          <w:color w:val="auto"/>
          <w:sz w:val="22"/>
          <w:highlight w:val="none"/>
        </w:rPr>
        <w:t>电话：</w:t>
      </w:r>
      <w:r>
        <w:rPr>
          <w:color w:val="auto"/>
          <w:sz w:val="22"/>
          <w:highlight w:val="none"/>
          <w:u w:val="single"/>
        </w:rPr>
        <w:t xml:space="preserve">                   </w:t>
      </w:r>
      <w:r>
        <w:rPr>
          <w:color w:val="auto"/>
          <w:sz w:val="22"/>
          <w:highlight w:val="none"/>
        </w:rPr>
        <w:t xml:space="preserve"> 传真：</w:t>
      </w:r>
      <w:r>
        <w:rPr>
          <w:color w:val="auto"/>
          <w:sz w:val="22"/>
          <w:highlight w:val="none"/>
          <w:u w:val="single"/>
        </w:rPr>
        <w:t xml:space="preserve">                    </w:t>
      </w:r>
    </w:p>
    <w:p w14:paraId="3CF87C66">
      <w:pPr>
        <w:widowControl/>
        <w:snapToGrid w:val="0"/>
        <w:ind w:left="2098" w:firstLine="959"/>
        <w:jc w:val="left"/>
        <w:rPr>
          <w:color w:val="auto"/>
          <w:sz w:val="22"/>
          <w:highlight w:val="none"/>
        </w:rPr>
      </w:pPr>
      <w:r>
        <w:rPr>
          <w:color w:val="auto"/>
          <w:sz w:val="22"/>
          <w:highlight w:val="none"/>
        </w:rPr>
        <w:t xml:space="preserve">                                </w:t>
      </w:r>
    </w:p>
    <w:p w14:paraId="26CC45C2">
      <w:pPr>
        <w:widowControl/>
        <w:snapToGrid w:val="0"/>
        <w:spacing w:line="360" w:lineRule="auto"/>
        <w:ind w:left="2098" w:right="440" w:firstLine="959"/>
        <w:jc w:val="left"/>
        <w:rPr>
          <w:color w:val="auto"/>
          <w:sz w:val="22"/>
          <w:highlight w:val="none"/>
        </w:rPr>
      </w:pPr>
      <w:r>
        <w:rPr>
          <w:color w:val="auto"/>
          <w:sz w:val="22"/>
          <w:highlight w:val="none"/>
        </w:rPr>
        <w:t>供应商：</w:t>
      </w:r>
      <w:r>
        <w:rPr>
          <w:color w:val="auto"/>
          <w:sz w:val="22"/>
          <w:highlight w:val="none"/>
          <w:u w:val="single"/>
        </w:rPr>
        <w:t xml:space="preserve">                                   （盖章）</w:t>
      </w:r>
    </w:p>
    <w:p w14:paraId="48B52D66">
      <w:pPr>
        <w:widowControl/>
        <w:snapToGrid w:val="0"/>
        <w:spacing w:line="360" w:lineRule="auto"/>
        <w:ind w:left="2098" w:right="440" w:firstLine="959"/>
        <w:jc w:val="left"/>
        <w:rPr>
          <w:color w:val="auto"/>
          <w:sz w:val="22"/>
          <w:highlight w:val="none"/>
        </w:rPr>
      </w:pPr>
      <w:r>
        <w:rPr>
          <w:color w:val="auto"/>
          <w:sz w:val="22"/>
          <w:highlight w:val="none"/>
        </w:rPr>
        <w:t>法定代表人：</w:t>
      </w:r>
      <w:r>
        <w:rPr>
          <w:color w:val="auto"/>
          <w:sz w:val="22"/>
          <w:highlight w:val="none"/>
          <w:u w:val="single"/>
        </w:rPr>
        <w:t xml:space="preserve">                           （签字或盖章）</w:t>
      </w:r>
    </w:p>
    <w:p w14:paraId="6C2E37CE">
      <w:pPr>
        <w:widowControl/>
        <w:snapToGrid w:val="0"/>
        <w:spacing w:line="360" w:lineRule="auto"/>
        <w:jc w:val="left"/>
        <w:rPr>
          <w:color w:val="auto"/>
          <w:sz w:val="22"/>
          <w:highlight w:val="none"/>
        </w:rPr>
      </w:pPr>
    </w:p>
    <w:p w14:paraId="744D1700">
      <w:pPr>
        <w:widowControl/>
        <w:snapToGrid w:val="0"/>
        <w:spacing w:line="360" w:lineRule="auto"/>
        <w:ind w:left="2098" w:right="440" w:firstLine="959"/>
        <w:jc w:val="left"/>
        <w:rPr>
          <w:color w:val="auto"/>
          <w:sz w:val="24"/>
          <w:highlight w:val="none"/>
        </w:rPr>
      </w:pPr>
      <w:r>
        <w:rPr>
          <w:color w:val="auto"/>
          <w:sz w:val="22"/>
          <w:highlight w:val="none"/>
        </w:rPr>
        <w:t>授权委托日期：</w:t>
      </w:r>
      <w:r>
        <w:rPr>
          <w:color w:val="auto"/>
          <w:sz w:val="22"/>
          <w:highlight w:val="none"/>
          <w:u w:val="single"/>
        </w:rPr>
        <w:t xml:space="preserve">     </w:t>
      </w:r>
      <w:r>
        <w:rPr>
          <w:color w:val="auto"/>
          <w:sz w:val="22"/>
          <w:highlight w:val="none"/>
        </w:rPr>
        <w:t xml:space="preserve">年 </w:t>
      </w:r>
      <w:r>
        <w:rPr>
          <w:color w:val="auto"/>
          <w:sz w:val="22"/>
          <w:highlight w:val="none"/>
          <w:u w:val="single"/>
        </w:rPr>
        <w:t xml:space="preserve">    </w:t>
      </w:r>
      <w:r>
        <w:rPr>
          <w:color w:val="auto"/>
          <w:sz w:val="22"/>
          <w:highlight w:val="none"/>
        </w:rPr>
        <w:t>月</w:t>
      </w:r>
      <w:r>
        <w:rPr>
          <w:color w:val="auto"/>
          <w:sz w:val="22"/>
          <w:highlight w:val="none"/>
          <w:u w:val="single"/>
        </w:rPr>
        <w:t xml:space="preserve">     </w:t>
      </w:r>
      <w:r>
        <w:rPr>
          <w:color w:val="auto"/>
          <w:sz w:val="22"/>
          <w:highlight w:val="none"/>
        </w:rPr>
        <w:t>日</w:t>
      </w:r>
    </w:p>
    <w:tbl>
      <w:tblPr>
        <w:tblStyle w:val="66"/>
        <w:tblW w:w="0" w:type="auto"/>
        <w:tblInd w:w="108" w:type="dxa"/>
        <w:tblLayout w:type="fixed"/>
        <w:tblCellMar>
          <w:top w:w="0" w:type="dxa"/>
          <w:left w:w="0" w:type="dxa"/>
          <w:bottom w:w="0" w:type="dxa"/>
          <w:right w:w="0" w:type="dxa"/>
        </w:tblCellMar>
      </w:tblPr>
      <w:tblGrid>
        <w:gridCol w:w="9129"/>
      </w:tblGrid>
      <w:tr w14:paraId="1E3838EB">
        <w:tblPrEx>
          <w:tblCellMar>
            <w:top w:w="0" w:type="dxa"/>
            <w:left w:w="0" w:type="dxa"/>
            <w:bottom w:w="0" w:type="dxa"/>
            <w:right w:w="0" w:type="dxa"/>
          </w:tblCellMar>
        </w:tblPrEx>
        <w:trPr>
          <w:trHeight w:val="2891" w:hRule="atLeast"/>
        </w:trPr>
        <w:tc>
          <w:tcPr>
            <w:tcW w:w="912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2FCCEAFD">
            <w:pPr>
              <w:widowControl/>
              <w:snapToGrid w:val="0"/>
              <w:spacing w:line="400" w:lineRule="exact"/>
              <w:jc w:val="center"/>
              <w:rPr>
                <w:color w:val="auto"/>
                <w:sz w:val="24"/>
                <w:highlight w:val="none"/>
              </w:rPr>
            </w:pPr>
          </w:p>
          <w:p w14:paraId="2371E394">
            <w:pPr>
              <w:widowControl/>
              <w:snapToGrid w:val="0"/>
              <w:spacing w:line="400" w:lineRule="exact"/>
              <w:jc w:val="center"/>
              <w:rPr>
                <w:color w:val="auto"/>
                <w:sz w:val="24"/>
                <w:highlight w:val="none"/>
              </w:rPr>
            </w:pPr>
          </w:p>
          <w:p w14:paraId="21A2296D">
            <w:pPr>
              <w:widowControl/>
              <w:snapToGrid w:val="0"/>
              <w:spacing w:line="320" w:lineRule="atLeast"/>
              <w:jc w:val="center"/>
              <w:rPr>
                <w:color w:val="auto"/>
                <w:sz w:val="22"/>
                <w:highlight w:val="none"/>
              </w:rPr>
            </w:pPr>
            <w:r>
              <w:rPr>
                <w:color w:val="auto"/>
                <w:sz w:val="22"/>
                <w:highlight w:val="none"/>
              </w:rPr>
              <w:t>授权代表身份证复印件与影印件粘贴处</w:t>
            </w:r>
          </w:p>
          <w:p w14:paraId="4624C2A9">
            <w:pPr>
              <w:widowControl/>
              <w:snapToGrid w:val="0"/>
              <w:spacing w:line="400" w:lineRule="exact"/>
              <w:jc w:val="center"/>
              <w:rPr>
                <w:color w:val="auto"/>
                <w:sz w:val="24"/>
                <w:highlight w:val="none"/>
              </w:rPr>
            </w:pPr>
          </w:p>
          <w:p w14:paraId="41B45078">
            <w:pPr>
              <w:widowControl/>
              <w:snapToGrid w:val="0"/>
              <w:spacing w:line="400" w:lineRule="exact"/>
              <w:jc w:val="center"/>
              <w:rPr>
                <w:color w:val="auto"/>
                <w:sz w:val="24"/>
                <w:highlight w:val="none"/>
              </w:rPr>
            </w:pPr>
          </w:p>
          <w:p w14:paraId="131556F3">
            <w:pPr>
              <w:widowControl/>
              <w:snapToGrid w:val="0"/>
              <w:spacing w:line="400" w:lineRule="exact"/>
              <w:jc w:val="center"/>
              <w:rPr>
                <w:color w:val="auto"/>
                <w:sz w:val="24"/>
                <w:highlight w:val="none"/>
              </w:rPr>
            </w:pPr>
          </w:p>
          <w:p w14:paraId="1B7BC929">
            <w:pPr>
              <w:widowControl/>
              <w:snapToGrid w:val="0"/>
              <w:spacing w:line="400" w:lineRule="exact"/>
              <w:jc w:val="center"/>
              <w:rPr>
                <w:color w:val="auto"/>
                <w:sz w:val="24"/>
                <w:highlight w:val="none"/>
              </w:rPr>
            </w:pPr>
          </w:p>
          <w:p w14:paraId="63E24651">
            <w:pPr>
              <w:widowControl/>
              <w:snapToGrid w:val="0"/>
              <w:spacing w:line="400" w:lineRule="exact"/>
              <w:jc w:val="center"/>
              <w:rPr>
                <w:color w:val="auto"/>
                <w:sz w:val="36"/>
                <w:highlight w:val="none"/>
              </w:rPr>
            </w:pPr>
          </w:p>
        </w:tc>
      </w:tr>
    </w:tbl>
    <w:p w14:paraId="121550C9">
      <w:pPr>
        <w:widowControl/>
        <w:tabs>
          <w:tab w:val="left" w:pos="360"/>
        </w:tabs>
        <w:snapToGrid w:val="0"/>
        <w:spacing w:line="580" w:lineRule="atLeast"/>
        <w:ind w:left="360"/>
        <w:jc w:val="left"/>
        <w:rPr>
          <w:rFonts w:hAnsi="Courier New"/>
          <w:b/>
          <w:color w:val="auto"/>
          <w:sz w:val="22"/>
          <w:highlight w:val="none"/>
        </w:rPr>
      </w:pPr>
      <w:r>
        <w:rPr>
          <w:rFonts w:hAnsi="Courier New"/>
          <w:b/>
          <w:color w:val="auto"/>
          <w:sz w:val="22"/>
          <w:highlight w:val="none"/>
        </w:rPr>
        <w:t>注：法定代表人必须签字或盖章，否则做无效标处理。</w:t>
      </w:r>
    </w:p>
    <w:p w14:paraId="230FD761">
      <w:pPr>
        <w:rPr>
          <w:rFonts w:hint="eastAsia"/>
          <w:color w:val="auto"/>
          <w:sz w:val="22"/>
          <w:szCs w:val="22"/>
          <w:highlight w:val="none"/>
        </w:rPr>
        <w:sectPr>
          <w:pgSz w:w="11906" w:h="16838"/>
          <w:pgMar w:top="1440" w:right="1361" w:bottom="1440" w:left="1361" w:header="720" w:footer="720" w:gutter="0"/>
          <w:pgNumType w:fmt="decimal"/>
          <w:cols w:space="720" w:num="1"/>
          <w:titlePg/>
          <w:docGrid w:linePitch="326" w:charSpace="-3831"/>
        </w:sectPr>
      </w:pPr>
    </w:p>
    <w:p w14:paraId="3A66A978">
      <w:pPr>
        <w:pStyle w:val="10"/>
        <w:rPr>
          <w:color w:val="auto"/>
          <w:highlight w:val="none"/>
          <w:lang w:val="en-US" w:eastAsia="zh-CN"/>
        </w:rPr>
      </w:pPr>
      <w:r>
        <w:rPr>
          <w:rFonts w:hint="eastAsia" w:ascii="宋体" w:hAnsi="宋体"/>
          <w:color w:val="auto"/>
          <w:sz w:val="28"/>
          <w:szCs w:val="28"/>
          <w:highlight w:val="none"/>
        </w:rPr>
        <w:t>1.</w:t>
      </w:r>
      <w:r>
        <w:rPr>
          <w:rFonts w:hint="eastAsia" w:ascii="宋体" w:hAnsi="宋体"/>
          <w:color w:val="auto"/>
          <w:sz w:val="28"/>
          <w:szCs w:val="28"/>
          <w:highlight w:val="none"/>
          <w:lang w:val="en-US" w:eastAsia="zh-CN"/>
        </w:rPr>
        <w:t>4.2</w:t>
      </w:r>
      <w:r>
        <w:rPr>
          <w:rFonts w:hint="eastAsia"/>
          <w:color w:val="auto"/>
          <w:highlight w:val="none"/>
          <w:lang w:val="en-US" w:eastAsia="zh-CN"/>
        </w:rPr>
        <w:t xml:space="preserve">法定代表人身份证明 </w:t>
      </w:r>
    </w:p>
    <w:p w14:paraId="14E0DF1D">
      <w:pPr>
        <w:spacing w:before="120" w:beforeLines="50" w:after="120" w:afterLines="50" w:line="360" w:lineRule="auto"/>
        <w:jc w:val="center"/>
        <w:rPr>
          <w:rFonts w:eastAsia="新宋体"/>
          <w:b/>
          <w:color w:val="auto"/>
          <w:sz w:val="28"/>
          <w:szCs w:val="28"/>
          <w:highlight w:val="none"/>
        </w:rPr>
      </w:pPr>
      <w:bookmarkStart w:id="15" w:name="_Toc152047263"/>
      <w:bookmarkStart w:id="16" w:name="_Toc144974467"/>
      <w:bookmarkStart w:id="17" w:name="_Toc434942927"/>
      <w:r>
        <w:rPr>
          <w:rFonts w:eastAsia="新宋体"/>
          <w:b/>
          <w:color w:val="auto"/>
          <w:sz w:val="28"/>
          <w:szCs w:val="28"/>
          <w:highlight w:val="none"/>
        </w:rPr>
        <w:t>法定代表人身份证明</w:t>
      </w:r>
      <w:bookmarkEnd w:id="15"/>
      <w:bookmarkEnd w:id="16"/>
      <w:bookmarkEnd w:id="17"/>
    </w:p>
    <w:p w14:paraId="0AA08BE4">
      <w:pPr>
        <w:spacing w:before="120" w:beforeLines="50" w:after="120" w:afterLines="50" w:line="360" w:lineRule="auto"/>
        <w:rPr>
          <w:rFonts w:eastAsia="新宋体"/>
          <w:color w:val="auto"/>
          <w:sz w:val="22"/>
          <w:szCs w:val="22"/>
          <w:highlight w:val="none"/>
        </w:rPr>
      </w:pPr>
    </w:p>
    <w:p w14:paraId="7FE33ECC">
      <w:pPr>
        <w:topLinePunct/>
        <w:spacing w:before="120" w:beforeLines="50" w:after="120" w:afterLines="50" w:line="360" w:lineRule="auto"/>
        <w:rPr>
          <w:rFonts w:eastAsia="新宋体"/>
          <w:bCs/>
          <w:color w:val="auto"/>
          <w:sz w:val="22"/>
          <w:szCs w:val="22"/>
          <w:highlight w:val="none"/>
          <w:u w:val="single"/>
        </w:rPr>
      </w:pPr>
      <w:r>
        <w:rPr>
          <w:rFonts w:hint="eastAsia" w:eastAsia="新宋体"/>
          <w:bCs/>
          <w:color w:val="auto"/>
          <w:sz w:val="22"/>
          <w:szCs w:val="22"/>
          <w:highlight w:val="none"/>
          <w:lang w:eastAsia="zh-CN"/>
        </w:rPr>
        <w:t>供应商</w:t>
      </w:r>
      <w:r>
        <w:rPr>
          <w:rFonts w:eastAsia="新宋体"/>
          <w:bCs/>
          <w:color w:val="auto"/>
          <w:sz w:val="22"/>
          <w:szCs w:val="22"/>
          <w:highlight w:val="none"/>
        </w:rPr>
        <w:t>名称：</w:t>
      </w:r>
      <w:r>
        <w:rPr>
          <w:rFonts w:eastAsia="新宋体"/>
          <w:bCs/>
          <w:color w:val="auto"/>
          <w:sz w:val="22"/>
          <w:szCs w:val="22"/>
          <w:highlight w:val="none"/>
          <w:u w:val="single"/>
        </w:rPr>
        <w:t xml:space="preserve">                 </w:t>
      </w:r>
    </w:p>
    <w:p w14:paraId="7C30EC42">
      <w:pPr>
        <w:topLinePunct/>
        <w:spacing w:before="120" w:beforeLines="50" w:after="120" w:afterLines="50" w:line="360" w:lineRule="auto"/>
        <w:rPr>
          <w:rFonts w:eastAsia="新宋体"/>
          <w:bCs/>
          <w:color w:val="auto"/>
          <w:sz w:val="22"/>
          <w:szCs w:val="22"/>
          <w:highlight w:val="none"/>
        </w:rPr>
      </w:pPr>
      <w:r>
        <w:rPr>
          <w:rFonts w:eastAsia="新宋体"/>
          <w:bCs/>
          <w:color w:val="auto"/>
          <w:sz w:val="22"/>
          <w:szCs w:val="22"/>
          <w:highlight w:val="none"/>
        </w:rPr>
        <w:t>单位性质：</w:t>
      </w:r>
      <w:r>
        <w:rPr>
          <w:rFonts w:eastAsia="新宋体"/>
          <w:bCs/>
          <w:color w:val="auto"/>
          <w:sz w:val="22"/>
          <w:szCs w:val="22"/>
          <w:highlight w:val="none"/>
          <w:u w:val="single"/>
        </w:rPr>
        <w:t xml:space="preserve">                     </w:t>
      </w:r>
    </w:p>
    <w:p w14:paraId="6A8B3398">
      <w:pPr>
        <w:topLinePunct/>
        <w:spacing w:before="120" w:beforeLines="50" w:after="120" w:afterLines="50" w:line="360" w:lineRule="auto"/>
        <w:rPr>
          <w:rFonts w:eastAsia="新宋体"/>
          <w:bCs/>
          <w:color w:val="auto"/>
          <w:sz w:val="22"/>
          <w:szCs w:val="22"/>
          <w:highlight w:val="none"/>
        </w:rPr>
      </w:pPr>
      <w:r>
        <w:rPr>
          <w:rFonts w:eastAsia="新宋体"/>
          <w:bCs/>
          <w:color w:val="auto"/>
          <w:sz w:val="22"/>
          <w:szCs w:val="22"/>
          <w:highlight w:val="none"/>
        </w:rPr>
        <w:t>成立时间：</w:t>
      </w:r>
      <w:r>
        <w:rPr>
          <w:rFonts w:eastAsia="新宋体"/>
          <w:bCs/>
          <w:color w:val="auto"/>
          <w:sz w:val="22"/>
          <w:szCs w:val="22"/>
          <w:highlight w:val="none"/>
          <w:u w:val="single"/>
        </w:rPr>
        <w:t xml:space="preserve">    </w:t>
      </w:r>
      <w:r>
        <w:rPr>
          <w:rFonts w:eastAsia="新宋体"/>
          <w:bCs/>
          <w:color w:val="auto"/>
          <w:sz w:val="22"/>
          <w:szCs w:val="22"/>
          <w:highlight w:val="none"/>
        </w:rPr>
        <w:t>年</w:t>
      </w:r>
      <w:r>
        <w:rPr>
          <w:rFonts w:eastAsia="新宋体"/>
          <w:bCs/>
          <w:color w:val="auto"/>
          <w:sz w:val="22"/>
          <w:szCs w:val="22"/>
          <w:highlight w:val="none"/>
          <w:u w:val="single"/>
        </w:rPr>
        <w:t xml:space="preserve">   </w:t>
      </w:r>
      <w:r>
        <w:rPr>
          <w:rFonts w:eastAsia="新宋体"/>
          <w:bCs/>
          <w:color w:val="auto"/>
          <w:sz w:val="22"/>
          <w:szCs w:val="22"/>
          <w:highlight w:val="none"/>
        </w:rPr>
        <w:t>月</w:t>
      </w:r>
      <w:r>
        <w:rPr>
          <w:rFonts w:eastAsia="新宋体"/>
          <w:bCs/>
          <w:color w:val="auto"/>
          <w:sz w:val="22"/>
          <w:szCs w:val="22"/>
          <w:highlight w:val="none"/>
          <w:u w:val="single"/>
        </w:rPr>
        <w:t xml:space="preserve">    </w:t>
      </w:r>
      <w:r>
        <w:rPr>
          <w:rFonts w:eastAsia="新宋体"/>
          <w:bCs/>
          <w:color w:val="auto"/>
          <w:sz w:val="22"/>
          <w:szCs w:val="22"/>
          <w:highlight w:val="none"/>
        </w:rPr>
        <w:t>日</w:t>
      </w:r>
    </w:p>
    <w:p w14:paraId="04E28136">
      <w:pPr>
        <w:topLinePunct/>
        <w:spacing w:before="120" w:beforeLines="50" w:after="120" w:afterLines="50" w:line="360" w:lineRule="auto"/>
        <w:rPr>
          <w:rFonts w:eastAsia="新宋体"/>
          <w:bCs/>
          <w:color w:val="auto"/>
          <w:sz w:val="22"/>
          <w:szCs w:val="22"/>
          <w:highlight w:val="none"/>
        </w:rPr>
      </w:pPr>
      <w:r>
        <w:rPr>
          <w:rFonts w:eastAsia="新宋体"/>
          <w:bCs/>
          <w:color w:val="auto"/>
          <w:sz w:val="22"/>
          <w:szCs w:val="22"/>
          <w:highlight w:val="none"/>
        </w:rPr>
        <w:t>经营期限：</w:t>
      </w:r>
      <w:r>
        <w:rPr>
          <w:rFonts w:eastAsia="新宋体"/>
          <w:bCs/>
          <w:color w:val="auto"/>
          <w:sz w:val="22"/>
          <w:szCs w:val="22"/>
          <w:highlight w:val="none"/>
          <w:u w:val="single"/>
        </w:rPr>
        <w:t xml:space="preserve">          </w:t>
      </w:r>
    </w:p>
    <w:p w14:paraId="7DEE2013">
      <w:pPr>
        <w:topLinePunct/>
        <w:spacing w:before="120" w:beforeLines="50" w:after="120" w:afterLines="50" w:line="360" w:lineRule="auto"/>
        <w:rPr>
          <w:rFonts w:eastAsia="新宋体"/>
          <w:bCs/>
          <w:color w:val="auto"/>
          <w:sz w:val="22"/>
          <w:szCs w:val="22"/>
          <w:highlight w:val="none"/>
          <w:u w:val="single"/>
        </w:rPr>
      </w:pPr>
      <w:r>
        <w:rPr>
          <w:rFonts w:eastAsia="新宋体"/>
          <w:bCs/>
          <w:color w:val="auto"/>
          <w:sz w:val="22"/>
          <w:szCs w:val="22"/>
          <w:highlight w:val="none"/>
        </w:rPr>
        <w:t>姓名：</w:t>
      </w:r>
      <w:r>
        <w:rPr>
          <w:rFonts w:eastAsia="新宋体"/>
          <w:bCs/>
          <w:color w:val="auto"/>
          <w:sz w:val="22"/>
          <w:szCs w:val="22"/>
          <w:highlight w:val="none"/>
          <w:u w:val="single"/>
        </w:rPr>
        <w:t xml:space="preserve">    </w:t>
      </w:r>
      <w:r>
        <w:rPr>
          <w:rFonts w:eastAsia="新宋体"/>
          <w:bCs/>
          <w:color w:val="auto"/>
          <w:sz w:val="22"/>
          <w:szCs w:val="22"/>
          <w:highlight w:val="none"/>
        </w:rPr>
        <w:t>性别：</w:t>
      </w:r>
      <w:r>
        <w:rPr>
          <w:rFonts w:eastAsia="新宋体"/>
          <w:bCs/>
          <w:color w:val="auto"/>
          <w:sz w:val="22"/>
          <w:szCs w:val="22"/>
          <w:highlight w:val="none"/>
          <w:u w:val="single"/>
        </w:rPr>
        <w:t xml:space="preserve">    </w:t>
      </w:r>
      <w:r>
        <w:rPr>
          <w:rFonts w:eastAsia="新宋体"/>
          <w:bCs/>
          <w:color w:val="auto"/>
          <w:sz w:val="22"/>
          <w:szCs w:val="22"/>
          <w:highlight w:val="none"/>
        </w:rPr>
        <w:t>年龄：</w:t>
      </w:r>
      <w:r>
        <w:rPr>
          <w:rFonts w:eastAsia="新宋体"/>
          <w:bCs/>
          <w:color w:val="auto"/>
          <w:sz w:val="22"/>
          <w:szCs w:val="22"/>
          <w:highlight w:val="none"/>
          <w:u w:val="single"/>
        </w:rPr>
        <w:t xml:space="preserve">      </w:t>
      </w:r>
      <w:r>
        <w:rPr>
          <w:rFonts w:eastAsia="新宋体"/>
          <w:bCs/>
          <w:color w:val="auto"/>
          <w:sz w:val="22"/>
          <w:szCs w:val="22"/>
          <w:highlight w:val="none"/>
        </w:rPr>
        <w:t>职务：</w:t>
      </w:r>
      <w:r>
        <w:rPr>
          <w:rFonts w:eastAsia="新宋体"/>
          <w:bCs/>
          <w:color w:val="auto"/>
          <w:sz w:val="22"/>
          <w:szCs w:val="22"/>
          <w:highlight w:val="none"/>
          <w:u w:val="single"/>
        </w:rPr>
        <w:t xml:space="preserve">      </w:t>
      </w:r>
    </w:p>
    <w:p w14:paraId="7681CD33">
      <w:pPr>
        <w:topLinePunct/>
        <w:spacing w:before="120" w:beforeLines="50" w:after="120" w:afterLines="50" w:line="360" w:lineRule="auto"/>
        <w:rPr>
          <w:rFonts w:eastAsia="新宋体"/>
          <w:bCs/>
          <w:color w:val="auto"/>
          <w:sz w:val="22"/>
          <w:szCs w:val="22"/>
          <w:highlight w:val="none"/>
        </w:rPr>
      </w:pPr>
      <w:r>
        <w:rPr>
          <w:rFonts w:eastAsia="新宋体"/>
          <w:bCs/>
          <w:color w:val="auto"/>
          <w:sz w:val="22"/>
          <w:szCs w:val="22"/>
          <w:highlight w:val="none"/>
        </w:rPr>
        <w:t>系（投标人名称）的法定代表人。</w:t>
      </w:r>
    </w:p>
    <w:p w14:paraId="3E649FFA">
      <w:pPr>
        <w:topLinePunct/>
        <w:spacing w:before="120" w:beforeLines="50" w:after="120" w:afterLines="50" w:line="360" w:lineRule="auto"/>
        <w:ind w:left="564" w:firstLine="420"/>
        <w:rPr>
          <w:rFonts w:eastAsia="新宋体"/>
          <w:bCs/>
          <w:color w:val="auto"/>
          <w:sz w:val="22"/>
          <w:szCs w:val="22"/>
          <w:highlight w:val="none"/>
        </w:rPr>
      </w:pPr>
      <w:r>
        <w:rPr>
          <w:rFonts w:eastAsia="新宋体"/>
          <w:bCs/>
          <w:color w:val="auto"/>
          <w:sz w:val="22"/>
          <w:szCs w:val="22"/>
          <w:highlight w:val="none"/>
        </w:rPr>
        <w:t>特此证明。</w:t>
      </w:r>
    </w:p>
    <w:p w14:paraId="3E893123">
      <w:pPr>
        <w:topLinePunct/>
        <w:spacing w:before="120" w:beforeLines="50" w:after="120" w:afterLines="50" w:line="360" w:lineRule="auto"/>
        <w:rPr>
          <w:rFonts w:eastAsia="新宋体"/>
          <w:bCs/>
          <w:color w:val="auto"/>
          <w:sz w:val="22"/>
          <w:szCs w:val="22"/>
          <w:highlight w:val="none"/>
        </w:rPr>
      </w:pPr>
    </w:p>
    <w:p w14:paraId="2263988A">
      <w:pPr>
        <w:topLinePunct/>
        <w:spacing w:before="120" w:beforeLines="50" w:after="120" w:afterLines="50" w:line="360" w:lineRule="auto"/>
        <w:rPr>
          <w:rFonts w:eastAsia="新宋体"/>
          <w:bCs/>
          <w:color w:val="auto"/>
          <w:sz w:val="22"/>
          <w:szCs w:val="22"/>
          <w:highlight w:val="none"/>
        </w:rPr>
      </w:pPr>
    </w:p>
    <w:p w14:paraId="7B5165BF">
      <w:pPr>
        <w:topLinePunct/>
        <w:spacing w:before="120" w:beforeLines="50" w:after="120" w:afterLines="50" w:line="360" w:lineRule="auto"/>
        <w:rPr>
          <w:rFonts w:eastAsia="新宋体"/>
          <w:bCs/>
          <w:color w:val="auto"/>
          <w:sz w:val="22"/>
          <w:szCs w:val="22"/>
          <w:highlight w:val="none"/>
        </w:rPr>
      </w:pPr>
      <w:r>
        <w:rPr>
          <w:rFonts w:hint="eastAsia" w:eastAsia="新宋体"/>
          <w:bCs/>
          <w:color w:val="auto"/>
          <w:sz w:val="22"/>
          <w:szCs w:val="22"/>
          <w:highlight w:val="none"/>
          <w:lang w:eastAsia="zh-CN"/>
        </w:rPr>
        <w:t>供应商</w:t>
      </w:r>
      <w:r>
        <w:rPr>
          <w:rFonts w:eastAsia="新宋体"/>
          <w:bCs/>
          <w:color w:val="auto"/>
          <w:sz w:val="22"/>
          <w:szCs w:val="22"/>
          <w:highlight w:val="none"/>
        </w:rPr>
        <w:t>：</w:t>
      </w:r>
      <w:r>
        <w:rPr>
          <w:rFonts w:eastAsia="新宋体"/>
          <w:bCs/>
          <w:color w:val="auto"/>
          <w:sz w:val="22"/>
          <w:szCs w:val="22"/>
          <w:highlight w:val="none"/>
          <w:u w:val="single"/>
        </w:rPr>
        <w:t xml:space="preserve">（盖单位公章）              </w:t>
      </w:r>
    </w:p>
    <w:p w14:paraId="2C9EE081">
      <w:pPr>
        <w:topLinePunct/>
        <w:spacing w:before="120" w:beforeLines="50" w:after="120" w:afterLines="50" w:line="360" w:lineRule="auto"/>
        <w:jc w:val="left"/>
        <w:rPr>
          <w:rFonts w:eastAsia="新宋体"/>
          <w:bCs/>
          <w:color w:val="auto"/>
          <w:sz w:val="22"/>
          <w:szCs w:val="22"/>
          <w:highlight w:val="none"/>
        </w:rPr>
      </w:pPr>
      <w:r>
        <w:rPr>
          <w:rFonts w:eastAsia="新宋体"/>
          <w:bCs/>
          <w:color w:val="auto"/>
          <w:sz w:val="22"/>
          <w:szCs w:val="22"/>
          <w:highlight w:val="none"/>
          <w:u w:val="single"/>
        </w:rPr>
        <w:t xml:space="preserve">      </w:t>
      </w:r>
      <w:r>
        <w:rPr>
          <w:rFonts w:eastAsia="新宋体"/>
          <w:bCs/>
          <w:color w:val="auto"/>
          <w:sz w:val="22"/>
          <w:szCs w:val="22"/>
          <w:highlight w:val="none"/>
        </w:rPr>
        <w:t>年</w:t>
      </w:r>
      <w:r>
        <w:rPr>
          <w:rFonts w:eastAsia="新宋体"/>
          <w:bCs/>
          <w:color w:val="auto"/>
          <w:sz w:val="22"/>
          <w:szCs w:val="22"/>
          <w:highlight w:val="none"/>
          <w:u w:val="single"/>
        </w:rPr>
        <w:t xml:space="preserve">   </w:t>
      </w:r>
      <w:r>
        <w:rPr>
          <w:rFonts w:eastAsia="新宋体"/>
          <w:bCs/>
          <w:color w:val="auto"/>
          <w:sz w:val="22"/>
          <w:szCs w:val="22"/>
          <w:highlight w:val="none"/>
        </w:rPr>
        <w:t>月</w:t>
      </w:r>
      <w:r>
        <w:rPr>
          <w:rFonts w:eastAsia="新宋体"/>
          <w:bCs/>
          <w:color w:val="auto"/>
          <w:sz w:val="22"/>
          <w:szCs w:val="22"/>
          <w:highlight w:val="none"/>
          <w:u w:val="single"/>
        </w:rPr>
        <w:t xml:space="preserve">   </w:t>
      </w:r>
      <w:r>
        <w:rPr>
          <w:rFonts w:eastAsia="新宋体"/>
          <w:bCs/>
          <w:color w:val="auto"/>
          <w:sz w:val="22"/>
          <w:szCs w:val="22"/>
          <w:highlight w:val="none"/>
        </w:rPr>
        <w:t>日</w:t>
      </w:r>
    </w:p>
    <w:p w14:paraId="78853410">
      <w:pPr>
        <w:topLinePunct/>
        <w:spacing w:before="120" w:beforeLines="50" w:after="120" w:afterLines="50" w:line="360" w:lineRule="auto"/>
        <w:ind w:left="564" w:firstLine="3990"/>
        <w:jc w:val="right"/>
        <w:rPr>
          <w:rFonts w:eastAsia="新宋体"/>
          <w:bCs/>
          <w:color w:val="auto"/>
          <w:sz w:val="22"/>
          <w:szCs w:val="22"/>
          <w:highlight w:val="none"/>
        </w:rPr>
      </w:pPr>
    </w:p>
    <w:p w14:paraId="219ED71F">
      <w:pPr>
        <w:topLinePunct/>
        <w:spacing w:before="120" w:beforeLines="50" w:after="120" w:afterLines="50" w:line="360" w:lineRule="auto"/>
        <w:jc w:val="left"/>
        <w:rPr>
          <w:rFonts w:ascii="Times New Roman" w:hAnsi="Times New Roman" w:eastAsia="新宋体"/>
          <w:bCs/>
          <w:color w:val="auto"/>
          <w:sz w:val="22"/>
          <w:szCs w:val="22"/>
          <w:highlight w:val="none"/>
        </w:rPr>
      </w:pPr>
      <w:r>
        <w:rPr>
          <w:rFonts w:ascii="Times New Roman" w:hAnsi="Times New Roman" w:eastAsia="新宋体"/>
          <w:bCs/>
          <w:color w:val="auto"/>
          <w:sz w:val="22"/>
          <w:szCs w:val="22"/>
          <w:highlight w:val="none"/>
        </w:rPr>
        <w:t>（</w:t>
      </w:r>
      <w:r>
        <w:rPr>
          <w:rFonts w:eastAsia="新宋体"/>
          <w:color w:val="auto"/>
          <w:sz w:val="22"/>
          <w:szCs w:val="22"/>
          <w:highlight w:val="none"/>
        </w:rPr>
        <w:t>注：</w:t>
      </w:r>
      <w:r>
        <w:rPr>
          <w:rFonts w:hint="eastAsia" w:eastAsia="新宋体"/>
          <w:color w:val="auto"/>
          <w:sz w:val="22"/>
          <w:szCs w:val="22"/>
          <w:highlight w:val="none"/>
        </w:rPr>
        <w:t>非法定代表人参加开标，无须提供</w:t>
      </w:r>
      <w:r>
        <w:rPr>
          <w:rFonts w:hint="eastAsia" w:eastAsia="新宋体"/>
          <w:color w:val="auto"/>
          <w:sz w:val="22"/>
          <w:szCs w:val="22"/>
          <w:highlight w:val="none"/>
          <w:lang w:eastAsia="zh-CN"/>
        </w:rPr>
        <w:t>。</w:t>
      </w:r>
      <w:r>
        <w:rPr>
          <w:rFonts w:ascii="Times New Roman" w:hAnsi="Times New Roman" w:eastAsia="新宋体"/>
          <w:bCs/>
          <w:color w:val="auto"/>
          <w:sz w:val="22"/>
          <w:szCs w:val="22"/>
          <w:highlight w:val="none"/>
        </w:rPr>
        <w:t>）</w:t>
      </w:r>
    </w:p>
    <w:p w14:paraId="66891FC9">
      <w:pPr>
        <w:pStyle w:val="10"/>
        <w:rPr>
          <w:rFonts w:hint="eastAsia" w:hAnsi="宋体" w:cs="宋体"/>
          <w:color w:val="auto"/>
          <w:highlight w:val="none"/>
        </w:rPr>
      </w:pPr>
    </w:p>
    <w:p w14:paraId="3D7C7082">
      <w:pPr>
        <w:rPr>
          <w:rFonts w:hint="eastAsia"/>
          <w:color w:val="auto"/>
          <w:highlight w:val="none"/>
        </w:rPr>
      </w:pPr>
    </w:p>
    <w:p w14:paraId="288D30AC">
      <w:pPr>
        <w:snapToGrid w:val="0"/>
        <w:spacing w:line="360" w:lineRule="auto"/>
        <w:rPr>
          <w:rFonts w:hint="eastAsia" w:ascii="Calibri"/>
          <w:color w:val="auto"/>
          <w:sz w:val="22"/>
          <w:szCs w:val="22"/>
          <w:highlight w:val="none"/>
        </w:rPr>
      </w:pPr>
    </w:p>
    <w:p w14:paraId="2DC33EEF">
      <w:pPr>
        <w:rPr>
          <w:rFonts w:hint="eastAsia"/>
          <w:color w:val="auto"/>
          <w:highlight w:val="none"/>
        </w:rPr>
      </w:pPr>
    </w:p>
    <w:p w14:paraId="4AF6A4D7">
      <w:pPr>
        <w:snapToGrid w:val="0"/>
        <w:spacing w:line="360" w:lineRule="auto"/>
        <w:rPr>
          <w:rFonts w:hint="eastAsia"/>
          <w:color w:val="auto"/>
          <w:sz w:val="22"/>
          <w:szCs w:val="22"/>
          <w:highlight w:val="none"/>
        </w:rPr>
        <w:sectPr>
          <w:pgSz w:w="11906" w:h="16838"/>
          <w:pgMar w:top="1440" w:right="1361" w:bottom="1440" w:left="1361" w:header="720" w:footer="720" w:gutter="0"/>
          <w:pgNumType w:fmt="decimal"/>
          <w:cols w:space="720" w:num="1"/>
          <w:titlePg/>
          <w:docGrid w:linePitch="326" w:charSpace="-3831"/>
        </w:sectPr>
      </w:pPr>
    </w:p>
    <w:p w14:paraId="081AFFC2">
      <w:pPr>
        <w:pStyle w:val="9"/>
        <w:rPr>
          <w:rFonts w:hint="eastAsia" w:ascii="宋体" w:hAnsi="宋体" w:eastAsia="宋体" w:cs="宋体"/>
          <w:color w:val="auto"/>
          <w:highlight w:val="none"/>
        </w:rPr>
      </w:pPr>
      <w:r>
        <w:rPr>
          <w:rFonts w:hint="eastAsia" w:ascii="宋体" w:hAnsi="宋体" w:eastAsia="宋体" w:cs="宋体"/>
          <w:color w:val="auto"/>
          <w:highlight w:val="none"/>
        </w:rPr>
        <w:t>二、“报价文件”格式</w:t>
      </w:r>
    </w:p>
    <w:p w14:paraId="40462877">
      <w:pPr>
        <w:pStyle w:val="11"/>
        <w:rPr>
          <w:rFonts w:hint="eastAsia" w:ascii="宋体" w:hAnsi="宋体" w:cs="宋体"/>
          <w:color w:val="auto"/>
          <w:highlight w:val="none"/>
        </w:rPr>
      </w:pPr>
      <w:r>
        <w:rPr>
          <w:rFonts w:hint="eastAsia" w:ascii="宋体" w:hAnsi="宋体" w:cs="宋体"/>
          <w:color w:val="auto"/>
          <w:highlight w:val="none"/>
        </w:rPr>
        <w:t>2.1 “报价文件”封面</w:t>
      </w:r>
    </w:p>
    <w:p w14:paraId="24C082DD">
      <w:pPr>
        <w:spacing w:line="360" w:lineRule="auto"/>
        <w:jc w:val="right"/>
        <w:rPr>
          <w:rFonts w:hint="eastAsia"/>
          <w:b/>
          <w:color w:val="auto"/>
          <w:sz w:val="32"/>
          <w:szCs w:val="22"/>
          <w:highlight w:val="none"/>
        </w:rPr>
      </w:pPr>
    </w:p>
    <w:p w14:paraId="4B22C604">
      <w:pPr>
        <w:spacing w:line="276" w:lineRule="auto"/>
        <w:jc w:val="center"/>
        <w:rPr>
          <w:rFonts w:hint="eastAsia" w:eastAsia="宋体"/>
          <w:b/>
          <w:color w:val="auto"/>
          <w:w w:val="80"/>
          <w:sz w:val="52"/>
          <w:szCs w:val="22"/>
          <w:highlight w:val="none"/>
          <w:lang w:eastAsia="zh-CN"/>
        </w:rPr>
      </w:pPr>
      <w:r>
        <w:rPr>
          <w:rFonts w:hint="eastAsia"/>
          <w:b/>
          <w:color w:val="auto"/>
          <w:w w:val="90"/>
          <w:sz w:val="44"/>
          <w:szCs w:val="22"/>
          <w:highlight w:val="none"/>
          <w:lang w:eastAsia="zh-CN"/>
        </w:rPr>
        <w:t>鳌江镇塘川高速互通路网交通安全设施项目</w:t>
      </w:r>
    </w:p>
    <w:p w14:paraId="635F160A">
      <w:pPr>
        <w:spacing w:line="360" w:lineRule="auto"/>
        <w:jc w:val="center"/>
        <w:rPr>
          <w:rFonts w:hint="eastAsia"/>
          <w:b/>
          <w:color w:val="auto"/>
          <w:sz w:val="52"/>
          <w:szCs w:val="22"/>
          <w:highlight w:val="none"/>
        </w:rPr>
      </w:pPr>
    </w:p>
    <w:p w14:paraId="40D1747A">
      <w:pPr>
        <w:spacing w:line="276" w:lineRule="auto"/>
        <w:jc w:val="center"/>
        <w:rPr>
          <w:rFonts w:hint="eastAsia"/>
          <w:color w:val="auto"/>
          <w:sz w:val="96"/>
          <w:szCs w:val="22"/>
          <w:highlight w:val="none"/>
        </w:rPr>
      </w:pPr>
      <w:r>
        <w:rPr>
          <w:rFonts w:hint="eastAsia"/>
          <w:color w:val="auto"/>
          <w:sz w:val="96"/>
          <w:szCs w:val="22"/>
          <w:highlight w:val="none"/>
        </w:rPr>
        <w:t>投 标 文 件</w:t>
      </w:r>
    </w:p>
    <w:p w14:paraId="726D5A16">
      <w:pPr>
        <w:spacing w:line="360" w:lineRule="auto"/>
        <w:jc w:val="center"/>
        <w:rPr>
          <w:rFonts w:hint="eastAsia"/>
          <w:b/>
          <w:color w:val="auto"/>
          <w:sz w:val="52"/>
          <w:szCs w:val="22"/>
          <w:highlight w:val="none"/>
        </w:rPr>
      </w:pPr>
      <w:r>
        <w:rPr>
          <w:rFonts w:hint="eastAsia"/>
          <w:b/>
          <w:color w:val="auto"/>
          <w:sz w:val="52"/>
          <w:szCs w:val="22"/>
          <w:highlight w:val="none"/>
        </w:rPr>
        <w:t>（报价文件）</w:t>
      </w:r>
    </w:p>
    <w:p w14:paraId="2E36C3B3">
      <w:pPr>
        <w:spacing w:line="360" w:lineRule="auto"/>
        <w:jc w:val="center"/>
        <w:rPr>
          <w:rFonts w:hint="eastAsia"/>
          <w:b/>
          <w:color w:val="auto"/>
          <w:sz w:val="52"/>
          <w:szCs w:val="22"/>
          <w:highlight w:val="none"/>
        </w:rPr>
      </w:pPr>
    </w:p>
    <w:tbl>
      <w:tblPr>
        <w:tblStyle w:val="66"/>
        <w:tblW w:w="0" w:type="auto"/>
        <w:tblInd w:w="250" w:type="dxa"/>
        <w:tblLayout w:type="fixed"/>
        <w:tblCellMar>
          <w:top w:w="0" w:type="dxa"/>
          <w:left w:w="108" w:type="dxa"/>
          <w:bottom w:w="0" w:type="dxa"/>
          <w:right w:w="108" w:type="dxa"/>
        </w:tblCellMar>
      </w:tblPr>
      <w:tblGrid>
        <w:gridCol w:w="8789"/>
      </w:tblGrid>
      <w:tr w14:paraId="4908717F">
        <w:tblPrEx>
          <w:tblCellMar>
            <w:top w:w="0" w:type="dxa"/>
            <w:left w:w="108" w:type="dxa"/>
            <w:bottom w:w="0" w:type="dxa"/>
            <w:right w:w="108" w:type="dxa"/>
          </w:tblCellMar>
        </w:tblPrEx>
        <w:trPr>
          <w:trHeight w:val="680" w:hRule="atLeast"/>
        </w:trPr>
        <w:tc>
          <w:tcPr>
            <w:tcW w:w="8789" w:type="dxa"/>
            <w:noWrap w:val="0"/>
            <w:vAlign w:val="center"/>
          </w:tcPr>
          <w:p w14:paraId="326FE147">
            <w:pPr>
              <w:rPr>
                <w:rFonts w:hint="eastAsia" w:eastAsia="宋体"/>
                <w:b/>
                <w:color w:val="auto"/>
                <w:sz w:val="28"/>
                <w:szCs w:val="28"/>
                <w:highlight w:val="none"/>
                <w:lang w:eastAsia="zh-CN"/>
              </w:rPr>
            </w:pPr>
            <w:r>
              <w:rPr>
                <w:rFonts w:hint="eastAsia"/>
                <w:b/>
                <w:color w:val="auto"/>
                <w:sz w:val="28"/>
                <w:szCs w:val="28"/>
                <w:highlight w:val="none"/>
              </w:rPr>
              <w:t>项目编号：</w:t>
            </w:r>
            <w:r>
              <w:rPr>
                <w:rFonts w:hint="eastAsia"/>
                <w:b/>
                <w:color w:val="auto"/>
                <w:sz w:val="28"/>
                <w:szCs w:val="28"/>
                <w:highlight w:val="none"/>
                <w:lang w:eastAsia="zh-CN"/>
              </w:rPr>
              <w:t xml:space="preserve">   </w:t>
            </w:r>
          </w:p>
        </w:tc>
      </w:tr>
      <w:tr w14:paraId="25AB0AE3">
        <w:tblPrEx>
          <w:tblCellMar>
            <w:top w:w="0" w:type="dxa"/>
            <w:left w:w="108" w:type="dxa"/>
            <w:bottom w:w="0" w:type="dxa"/>
            <w:right w:w="108" w:type="dxa"/>
          </w:tblCellMar>
        </w:tblPrEx>
        <w:trPr>
          <w:trHeight w:val="680" w:hRule="atLeast"/>
        </w:trPr>
        <w:tc>
          <w:tcPr>
            <w:tcW w:w="8789" w:type="dxa"/>
            <w:noWrap w:val="0"/>
            <w:vAlign w:val="center"/>
          </w:tcPr>
          <w:p w14:paraId="012D7D36">
            <w:pPr>
              <w:rPr>
                <w:rFonts w:hint="eastAsia"/>
                <w:b/>
                <w:color w:val="auto"/>
                <w:sz w:val="28"/>
                <w:szCs w:val="28"/>
                <w:highlight w:val="none"/>
              </w:rPr>
            </w:pPr>
            <w:r>
              <w:rPr>
                <w:rFonts w:hint="eastAsia"/>
                <w:b/>
                <w:color w:val="auto"/>
                <w:sz w:val="28"/>
                <w:szCs w:val="28"/>
                <w:highlight w:val="none"/>
              </w:rPr>
              <w:t>供应商名称（盖章）：</w:t>
            </w:r>
            <w:r>
              <w:rPr>
                <w:rFonts w:hint="eastAsia"/>
                <w:b/>
                <w:color w:val="auto"/>
                <w:w w:val="90"/>
                <w:sz w:val="28"/>
                <w:szCs w:val="28"/>
                <w:highlight w:val="none"/>
              </w:rPr>
              <w:t>_______________________________________</w:t>
            </w:r>
          </w:p>
        </w:tc>
      </w:tr>
      <w:tr w14:paraId="100655CE">
        <w:tblPrEx>
          <w:tblCellMar>
            <w:top w:w="0" w:type="dxa"/>
            <w:left w:w="108" w:type="dxa"/>
            <w:bottom w:w="0" w:type="dxa"/>
            <w:right w:w="108" w:type="dxa"/>
          </w:tblCellMar>
        </w:tblPrEx>
        <w:trPr>
          <w:trHeight w:val="680" w:hRule="atLeast"/>
        </w:trPr>
        <w:tc>
          <w:tcPr>
            <w:tcW w:w="8789" w:type="dxa"/>
            <w:noWrap w:val="0"/>
            <w:vAlign w:val="center"/>
          </w:tcPr>
          <w:p w14:paraId="1900948E">
            <w:pPr>
              <w:rPr>
                <w:rFonts w:hint="eastAsia"/>
                <w:b/>
                <w:color w:val="auto"/>
                <w:sz w:val="28"/>
                <w:szCs w:val="28"/>
                <w:highlight w:val="none"/>
              </w:rPr>
            </w:pPr>
            <w:r>
              <w:rPr>
                <w:rFonts w:hint="eastAsia"/>
                <w:b/>
                <w:color w:val="auto"/>
                <w:sz w:val="28"/>
                <w:szCs w:val="28"/>
                <w:highlight w:val="none"/>
              </w:rPr>
              <w:t>供应商地址：</w:t>
            </w:r>
            <w:r>
              <w:rPr>
                <w:rFonts w:hint="eastAsia"/>
                <w:b/>
                <w:color w:val="auto"/>
                <w:w w:val="90"/>
                <w:sz w:val="28"/>
                <w:szCs w:val="28"/>
                <w:highlight w:val="none"/>
              </w:rPr>
              <w:t>_______________________________________________</w:t>
            </w:r>
          </w:p>
        </w:tc>
      </w:tr>
      <w:tr w14:paraId="1D3CFA15">
        <w:tblPrEx>
          <w:tblCellMar>
            <w:top w:w="0" w:type="dxa"/>
            <w:left w:w="108" w:type="dxa"/>
            <w:bottom w:w="0" w:type="dxa"/>
            <w:right w:w="108" w:type="dxa"/>
          </w:tblCellMar>
        </w:tblPrEx>
        <w:trPr>
          <w:trHeight w:val="680" w:hRule="atLeast"/>
        </w:trPr>
        <w:tc>
          <w:tcPr>
            <w:tcW w:w="8789" w:type="dxa"/>
            <w:noWrap w:val="0"/>
            <w:vAlign w:val="center"/>
          </w:tcPr>
          <w:p w14:paraId="56BA34F2">
            <w:pPr>
              <w:rPr>
                <w:rFonts w:hint="eastAsia"/>
                <w:b/>
                <w:color w:val="auto"/>
                <w:sz w:val="28"/>
                <w:szCs w:val="28"/>
                <w:highlight w:val="none"/>
              </w:rPr>
            </w:pPr>
            <w:r>
              <w:rPr>
                <w:rFonts w:hint="eastAsia"/>
                <w:b/>
                <w:color w:val="auto"/>
                <w:sz w:val="28"/>
                <w:szCs w:val="28"/>
                <w:highlight w:val="none"/>
              </w:rPr>
              <w:t>法定代表人或其授权代表（签字或盖章）：</w:t>
            </w:r>
            <w:r>
              <w:rPr>
                <w:rFonts w:hint="eastAsia"/>
                <w:b/>
                <w:color w:val="auto"/>
                <w:w w:val="90"/>
                <w:sz w:val="28"/>
                <w:szCs w:val="28"/>
                <w:highlight w:val="none"/>
              </w:rPr>
              <w:t>________________________</w:t>
            </w:r>
          </w:p>
        </w:tc>
      </w:tr>
      <w:tr w14:paraId="03AF6D76">
        <w:tblPrEx>
          <w:tblCellMar>
            <w:top w:w="0" w:type="dxa"/>
            <w:left w:w="108" w:type="dxa"/>
            <w:bottom w:w="0" w:type="dxa"/>
            <w:right w:w="108" w:type="dxa"/>
          </w:tblCellMar>
        </w:tblPrEx>
        <w:trPr>
          <w:trHeight w:val="680" w:hRule="atLeast"/>
        </w:trPr>
        <w:tc>
          <w:tcPr>
            <w:tcW w:w="8789" w:type="dxa"/>
            <w:noWrap w:val="0"/>
            <w:vAlign w:val="center"/>
          </w:tcPr>
          <w:p w14:paraId="493EF7AC">
            <w:pPr>
              <w:rPr>
                <w:rFonts w:hint="eastAsia"/>
                <w:b/>
                <w:color w:val="auto"/>
                <w:sz w:val="28"/>
                <w:szCs w:val="28"/>
                <w:highlight w:val="none"/>
              </w:rPr>
            </w:pPr>
            <w:r>
              <w:rPr>
                <w:rFonts w:hint="eastAsia"/>
                <w:b/>
                <w:color w:val="auto"/>
                <w:sz w:val="28"/>
                <w:szCs w:val="28"/>
                <w:highlight w:val="none"/>
              </w:rPr>
              <w:t>日期：</w:t>
            </w:r>
            <w:r>
              <w:rPr>
                <w:rFonts w:hint="eastAsia"/>
                <w:b/>
                <w:color w:val="auto"/>
                <w:w w:val="90"/>
                <w:sz w:val="28"/>
                <w:szCs w:val="28"/>
                <w:highlight w:val="none"/>
              </w:rPr>
              <w:t>__________________________________________________________</w:t>
            </w:r>
          </w:p>
        </w:tc>
      </w:tr>
      <w:tr w14:paraId="1BB513E6">
        <w:tblPrEx>
          <w:tblCellMar>
            <w:top w:w="0" w:type="dxa"/>
            <w:left w:w="108" w:type="dxa"/>
            <w:bottom w:w="0" w:type="dxa"/>
            <w:right w:w="108" w:type="dxa"/>
          </w:tblCellMar>
        </w:tblPrEx>
        <w:trPr>
          <w:trHeight w:val="335" w:hRule="atLeast"/>
        </w:trPr>
        <w:tc>
          <w:tcPr>
            <w:tcW w:w="8789" w:type="dxa"/>
            <w:noWrap w:val="0"/>
            <w:vAlign w:val="center"/>
          </w:tcPr>
          <w:p w14:paraId="6EEEE286">
            <w:pPr>
              <w:rPr>
                <w:rFonts w:hint="eastAsia"/>
                <w:color w:val="auto"/>
                <w:sz w:val="28"/>
                <w:szCs w:val="28"/>
                <w:highlight w:val="none"/>
              </w:rPr>
            </w:pPr>
          </w:p>
        </w:tc>
      </w:tr>
      <w:tr w14:paraId="07A78387">
        <w:tblPrEx>
          <w:tblCellMar>
            <w:top w:w="0" w:type="dxa"/>
            <w:left w:w="108" w:type="dxa"/>
            <w:bottom w:w="0" w:type="dxa"/>
            <w:right w:w="108" w:type="dxa"/>
          </w:tblCellMar>
        </w:tblPrEx>
        <w:trPr>
          <w:trHeight w:val="680" w:hRule="atLeast"/>
        </w:trPr>
        <w:tc>
          <w:tcPr>
            <w:tcW w:w="8789" w:type="dxa"/>
            <w:noWrap w:val="0"/>
            <w:vAlign w:val="center"/>
          </w:tcPr>
          <w:p w14:paraId="7A2C4664">
            <w:pPr>
              <w:jc w:val="center"/>
              <w:rPr>
                <w:rFonts w:hint="eastAsia"/>
                <w:b/>
                <w:color w:val="auto"/>
                <w:sz w:val="28"/>
                <w:szCs w:val="28"/>
                <w:highlight w:val="none"/>
              </w:rPr>
            </w:pPr>
            <w:r>
              <w:rPr>
                <w:rFonts w:hint="eastAsia"/>
                <w:b/>
                <w:color w:val="auto"/>
                <w:sz w:val="28"/>
                <w:szCs w:val="28"/>
                <w:highlight w:val="none"/>
              </w:rPr>
              <w:t>开标前不得启封</w:t>
            </w:r>
          </w:p>
        </w:tc>
      </w:tr>
    </w:tbl>
    <w:p w14:paraId="34BC40BB">
      <w:pPr>
        <w:autoSpaceDE w:val="0"/>
        <w:autoSpaceDN w:val="0"/>
        <w:adjustRightInd w:val="0"/>
        <w:snapToGrid w:val="0"/>
        <w:spacing w:line="360" w:lineRule="atLeast"/>
        <w:rPr>
          <w:rFonts w:hint="eastAsia"/>
          <w:color w:val="auto"/>
          <w:highlight w:val="none"/>
        </w:rPr>
        <w:sectPr>
          <w:pgSz w:w="11906" w:h="16838"/>
          <w:pgMar w:top="1440" w:right="1361" w:bottom="1440" w:left="1361" w:header="720" w:footer="720" w:gutter="0"/>
          <w:pgNumType w:fmt="decimal"/>
          <w:cols w:space="720" w:num="1"/>
          <w:titlePg/>
          <w:docGrid w:linePitch="326" w:charSpace="-3831"/>
        </w:sectPr>
      </w:pPr>
    </w:p>
    <w:p w14:paraId="07D025EF">
      <w:pPr>
        <w:pStyle w:val="37"/>
        <w:adjustRightInd w:val="0"/>
        <w:snapToGrid w:val="0"/>
        <w:spacing w:line="400" w:lineRule="exact"/>
        <w:rPr>
          <w:rFonts w:hint="eastAsia" w:hAnsi="宋体" w:cs="宋体"/>
          <w:color w:val="auto"/>
          <w:sz w:val="36"/>
          <w:szCs w:val="36"/>
          <w:highlight w:val="none"/>
        </w:rPr>
      </w:pPr>
      <w:r>
        <w:rPr>
          <w:rFonts w:hint="eastAsia" w:hAnsi="宋体" w:cs="宋体"/>
          <w:b/>
          <w:bCs/>
          <w:color w:val="auto"/>
          <w:sz w:val="32"/>
          <w:szCs w:val="32"/>
          <w:highlight w:val="none"/>
        </w:rPr>
        <w:t xml:space="preserve">2.2开标一览表  </w:t>
      </w:r>
      <w:r>
        <w:rPr>
          <w:rFonts w:hint="eastAsia" w:hAnsi="宋体" w:cs="宋体"/>
          <w:color w:val="auto"/>
          <w:sz w:val="36"/>
          <w:szCs w:val="36"/>
          <w:highlight w:val="none"/>
        </w:rPr>
        <w:t xml:space="preserve">  </w:t>
      </w:r>
    </w:p>
    <w:p w14:paraId="6216D76C">
      <w:pPr>
        <w:widowControl/>
        <w:snapToGrid w:val="0"/>
        <w:spacing w:line="400" w:lineRule="exact"/>
        <w:jc w:val="center"/>
        <w:rPr>
          <w:rFonts w:hint="eastAsia"/>
          <w:color w:val="auto"/>
          <w:sz w:val="32"/>
          <w:szCs w:val="22"/>
          <w:highlight w:val="none"/>
          <w:lang w:eastAsia="zh-CN"/>
        </w:rPr>
      </w:pPr>
      <w:r>
        <w:rPr>
          <w:rFonts w:hint="eastAsia"/>
          <w:color w:val="auto"/>
          <w:sz w:val="32"/>
          <w:szCs w:val="22"/>
          <w:highlight w:val="none"/>
        </w:rPr>
        <w:t>开标</w:t>
      </w:r>
      <w:r>
        <w:rPr>
          <w:color w:val="auto"/>
          <w:sz w:val="32"/>
          <w:szCs w:val="22"/>
          <w:highlight w:val="none"/>
        </w:rPr>
        <w:t>一览表</w:t>
      </w:r>
    </w:p>
    <w:p w14:paraId="461A03A1">
      <w:pPr>
        <w:pStyle w:val="5"/>
        <w:rPr>
          <w:rFonts w:hint="eastAsia"/>
          <w:color w:val="auto"/>
          <w:highlight w:val="none"/>
          <w:lang w:eastAsia="zh-CN"/>
        </w:rPr>
      </w:pPr>
    </w:p>
    <w:p w14:paraId="6E7EF47B">
      <w:pPr>
        <w:pStyle w:val="37"/>
        <w:adjustRightInd w:val="0"/>
        <w:snapToGrid w:val="0"/>
        <w:spacing w:line="400" w:lineRule="exact"/>
        <w:rPr>
          <w:rFonts w:hint="eastAsia" w:hAnsi="宋体" w:cs="宋体"/>
          <w:color w:val="auto"/>
          <w:sz w:val="22"/>
          <w:szCs w:val="22"/>
          <w:highlight w:val="none"/>
        </w:rPr>
      </w:pPr>
      <w:r>
        <w:rPr>
          <w:rFonts w:hint="eastAsia" w:hAnsi="宋体" w:cs="宋体"/>
          <w:color w:val="auto"/>
          <w:sz w:val="22"/>
          <w:szCs w:val="22"/>
          <w:highlight w:val="none"/>
        </w:rPr>
        <w:t xml:space="preserve">供应商名称：                 </w:t>
      </w:r>
      <w:r>
        <w:rPr>
          <w:rFonts w:hint="eastAsia" w:hAnsi="宋体" w:cs="宋体"/>
          <w:color w:val="auto"/>
          <w:sz w:val="22"/>
          <w:szCs w:val="22"/>
          <w:highlight w:val="none"/>
          <w:lang w:val="en-US" w:eastAsia="zh-CN"/>
        </w:rPr>
        <w:t xml:space="preserve">           </w:t>
      </w:r>
      <w:r>
        <w:rPr>
          <w:rFonts w:hint="eastAsia" w:hAnsi="宋体" w:cs="宋体"/>
          <w:color w:val="auto"/>
          <w:sz w:val="22"/>
          <w:szCs w:val="22"/>
          <w:highlight w:val="none"/>
        </w:rPr>
        <w:t xml:space="preserve"> 招标编号：         </w:t>
      </w:r>
    </w:p>
    <w:p w14:paraId="7CB0D840">
      <w:pPr>
        <w:pStyle w:val="38"/>
        <w:rPr>
          <w:rFonts w:hint="eastAsia"/>
          <w:color w:val="auto"/>
          <w:highlight w:val="none"/>
          <w:lang w:eastAsia="zh-CN"/>
        </w:rPr>
      </w:pPr>
    </w:p>
    <w:tbl>
      <w:tblPr>
        <w:tblStyle w:val="66"/>
        <w:tblpPr w:leftFromText="180" w:rightFromText="180" w:vertAnchor="page" w:horzAnchor="page" w:tblpX="1521" w:tblpY="3490"/>
        <w:tblW w:w="8983" w:type="dxa"/>
        <w:jc w:val="center"/>
        <w:tblLayout w:type="fixed"/>
        <w:tblCellMar>
          <w:top w:w="0" w:type="dxa"/>
          <w:left w:w="108" w:type="dxa"/>
          <w:bottom w:w="0" w:type="dxa"/>
          <w:right w:w="108" w:type="dxa"/>
        </w:tblCellMar>
      </w:tblPr>
      <w:tblGrid>
        <w:gridCol w:w="3439"/>
        <w:gridCol w:w="3098"/>
        <w:gridCol w:w="2446"/>
      </w:tblGrid>
      <w:tr w14:paraId="4AE41D09">
        <w:tblPrEx>
          <w:tblCellMar>
            <w:top w:w="0" w:type="dxa"/>
            <w:left w:w="108" w:type="dxa"/>
            <w:bottom w:w="0" w:type="dxa"/>
            <w:right w:w="108" w:type="dxa"/>
          </w:tblCellMar>
        </w:tblPrEx>
        <w:trPr>
          <w:trHeight w:val="958" w:hRule="atLeast"/>
          <w:jc w:val="center"/>
        </w:trPr>
        <w:tc>
          <w:tcPr>
            <w:tcW w:w="3439" w:type="dxa"/>
            <w:tcBorders>
              <w:top w:val="single" w:color="auto" w:sz="4" w:space="0"/>
              <w:left w:val="single" w:color="auto" w:sz="4" w:space="0"/>
              <w:bottom w:val="single" w:color="auto" w:sz="4" w:space="0"/>
              <w:right w:val="single" w:color="auto" w:sz="4" w:space="0"/>
            </w:tcBorders>
            <w:noWrap w:val="0"/>
            <w:vAlign w:val="center"/>
          </w:tcPr>
          <w:p w14:paraId="109EF9A7">
            <w:pPr>
              <w:jc w:val="center"/>
              <w:rPr>
                <w:rFonts w:hint="eastAsia"/>
                <w:bCs/>
                <w:color w:val="auto"/>
                <w:sz w:val="22"/>
                <w:szCs w:val="22"/>
                <w:highlight w:val="none"/>
              </w:rPr>
            </w:pPr>
            <w:r>
              <w:rPr>
                <w:rFonts w:hint="eastAsia"/>
                <w:bCs/>
                <w:color w:val="auto"/>
                <w:sz w:val="22"/>
                <w:szCs w:val="22"/>
                <w:highlight w:val="none"/>
              </w:rPr>
              <w:t>项目名称</w:t>
            </w:r>
          </w:p>
        </w:tc>
        <w:tc>
          <w:tcPr>
            <w:tcW w:w="3098" w:type="dxa"/>
            <w:tcBorders>
              <w:top w:val="single" w:color="auto" w:sz="4" w:space="0"/>
              <w:left w:val="single" w:color="auto" w:sz="4" w:space="0"/>
              <w:bottom w:val="single" w:color="auto" w:sz="4" w:space="0"/>
              <w:right w:val="single" w:color="auto" w:sz="4" w:space="0"/>
            </w:tcBorders>
            <w:noWrap w:val="0"/>
            <w:vAlign w:val="center"/>
          </w:tcPr>
          <w:p w14:paraId="23FACF1E">
            <w:pPr>
              <w:widowControl/>
              <w:snapToGrid w:val="0"/>
              <w:jc w:val="center"/>
              <w:rPr>
                <w:rFonts w:hint="eastAsia"/>
                <w:color w:val="auto"/>
                <w:sz w:val="22"/>
                <w:szCs w:val="22"/>
                <w:highlight w:val="none"/>
              </w:rPr>
            </w:pPr>
            <w:r>
              <w:rPr>
                <w:rFonts w:hint="eastAsia"/>
                <w:b/>
                <w:color w:val="auto"/>
                <w:sz w:val="22"/>
                <w:szCs w:val="22"/>
                <w:highlight w:val="none"/>
              </w:rPr>
              <w:t>投标</w:t>
            </w:r>
            <w:r>
              <w:rPr>
                <w:rFonts w:hint="eastAsia"/>
                <w:b/>
                <w:color w:val="auto"/>
                <w:sz w:val="22"/>
                <w:szCs w:val="22"/>
                <w:highlight w:val="none"/>
                <w:lang w:eastAsia="zh-CN"/>
              </w:rPr>
              <w:t>单价统一</w:t>
            </w:r>
            <w:r>
              <w:rPr>
                <w:rFonts w:hint="eastAsia"/>
                <w:b/>
                <w:color w:val="auto"/>
                <w:sz w:val="22"/>
                <w:szCs w:val="22"/>
                <w:highlight w:val="none"/>
              </w:rPr>
              <w:t>折扣率</w:t>
            </w:r>
          </w:p>
        </w:tc>
        <w:tc>
          <w:tcPr>
            <w:tcW w:w="2446" w:type="dxa"/>
            <w:tcBorders>
              <w:top w:val="single" w:color="auto" w:sz="4" w:space="0"/>
              <w:left w:val="single" w:color="auto" w:sz="4" w:space="0"/>
              <w:bottom w:val="single" w:color="auto" w:sz="4" w:space="0"/>
              <w:right w:val="single" w:color="auto" w:sz="4" w:space="0"/>
            </w:tcBorders>
            <w:noWrap w:val="0"/>
            <w:vAlign w:val="center"/>
          </w:tcPr>
          <w:p w14:paraId="1ECAAC8D">
            <w:pPr>
              <w:widowControl/>
              <w:snapToGrid w:val="0"/>
              <w:jc w:val="center"/>
              <w:rPr>
                <w:rFonts w:hint="eastAsia" w:eastAsia="宋体"/>
                <w:color w:val="auto"/>
                <w:sz w:val="22"/>
                <w:szCs w:val="22"/>
                <w:highlight w:val="none"/>
                <w:lang w:val="en-US" w:eastAsia="zh-CN"/>
              </w:rPr>
            </w:pPr>
            <w:r>
              <w:rPr>
                <w:rFonts w:hint="eastAsia"/>
                <w:color w:val="auto"/>
                <w:sz w:val="22"/>
                <w:highlight w:val="none"/>
                <w:lang w:val="en-US" w:eastAsia="zh-CN"/>
              </w:rPr>
              <w:t>备注</w:t>
            </w:r>
          </w:p>
        </w:tc>
      </w:tr>
      <w:tr w14:paraId="74D5CFFB">
        <w:tblPrEx>
          <w:tblCellMar>
            <w:top w:w="0" w:type="dxa"/>
            <w:left w:w="108" w:type="dxa"/>
            <w:bottom w:w="0" w:type="dxa"/>
            <w:right w:w="108" w:type="dxa"/>
          </w:tblCellMar>
        </w:tblPrEx>
        <w:trPr>
          <w:trHeight w:val="3278" w:hRule="atLeast"/>
          <w:jc w:val="center"/>
        </w:trPr>
        <w:tc>
          <w:tcPr>
            <w:tcW w:w="3439" w:type="dxa"/>
            <w:tcBorders>
              <w:top w:val="single" w:color="auto" w:sz="4" w:space="0"/>
              <w:left w:val="single" w:color="auto" w:sz="4" w:space="0"/>
              <w:bottom w:val="single" w:color="auto" w:sz="4" w:space="0"/>
              <w:right w:val="single" w:color="auto" w:sz="4" w:space="0"/>
            </w:tcBorders>
            <w:noWrap w:val="0"/>
            <w:vAlign w:val="center"/>
          </w:tcPr>
          <w:p w14:paraId="79479EB9">
            <w:pPr>
              <w:jc w:val="center"/>
              <w:rPr>
                <w:rFonts w:hint="eastAsia" w:eastAsia="宋体"/>
                <w:bCs/>
                <w:color w:val="auto"/>
                <w:sz w:val="22"/>
                <w:szCs w:val="22"/>
                <w:highlight w:val="none"/>
                <w:lang w:eastAsia="zh-CN"/>
              </w:rPr>
            </w:pPr>
            <w:r>
              <w:rPr>
                <w:rFonts w:hint="eastAsia" w:ascii="宋体" w:hAnsi="宋体" w:cs="宋体"/>
                <w:b/>
                <w:bCs/>
                <w:color w:val="auto"/>
                <w:kern w:val="0"/>
                <w:sz w:val="22"/>
                <w:szCs w:val="22"/>
                <w:highlight w:val="none"/>
                <w:lang w:val="en-US" w:eastAsia="zh-CN"/>
              </w:rPr>
              <w:t xml:space="preserve"> </w:t>
            </w:r>
          </w:p>
        </w:tc>
        <w:tc>
          <w:tcPr>
            <w:tcW w:w="3098" w:type="dxa"/>
            <w:tcBorders>
              <w:top w:val="single" w:color="auto" w:sz="4" w:space="0"/>
              <w:left w:val="single" w:color="auto" w:sz="4" w:space="0"/>
              <w:bottom w:val="single" w:color="auto" w:sz="4" w:space="0"/>
              <w:right w:val="single" w:color="auto" w:sz="4" w:space="0"/>
            </w:tcBorders>
            <w:noWrap w:val="0"/>
            <w:vAlign w:val="center"/>
          </w:tcPr>
          <w:p w14:paraId="33A8DCB8">
            <w:pPr>
              <w:rPr>
                <w:rFonts w:hint="eastAsia"/>
                <w:b/>
                <w:color w:val="auto"/>
                <w:sz w:val="22"/>
                <w:szCs w:val="22"/>
                <w:highlight w:val="none"/>
                <w:u w:val="single"/>
              </w:rPr>
            </w:pPr>
            <w:r>
              <w:rPr>
                <w:rFonts w:hint="eastAsia" w:eastAsia="宋体"/>
                <w:color w:val="auto"/>
                <w:sz w:val="22"/>
                <w:highlight w:val="none"/>
                <w:lang w:val="en-US" w:eastAsia="zh-CN"/>
              </w:rPr>
              <w:t xml:space="preserve">   </w:t>
            </w:r>
            <w:r>
              <w:rPr>
                <w:rFonts w:hint="eastAsia"/>
                <w:b/>
                <w:color w:val="auto"/>
                <w:sz w:val="22"/>
                <w:szCs w:val="22"/>
                <w:highlight w:val="none"/>
              </w:rPr>
              <w:t>大写：百分之</w:t>
            </w:r>
            <w:r>
              <w:rPr>
                <w:rFonts w:hint="eastAsia"/>
                <w:b/>
                <w:color w:val="auto"/>
                <w:sz w:val="22"/>
                <w:szCs w:val="22"/>
                <w:highlight w:val="none"/>
                <w:u w:val="single"/>
              </w:rPr>
              <w:t xml:space="preserve">   </w:t>
            </w:r>
            <w:r>
              <w:rPr>
                <w:rFonts w:hint="eastAsia"/>
                <w:b/>
                <w:color w:val="auto"/>
                <w:sz w:val="22"/>
                <w:szCs w:val="22"/>
                <w:highlight w:val="none"/>
                <w:u w:val="single"/>
                <w:lang w:val="en-US" w:eastAsia="zh-CN"/>
              </w:rPr>
              <w:t xml:space="preserve">  </w:t>
            </w:r>
            <w:r>
              <w:rPr>
                <w:rFonts w:hint="eastAsia"/>
                <w:b/>
                <w:color w:val="auto"/>
                <w:sz w:val="22"/>
                <w:szCs w:val="22"/>
                <w:highlight w:val="none"/>
                <w:u w:val="single"/>
              </w:rPr>
              <w:t xml:space="preserve">  </w:t>
            </w:r>
          </w:p>
          <w:p w14:paraId="1268D721">
            <w:pPr>
              <w:pStyle w:val="5"/>
              <w:rPr>
                <w:color w:val="auto"/>
                <w:highlight w:val="none"/>
              </w:rPr>
            </w:pPr>
          </w:p>
          <w:p w14:paraId="6C67E648">
            <w:pPr>
              <w:widowControl/>
              <w:snapToGrid w:val="0"/>
              <w:ind w:firstLine="442" w:firstLineChars="200"/>
              <w:jc w:val="both"/>
              <w:rPr>
                <w:rFonts w:hint="eastAsia"/>
                <w:color w:val="auto"/>
                <w:sz w:val="22"/>
                <w:szCs w:val="22"/>
                <w:highlight w:val="none"/>
              </w:rPr>
            </w:pPr>
            <w:r>
              <w:rPr>
                <w:rFonts w:hint="eastAsia"/>
                <w:b/>
                <w:color w:val="auto"/>
                <w:sz w:val="22"/>
                <w:szCs w:val="22"/>
                <w:highlight w:val="none"/>
              </w:rPr>
              <w:t>小写：</w:t>
            </w:r>
            <w:r>
              <w:rPr>
                <w:rFonts w:hint="eastAsia"/>
                <w:b/>
                <w:color w:val="auto"/>
                <w:sz w:val="22"/>
                <w:szCs w:val="22"/>
                <w:highlight w:val="none"/>
                <w:u w:val="single"/>
              </w:rPr>
              <w:t xml:space="preserve">           </w:t>
            </w:r>
            <w:r>
              <w:rPr>
                <w:rFonts w:hint="eastAsia"/>
                <w:b/>
                <w:color w:val="auto"/>
                <w:sz w:val="22"/>
                <w:szCs w:val="22"/>
                <w:highlight w:val="none"/>
              </w:rPr>
              <w:t>%</w:t>
            </w:r>
          </w:p>
        </w:tc>
        <w:tc>
          <w:tcPr>
            <w:tcW w:w="2446" w:type="dxa"/>
            <w:tcBorders>
              <w:top w:val="single" w:color="auto" w:sz="4" w:space="0"/>
              <w:left w:val="single" w:color="auto" w:sz="4" w:space="0"/>
              <w:bottom w:val="single" w:color="auto" w:sz="4" w:space="0"/>
              <w:right w:val="single" w:color="auto" w:sz="4" w:space="0"/>
            </w:tcBorders>
            <w:noWrap w:val="0"/>
            <w:vAlign w:val="center"/>
          </w:tcPr>
          <w:p w14:paraId="3A63305E">
            <w:pPr>
              <w:widowControl/>
              <w:snapToGrid w:val="0"/>
              <w:jc w:val="both"/>
              <w:rPr>
                <w:rFonts w:hint="eastAsia"/>
                <w:color w:val="auto"/>
                <w:sz w:val="22"/>
                <w:szCs w:val="22"/>
                <w:highlight w:val="none"/>
              </w:rPr>
            </w:pPr>
            <w:r>
              <w:rPr>
                <w:rFonts w:hint="eastAsia" w:ascii="宋体" w:hAnsi="宋体"/>
                <w:b/>
                <w:bCs/>
                <w:i w:val="0"/>
                <w:iCs w:val="0"/>
                <w:color w:val="auto"/>
                <w:sz w:val="22"/>
                <w:highlight w:val="none"/>
                <w:u w:val="none"/>
                <w:lang w:val="en-US" w:eastAsia="zh-CN"/>
              </w:rPr>
              <w:t>折扣率大于100%（不含）或小于0的做无效投标处理，</w:t>
            </w:r>
            <w:r>
              <w:rPr>
                <w:rFonts w:hint="eastAsia"/>
                <w:b/>
                <w:bCs/>
                <w:color w:val="auto"/>
                <w:sz w:val="22"/>
                <w:szCs w:val="22"/>
                <w:highlight w:val="none"/>
                <w:lang w:eastAsia="zh-CN"/>
              </w:rPr>
              <w:t>折扣率</w:t>
            </w:r>
            <w:r>
              <w:rPr>
                <w:rFonts w:hint="eastAsia"/>
                <w:b/>
                <w:bCs/>
                <w:color w:val="auto"/>
                <w:sz w:val="22"/>
                <w:szCs w:val="22"/>
                <w:highlight w:val="none"/>
              </w:rPr>
              <w:t>小数点后最多保留两位，</w:t>
            </w:r>
            <w:r>
              <w:rPr>
                <w:rFonts w:hint="eastAsia"/>
                <w:b/>
                <w:bCs/>
                <w:color w:val="auto"/>
                <w:sz w:val="22"/>
                <w:szCs w:val="22"/>
                <w:highlight w:val="none"/>
                <w:lang w:eastAsia="zh-CN"/>
              </w:rPr>
              <w:t>第三位</w:t>
            </w:r>
            <w:r>
              <w:rPr>
                <w:rFonts w:hint="eastAsia"/>
                <w:b/>
                <w:bCs/>
                <w:color w:val="auto"/>
                <w:sz w:val="22"/>
                <w:szCs w:val="22"/>
                <w:highlight w:val="none"/>
              </w:rPr>
              <w:t>四舍五入</w:t>
            </w:r>
            <w:r>
              <w:rPr>
                <w:rFonts w:hint="eastAsia"/>
                <w:b/>
                <w:bCs/>
                <w:i w:val="0"/>
                <w:iCs w:val="0"/>
                <w:color w:val="auto"/>
                <w:sz w:val="22"/>
                <w:szCs w:val="22"/>
                <w:highlight w:val="none"/>
                <w:u w:val="none"/>
              </w:rPr>
              <w:t>）</w:t>
            </w:r>
          </w:p>
        </w:tc>
      </w:tr>
    </w:tbl>
    <w:p w14:paraId="6BAA5FA2">
      <w:pPr>
        <w:widowControl/>
        <w:snapToGrid w:val="0"/>
        <w:spacing w:line="460" w:lineRule="atLeast"/>
        <w:ind w:firstLine="440" w:firstLineChars="200"/>
        <w:jc w:val="left"/>
        <w:rPr>
          <w:rFonts w:hint="eastAsia"/>
          <w:color w:val="auto"/>
          <w:sz w:val="22"/>
          <w:highlight w:val="none"/>
        </w:rPr>
      </w:pPr>
      <w:r>
        <w:rPr>
          <w:color w:val="auto"/>
          <w:sz w:val="22"/>
          <w:highlight w:val="none"/>
        </w:rPr>
        <w:t>▲报价一览表中报价为符合采购文件要求的项目</w:t>
      </w:r>
      <w:r>
        <w:rPr>
          <w:rFonts w:hint="eastAsia"/>
          <w:color w:val="auto"/>
          <w:sz w:val="22"/>
          <w:highlight w:val="none"/>
        </w:rPr>
        <w:t>报价</w:t>
      </w:r>
      <w:r>
        <w:rPr>
          <w:color w:val="auto"/>
          <w:sz w:val="22"/>
          <w:highlight w:val="none"/>
        </w:rPr>
        <w:t>（含税等费用），招标代理费及其它需要的费用。</w:t>
      </w:r>
    </w:p>
    <w:p w14:paraId="289AA179">
      <w:pPr>
        <w:widowControl/>
        <w:snapToGrid w:val="0"/>
        <w:spacing w:line="460" w:lineRule="atLeast"/>
        <w:ind w:firstLine="442" w:firstLineChars="200"/>
        <w:jc w:val="left"/>
        <w:rPr>
          <w:color w:val="auto"/>
          <w:sz w:val="22"/>
          <w:highlight w:val="none"/>
        </w:rPr>
      </w:pPr>
      <w:r>
        <w:rPr>
          <w:rFonts w:hint="eastAsia"/>
          <w:b/>
          <w:color w:val="auto"/>
          <w:sz w:val="22"/>
          <w:highlight w:val="none"/>
        </w:rPr>
        <w:t>本项目采用单价统一折扣率报价，折扣率大于100%或小等于0的做无效投标处理。各结算单价=单价最高限价*</w:t>
      </w:r>
      <w:r>
        <w:rPr>
          <w:rFonts w:hint="eastAsia"/>
          <w:b/>
          <w:color w:val="auto"/>
          <w:sz w:val="22"/>
          <w:highlight w:val="none"/>
          <w:lang w:val="en-US" w:eastAsia="zh-CN"/>
        </w:rPr>
        <w:t>中标</w:t>
      </w:r>
      <w:r>
        <w:rPr>
          <w:rFonts w:hint="eastAsia"/>
          <w:b/>
          <w:color w:val="auto"/>
          <w:sz w:val="22"/>
          <w:highlight w:val="none"/>
        </w:rPr>
        <w:t>折扣率。</w:t>
      </w:r>
    </w:p>
    <w:p w14:paraId="03CBC7E9">
      <w:pPr>
        <w:widowControl/>
        <w:autoSpaceDE w:val="0"/>
        <w:autoSpaceDN w:val="0"/>
        <w:snapToGrid w:val="0"/>
        <w:spacing w:line="440" w:lineRule="atLeast"/>
        <w:ind w:firstLine="440" w:firstLineChars="200"/>
        <w:jc w:val="left"/>
        <w:rPr>
          <w:color w:val="auto"/>
          <w:sz w:val="24"/>
          <w:highlight w:val="none"/>
        </w:rPr>
      </w:pPr>
      <w:r>
        <w:rPr>
          <w:color w:val="auto"/>
          <w:sz w:val="22"/>
          <w:highlight w:val="none"/>
        </w:rPr>
        <w:t>▲不提供此表格的将视为没有实质性响应采购文件。</w:t>
      </w:r>
    </w:p>
    <w:p w14:paraId="131EB6E7">
      <w:pPr>
        <w:autoSpaceDE w:val="0"/>
        <w:autoSpaceDN w:val="0"/>
        <w:adjustRightInd w:val="0"/>
        <w:spacing w:line="440" w:lineRule="atLeast"/>
        <w:rPr>
          <w:rFonts w:hint="eastAsia"/>
          <w:color w:val="auto"/>
          <w:sz w:val="22"/>
          <w:szCs w:val="22"/>
          <w:highlight w:val="none"/>
          <w:lang w:val="zh-CN"/>
        </w:rPr>
      </w:pPr>
    </w:p>
    <w:p w14:paraId="33FCAA93">
      <w:pPr>
        <w:autoSpaceDE w:val="0"/>
        <w:autoSpaceDN w:val="0"/>
        <w:adjustRightInd w:val="0"/>
        <w:spacing w:line="440" w:lineRule="atLeast"/>
        <w:rPr>
          <w:rFonts w:hint="eastAsia"/>
          <w:color w:val="auto"/>
          <w:sz w:val="22"/>
          <w:szCs w:val="22"/>
          <w:highlight w:val="none"/>
          <w:lang w:val="zh-CN"/>
        </w:rPr>
      </w:pPr>
      <w:r>
        <w:rPr>
          <w:rFonts w:hint="eastAsia"/>
          <w:color w:val="auto"/>
          <w:sz w:val="22"/>
          <w:szCs w:val="22"/>
          <w:highlight w:val="none"/>
          <w:lang w:val="zh-CN"/>
        </w:rPr>
        <w:t>供应商全称（盖章）：</w:t>
      </w:r>
    </w:p>
    <w:p w14:paraId="6306367F">
      <w:pPr>
        <w:autoSpaceDE w:val="0"/>
        <w:autoSpaceDN w:val="0"/>
        <w:adjustRightInd w:val="0"/>
        <w:spacing w:line="440" w:lineRule="atLeast"/>
        <w:rPr>
          <w:rFonts w:hint="eastAsia"/>
          <w:color w:val="auto"/>
          <w:sz w:val="22"/>
          <w:szCs w:val="22"/>
          <w:highlight w:val="none"/>
          <w:lang w:val="zh-CN"/>
        </w:rPr>
      </w:pPr>
      <w:r>
        <w:rPr>
          <w:rFonts w:hint="eastAsia"/>
          <w:color w:val="auto"/>
          <w:sz w:val="22"/>
          <w:szCs w:val="22"/>
          <w:highlight w:val="none"/>
          <w:lang w:val="zh-CN"/>
        </w:rPr>
        <w:t>法定代表人或授权代表（签字或签章）：</w:t>
      </w:r>
    </w:p>
    <w:p w14:paraId="4E612B66">
      <w:pPr>
        <w:autoSpaceDE w:val="0"/>
        <w:autoSpaceDN w:val="0"/>
        <w:adjustRightInd w:val="0"/>
        <w:spacing w:line="440" w:lineRule="atLeast"/>
        <w:rPr>
          <w:rFonts w:hint="eastAsia"/>
          <w:color w:val="auto"/>
          <w:sz w:val="22"/>
          <w:szCs w:val="22"/>
          <w:highlight w:val="none"/>
          <w:lang w:val="zh-CN"/>
        </w:rPr>
      </w:pPr>
      <w:r>
        <w:rPr>
          <w:rFonts w:hint="eastAsia"/>
          <w:color w:val="auto"/>
          <w:sz w:val="22"/>
          <w:szCs w:val="22"/>
          <w:highlight w:val="none"/>
          <w:lang w:val="zh-CN"/>
        </w:rPr>
        <w:t>日期：</w:t>
      </w:r>
    </w:p>
    <w:p w14:paraId="0DADE08A">
      <w:pPr>
        <w:autoSpaceDE w:val="0"/>
        <w:autoSpaceDN w:val="0"/>
        <w:adjustRightInd w:val="0"/>
        <w:spacing w:line="460" w:lineRule="atLeast"/>
        <w:rPr>
          <w:rFonts w:hint="eastAsia"/>
          <w:b/>
          <w:color w:val="auto"/>
          <w:sz w:val="30"/>
          <w:highlight w:val="none"/>
          <w:lang w:val="zh-CN"/>
        </w:rPr>
      </w:pPr>
    </w:p>
    <w:p w14:paraId="366CF727">
      <w:pPr>
        <w:pStyle w:val="81"/>
        <w:rPr>
          <w:rFonts w:hint="eastAsia"/>
          <w:b/>
          <w:color w:val="auto"/>
          <w:sz w:val="30"/>
          <w:highlight w:val="none"/>
          <w:lang w:val="zh-CN"/>
        </w:rPr>
      </w:pPr>
    </w:p>
    <w:p w14:paraId="4AC89037">
      <w:pPr>
        <w:pStyle w:val="81"/>
        <w:rPr>
          <w:rFonts w:hint="eastAsia"/>
          <w:b/>
          <w:color w:val="auto"/>
          <w:sz w:val="30"/>
          <w:highlight w:val="none"/>
          <w:lang w:val="zh-CN"/>
        </w:rPr>
      </w:pPr>
    </w:p>
    <w:p w14:paraId="2F267CAB">
      <w:pPr>
        <w:pStyle w:val="81"/>
        <w:rPr>
          <w:rFonts w:hint="eastAsia"/>
          <w:b/>
          <w:color w:val="auto"/>
          <w:sz w:val="30"/>
          <w:highlight w:val="none"/>
          <w:lang w:val="zh-CN"/>
        </w:rPr>
      </w:pPr>
    </w:p>
    <w:p w14:paraId="079BB757">
      <w:pPr>
        <w:pStyle w:val="81"/>
        <w:rPr>
          <w:rFonts w:hint="eastAsia"/>
          <w:b/>
          <w:color w:val="auto"/>
          <w:sz w:val="30"/>
          <w:highlight w:val="none"/>
          <w:lang w:val="zh-CN"/>
        </w:rPr>
      </w:pPr>
    </w:p>
    <w:p w14:paraId="54C158A7">
      <w:pPr>
        <w:pStyle w:val="81"/>
        <w:rPr>
          <w:rFonts w:hint="eastAsia"/>
          <w:b/>
          <w:color w:val="auto"/>
          <w:sz w:val="30"/>
          <w:highlight w:val="none"/>
          <w:lang w:val="zh-CN"/>
        </w:rPr>
      </w:pPr>
    </w:p>
    <w:p w14:paraId="7E534B60">
      <w:pPr>
        <w:pStyle w:val="81"/>
        <w:rPr>
          <w:rFonts w:hint="eastAsia"/>
          <w:b/>
          <w:color w:val="auto"/>
          <w:sz w:val="30"/>
          <w:highlight w:val="none"/>
          <w:lang w:val="zh-CN"/>
        </w:rPr>
      </w:pPr>
    </w:p>
    <w:p w14:paraId="6C617B5E">
      <w:pPr>
        <w:pStyle w:val="81"/>
        <w:rPr>
          <w:rFonts w:hint="eastAsia"/>
          <w:b/>
          <w:color w:val="auto"/>
          <w:sz w:val="30"/>
          <w:highlight w:val="none"/>
          <w:lang w:val="zh-CN"/>
        </w:rPr>
      </w:pPr>
    </w:p>
    <w:p w14:paraId="6FC20A65">
      <w:pPr>
        <w:pStyle w:val="81"/>
        <w:rPr>
          <w:rFonts w:hint="eastAsia"/>
          <w:b/>
          <w:color w:val="auto"/>
          <w:sz w:val="30"/>
          <w:highlight w:val="none"/>
          <w:lang w:val="zh-CN"/>
        </w:rPr>
      </w:pPr>
    </w:p>
    <w:p w14:paraId="346FB873">
      <w:pPr>
        <w:pStyle w:val="81"/>
        <w:rPr>
          <w:rFonts w:hint="eastAsia"/>
          <w:b/>
          <w:color w:val="auto"/>
          <w:sz w:val="30"/>
          <w:highlight w:val="none"/>
          <w:lang w:val="zh-CN"/>
        </w:rPr>
      </w:pPr>
    </w:p>
    <w:p w14:paraId="2A7BCE9E">
      <w:pPr>
        <w:pStyle w:val="37"/>
        <w:adjustRightInd w:val="0"/>
        <w:snapToGrid w:val="0"/>
        <w:spacing w:line="400" w:lineRule="exac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2.</w:t>
      </w:r>
      <w:r>
        <w:rPr>
          <w:rFonts w:hint="eastAsia" w:ascii="宋体" w:hAnsi="宋体" w:eastAsia="宋体" w:cs="宋体"/>
          <w:b/>
          <w:bCs/>
          <w:color w:val="auto"/>
          <w:sz w:val="32"/>
          <w:szCs w:val="32"/>
          <w:highlight w:val="none"/>
          <w:lang w:val="en-US" w:eastAsia="zh-CN"/>
        </w:rPr>
        <w:t>3</w:t>
      </w:r>
      <w:r>
        <w:rPr>
          <w:rFonts w:hint="eastAsia" w:ascii="宋体" w:hAnsi="宋体" w:eastAsia="宋体" w:cs="宋体"/>
          <w:b/>
          <w:bCs/>
          <w:color w:val="auto"/>
          <w:sz w:val="32"/>
          <w:szCs w:val="32"/>
          <w:highlight w:val="none"/>
        </w:rPr>
        <w:t>中小企业声明函、监狱企业、残疾人福利性单位及其他相关的充分的证明材料</w:t>
      </w:r>
    </w:p>
    <w:p w14:paraId="16B4AD19">
      <w:pPr>
        <w:widowControl/>
        <w:snapToGrid w:val="0"/>
        <w:spacing w:line="400" w:lineRule="exact"/>
        <w:jc w:val="center"/>
        <w:rPr>
          <w:rFonts w:hint="eastAsia" w:ascii="宋体" w:hAnsi="宋体" w:eastAsia="宋体" w:cs="宋体"/>
          <w:color w:val="auto"/>
          <w:sz w:val="32"/>
          <w:szCs w:val="22"/>
          <w:highlight w:val="none"/>
        </w:rPr>
      </w:pPr>
      <w:r>
        <w:rPr>
          <w:rFonts w:hint="eastAsia" w:ascii="宋体" w:hAnsi="宋体" w:eastAsia="宋体" w:cs="宋体"/>
          <w:color w:val="auto"/>
          <w:sz w:val="32"/>
          <w:szCs w:val="22"/>
          <w:highlight w:val="none"/>
        </w:rPr>
        <w:t>中小企业声明函及其相关的充分的证明材料</w:t>
      </w:r>
    </w:p>
    <w:p w14:paraId="17295D37">
      <w:pPr>
        <w:snapToGrid w:val="0"/>
        <w:spacing w:line="400" w:lineRule="exact"/>
        <w:jc w:val="center"/>
        <w:rPr>
          <w:rFonts w:hint="eastAsia" w:eastAsia="宋体"/>
          <w:color w:val="auto"/>
          <w:sz w:val="24"/>
          <w:szCs w:val="24"/>
          <w:highlight w:val="none"/>
          <w:lang w:eastAsia="zh-CN"/>
        </w:rPr>
      </w:pPr>
      <w:r>
        <w:rPr>
          <w:rFonts w:hint="eastAsia"/>
          <w:b/>
          <w:bCs w:val="0"/>
          <w:color w:val="auto"/>
          <w:sz w:val="21"/>
          <w:szCs w:val="21"/>
          <w:highlight w:val="none"/>
          <w:lang w:eastAsia="zh-CN"/>
        </w:rPr>
        <w:t>（</w:t>
      </w:r>
      <w:r>
        <w:rPr>
          <w:b/>
          <w:bCs w:val="0"/>
          <w:color w:val="auto"/>
          <w:sz w:val="21"/>
          <w:szCs w:val="21"/>
          <w:highlight w:val="none"/>
        </w:rPr>
        <w:t>如中标，将在中标公示中将此</w:t>
      </w:r>
      <w:r>
        <w:rPr>
          <w:rFonts w:hint="eastAsia"/>
          <w:b/>
          <w:bCs w:val="0"/>
          <w:color w:val="auto"/>
          <w:sz w:val="21"/>
          <w:szCs w:val="21"/>
          <w:highlight w:val="none"/>
        </w:rPr>
        <w:t>中小企业声明函及其相关的证明材料</w:t>
      </w:r>
      <w:r>
        <w:rPr>
          <w:b/>
          <w:bCs w:val="0"/>
          <w:color w:val="auto"/>
          <w:sz w:val="21"/>
          <w:szCs w:val="21"/>
          <w:highlight w:val="none"/>
        </w:rPr>
        <w:t>予以公示</w:t>
      </w:r>
      <w:r>
        <w:rPr>
          <w:rFonts w:hint="eastAsia"/>
          <w:b/>
          <w:bCs w:val="0"/>
          <w:color w:val="auto"/>
          <w:sz w:val="21"/>
          <w:szCs w:val="21"/>
          <w:highlight w:val="none"/>
          <w:lang w:eastAsia="zh-CN"/>
        </w:rPr>
        <w:t>）</w:t>
      </w:r>
    </w:p>
    <w:p w14:paraId="4065CF07">
      <w:pPr>
        <w:pStyle w:val="4"/>
        <w:rPr>
          <w:color w:val="auto"/>
          <w:highlight w:val="none"/>
        </w:rPr>
      </w:pPr>
    </w:p>
    <w:p w14:paraId="1528E5B4">
      <w:pPr>
        <w:snapToGrid w:val="0"/>
        <w:spacing w:line="440" w:lineRule="atLeast"/>
        <w:jc w:val="center"/>
        <w:rPr>
          <w:b/>
          <w:bCs/>
          <w:color w:val="auto"/>
          <w:sz w:val="40"/>
          <w:szCs w:val="44"/>
          <w:highlight w:val="none"/>
        </w:rPr>
      </w:pPr>
      <w:r>
        <w:rPr>
          <w:b/>
          <w:bCs/>
          <w:color w:val="auto"/>
          <w:sz w:val="40"/>
          <w:szCs w:val="44"/>
          <w:highlight w:val="none"/>
        </w:rPr>
        <w:t>中小企业声明函（货物）</w:t>
      </w:r>
    </w:p>
    <w:p w14:paraId="003299A0">
      <w:pPr>
        <w:snapToGrid w:val="0"/>
        <w:spacing w:line="440" w:lineRule="atLeast"/>
        <w:jc w:val="center"/>
        <w:rPr>
          <w:rFonts w:hint="default" w:eastAsia="宋体"/>
          <w:b/>
          <w:bCs/>
          <w:i w:val="0"/>
          <w:iCs w:val="0"/>
          <w:color w:val="auto"/>
          <w:sz w:val="40"/>
          <w:szCs w:val="40"/>
          <w:highlight w:val="none"/>
          <w:lang w:val="en-US" w:eastAsia="zh-CN"/>
        </w:rPr>
      </w:pPr>
      <w:r>
        <w:rPr>
          <w:rFonts w:hint="eastAsia"/>
          <w:b/>
          <w:bCs/>
          <w:i w:val="0"/>
          <w:iCs w:val="0"/>
          <w:color w:val="auto"/>
          <w:sz w:val="24"/>
          <w:szCs w:val="24"/>
          <w:highlight w:val="none"/>
          <w:lang w:val="en-US" w:eastAsia="zh-CN"/>
        </w:rPr>
        <w:t>【不属于中小企业的无需提供】</w:t>
      </w:r>
    </w:p>
    <w:p w14:paraId="00C69A29">
      <w:pPr>
        <w:snapToGrid w:val="0"/>
        <w:spacing w:line="440" w:lineRule="atLeast"/>
        <w:ind w:firstLine="440" w:firstLineChars="200"/>
        <w:rPr>
          <w:color w:val="auto"/>
          <w:sz w:val="22"/>
          <w:highlight w:val="none"/>
        </w:rPr>
      </w:pPr>
      <w:r>
        <w:rPr>
          <w:color w:val="auto"/>
          <w:sz w:val="22"/>
          <w:highlight w:val="none"/>
        </w:rPr>
        <w:t>本公司（联合体）郑重声明，根据《政府采购促进中小 企业发展管理办法》（财库﹝2020﹞46 号）的规定，本公司 （联合体）参加</w:t>
      </w:r>
      <w:r>
        <w:rPr>
          <w:color w:val="auto"/>
          <w:sz w:val="22"/>
          <w:highlight w:val="none"/>
          <w:u w:val="single"/>
        </w:rPr>
        <w:t>（单位名称）</w:t>
      </w:r>
      <w:r>
        <w:rPr>
          <w:color w:val="auto"/>
          <w:sz w:val="22"/>
          <w:highlight w:val="none"/>
        </w:rPr>
        <w:t>的</w:t>
      </w:r>
      <w:r>
        <w:rPr>
          <w:color w:val="auto"/>
          <w:sz w:val="22"/>
          <w:highlight w:val="none"/>
          <w:u w:val="single"/>
        </w:rPr>
        <w:t>（项目名称）</w:t>
      </w:r>
      <w:r>
        <w:rPr>
          <w:color w:val="auto"/>
          <w:sz w:val="22"/>
          <w:highlight w:val="none"/>
        </w:rPr>
        <w:t>采购活动，提 供的货物全部由符合政策要求的中小企业制造。相关企业 （含联合体中的中小企业、签订分包意向协议的中小企业） 的具体情况如下：</w:t>
      </w:r>
    </w:p>
    <w:p w14:paraId="7AD21E1F">
      <w:pPr>
        <w:snapToGrid w:val="0"/>
        <w:spacing w:line="440" w:lineRule="atLeast"/>
        <w:ind w:firstLine="440" w:firstLineChars="200"/>
        <w:rPr>
          <w:color w:val="auto"/>
          <w:sz w:val="22"/>
          <w:highlight w:val="none"/>
        </w:rPr>
      </w:pPr>
      <w:r>
        <w:rPr>
          <w:color w:val="auto"/>
          <w:sz w:val="22"/>
          <w:highlight w:val="none"/>
        </w:rPr>
        <w:t xml:space="preserve"> 1. </w:t>
      </w:r>
      <w:r>
        <w:rPr>
          <w:color w:val="auto"/>
          <w:sz w:val="22"/>
          <w:highlight w:val="none"/>
          <w:u w:val="single"/>
        </w:rPr>
        <w:t>（标的名称）</w:t>
      </w:r>
      <w:r>
        <w:rPr>
          <w:color w:val="auto"/>
          <w:sz w:val="22"/>
          <w:highlight w:val="none"/>
        </w:rPr>
        <w:t>，属于</w:t>
      </w:r>
      <w:r>
        <w:rPr>
          <w:color w:val="auto"/>
          <w:sz w:val="22"/>
          <w:highlight w:val="none"/>
          <w:u w:val="single"/>
        </w:rPr>
        <w:t>（采购文件中明确的所属行业）</w:t>
      </w:r>
      <w:r>
        <w:rPr>
          <w:color w:val="auto"/>
          <w:sz w:val="22"/>
          <w:highlight w:val="none"/>
        </w:rPr>
        <w:t xml:space="preserve"> 行业；制造商为</w:t>
      </w:r>
      <w:r>
        <w:rPr>
          <w:color w:val="auto"/>
          <w:sz w:val="22"/>
          <w:highlight w:val="none"/>
          <w:u w:val="single"/>
        </w:rPr>
        <w:t>（企业名称）</w:t>
      </w:r>
      <w:r>
        <w:rPr>
          <w:color w:val="auto"/>
          <w:sz w:val="22"/>
          <w:highlight w:val="none"/>
        </w:rPr>
        <w:t>，从业人员</w:t>
      </w:r>
      <w:r>
        <w:rPr>
          <w:color w:val="auto"/>
          <w:sz w:val="22"/>
          <w:highlight w:val="none"/>
          <w:u w:val="single"/>
        </w:rPr>
        <w:t xml:space="preserve">    </w:t>
      </w:r>
      <w:r>
        <w:rPr>
          <w:color w:val="auto"/>
          <w:sz w:val="22"/>
          <w:highlight w:val="none"/>
        </w:rPr>
        <w:t>人，营业收入为</w:t>
      </w:r>
      <w:r>
        <w:rPr>
          <w:color w:val="auto"/>
          <w:sz w:val="22"/>
          <w:highlight w:val="none"/>
          <w:u w:val="single"/>
        </w:rPr>
        <w:t xml:space="preserve">      </w:t>
      </w:r>
      <w:r>
        <w:rPr>
          <w:color w:val="auto"/>
          <w:sz w:val="22"/>
          <w:highlight w:val="none"/>
        </w:rPr>
        <w:t>万元，资产总额为</w:t>
      </w:r>
      <w:r>
        <w:rPr>
          <w:color w:val="auto"/>
          <w:sz w:val="22"/>
          <w:highlight w:val="none"/>
          <w:u w:val="single"/>
        </w:rPr>
        <w:t xml:space="preserve">      </w:t>
      </w:r>
      <w:r>
        <w:rPr>
          <w:color w:val="auto"/>
          <w:sz w:val="22"/>
          <w:highlight w:val="none"/>
        </w:rPr>
        <w:t>万元</w:t>
      </w:r>
      <w:r>
        <w:rPr>
          <w:rFonts w:hint="eastAsia"/>
          <w:color w:val="auto"/>
          <w:sz w:val="22"/>
          <w:highlight w:val="none"/>
        </w:rPr>
        <w:t>（注1）</w:t>
      </w:r>
      <w:r>
        <w:rPr>
          <w:color w:val="auto"/>
          <w:sz w:val="22"/>
          <w:highlight w:val="none"/>
        </w:rPr>
        <w:t>，属于</w:t>
      </w:r>
      <w:r>
        <w:rPr>
          <w:color w:val="auto"/>
          <w:sz w:val="22"/>
          <w:highlight w:val="none"/>
          <w:u w:val="single"/>
        </w:rPr>
        <w:t>（中型企业、小型企业、微型企业）</w:t>
      </w:r>
      <w:r>
        <w:rPr>
          <w:color w:val="auto"/>
          <w:sz w:val="22"/>
          <w:highlight w:val="none"/>
        </w:rPr>
        <w:t>；</w:t>
      </w:r>
    </w:p>
    <w:p w14:paraId="00C10180">
      <w:pPr>
        <w:snapToGrid w:val="0"/>
        <w:spacing w:line="440" w:lineRule="atLeast"/>
        <w:ind w:firstLine="440" w:firstLineChars="200"/>
        <w:rPr>
          <w:color w:val="auto"/>
          <w:sz w:val="22"/>
          <w:highlight w:val="none"/>
        </w:rPr>
      </w:pPr>
      <w:r>
        <w:rPr>
          <w:color w:val="auto"/>
          <w:sz w:val="22"/>
          <w:highlight w:val="none"/>
        </w:rPr>
        <w:t xml:space="preserve">2. </w:t>
      </w:r>
      <w:r>
        <w:rPr>
          <w:color w:val="auto"/>
          <w:sz w:val="22"/>
          <w:highlight w:val="none"/>
          <w:u w:val="single"/>
        </w:rPr>
        <w:t>（标的名称）</w:t>
      </w:r>
      <w:r>
        <w:rPr>
          <w:color w:val="auto"/>
          <w:sz w:val="22"/>
          <w:highlight w:val="none"/>
        </w:rPr>
        <w:t>，属于</w:t>
      </w:r>
      <w:r>
        <w:rPr>
          <w:color w:val="auto"/>
          <w:sz w:val="22"/>
          <w:highlight w:val="none"/>
          <w:u w:val="single"/>
        </w:rPr>
        <w:t>（采购文件中明确的所属行业）</w:t>
      </w:r>
      <w:r>
        <w:rPr>
          <w:color w:val="auto"/>
          <w:sz w:val="22"/>
          <w:highlight w:val="none"/>
        </w:rPr>
        <w:t xml:space="preserve"> 行业；制造商为</w:t>
      </w:r>
      <w:r>
        <w:rPr>
          <w:color w:val="auto"/>
          <w:sz w:val="22"/>
          <w:highlight w:val="none"/>
          <w:u w:val="single"/>
        </w:rPr>
        <w:t>（企业名称）</w:t>
      </w:r>
      <w:r>
        <w:rPr>
          <w:color w:val="auto"/>
          <w:sz w:val="22"/>
          <w:highlight w:val="none"/>
        </w:rPr>
        <w:t>，从业人员</w:t>
      </w:r>
      <w:r>
        <w:rPr>
          <w:color w:val="auto"/>
          <w:sz w:val="22"/>
          <w:highlight w:val="none"/>
          <w:u w:val="single"/>
        </w:rPr>
        <w:t xml:space="preserve">    </w:t>
      </w:r>
      <w:r>
        <w:rPr>
          <w:color w:val="auto"/>
          <w:sz w:val="22"/>
          <w:highlight w:val="none"/>
        </w:rPr>
        <w:t>人，营业收入为</w:t>
      </w:r>
      <w:r>
        <w:rPr>
          <w:color w:val="auto"/>
          <w:sz w:val="22"/>
          <w:highlight w:val="none"/>
          <w:u w:val="single"/>
        </w:rPr>
        <w:t xml:space="preserve">      </w:t>
      </w:r>
      <w:r>
        <w:rPr>
          <w:color w:val="auto"/>
          <w:sz w:val="22"/>
          <w:highlight w:val="none"/>
        </w:rPr>
        <w:t>万元，资产总额为</w:t>
      </w:r>
      <w:r>
        <w:rPr>
          <w:color w:val="auto"/>
          <w:sz w:val="22"/>
          <w:highlight w:val="none"/>
          <w:u w:val="single"/>
        </w:rPr>
        <w:t xml:space="preserve">      </w:t>
      </w:r>
      <w:r>
        <w:rPr>
          <w:color w:val="auto"/>
          <w:sz w:val="22"/>
          <w:highlight w:val="none"/>
        </w:rPr>
        <w:t>万元，属于</w:t>
      </w:r>
      <w:r>
        <w:rPr>
          <w:color w:val="auto"/>
          <w:sz w:val="22"/>
          <w:highlight w:val="none"/>
          <w:u w:val="single"/>
        </w:rPr>
        <w:t>（中型企业、小型企业、微型企业）</w:t>
      </w:r>
      <w:r>
        <w:rPr>
          <w:color w:val="auto"/>
          <w:sz w:val="22"/>
          <w:highlight w:val="none"/>
        </w:rPr>
        <w:t>；</w:t>
      </w:r>
    </w:p>
    <w:p w14:paraId="2E430013">
      <w:pPr>
        <w:snapToGrid w:val="0"/>
        <w:spacing w:line="440" w:lineRule="atLeast"/>
        <w:ind w:firstLine="440" w:firstLineChars="200"/>
        <w:rPr>
          <w:color w:val="auto"/>
          <w:sz w:val="22"/>
          <w:highlight w:val="none"/>
        </w:rPr>
      </w:pPr>
      <w:r>
        <w:rPr>
          <w:color w:val="auto"/>
          <w:sz w:val="22"/>
          <w:highlight w:val="none"/>
        </w:rPr>
        <w:t xml:space="preserve"> …… </w:t>
      </w:r>
    </w:p>
    <w:p w14:paraId="7FA973A7">
      <w:pPr>
        <w:snapToGrid w:val="0"/>
        <w:spacing w:line="440" w:lineRule="atLeast"/>
        <w:ind w:firstLine="440" w:firstLineChars="200"/>
        <w:rPr>
          <w:color w:val="auto"/>
          <w:sz w:val="22"/>
          <w:highlight w:val="none"/>
        </w:rPr>
      </w:pPr>
      <w:r>
        <w:rPr>
          <w:color w:val="auto"/>
          <w:sz w:val="22"/>
          <w:highlight w:val="none"/>
        </w:rPr>
        <w:t xml:space="preserve">以上企业，不属于大企业的分支机构，不存在控股股东为大企业的情形，也不存在与大企业的负责人为同一人的情形。 </w:t>
      </w:r>
    </w:p>
    <w:p w14:paraId="7F28FEB2">
      <w:pPr>
        <w:snapToGrid w:val="0"/>
        <w:spacing w:line="440" w:lineRule="atLeast"/>
        <w:ind w:firstLine="440" w:firstLineChars="200"/>
        <w:rPr>
          <w:color w:val="auto"/>
          <w:sz w:val="22"/>
          <w:highlight w:val="none"/>
        </w:rPr>
      </w:pPr>
      <w:r>
        <w:rPr>
          <w:color w:val="auto"/>
          <w:sz w:val="22"/>
          <w:highlight w:val="none"/>
        </w:rPr>
        <w:t xml:space="preserve">本企业对上述声明内容的真实性负责。如有虚假，将依 法承担相应责任。 </w:t>
      </w:r>
    </w:p>
    <w:p w14:paraId="48EA4215">
      <w:pPr>
        <w:snapToGrid w:val="0"/>
        <w:spacing w:line="440" w:lineRule="atLeast"/>
        <w:ind w:firstLine="3740" w:firstLineChars="1700"/>
        <w:rPr>
          <w:color w:val="auto"/>
          <w:sz w:val="22"/>
          <w:highlight w:val="none"/>
        </w:rPr>
      </w:pPr>
      <w:r>
        <w:rPr>
          <w:color w:val="auto"/>
          <w:sz w:val="22"/>
          <w:highlight w:val="none"/>
        </w:rPr>
        <w:t xml:space="preserve">企业名称（盖章）： </w:t>
      </w:r>
    </w:p>
    <w:p w14:paraId="6BBD7ADB">
      <w:pPr>
        <w:snapToGrid w:val="0"/>
        <w:spacing w:line="440" w:lineRule="atLeast"/>
        <w:ind w:firstLine="3740" w:firstLineChars="1700"/>
        <w:rPr>
          <w:color w:val="auto"/>
          <w:sz w:val="22"/>
          <w:highlight w:val="none"/>
        </w:rPr>
      </w:pPr>
      <w:r>
        <w:rPr>
          <w:color w:val="auto"/>
          <w:sz w:val="22"/>
          <w:highlight w:val="none"/>
        </w:rPr>
        <w:t>日 期：</w:t>
      </w:r>
    </w:p>
    <w:p w14:paraId="05A27A49">
      <w:pPr>
        <w:pBdr>
          <w:bottom w:val="single" w:color="auto" w:sz="6" w:space="1"/>
        </w:pBdr>
        <w:snapToGrid w:val="0"/>
        <w:spacing w:line="360" w:lineRule="auto"/>
        <w:ind w:firstLine="464" w:firstLineChars="200"/>
        <w:rPr>
          <w:color w:val="auto"/>
          <w:sz w:val="22"/>
          <w:szCs w:val="22"/>
          <w:highlight w:val="none"/>
        </w:rPr>
      </w:pPr>
      <w:r>
        <w:rPr>
          <w:rFonts w:hint="eastAsia"/>
          <w:color w:val="auto"/>
          <w:spacing w:val="6"/>
          <w:sz w:val="22"/>
          <w:szCs w:val="22"/>
          <w:highlight w:val="none"/>
        </w:rPr>
        <w:t>（注1）</w:t>
      </w:r>
      <w:r>
        <w:rPr>
          <w:color w:val="auto"/>
          <w:spacing w:val="6"/>
          <w:sz w:val="22"/>
          <w:szCs w:val="22"/>
          <w:highlight w:val="none"/>
        </w:rPr>
        <w:t>从业人员、营业收入、资产总额填报上一年度数据，无上一年度数据的新成立企业可不填</w:t>
      </w:r>
      <w:r>
        <w:rPr>
          <w:color w:val="auto"/>
          <w:sz w:val="22"/>
          <w:szCs w:val="22"/>
          <w:highlight w:val="none"/>
        </w:rPr>
        <w:t>报。 </w:t>
      </w:r>
      <w:r>
        <w:rPr>
          <w:color w:val="auto"/>
          <w:sz w:val="22"/>
          <w:highlight w:val="none"/>
        </w:rPr>
        <w:t>   </w:t>
      </w:r>
    </w:p>
    <w:p w14:paraId="2B1811A4">
      <w:pPr>
        <w:keepNext w:val="0"/>
        <w:keepLines w:val="0"/>
        <w:pageBreakBefore w:val="0"/>
        <w:kinsoku/>
        <w:overflowPunct/>
        <w:topLinePunct w:val="0"/>
        <w:autoSpaceDE/>
        <w:autoSpaceDN/>
        <w:bidi w:val="0"/>
        <w:adjustRightInd/>
        <w:snapToGrid w:val="0"/>
        <w:spacing w:line="320" w:lineRule="exact"/>
        <w:ind w:firstLine="440" w:firstLineChars="200"/>
        <w:textAlignment w:val="auto"/>
        <w:rPr>
          <w:color w:val="auto"/>
          <w:sz w:val="22"/>
          <w:szCs w:val="22"/>
          <w:highlight w:val="none"/>
        </w:rPr>
      </w:pPr>
      <w:r>
        <w:rPr>
          <w:rFonts w:hint="eastAsia"/>
          <w:color w:val="auto"/>
          <w:sz w:val="22"/>
          <w:szCs w:val="22"/>
          <w:highlight w:val="none"/>
        </w:rPr>
        <w:t>填写说明：</w:t>
      </w:r>
    </w:p>
    <w:p w14:paraId="0B41D23F">
      <w:pPr>
        <w:keepNext w:val="0"/>
        <w:keepLines w:val="0"/>
        <w:pageBreakBefore w:val="0"/>
        <w:kinsoku/>
        <w:overflowPunct/>
        <w:topLinePunct w:val="0"/>
        <w:autoSpaceDE/>
        <w:autoSpaceDN/>
        <w:bidi w:val="0"/>
        <w:adjustRightInd/>
        <w:snapToGrid w:val="0"/>
        <w:spacing w:line="320" w:lineRule="exact"/>
        <w:ind w:firstLine="440" w:firstLineChars="200"/>
        <w:textAlignment w:val="auto"/>
        <w:rPr>
          <w:color w:val="auto"/>
          <w:sz w:val="22"/>
          <w:szCs w:val="22"/>
          <w:highlight w:val="none"/>
        </w:rPr>
      </w:pPr>
      <w:r>
        <w:rPr>
          <w:rFonts w:hint="eastAsia"/>
          <w:color w:val="auto"/>
          <w:sz w:val="22"/>
          <w:szCs w:val="22"/>
          <w:highlight w:val="none"/>
        </w:rPr>
        <w:t>1）投标人所提供的产品为中型、小型、微型企业制造的提供此函；</w:t>
      </w:r>
    </w:p>
    <w:p w14:paraId="317DA447">
      <w:pPr>
        <w:keepNext w:val="0"/>
        <w:keepLines w:val="0"/>
        <w:pageBreakBefore w:val="0"/>
        <w:kinsoku/>
        <w:overflowPunct/>
        <w:topLinePunct w:val="0"/>
        <w:autoSpaceDE/>
        <w:autoSpaceDN/>
        <w:bidi w:val="0"/>
        <w:adjustRightInd/>
        <w:snapToGrid w:val="0"/>
        <w:spacing w:line="320" w:lineRule="exact"/>
        <w:ind w:firstLine="440" w:firstLineChars="200"/>
        <w:textAlignment w:val="auto"/>
        <w:rPr>
          <w:color w:val="auto"/>
          <w:sz w:val="22"/>
          <w:szCs w:val="22"/>
          <w:highlight w:val="none"/>
        </w:rPr>
      </w:pPr>
      <w:r>
        <w:rPr>
          <w:rFonts w:hint="eastAsia"/>
          <w:color w:val="auto"/>
          <w:sz w:val="22"/>
          <w:szCs w:val="22"/>
          <w:highlight w:val="none"/>
        </w:rPr>
        <w:t>2）中型企业不享受价格扣除，小型、微型企业的行业类别由评审专家结合投标人出具的证明材料认定；经认定不符合小型、微型企业标准的，不享受价格扣除；</w:t>
      </w:r>
    </w:p>
    <w:p w14:paraId="27FA7E9C">
      <w:pPr>
        <w:keepNext w:val="0"/>
        <w:keepLines w:val="0"/>
        <w:pageBreakBefore w:val="0"/>
        <w:kinsoku/>
        <w:overflowPunct/>
        <w:topLinePunct w:val="0"/>
        <w:autoSpaceDE/>
        <w:autoSpaceDN/>
        <w:bidi w:val="0"/>
        <w:adjustRightInd/>
        <w:snapToGrid w:val="0"/>
        <w:spacing w:line="320" w:lineRule="exact"/>
        <w:ind w:firstLine="440" w:firstLineChars="200"/>
        <w:textAlignment w:val="auto"/>
        <w:rPr>
          <w:b/>
          <w:color w:val="auto"/>
          <w:sz w:val="22"/>
          <w:szCs w:val="22"/>
          <w:highlight w:val="none"/>
        </w:rPr>
      </w:pPr>
      <w:r>
        <w:rPr>
          <w:rFonts w:hint="eastAsia"/>
          <w:color w:val="auto"/>
          <w:sz w:val="22"/>
          <w:szCs w:val="22"/>
          <w:highlight w:val="none"/>
        </w:rPr>
        <w:t>3）注：小型、微型企业参加政府采购活动时，应提供：a）《中小企业声明函》；上述证明材料提供不齐全的，不能享受价格扣除。</w:t>
      </w:r>
    </w:p>
    <w:p w14:paraId="516DEBC8">
      <w:pPr>
        <w:keepNext w:val="0"/>
        <w:keepLines w:val="0"/>
        <w:pageBreakBefore w:val="0"/>
        <w:widowControl w:val="0"/>
        <w:kinsoku/>
        <w:wordWrap w:val="0"/>
        <w:overflowPunct/>
        <w:topLinePunct w:val="0"/>
        <w:autoSpaceDE/>
        <w:autoSpaceDN/>
        <w:bidi w:val="0"/>
        <w:adjustRightInd/>
        <w:snapToGrid w:val="0"/>
        <w:spacing w:line="320" w:lineRule="exact"/>
        <w:ind w:firstLine="402" w:firstLineChars="200"/>
        <w:textAlignment w:val="auto"/>
        <w:rPr>
          <w:rFonts w:hint="eastAsia" w:ascii="宋体" w:hAnsi="宋体" w:cs="宋体"/>
          <w:b/>
          <w:bCs/>
          <w:color w:val="auto"/>
          <w:sz w:val="20"/>
          <w:szCs w:val="20"/>
          <w:highlight w:val="none"/>
        </w:rPr>
      </w:pPr>
      <w:r>
        <w:rPr>
          <w:rFonts w:hint="eastAsia" w:ascii="宋体" w:hAnsi="宋体" w:cs="宋体"/>
          <w:b/>
          <w:bCs/>
          <w:color w:val="auto"/>
          <w:sz w:val="20"/>
          <w:szCs w:val="20"/>
          <w:highlight w:val="none"/>
        </w:rPr>
        <w:t>提示：供应商应实事求是填写并提供本表。根据财政部工业和信息化部 财库〔2020〕46号文件规定，《中小企业声明函》内容不实的，属于提供虚假资料谋求中标、成交，依照《中华人民共和国政府采购法》等国家有关规定追究相应责任。</w:t>
      </w:r>
    </w:p>
    <w:p w14:paraId="54ACEA61">
      <w:pPr>
        <w:keepNext w:val="0"/>
        <w:keepLines w:val="0"/>
        <w:pageBreakBefore w:val="0"/>
        <w:kinsoku/>
        <w:overflowPunct/>
        <w:topLinePunct w:val="0"/>
        <w:autoSpaceDE/>
        <w:autoSpaceDN/>
        <w:bidi w:val="0"/>
        <w:adjustRightInd/>
        <w:snapToGrid w:val="0"/>
        <w:spacing w:line="320" w:lineRule="exact"/>
        <w:ind w:firstLine="442" w:firstLineChars="200"/>
        <w:textAlignment w:val="auto"/>
        <w:rPr>
          <w:b/>
          <w:bCs/>
          <w:color w:val="auto"/>
          <w:sz w:val="22"/>
          <w:szCs w:val="22"/>
          <w:highlight w:val="none"/>
        </w:rPr>
      </w:pPr>
    </w:p>
    <w:p w14:paraId="0BB33046">
      <w:pPr>
        <w:snapToGrid w:val="0"/>
        <w:spacing w:line="360" w:lineRule="auto"/>
        <w:jc w:val="center"/>
        <w:rPr>
          <w:b/>
          <w:color w:val="auto"/>
          <w:sz w:val="28"/>
          <w:szCs w:val="28"/>
          <w:highlight w:val="none"/>
        </w:rPr>
      </w:pPr>
      <w:r>
        <w:rPr>
          <w:rFonts w:hint="eastAsia"/>
          <w:b/>
          <w:color w:val="auto"/>
          <w:sz w:val="28"/>
          <w:szCs w:val="28"/>
          <w:highlight w:val="none"/>
        </w:rPr>
        <w:t>监狱企业声明函</w:t>
      </w:r>
    </w:p>
    <w:p w14:paraId="0E3EC688">
      <w:pPr>
        <w:snapToGrid w:val="0"/>
        <w:spacing w:line="360" w:lineRule="auto"/>
        <w:ind w:firstLine="480" w:firstLineChars="200"/>
        <w:jc w:val="center"/>
        <w:rPr>
          <w:color w:val="auto"/>
          <w:highlight w:val="none"/>
        </w:rPr>
      </w:pPr>
      <w:r>
        <w:rPr>
          <w:rFonts w:hint="eastAsia"/>
          <w:color w:val="auto"/>
          <w:highlight w:val="none"/>
        </w:rPr>
        <w:t>【不属于监狱企业的无需填写、递交】</w:t>
      </w:r>
    </w:p>
    <w:p w14:paraId="76DE90D3">
      <w:pPr>
        <w:snapToGrid w:val="0"/>
        <w:spacing w:line="360" w:lineRule="auto"/>
        <w:ind w:firstLine="480" w:firstLineChars="200"/>
        <w:rPr>
          <w:color w:val="auto"/>
          <w:highlight w:val="none"/>
        </w:rPr>
      </w:pPr>
      <w:r>
        <w:rPr>
          <w:rFonts w:hint="eastAsia"/>
          <w:color w:val="auto"/>
          <w:highlight w:val="none"/>
        </w:rPr>
        <w:t>本公司郑重声明，根据《关于政府采购支持监狱企业发展有关问题的通知》 （财库[2014]68 号）的规定，本公司为</w:t>
      </w:r>
      <w:r>
        <w:rPr>
          <w:rFonts w:hint="eastAsia"/>
          <w:color w:val="auto"/>
          <w:highlight w:val="none"/>
          <w:u w:val="single"/>
        </w:rPr>
        <w:t>监狱企业</w:t>
      </w:r>
      <w:r>
        <w:rPr>
          <w:rFonts w:hint="eastAsia"/>
          <w:color w:val="auto"/>
          <w:highlight w:val="none"/>
        </w:rPr>
        <w:t>。</w:t>
      </w:r>
    </w:p>
    <w:p w14:paraId="70429C1D">
      <w:pPr>
        <w:snapToGrid w:val="0"/>
        <w:spacing w:line="360" w:lineRule="auto"/>
        <w:ind w:firstLine="480" w:firstLineChars="200"/>
        <w:rPr>
          <w:color w:val="auto"/>
          <w:highlight w:val="none"/>
        </w:rPr>
      </w:pPr>
      <w:r>
        <w:rPr>
          <w:rFonts w:hint="eastAsia"/>
          <w:color w:val="auto"/>
          <w:highlight w:val="none"/>
        </w:rPr>
        <w:t>根据上述标准，我公司属于监狱企业的理由为：</w:t>
      </w:r>
      <w:r>
        <w:rPr>
          <w:rFonts w:hint="eastAsia"/>
          <w:color w:val="auto"/>
          <w:highlight w:val="none"/>
          <w:u w:val="single"/>
        </w:rPr>
        <w:t xml:space="preserve">         </w:t>
      </w:r>
      <w:r>
        <w:rPr>
          <w:rFonts w:hint="eastAsia"/>
          <w:color w:val="auto"/>
          <w:highlight w:val="none"/>
        </w:rPr>
        <w:t>。</w:t>
      </w:r>
    </w:p>
    <w:p w14:paraId="50F21027">
      <w:pPr>
        <w:snapToGrid w:val="0"/>
        <w:spacing w:line="360" w:lineRule="auto"/>
        <w:ind w:firstLine="480" w:firstLineChars="200"/>
        <w:rPr>
          <w:color w:val="auto"/>
          <w:highlight w:val="none"/>
        </w:rPr>
      </w:pPr>
      <w:r>
        <w:rPr>
          <w:rFonts w:hint="eastAsia"/>
          <w:color w:val="auto"/>
          <w:highlight w:val="none"/>
        </w:rPr>
        <w:t>本公司为参加（</w:t>
      </w:r>
      <w:r>
        <w:rPr>
          <w:rFonts w:hint="eastAsia"/>
          <w:color w:val="auto"/>
          <w:highlight w:val="none"/>
          <w:u w:val="single"/>
        </w:rPr>
        <w:t xml:space="preserve">    项目名称    </w:t>
      </w:r>
      <w:r>
        <w:rPr>
          <w:rFonts w:hint="eastAsia"/>
          <w:color w:val="auto"/>
          <w:highlight w:val="none"/>
        </w:rPr>
        <w:t>） （项目编号：</w:t>
      </w:r>
      <w:r>
        <w:rPr>
          <w:rFonts w:hint="eastAsia"/>
          <w:color w:val="auto"/>
          <w:highlight w:val="none"/>
          <w:u w:val="single"/>
        </w:rPr>
        <w:t xml:space="preserve">      </w:t>
      </w:r>
      <w:r>
        <w:rPr>
          <w:rFonts w:hint="eastAsia"/>
          <w:color w:val="auto"/>
          <w:highlight w:val="none"/>
        </w:rPr>
        <w:t>）采购活动提供本企业提供服务。</w:t>
      </w:r>
    </w:p>
    <w:p w14:paraId="6CC1C372">
      <w:pPr>
        <w:snapToGrid w:val="0"/>
        <w:spacing w:line="360" w:lineRule="auto"/>
        <w:ind w:firstLine="480" w:firstLineChars="200"/>
        <w:rPr>
          <w:color w:val="auto"/>
          <w:highlight w:val="none"/>
        </w:rPr>
      </w:pPr>
      <w:r>
        <w:rPr>
          <w:rFonts w:hint="eastAsia"/>
          <w:color w:val="auto"/>
          <w:highlight w:val="none"/>
        </w:rPr>
        <w:t>本公司对上述声明的真实性负责。如有虚假，将依法承担相应责任。</w:t>
      </w:r>
    </w:p>
    <w:p w14:paraId="609023B1">
      <w:pPr>
        <w:snapToGrid w:val="0"/>
        <w:spacing w:line="360" w:lineRule="auto"/>
        <w:ind w:firstLine="480" w:firstLineChars="200"/>
        <w:rPr>
          <w:color w:val="auto"/>
          <w:highlight w:val="none"/>
        </w:rPr>
      </w:pPr>
    </w:p>
    <w:p w14:paraId="22E199FA">
      <w:pPr>
        <w:snapToGrid w:val="0"/>
        <w:spacing w:line="360" w:lineRule="auto"/>
        <w:ind w:firstLine="480" w:firstLineChars="200"/>
        <w:rPr>
          <w:color w:val="auto"/>
          <w:highlight w:val="none"/>
        </w:rPr>
      </w:pPr>
      <w:r>
        <w:rPr>
          <w:rFonts w:hint="eastAsia"/>
          <w:color w:val="auto"/>
          <w:highlight w:val="none"/>
        </w:rPr>
        <w:t>投标人名称（盖章）：</w:t>
      </w:r>
    </w:p>
    <w:p w14:paraId="44E161D3">
      <w:pPr>
        <w:snapToGrid w:val="0"/>
        <w:spacing w:line="360" w:lineRule="auto"/>
        <w:ind w:firstLine="480" w:firstLineChars="200"/>
        <w:rPr>
          <w:color w:val="auto"/>
          <w:highlight w:val="none"/>
        </w:rPr>
      </w:pPr>
      <w:r>
        <w:rPr>
          <w:rFonts w:hint="eastAsia"/>
          <w:color w:val="auto"/>
          <w:highlight w:val="none"/>
        </w:rPr>
        <w:t>日期：    年  月  日</w:t>
      </w:r>
    </w:p>
    <w:p w14:paraId="5AB325BD">
      <w:pPr>
        <w:snapToGrid w:val="0"/>
        <w:spacing w:line="360" w:lineRule="auto"/>
        <w:ind w:firstLine="480" w:firstLineChars="200"/>
        <w:rPr>
          <w:color w:val="auto"/>
          <w:highlight w:val="none"/>
        </w:rPr>
      </w:pPr>
    </w:p>
    <w:p w14:paraId="4444D08A">
      <w:pPr>
        <w:snapToGrid w:val="0"/>
        <w:spacing w:line="360" w:lineRule="auto"/>
        <w:ind w:firstLine="480" w:firstLineChars="200"/>
        <w:rPr>
          <w:color w:val="auto"/>
          <w:highlight w:val="none"/>
        </w:rPr>
      </w:pPr>
    </w:p>
    <w:p w14:paraId="256E1772">
      <w:pPr>
        <w:snapToGrid w:val="0"/>
        <w:spacing w:line="360" w:lineRule="auto"/>
        <w:ind w:firstLine="480" w:firstLineChars="200"/>
        <w:rPr>
          <w:color w:val="auto"/>
          <w:highlight w:val="none"/>
        </w:rPr>
      </w:pPr>
    </w:p>
    <w:p w14:paraId="066E1068">
      <w:pPr>
        <w:snapToGrid w:val="0"/>
        <w:spacing w:line="360" w:lineRule="auto"/>
        <w:ind w:firstLine="480" w:firstLineChars="200"/>
        <w:rPr>
          <w:color w:val="auto"/>
          <w:highlight w:val="none"/>
        </w:rPr>
      </w:pPr>
    </w:p>
    <w:p w14:paraId="2933B57D">
      <w:pPr>
        <w:snapToGrid w:val="0"/>
        <w:spacing w:line="360" w:lineRule="auto"/>
        <w:ind w:firstLine="480" w:firstLineChars="200"/>
        <w:rPr>
          <w:color w:val="auto"/>
          <w:highlight w:val="none"/>
        </w:rPr>
      </w:pPr>
    </w:p>
    <w:p w14:paraId="15BF94FE">
      <w:pPr>
        <w:snapToGrid w:val="0"/>
        <w:spacing w:line="360" w:lineRule="auto"/>
        <w:ind w:firstLine="480" w:firstLineChars="200"/>
        <w:rPr>
          <w:color w:val="auto"/>
          <w:highlight w:val="none"/>
        </w:rPr>
      </w:pPr>
    </w:p>
    <w:p w14:paraId="4B53219B">
      <w:pPr>
        <w:snapToGrid w:val="0"/>
        <w:spacing w:line="360" w:lineRule="auto"/>
        <w:rPr>
          <w:b/>
          <w:color w:val="auto"/>
          <w:spacing w:val="6"/>
          <w:highlight w:val="none"/>
        </w:rPr>
      </w:pPr>
    </w:p>
    <w:p w14:paraId="1D9C5B60">
      <w:pPr>
        <w:snapToGrid w:val="0"/>
        <w:spacing w:line="360" w:lineRule="auto"/>
        <w:rPr>
          <w:b/>
          <w:color w:val="auto"/>
          <w:spacing w:val="6"/>
          <w:highlight w:val="none"/>
        </w:rPr>
      </w:pPr>
    </w:p>
    <w:p w14:paraId="2BF1A267">
      <w:pPr>
        <w:snapToGrid w:val="0"/>
        <w:spacing w:line="360" w:lineRule="auto"/>
        <w:jc w:val="center"/>
        <w:rPr>
          <w:b/>
          <w:color w:val="auto"/>
          <w:spacing w:val="6"/>
          <w:highlight w:val="none"/>
        </w:rPr>
      </w:pPr>
    </w:p>
    <w:p w14:paraId="646EDAC4">
      <w:pPr>
        <w:snapToGrid w:val="0"/>
        <w:spacing w:line="360" w:lineRule="auto"/>
        <w:jc w:val="center"/>
        <w:rPr>
          <w:b/>
          <w:color w:val="auto"/>
          <w:spacing w:val="6"/>
          <w:highlight w:val="none"/>
        </w:rPr>
      </w:pPr>
    </w:p>
    <w:p w14:paraId="215AE248">
      <w:pPr>
        <w:pageBreakBefore/>
        <w:snapToGrid w:val="0"/>
        <w:spacing w:line="360" w:lineRule="auto"/>
        <w:jc w:val="center"/>
        <w:rPr>
          <w:rFonts w:hint="eastAsia"/>
          <w:b/>
          <w:color w:val="auto"/>
          <w:spacing w:val="6"/>
          <w:highlight w:val="none"/>
        </w:rPr>
      </w:pPr>
      <w:r>
        <w:rPr>
          <w:rFonts w:hint="eastAsia"/>
          <w:b/>
          <w:color w:val="auto"/>
          <w:spacing w:val="6"/>
          <w:highlight w:val="none"/>
        </w:rPr>
        <w:t>残疾人福利性单位声明函</w:t>
      </w:r>
    </w:p>
    <w:p w14:paraId="433C8013">
      <w:pPr>
        <w:snapToGrid w:val="0"/>
        <w:spacing w:line="360" w:lineRule="auto"/>
        <w:ind w:firstLine="480" w:firstLineChars="200"/>
        <w:jc w:val="center"/>
        <w:rPr>
          <w:color w:val="auto"/>
          <w:highlight w:val="none"/>
        </w:rPr>
      </w:pPr>
      <w:r>
        <w:rPr>
          <w:rFonts w:hint="eastAsia"/>
          <w:color w:val="auto"/>
          <w:highlight w:val="none"/>
        </w:rPr>
        <w:t>【不属于残疾人福利性单位的无需填写、递交】</w:t>
      </w:r>
    </w:p>
    <w:p w14:paraId="5F50420B">
      <w:pPr>
        <w:snapToGrid w:val="0"/>
        <w:spacing w:line="360" w:lineRule="auto"/>
        <w:ind w:firstLine="480" w:firstLineChars="200"/>
        <w:rPr>
          <w:color w:val="auto"/>
          <w:highlight w:val="none"/>
        </w:rPr>
      </w:pPr>
      <w:r>
        <w:rPr>
          <w:rFonts w:hint="eastAsia"/>
          <w:color w:val="auto"/>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84A817E">
      <w:pPr>
        <w:snapToGrid w:val="0"/>
        <w:spacing w:line="360" w:lineRule="auto"/>
        <w:ind w:firstLine="480" w:firstLineChars="200"/>
        <w:rPr>
          <w:color w:val="auto"/>
          <w:highlight w:val="none"/>
        </w:rPr>
      </w:pPr>
      <w:r>
        <w:rPr>
          <w:rFonts w:hint="eastAsia"/>
          <w:color w:val="auto"/>
          <w:highlight w:val="none"/>
        </w:rPr>
        <w:t>本单位对上述声明的真实性负责。如有虚假，将依法承担相应责任。</w:t>
      </w:r>
    </w:p>
    <w:p w14:paraId="1A7E5DE7">
      <w:pPr>
        <w:snapToGrid w:val="0"/>
        <w:spacing w:line="360" w:lineRule="auto"/>
        <w:ind w:firstLine="480" w:firstLineChars="200"/>
        <w:rPr>
          <w:color w:val="auto"/>
          <w:highlight w:val="none"/>
        </w:rPr>
      </w:pPr>
    </w:p>
    <w:p w14:paraId="6BC8DB65">
      <w:pPr>
        <w:snapToGrid w:val="0"/>
        <w:spacing w:line="360" w:lineRule="auto"/>
        <w:ind w:firstLine="480" w:firstLineChars="200"/>
        <w:rPr>
          <w:color w:val="auto"/>
          <w:highlight w:val="none"/>
        </w:rPr>
      </w:pPr>
    </w:p>
    <w:p w14:paraId="29133DDB">
      <w:pPr>
        <w:tabs>
          <w:tab w:val="left" w:pos="4860"/>
        </w:tabs>
        <w:snapToGrid w:val="0"/>
        <w:spacing w:line="360" w:lineRule="auto"/>
        <w:ind w:right="1560" w:firstLine="480" w:firstLineChars="200"/>
        <w:rPr>
          <w:color w:val="auto"/>
          <w:highlight w:val="none"/>
        </w:rPr>
      </w:pPr>
      <w:r>
        <w:rPr>
          <w:rFonts w:hint="eastAsia"/>
          <w:color w:val="auto"/>
          <w:highlight w:val="none"/>
        </w:rPr>
        <w:t xml:space="preserve">       单位名称（盖章）：</w:t>
      </w:r>
    </w:p>
    <w:p w14:paraId="345CC8AC">
      <w:pPr>
        <w:tabs>
          <w:tab w:val="left" w:pos="4860"/>
        </w:tabs>
        <w:snapToGrid w:val="0"/>
        <w:spacing w:line="360" w:lineRule="auto"/>
        <w:ind w:right="1560" w:firstLine="480" w:firstLineChars="200"/>
        <w:rPr>
          <w:color w:val="auto"/>
          <w:highlight w:val="none"/>
        </w:rPr>
      </w:pPr>
      <w:r>
        <w:rPr>
          <w:rFonts w:hint="eastAsia"/>
          <w:color w:val="auto"/>
          <w:highlight w:val="none"/>
        </w:rPr>
        <w:t xml:space="preserve">       日  期：</w:t>
      </w:r>
    </w:p>
    <w:p w14:paraId="14344ADA">
      <w:pPr>
        <w:pStyle w:val="250"/>
        <w:snapToGrid w:val="0"/>
        <w:spacing w:line="360" w:lineRule="auto"/>
        <w:ind w:left="360" w:firstLine="0" w:firstLineChars="0"/>
        <w:rPr>
          <w:rFonts w:cs="宋体"/>
          <w:color w:val="auto"/>
          <w:highlight w:val="none"/>
        </w:rPr>
      </w:pPr>
      <w:r>
        <w:rPr>
          <w:rFonts w:hint="eastAsia" w:cs="宋体"/>
          <w:color w:val="auto"/>
          <w:highlight w:val="none"/>
        </w:rPr>
        <w:t>扶持政策说明：</w:t>
      </w:r>
    </w:p>
    <w:p w14:paraId="5F9F036C">
      <w:pPr>
        <w:pStyle w:val="250"/>
        <w:snapToGrid w:val="0"/>
        <w:spacing w:line="360" w:lineRule="auto"/>
        <w:rPr>
          <w:color w:val="auto"/>
          <w:sz w:val="22"/>
          <w:highlight w:val="none"/>
        </w:rPr>
      </w:pPr>
      <w:r>
        <w:rPr>
          <w:rFonts w:hint="eastAsia" w:cs="宋体"/>
          <w:color w:val="auto"/>
          <w:highlight w:val="none"/>
        </w:rPr>
        <w:t>1、</w:t>
      </w:r>
      <w:r>
        <w:rPr>
          <w:rFonts w:hint="eastAsia"/>
          <w:color w:val="auto"/>
          <w:sz w:val="22"/>
          <w:highlight w:val="none"/>
        </w:rPr>
        <w:t>根据浙江省财政厅关于进一步发挥政府采购政策功能全力推动经济稳进提质的通知(浙财采监〔2022〕3号)，对小型或微型企业的投标报价给予1</w:t>
      </w:r>
      <w:r>
        <w:rPr>
          <w:color w:val="auto"/>
          <w:sz w:val="22"/>
          <w:highlight w:val="none"/>
        </w:rPr>
        <w:t>0</w:t>
      </w:r>
      <w:r>
        <w:rPr>
          <w:rFonts w:hint="eastAsia"/>
          <w:color w:val="auto"/>
          <w:sz w:val="22"/>
          <w:highlight w:val="none"/>
        </w:rPr>
        <w:t>%的扣除，并用扣除后的价格计算价格评分。</w:t>
      </w:r>
    </w:p>
    <w:p w14:paraId="0554A3B3">
      <w:pPr>
        <w:pStyle w:val="250"/>
        <w:snapToGrid w:val="0"/>
        <w:spacing w:line="360" w:lineRule="auto"/>
        <w:ind w:firstLine="440"/>
        <w:rPr>
          <w:color w:val="auto"/>
          <w:sz w:val="22"/>
          <w:highlight w:val="none"/>
        </w:rPr>
      </w:pPr>
      <w:r>
        <w:rPr>
          <w:rFonts w:hint="eastAsia"/>
          <w:color w:val="auto"/>
          <w:sz w:val="22"/>
          <w:highlight w:val="none"/>
        </w:rPr>
        <w:t>2、监狱企业视同小微企业，参加本项目投标的，享受小微企业同等的价格扣除。【注：提供《监狱企业声明函》及其相关的充分的证明材料】。</w:t>
      </w:r>
    </w:p>
    <w:p w14:paraId="0429E0F0">
      <w:pPr>
        <w:pStyle w:val="250"/>
        <w:snapToGrid w:val="0"/>
        <w:spacing w:line="360" w:lineRule="auto"/>
        <w:ind w:firstLine="440"/>
        <w:rPr>
          <w:color w:val="auto"/>
          <w:sz w:val="22"/>
          <w:highlight w:val="none"/>
        </w:rPr>
      </w:pPr>
      <w:r>
        <w:rPr>
          <w:rFonts w:hint="eastAsia"/>
          <w:color w:val="auto"/>
          <w:sz w:val="22"/>
          <w:highlight w:val="none"/>
        </w:rPr>
        <w:t>3、残疾人福利性单位参加投标【提供《残疾人福利性单位声明函》】，视为小型、微型企业，享受小微企业政策扶持。</w:t>
      </w:r>
    </w:p>
    <w:p w14:paraId="69616343">
      <w:pPr>
        <w:pStyle w:val="81"/>
        <w:rPr>
          <w:rFonts w:hint="eastAsia"/>
          <w:b/>
          <w:color w:val="auto"/>
          <w:sz w:val="30"/>
          <w:highlight w:val="none"/>
          <w:lang w:val="zh-CN"/>
        </w:rPr>
        <w:sectPr>
          <w:pgSz w:w="11906" w:h="16838"/>
          <w:pgMar w:top="1440" w:right="1622" w:bottom="1440" w:left="1287" w:header="851" w:footer="992" w:gutter="0"/>
          <w:pgBorders>
            <w:top w:val="none" w:sz="0" w:space="0"/>
            <w:left w:val="none" w:sz="0" w:space="0"/>
            <w:bottom w:val="none" w:sz="0" w:space="0"/>
            <w:right w:val="none" w:sz="0" w:space="0"/>
          </w:pgBorders>
          <w:pgNumType w:fmt="decimal"/>
          <w:cols w:space="720" w:num="1"/>
          <w:docGrid w:linePitch="312" w:charSpace="0"/>
        </w:sectPr>
      </w:pPr>
    </w:p>
    <w:p w14:paraId="2343E28E">
      <w:pPr>
        <w:pStyle w:val="9"/>
        <w:rPr>
          <w:rFonts w:hint="eastAsia" w:ascii="宋体" w:hAnsi="宋体" w:eastAsia="宋体" w:cs="宋体"/>
          <w:color w:val="auto"/>
          <w:highlight w:val="none"/>
        </w:rPr>
      </w:pPr>
      <w:bookmarkStart w:id="18" w:name="_Toc8008423"/>
      <w:bookmarkStart w:id="19" w:name="_Toc30408915"/>
      <w:bookmarkStart w:id="20" w:name="_Toc7988468"/>
      <w:bookmarkStart w:id="21" w:name="_Toc7988414"/>
      <w:bookmarkStart w:id="22" w:name="_Toc440162800"/>
      <w:bookmarkStart w:id="23" w:name="_Toc24550050"/>
      <w:bookmarkStart w:id="24" w:name="_Toc424164168"/>
      <w:r>
        <w:rPr>
          <w:rFonts w:hint="eastAsia" w:ascii="宋体" w:hAnsi="宋体" w:eastAsia="宋体" w:cs="宋体"/>
          <w:color w:val="auto"/>
          <w:highlight w:val="none"/>
        </w:rPr>
        <w:t>三、“商务技术文件”格式</w:t>
      </w:r>
      <w:bookmarkEnd w:id="18"/>
      <w:bookmarkEnd w:id="19"/>
      <w:bookmarkEnd w:id="20"/>
      <w:bookmarkEnd w:id="21"/>
      <w:bookmarkEnd w:id="22"/>
      <w:bookmarkEnd w:id="23"/>
      <w:bookmarkEnd w:id="24"/>
    </w:p>
    <w:p w14:paraId="215FBEBD">
      <w:pPr>
        <w:pStyle w:val="10"/>
        <w:rPr>
          <w:rFonts w:hint="eastAsia" w:ascii="宋体" w:hAnsi="宋体" w:cs="宋体"/>
          <w:color w:val="auto"/>
          <w:highlight w:val="none"/>
        </w:rPr>
      </w:pPr>
      <w:r>
        <w:rPr>
          <w:rFonts w:hint="eastAsia" w:ascii="宋体" w:hAnsi="宋体" w:cs="宋体"/>
          <w:color w:val="auto"/>
          <w:highlight w:val="none"/>
        </w:rPr>
        <w:t>3.1 “商务技术文件”封面</w:t>
      </w:r>
    </w:p>
    <w:p w14:paraId="76AF544C">
      <w:pPr>
        <w:spacing w:line="360" w:lineRule="auto"/>
        <w:jc w:val="right"/>
        <w:rPr>
          <w:rFonts w:hint="eastAsia"/>
          <w:b/>
          <w:color w:val="auto"/>
          <w:sz w:val="32"/>
          <w:szCs w:val="22"/>
          <w:highlight w:val="none"/>
        </w:rPr>
      </w:pPr>
    </w:p>
    <w:p w14:paraId="6B4B6825">
      <w:pPr>
        <w:spacing w:line="276" w:lineRule="auto"/>
        <w:jc w:val="center"/>
        <w:rPr>
          <w:rFonts w:hint="eastAsia" w:eastAsia="宋体"/>
          <w:b/>
          <w:color w:val="auto"/>
          <w:w w:val="90"/>
          <w:sz w:val="220"/>
          <w:szCs w:val="22"/>
          <w:highlight w:val="none"/>
          <w:lang w:eastAsia="zh-CN"/>
        </w:rPr>
      </w:pPr>
      <w:r>
        <w:rPr>
          <w:rFonts w:hint="eastAsia"/>
          <w:b/>
          <w:color w:val="auto"/>
          <w:w w:val="90"/>
          <w:sz w:val="44"/>
          <w:szCs w:val="22"/>
          <w:highlight w:val="none"/>
          <w:lang w:eastAsia="zh-CN"/>
        </w:rPr>
        <w:t>鳌江镇塘川高速互通路网交通安全设施项目</w:t>
      </w:r>
    </w:p>
    <w:p w14:paraId="674C8ABE">
      <w:pPr>
        <w:spacing w:line="360" w:lineRule="auto"/>
        <w:jc w:val="center"/>
        <w:rPr>
          <w:rFonts w:hint="eastAsia"/>
          <w:b/>
          <w:color w:val="auto"/>
          <w:sz w:val="52"/>
          <w:szCs w:val="22"/>
          <w:highlight w:val="none"/>
        </w:rPr>
      </w:pPr>
    </w:p>
    <w:p w14:paraId="4CEFA301">
      <w:pPr>
        <w:spacing w:line="276" w:lineRule="auto"/>
        <w:jc w:val="center"/>
        <w:rPr>
          <w:rFonts w:hint="eastAsia"/>
          <w:color w:val="auto"/>
          <w:sz w:val="96"/>
          <w:szCs w:val="22"/>
          <w:highlight w:val="none"/>
        </w:rPr>
      </w:pPr>
      <w:r>
        <w:rPr>
          <w:rFonts w:hint="eastAsia"/>
          <w:color w:val="auto"/>
          <w:sz w:val="96"/>
          <w:szCs w:val="22"/>
          <w:highlight w:val="none"/>
        </w:rPr>
        <w:t>投 标 文 件</w:t>
      </w:r>
    </w:p>
    <w:p w14:paraId="7E623924">
      <w:pPr>
        <w:spacing w:line="360" w:lineRule="auto"/>
        <w:jc w:val="center"/>
        <w:rPr>
          <w:rFonts w:hint="eastAsia"/>
          <w:b/>
          <w:color w:val="auto"/>
          <w:sz w:val="52"/>
          <w:szCs w:val="22"/>
          <w:highlight w:val="none"/>
        </w:rPr>
      </w:pPr>
      <w:r>
        <w:rPr>
          <w:rFonts w:hint="eastAsia"/>
          <w:b/>
          <w:color w:val="auto"/>
          <w:sz w:val="52"/>
          <w:szCs w:val="22"/>
          <w:highlight w:val="none"/>
        </w:rPr>
        <w:t>（商务技术文件）</w:t>
      </w:r>
    </w:p>
    <w:p w14:paraId="36961FFB">
      <w:pPr>
        <w:spacing w:line="360" w:lineRule="auto"/>
        <w:jc w:val="center"/>
        <w:rPr>
          <w:rFonts w:hint="eastAsia"/>
          <w:b/>
          <w:color w:val="auto"/>
          <w:sz w:val="52"/>
          <w:szCs w:val="22"/>
          <w:highlight w:val="none"/>
        </w:rPr>
      </w:pPr>
    </w:p>
    <w:tbl>
      <w:tblPr>
        <w:tblStyle w:val="66"/>
        <w:tblW w:w="0" w:type="auto"/>
        <w:jc w:val="center"/>
        <w:tblLayout w:type="fixed"/>
        <w:tblCellMar>
          <w:top w:w="0" w:type="dxa"/>
          <w:left w:w="108" w:type="dxa"/>
          <w:bottom w:w="0" w:type="dxa"/>
          <w:right w:w="108" w:type="dxa"/>
        </w:tblCellMar>
      </w:tblPr>
      <w:tblGrid>
        <w:gridCol w:w="8789"/>
      </w:tblGrid>
      <w:tr w14:paraId="34890896">
        <w:tblPrEx>
          <w:tblCellMar>
            <w:top w:w="0" w:type="dxa"/>
            <w:left w:w="108" w:type="dxa"/>
            <w:bottom w:w="0" w:type="dxa"/>
            <w:right w:w="108" w:type="dxa"/>
          </w:tblCellMar>
        </w:tblPrEx>
        <w:trPr>
          <w:trHeight w:val="680" w:hRule="atLeast"/>
          <w:jc w:val="center"/>
        </w:trPr>
        <w:tc>
          <w:tcPr>
            <w:tcW w:w="8789" w:type="dxa"/>
            <w:noWrap w:val="0"/>
            <w:vAlign w:val="center"/>
          </w:tcPr>
          <w:p w14:paraId="159A59F3">
            <w:pPr>
              <w:rPr>
                <w:rFonts w:hint="eastAsia" w:eastAsia="宋体"/>
                <w:b/>
                <w:color w:val="auto"/>
                <w:sz w:val="28"/>
                <w:szCs w:val="28"/>
                <w:highlight w:val="none"/>
                <w:lang w:eastAsia="zh-CN"/>
              </w:rPr>
            </w:pPr>
            <w:r>
              <w:rPr>
                <w:rFonts w:hint="eastAsia"/>
                <w:b/>
                <w:color w:val="auto"/>
                <w:sz w:val="28"/>
                <w:szCs w:val="28"/>
                <w:highlight w:val="none"/>
              </w:rPr>
              <w:t>项目编号：</w:t>
            </w:r>
            <w:r>
              <w:rPr>
                <w:rFonts w:hint="eastAsia"/>
                <w:b/>
                <w:color w:val="auto"/>
                <w:sz w:val="28"/>
                <w:szCs w:val="28"/>
                <w:highlight w:val="none"/>
                <w:lang w:eastAsia="zh-CN"/>
              </w:rPr>
              <w:t xml:space="preserve">  </w:t>
            </w:r>
          </w:p>
        </w:tc>
      </w:tr>
      <w:tr w14:paraId="423EDFCD">
        <w:tblPrEx>
          <w:tblCellMar>
            <w:top w:w="0" w:type="dxa"/>
            <w:left w:w="108" w:type="dxa"/>
            <w:bottom w:w="0" w:type="dxa"/>
            <w:right w:w="108" w:type="dxa"/>
          </w:tblCellMar>
        </w:tblPrEx>
        <w:trPr>
          <w:trHeight w:val="680" w:hRule="atLeast"/>
          <w:jc w:val="center"/>
        </w:trPr>
        <w:tc>
          <w:tcPr>
            <w:tcW w:w="8789" w:type="dxa"/>
            <w:noWrap w:val="0"/>
            <w:vAlign w:val="center"/>
          </w:tcPr>
          <w:p w14:paraId="479666F5">
            <w:pPr>
              <w:rPr>
                <w:rFonts w:hint="eastAsia"/>
                <w:b/>
                <w:color w:val="auto"/>
                <w:sz w:val="28"/>
                <w:szCs w:val="28"/>
                <w:highlight w:val="none"/>
              </w:rPr>
            </w:pPr>
            <w:r>
              <w:rPr>
                <w:rFonts w:hint="eastAsia"/>
                <w:b/>
                <w:color w:val="auto"/>
                <w:sz w:val="28"/>
                <w:szCs w:val="28"/>
                <w:highlight w:val="none"/>
              </w:rPr>
              <w:t>供应商名称（盖章）：</w:t>
            </w:r>
            <w:r>
              <w:rPr>
                <w:rFonts w:hint="eastAsia"/>
                <w:b/>
                <w:color w:val="auto"/>
                <w:w w:val="90"/>
                <w:sz w:val="28"/>
                <w:szCs w:val="28"/>
                <w:highlight w:val="none"/>
              </w:rPr>
              <w:t>_______________________________________</w:t>
            </w:r>
          </w:p>
        </w:tc>
      </w:tr>
      <w:tr w14:paraId="3C1EE4F6">
        <w:tblPrEx>
          <w:tblCellMar>
            <w:top w:w="0" w:type="dxa"/>
            <w:left w:w="108" w:type="dxa"/>
            <w:bottom w:w="0" w:type="dxa"/>
            <w:right w:w="108" w:type="dxa"/>
          </w:tblCellMar>
        </w:tblPrEx>
        <w:trPr>
          <w:trHeight w:val="680" w:hRule="atLeast"/>
          <w:jc w:val="center"/>
        </w:trPr>
        <w:tc>
          <w:tcPr>
            <w:tcW w:w="8789" w:type="dxa"/>
            <w:noWrap w:val="0"/>
            <w:vAlign w:val="center"/>
          </w:tcPr>
          <w:p w14:paraId="2F9ABC93">
            <w:pPr>
              <w:rPr>
                <w:rFonts w:hint="eastAsia"/>
                <w:b/>
                <w:color w:val="auto"/>
                <w:sz w:val="28"/>
                <w:szCs w:val="28"/>
                <w:highlight w:val="none"/>
              </w:rPr>
            </w:pPr>
            <w:r>
              <w:rPr>
                <w:rFonts w:hint="eastAsia"/>
                <w:b/>
                <w:color w:val="auto"/>
                <w:sz w:val="28"/>
                <w:szCs w:val="28"/>
                <w:highlight w:val="none"/>
              </w:rPr>
              <w:t>供应商地址：</w:t>
            </w:r>
            <w:r>
              <w:rPr>
                <w:rFonts w:hint="eastAsia"/>
                <w:b/>
                <w:color w:val="auto"/>
                <w:w w:val="90"/>
                <w:sz w:val="28"/>
                <w:szCs w:val="28"/>
                <w:highlight w:val="none"/>
              </w:rPr>
              <w:t>_______________________________________________</w:t>
            </w:r>
          </w:p>
        </w:tc>
      </w:tr>
      <w:tr w14:paraId="35B09FA0">
        <w:tblPrEx>
          <w:tblCellMar>
            <w:top w:w="0" w:type="dxa"/>
            <w:left w:w="108" w:type="dxa"/>
            <w:bottom w:w="0" w:type="dxa"/>
            <w:right w:w="108" w:type="dxa"/>
          </w:tblCellMar>
        </w:tblPrEx>
        <w:trPr>
          <w:trHeight w:val="680" w:hRule="atLeast"/>
          <w:jc w:val="center"/>
        </w:trPr>
        <w:tc>
          <w:tcPr>
            <w:tcW w:w="8789" w:type="dxa"/>
            <w:noWrap w:val="0"/>
            <w:vAlign w:val="center"/>
          </w:tcPr>
          <w:p w14:paraId="4CE7EE05">
            <w:pPr>
              <w:rPr>
                <w:rFonts w:hint="eastAsia"/>
                <w:b/>
                <w:color w:val="auto"/>
                <w:sz w:val="28"/>
                <w:szCs w:val="28"/>
                <w:highlight w:val="none"/>
              </w:rPr>
            </w:pPr>
            <w:r>
              <w:rPr>
                <w:rFonts w:hint="eastAsia"/>
                <w:b/>
                <w:color w:val="auto"/>
                <w:sz w:val="28"/>
                <w:szCs w:val="28"/>
                <w:highlight w:val="none"/>
              </w:rPr>
              <w:t>法定代表人或其授权代表（签字或盖章）：</w:t>
            </w:r>
            <w:r>
              <w:rPr>
                <w:rFonts w:hint="eastAsia"/>
                <w:b/>
                <w:color w:val="auto"/>
                <w:w w:val="90"/>
                <w:sz w:val="28"/>
                <w:szCs w:val="28"/>
                <w:highlight w:val="none"/>
              </w:rPr>
              <w:t>________________________</w:t>
            </w:r>
          </w:p>
        </w:tc>
      </w:tr>
      <w:tr w14:paraId="4A86D162">
        <w:tblPrEx>
          <w:tblCellMar>
            <w:top w:w="0" w:type="dxa"/>
            <w:left w:w="108" w:type="dxa"/>
            <w:bottom w:w="0" w:type="dxa"/>
            <w:right w:w="108" w:type="dxa"/>
          </w:tblCellMar>
        </w:tblPrEx>
        <w:trPr>
          <w:trHeight w:val="680" w:hRule="atLeast"/>
          <w:jc w:val="center"/>
        </w:trPr>
        <w:tc>
          <w:tcPr>
            <w:tcW w:w="8789" w:type="dxa"/>
            <w:noWrap w:val="0"/>
            <w:vAlign w:val="center"/>
          </w:tcPr>
          <w:p w14:paraId="261022B8">
            <w:pPr>
              <w:rPr>
                <w:rFonts w:hint="eastAsia"/>
                <w:b/>
                <w:color w:val="auto"/>
                <w:sz w:val="28"/>
                <w:szCs w:val="28"/>
                <w:highlight w:val="none"/>
              </w:rPr>
            </w:pPr>
            <w:r>
              <w:rPr>
                <w:rFonts w:hint="eastAsia"/>
                <w:b/>
                <w:color w:val="auto"/>
                <w:sz w:val="28"/>
                <w:szCs w:val="28"/>
                <w:highlight w:val="none"/>
              </w:rPr>
              <w:t>日期：</w:t>
            </w:r>
            <w:r>
              <w:rPr>
                <w:rFonts w:hint="eastAsia"/>
                <w:b/>
                <w:color w:val="auto"/>
                <w:w w:val="90"/>
                <w:sz w:val="28"/>
                <w:szCs w:val="28"/>
                <w:highlight w:val="none"/>
              </w:rPr>
              <w:t>__________________________________________________________</w:t>
            </w:r>
          </w:p>
        </w:tc>
      </w:tr>
      <w:tr w14:paraId="5EFABB17">
        <w:tblPrEx>
          <w:tblCellMar>
            <w:top w:w="0" w:type="dxa"/>
            <w:left w:w="108" w:type="dxa"/>
            <w:bottom w:w="0" w:type="dxa"/>
            <w:right w:w="108" w:type="dxa"/>
          </w:tblCellMar>
        </w:tblPrEx>
        <w:trPr>
          <w:trHeight w:val="335" w:hRule="atLeast"/>
          <w:jc w:val="center"/>
        </w:trPr>
        <w:tc>
          <w:tcPr>
            <w:tcW w:w="8789" w:type="dxa"/>
            <w:noWrap w:val="0"/>
            <w:vAlign w:val="center"/>
          </w:tcPr>
          <w:p w14:paraId="1CDE1511">
            <w:pPr>
              <w:rPr>
                <w:rFonts w:hint="eastAsia"/>
                <w:color w:val="auto"/>
                <w:sz w:val="28"/>
                <w:szCs w:val="28"/>
                <w:highlight w:val="none"/>
              </w:rPr>
            </w:pPr>
          </w:p>
        </w:tc>
      </w:tr>
    </w:tbl>
    <w:p w14:paraId="15D80143">
      <w:pPr>
        <w:rPr>
          <w:rFonts w:hint="eastAsia"/>
          <w:color w:val="auto"/>
          <w:highlight w:val="none"/>
        </w:rPr>
      </w:pPr>
    </w:p>
    <w:p w14:paraId="7D36F173">
      <w:pPr>
        <w:pStyle w:val="10"/>
        <w:rPr>
          <w:rFonts w:hint="eastAsia" w:ascii="宋体" w:hAnsi="宋体" w:cs="宋体"/>
          <w:color w:val="auto"/>
          <w:sz w:val="24"/>
          <w:szCs w:val="24"/>
          <w:highlight w:val="none"/>
        </w:rPr>
      </w:pPr>
      <w:r>
        <w:rPr>
          <w:rFonts w:hint="eastAsia" w:ascii="宋体" w:hAnsi="宋体" w:cs="宋体"/>
          <w:color w:val="auto"/>
          <w:highlight w:val="none"/>
        </w:rPr>
        <w:br w:type="page"/>
      </w:r>
      <w:r>
        <w:rPr>
          <w:rFonts w:hint="eastAsia" w:ascii="宋体" w:hAnsi="宋体" w:cs="宋体"/>
          <w:color w:val="auto"/>
          <w:sz w:val="32"/>
          <w:szCs w:val="32"/>
          <w:highlight w:val="none"/>
        </w:rPr>
        <w:t>3.2供应商自评分指引表</w:t>
      </w:r>
    </w:p>
    <w:tbl>
      <w:tblPr>
        <w:tblStyle w:val="66"/>
        <w:tblW w:w="0" w:type="auto"/>
        <w:tblInd w:w="0" w:type="dxa"/>
        <w:tblLayout w:type="fixed"/>
        <w:tblCellMar>
          <w:top w:w="0" w:type="dxa"/>
          <w:left w:w="0" w:type="dxa"/>
          <w:bottom w:w="0" w:type="dxa"/>
          <w:right w:w="0" w:type="dxa"/>
        </w:tblCellMar>
      </w:tblPr>
      <w:tblGrid>
        <w:gridCol w:w="1095"/>
        <w:gridCol w:w="7470"/>
        <w:gridCol w:w="1340"/>
      </w:tblGrid>
      <w:tr w14:paraId="59DF2B34">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615EBB0">
            <w:pPr>
              <w:snapToGrid w:val="0"/>
              <w:jc w:val="center"/>
              <w:rPr>
                <w:rFonts w:hint="eastAsia"/>
                <w:color w:val="auto"/>
                <w:highlight w:val="none"/>
              </w:rPr>
            </w:pPr>
            <w:r>
              <w:rPr>
                <w:rFonts w:hint="eastAsia"/>
                <w:color w:val="auto"/>
                <w:highlight w:val="none"/>
              </w:rPr>
              <w:t>序号</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042DE76">
            <w:pPr>
              <w:snapToGrid w:val="0"/>
              <w:jc w:val="center"/>
              <w:rPr>
                <w:rFonts w:hint="eastAsia"/>
                <w:color w:val="auto"/>
                <w:highlight w:val="none"/>
              </w:rPr>
            </w:pPr>
            <w:r>
              <w:rPr>
                <w:rFonts w:hint="eastAsia"/>
                <w:color w:val="auto"/>
                <w:highlight w:val="none"/>
              </w:rPr>
              <w:t>评分项目</w:t>
            </w: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36C3E7A">
            <w:pPr>
              <w:snapToGrid w:val="0"/>
              <w:jc w:val="center"/>
              <w:rPr>
                <w:rFonts w:hint="eastAsia"/>
                <w:color w:val="auto"/>
                <w:highlight w:val="none"/>
              </w:rPr>
            </w:pPr>
            <w:r>
              <w:rPr>
                <w:rFonts w:hint="eastAsia"/>
                <w:color w:val="auto"/>
                <w:highlight w:val="none"/>
              </w:rPr>
              <w:t>投标文件索引（页码）</w:t>
            </w:r>
          </w:p>
        </w:tc>
      </w:tr>
      <w:tr w14:paraId="4DBBA87C">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2944E33">
            <w:pPr>
              <w:snapToGrid w:val="0"/>
              <w:jc w:val="center"/>
              <w:rPr>
                <w:rFonts w:hint="eastAsia"/>
                <w:color w:val="auto"/>
                <w:highlight w:val="none"/>
              </w:rPr>
            </w:pPr>
            <w:r>
              <w:rPr>
                <w:rFonts w:hint="eastAsia"/>
                <w:color w:val="auto"/>
                <w:highlight w:val="none"/>
              </w:rPr>
              <w:t>1</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923565E">
            <w:pPr>
              <w:snapToGrid w:val="0"/>
              <w:jc w:val="center"/>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C8B03E4">
            <w:pPr>
              <w:snapToGrid w:val="0"/>
              <w:jc w:val="center"/>
              <w:rPr>
                <w:rFonts w:hint="eastAsia"/>
                <w:color w:val="auto"/>
                <w:highlight w:val="none"/>
              </w:rPr>
            </w:pPr>
          </w:p>
        </w:tc>
      </w:tr>
      <w:tr w14:paraId="4F12EB80">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B8F6A06">
            <w:pPr>
              <w:snapToGrid w:val="0"/>
              <w:jc w:val="center"/>
              <w:rPr>
                <w:rFonts w:hint="eastAsia"/>
                <w:color w:val="auto"/>
                <w:highlight w:val="none"/>
              </w:rPr>
            </w:pPr>
            <w:r>
              <w:rPr>
                <w:rFonts w:hint="eastAsia"/>
                <w:color w:val="auto"/>
                <w:highlight w:val="none"/>
              </w:rPr>
              <w:t>2</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9613BA6">
            <w:pPr>
              <w:snapToGrid w:val="0"/>
              <w:jc w:val="center"/>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3FDAC32">
            <w:pPr>
              <w:snapToGrid w:val="0"/>
              <w:jc w:val="center"/>
              <w:rPr>
                <w:rFonts w:hint="eastAsia"/>
                <w:color w:val="auto"/>
                <w:highlight w:val="none"/>
              </w:rPr>
            </w:pPr>
          </w:p>
        </w:tc>
      </w:tr>
      <w:tr w14:paraId="12C7A7F7">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CF0094D">
            <w:pPr>
              <w:snapToGrid w:val="0"/>
              <w:jc w:val="center"/>
              <w:rPr>
                <w:rFonts w:hint="eastAsia"/>
                <w:color w:val="auto"/>
                <w:highlight w:val="none"/>
              </w:rPr>
            </w:pPr>
            <w:r>
              <w:rPr>
                <w:rFonts w:hint="eastAsia"/>
                <w:color w:val="auto"/>
                <w:highlight w:val="none"/>
              </w:rPr>
              <w:t>3</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4624108">
            <w:pPr>
              <w:snapToGrid w:val="0"/>
              <w:jc w:val="center"/>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83AEF88">
            <w:pPr>
              <w:snapToGrid w:val="0"/>
              <w:jc w:val="center"/>
              <w:rPr>
                <w:rFonts w:hint="eastAsia"/>
                <w:color w:val="auto"/>
                <w:highlight w:val="none"/>
              </w:rPr>
            </w:pPr>
          </w:p>
        </w:tc>
      </w:tr>
      <w:tr w14:paraId="0431DBAA">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7BCB476">
            <w:pPr>
              <w:snapToGrid w:val="0"/>
              <w:jc w:val="center"/>
              <w:rPr>
                <w:rFonts w:hint="eastAsia"/>
                <w:color w:val="auto"/>
                <w:highlight w:val="none"/>
              </w:rPr>
            </w:pPr>
            <w:r>
              <w:rPr>
                <w:rFonts w:hint="eastAsia"/>
                <w:color w:val="auto"/>
                <w:highlight w:val="none"/>
              </w:rPr>
              <w:t>4</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BF3B357">
            <w:pPr>
              <w:snapToGrid w:val="0"/>
              <w:jc w:val="center"/>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54528BE">
            <w:pPr>
              <w:snapToGrid w:val="0"/>
              <w:jc w:val="center"/>
              <w:rPr>
                <w:rFonts w:hint="eastAsia"/>
                <w:color w:val="auto"/>
                <w:highlight w:val="none"/>
              </w:rPr>
            </w:pPr>
          </w:p>
        </w:tc>
      </w:tr>
      <w:tr w14:paraId="7697A323">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3FA25A9">
            <w:pPr>
              <w:snapToGrid w:val="0"/>
              <w:jc w:val="center"/>
              <w:rPr>
                <w:rFonts w:hint="eastAsia"/>
                <w:color w:val="auto"/>
                <w:highlight w:val="none"/>
              </w:rPr>
            </w:pPr>
            <w:r>
              <w:rPr>
                <w:rFonts w:hint="eastAsia"/>
                <w:color w:val="auto"/>
                <w:highlight w:val="none"/>
              </w:rPr>
              <w:t>5</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A667433">
            <w:pPr>
              <w:snapToGrid w:val="0"/>
              <w:jc w:val="center"/>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2C2320E">
            <w:pPr>
              <w:snapToGrid w:val="0"/>
              <w:jc w:val="center"/>
              <w:rPr>
                <w:rFonts w:hint="eastAsia"/>
                <w:color w:val="auto"/>
                <w:highlight w:val="none"/>
              </w:rPr>
            </w:pPr>
          </w:p>
        </w:tc>
      </w:tr>
      <w:tr w14:paraId="22C22B20">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355F2E9">
            <w:pPr>
              <w:snapToGrid w:val="0"/>
              <w:jc w:val="center"/>
              <w:rPr>
                <w:rFonts w:hint="eastAsia"/>
                <w:color w:val="auto"/>
                <w:highlight w:val="none"/>
              </w:rPr>
            </w:pPr>
            <w:r>
              <w:rPr>
                <w:rFonts w:hint="eastAsia"/>
                <w:color w:val="auto"/>
                <w:highlight w:val="none"/>
              </w:rPr>
              <w:t>6</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0EA091F">
            <w:pPr>
              <w:snapToGrid w:val="0"/>
              <w:jc w:val="center"/>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C4A4C55">
            <w:pPr>
              <w:snapToGrid w:val="0"/>
              <w:jc w:val="center"/>
              <w:rPr>
                <w:rFonts w:hint="eastAsia"/>
                <w:color w:val="auto"/>
                <w:highlight w:val="none"/>
              </w:rPr>
            </w:pPr>
          </w:p>
        </w:tc>
      </w:tr>
      <w:tr w14:paraId="46E997B1">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B71E3B4">
            <w:pPr>
              <w:snapToGrid w:val="0"/>
              <w:jc w:val="center"/>
              <w:rPr>
                <w:rFonts w:hint="eastAsia"/>
                <w:color w:val="auto"/>
                <w:highlight w:val="none"/>
              </w:rPr>
            </w:pPr>
            <w:r>
              <w:rPr>
                <w:rFonts w:hint="eastAsia"/>
                <w:color w:val="auto"/>
                <w:highlight w:val="none"/>
              </w:rPr>
              <w:t>7</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0DF3B83">
            <w:pPr>
              <w:snapToGrid w:val="0"/>
              <w:jc w:val="center"/>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45050FD">
            <w:pPr>
              <w:snapToGrid w:val="0"/>
              <w:jc w:val="center"/>
              <w:rPr>
                <w:rFonts w:hint="eastAsia"/>
                <w:color w:val="auto"/>
                <w:highlight w:val="none"/>
              </w:rPr>
            </w:pPr>
          </w:p>
        </w:tc>
      </w:tr>
      <w:tr w14:paraId="22F75CEE">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478E523">
            <w:pPr>
              <w:snapToGrid w:val="0"/>
              <w:jc w:val="center"/>
              <w:rPr>
                <w:rFonts w:hint="eastAsia"/>
                <w:color w:val="auto"/>
                <w:highlight w:val="none"/>
              </w:rPr>
            </w:pPr>
            <w:r>
              <w:rPr>
                <w:rFonts w:hint="eastAsia"/>
                <w:color w:val="auto"/>
                <w:highlight w:val="none"/>
              </w:rPr>
              <w:t>8</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FA13658">
            <w:pPr>
              <w:snapToGrid w:val="0"/>
              <w:jc w:val="center"/>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429A2D6">
            <w:pPr>
              <w:snapToGrid w:val="0"/>
              <w:jc w:val="center"/>
              <w:rPr>
                <w:rFonts w:hint="eastAsia"/>
                <w:color w:val="auto"/>
                <w:highlight w:val="none"/>
              </w:rPr>
            </w:pPr>
          </w:p>
        </w:tc>
      </w:tr>
      <w:tr w14:paraId="538B536F">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9A391E9">
            <w:pPr>
              <w:snapToGrid w:val="0"/>
              <w:jc w:val="center"/>
              <w:rPr>
                <w:rFonts w:hint="eastAsia"/>
                <w:color w:val="auto"/>
                <w:highlight w:val="none"/>
              </w:rPr>
            </w:pPr>
            <w:r>
              <w:rPr>
                <w:rFonts w:hint="eastAsia"/>
                <w:color w:val="auto"/>
                <w:highlight w:val="none"/>
              </w:rPr>
              <w:t>9</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334DB30">
            <w:pPr>
              <w:snapToGrid w:val="0"/>
              <w:jc w:val="center"/>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4963878">
            <w:pPr>
              <w:snapToGrid w:val="0"/>
              <w:jc w:val="center"/>
              <w:rPr>
                <w:rFonts w:hint="eastAsia"/>
                <w:color w:val="auto"/>
                <w:highlight w:val="none"/>
              </w:rPr>
            </w:pPr>
          </w:p>
        </w:tc>
      </w:tr>
      <w:tr w14:paraId="6F968006">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AEE6F35">
            <w:pPr>
              <w:snapToGrid w:val="0"/>
              <w:jc w:val="center"/>
              <w:rPr>
                <w:rFonts w:hint="eastAsia"/>
                <w:color w:val="auto"/>
                <w:highlight w:val="none"/>
              </w:rPr>
            </w:pPr>
            <w:r>
              <w:rPr>
                <w:rFonts w:hint="eastAsia"/>
                <w:color w:val="auto"/>
                <w:highlight w:val="none"/>
              </w:rPr>
              <w:t>10</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54350E3">
            <w:pPr>
              <w:snapToGrid w:val="0"/>
              <w:jc w:val="center"/>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B153CCB">
            <w:pPr>
              <w:snapToGrid w:val="0"/>
              <w:jc w:val="center"/>
              <w:rPr>
                <w:rFonts w:hint="eastAsia"/>
                <w:color w:val="auto"/>
                <w:highlight w:val="none"/>
              </w:rPr>
            </w:pPr>
          </w:p>
        </w:tc>
      </w:tr>
      <w:tr w14:paraId="03B8928D">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E22747B">
            <w:pPr>
              <w:snapToGrid w:val="0"/>
              <w:jc w:val="center"/>
              <w:rPr>
                <w:rFonts w:hint="eastAsia"/>
                <w:color w:val="auto"/>
                <w:highlight w:val="none"/>
              </w:rPr>
            </w:pPr>
            <w:r>
              <w:rPr>
                <w:rFonts w:hint="eastAsia"/>
                <w:color w:val="auto"/>
                <w:highlight w:val="none"/>
              </w:rPr>
              <w:t>11</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ACD97E4">
            <w:pPr>
              <w:snapToGrid w:val="0"/>
              <w:spacing w:line="300" w:lineRule="exact"/>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B1354AA">
            <w:pPr>
              <w:snapToGrid w:val="0"/>
              <w:jc w:val="center"/>
              <w:rPr>
                <w:rFonts w:hint="eastAsia"/>
                <w:color w:val="auto"/>
                <w:highlight w:val="none"/>
              </w:rPr>
            </w:pPr>
          </w:p>
        </w:tc>
      </w:tr>
      <w:tr w14:paraId="40707FE9">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BAD5DE0">
            <w:pPr>
              <w:snapToGrid w:val="0"/>
              <w:jc w:val="center"/>
              <w:rPr>
                <w:rFonts w:hint="eastAsia"/>
                <w:color w:val="auto"/>
                <w:highlight w:val="none"/>
              </w:rPr>
            </w:pP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F8901E0">
            <w:pPr>
              <w:snapToGrid w:val="0"/>
              <w:spacing w:line="300" w:lineRule="exact"/>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2038941">
            <w:pPr>
              <w:snapToGrid w:val="0"/>
              <w:jc w:val="center"/>
              <w:rPr>
                <w:rFonts w:hint="eastAsia"/>
                <w:color w:val="auto"/>
                <w:highlight w:val="none"/>
              </w:rPr>
            </w:pPr>
          </w:p>
        </w:tc>
      </w:tr>
      <w:tr w14:paraId="2CAE82C2">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93CBBC4">
            <w:pPr>
              <w:snapToGrid w:val="0"/>
              <w:jc w:val="center"/>
              <w:rPr>
                <w:rFonts w:hint="eastAsia"/>
                <w:color w:val="auto"/>
                <w:highlight w:val="none"/>
              </w:rPr>
            </w:pP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ECAF021">
            <w:pPr>
              <w:snapToGrid w:val="0"/>
              <w:spacing w:line="300" w:lineRule="exact"/>
              <w:rPr>
                <w:rFonts w:hint="eastAsia"/>
                <w:color w:val="auto"/>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8BD0D6D">
            <w:pPr>
              <w:snapToGrid w:val="0"/>
              <w:jc w:val="center"/>
              <w:rPr>
                <w:rFonts w:hint="eastAsia"/>
                <w:color w:val="auto"/>
                <w:highlight w:val="none"/>
              </w:rPr>
            </w:pPr>
          </w:p>
        </w:tc>
      </w:tr>
    </w:tbl>
    <w:p w14:paraId="71ABF4FE">
      <w:pPr>
        <w:rPr>
          <w:rFonts w:hint="eastAsia"/>
          <w:color w:val="auto"/>
          <w:highlight w:val="none"/>
        </w:rPr>
      </w:pPr>
    </w:p>
    <w:p w14:paraId="5184AED6">
      <w:pPr>
        <w:rPr>
          <w:rFonts w:hint="eastAsia"/>
          <w:color w:val="auto"/>
          <w:highlight w:val="none"/>
        </w:rPr>
      </w:pPr>
    </w:p>
    <w:p w14:paraId="7286690F">
      <w:pPr>
        <w:rPr>
          <w:rFonts w:hint="eastAsia"/>
          <w:color w:val="auto"/>
          <w:highlight w:val="none"/>
        </w:rPr>
      </w:pPr>
    </w:p>
    <w:p w14:paraId="2ABC65DE">
      <w:pPr>
        <w:rPr>
          <w:rFonts w:hint="eastAsia"/>
          <w:color w:val="auto"/>
          <w:highlight w:val="none"/>
        </w:rPr>
      </w:pPr>
      <w:r>
        <w:rPr>
          <w:rFonts w:hint="eastAsia"/>
          <w:color w:val="auto"/>
          <w:highlight w:val="none"/>
        </w:rPr>
        <w:br w:type="page"/>
      </w:r>
      <w:r>
        <w:rPr>
          <w:rFonts w:hint="eastAsia"/>
          <w:b/>
          <w:bCs/>
          <w:color w:val="auto"/>
          <w:sz w:val="32"/>
          <w:szCs w:val="32"/>
          <w:highlight w:val="none"/>
        </w:rPr>
        <w:t>3.3供应商参与政府采购活动投标资格声明函</w:t>
      </w:r>
    </w:p>
    <w:p w14:paraId="5B0DF896">
      <w:pPr>
        <w:snapToGrid w:val="0"/>
        <w:spacing w:line="360" w:lineRule="exact"/>
        <w:jc w:val="center"/>
        <w:rPr>
          <w:rFonts w:hint="eastAsia"/>
          <w:b/>
          <w:color w:val="auto"/>
          <w:highlight w:val="none"/>
        </w:rPr>
      </w:pPr>
      <w:r>
        <w:rPr>
          <w:rFonts w:hint="eastAsia"/>
          <w:b/>
          <w:color w:val="auto"/>
          <w:highlight w:val="none"/>
        </w:rPr>
        <w:t>供应商参与政府采购活动投标资格声明函</w:t>
      </w:r>
    </w:p>
    <w:tbl>
      <w:tblPr>
        <w:tblStyle w:val="66"/>
        <w:tblW w:w="0" w:type="auto"/>
        <w:tblInd w:w="108" w:type="dxa"/>
        <w:tblLayout w:type="fixed"/>
        <w:tblCellMar>
          <w:top w:w="0" w:type="dxa"/>
          <w:left w:w="0" w:type="dxa"/>
          <w:bottom w:w="0" w:type="dxa"/>
          <w:right w:w="0" w:type="dxa"/>
        </w:tblCellMar>
      </w:tblPr>
      <w:tblGrid>
        <w:gridCol w:w="1620"/>
        <w:gridCol w:w="7992"/>
      </w:tblGrid>
      <w:tr w14:paraId="1F56CFA8">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742BFA1D">
            <w:pPr>
              <w:snapToGrid w:val="0"/>
              <w:spacing w:line="400" w:lineRule="exact"/>
              <w:rPr>
                <w:rFonts w:hint="eastAsia"/>
                <w:color w:val="auto"/>
                <w:highlight w:val="none"/>
              </w:rPr>
            </w:pPr>
            <w:r>
              <w:rPr>
                <w:rFonts w:hint="eastAsia"/>
                <w:color w:val="auto"/>
                <w:highlight w:val="none"/>
              </w:rPr>
              <w:t>项目名称</w:t>
            </w:r>
          </w:p>
        </w:tc>
        <w:tc>
          <w:tcPr>
            <w:tcW w:w="79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4C033686">
            <w:pPr>
              <w:snapToGrid w:val="0"/>
              <w:spacing w:line="400" w:lineRule="exact"/>
              <w:ind w:left="422" w:firstLine="331"/>
              <w:rPr>
                <w:rFonts w:hint="eastAsia"/>
                <w:color w:val="auto"/>
                <w:highlight w:val="none"/>
              </w:rPr>
            </w:pPr>
          </w:p>
        </w:tc>
      </w:tr>
      <w:tr w14:paraId="7C05D58C">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359BFE05">
            <w:pPr>
              <w:snapToGrid w:val="0"/>
              <w:spacing w:line="400" w:lineRule="exact"/>
              <w:rPr>
                <w:rFonts w:hint="eastAsia"/>
                <w:color w:val="auto"/>
                <w:highlight w:val="none"/>
              </w:rPr>
            </w:pPr>
            <w:r>
              <w:rPr>
                <w:rFonts w:hint="eastAsia"/>
                <w:color w:val="auto"/>
                <w:highlight w:val="none"/>
              </w:rPr>
              <w:t>项目编号</w:t>
            </w:r>
          </w:p>
        </w:tc>
        <w:tc>
          <w:tcPr>
            <w:tcW w:w="79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0B8330B8">
            <w:pPr>
              <w:snapToGrid w:val="0"/>
              <w:spacing w:line="400" w:lineRule="exact"/>
              <w:ind w:left="422" w:firstLine="361"/>
              <w:rPr>
                <w:rFonts w:hint="eastAsia"/>
                <w:color w:val="auto"/>
                <w:highlight w:val="none"/>
              </w:rPr>
            </w:pPr>
          </w:p>
        </w:tc>
      </w:tr>
      <w:tr w14:paraId="2CD60666">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57E151C7">
            <w:pPr>
              <w:snapToGrid w:val="0"/>
              <w:spacing w:line="400" w:lineRule="exact"/>
              <w:rPr>
                <w:rFonts w:hint="eastAsia"/>
                <w:color w:val="auto"/>
                <w:highlight w:val="none"/>
              </w:rPr>
            </w:pPr>
            <w:r>
              <w:rPr>
                <w:rFonts w:hint="eastAsia"/>
                <w:color w:val="auto"/>
                <w:highlight w:val="none"/>
              </w:rPr>
              <w:t>时    间</w:t>
            </w:r>
          </w:p>
        </w:tc>
        <w:tc>
          <w:tcPr>
            <w:tcW w:w="79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7AE634DB">
            <w:pPr>
              <w:snapToGrid w:val="0"/>
              <w:spacing w:line="400" w:lineRule="exact"/>
              <w:rPr>
                <w:rFonts w:hint="eastAsia"/>
                <w:color w:val="auto"/>
                <w:highlight w:val="none"/>
              </w:rPr>
            </w:pPr>
            <w:r>
              <w:rPr>
                <w:rFonts w:hint="eastAsia"/>
                <w:color w:val="auto"/>
                <w:highlight w:val="none"/>
              </w:rPr>
              <w:t>投标截止时间：</w:t>
            </w:r>
          </w:p>
        </w:tc>
      </w:tr>
      <w:tr w14:paraId="68EC24E1">
        <w:tblPrEx>
          <w:tblCellMar>
            <w:top w:w="0" w:type="dxa"/>
            <w:left w:w="0" w:type="dxa"/>
            <w:bottom w:w="0" w:type="dxa"/>
            <w:right w:w="0" w:type="dxa"/>
          </w:tblCellMar>
        </w:tblPrEx>
        <w:trPr>
          <w:trHeight w:val="5376"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0C200C0E">
            <w:pPr>
              <w:snapToGrid w:val="0"/>
              <w:spacing w:line="400" w:lineRule="exact"/>
              <w:ind w:firstLine="450"/>
              <w:rPr>
                <w:rFonts w:hint="eastAsia"/>
                <w:color w:val="auto"/>
                <w:highlight w:val="none"/>
              </w:rPr>
            </w:pPr>
            <w:r>
              <w:rPr>
                <w:rFonts w:hint="eastAsia"/>
                <w:color w:val="auto"/>
                <w:highlight w:val="none"/>
              </w:rPr>
              <w:t>1、根据政府采购法第二十二条规定，我单位满足以下条件：</w:t>
            </w:r>
          </w:p>
          <w:p w14:paraId="0A41ACBF">
            <w:pPr>
              <w:snapToGrid w:val="0"/>
              <w:spacing w:line="400" w:lineRule="exact"/>
              <w:ind w:firstLine="450"/>
              <w:rPr>
                <w:rFonts w:hint="eastAsia"/>
                <w:color w:val="auto"/>
                <w:highlight w:val="none"/>
              </w:rPr>
            </w:pPr>
            <w:r>
              <w:rPr>
                <w:rFonts w:hint="eastAsia"/>
                <w:color w:val="auto"/>
                <w:highlight w:val="none"/>
              </w:rPr>
              <w:t xml:space="preserve">（一）具有独立承担民事责任的能力； </w:t>
            </w:r>
            <w:r>
              <w:rPr>
                <w:rFonts w:hint="eastAsia"/>
                <w:color w:val="auto"/>
                <w:highlight w:val="none"/>
              </w:rPr>
              <w:br w:type="textWrapping"/>
            </w:r>
            <w:r>
              <w:rPr>
                <w:rFonts w:hint="eastAsia"/>
                <w:color w:val="auto"/>
                <w:highlight w:val="none"/>
              </w:rPr>
              <w:t xml:space="preserve">　　（二）具有良好的商业信誉和健全的财务会计制度； </w:t>
            </w:r>
            <w:r>
              <w:rPr>
                <w:rFonts w:hint="eastAsia"/>
                <w:color w:val="auto"/>
                <w:highlight w:val="none"/>
              </w:rPr>
              <w:br w:type="textWrapping"/>
            </w:r>
            <w:r>
              <w:rPr>
                <w:rFonts w:hint="eastAsia"/>
                <w:color w:val="auto"/>
                <w:highlight w:val="none"/>
              </w:rPr>
              <w:t xml:space="preserve">　　（三）具有履行合同所必需的设备和专业技术能力； </w:t>
            </w:r>
            <w:r>
              <w:rPr>
                <w:rFonts w:hint="eastAsia"/>
                <w:color w:val="auto"/>
                <w:highlight w:val="none"/>
              </w:rPr>
              <w:br w:type="textWrapping"/>
            </w:r>
            <w:r>
              <w:rPr>
                <w:rFonts w:hint="eastAsia"/>
                <w:color w:val="auto"/>
                <w:highlight w:val="none"/>
              </w:rPr>
              <w:t xml:space="preserve">　　（四）有依法缴纳税收和社会保障资金的良好记录； </w:t>
            </w:r>
            <w:r>
              <w:rPr>
                <w:rFonts w:hint="eastAsia"/>
                <w:color w:val="auto"/>
                <w:highlight w:val="none"/>
              </w:rPr>
              <w:br w:type="textWrapping"/>
            </w:r>
            <w:r>
              <w:rPr>
                <w:rFonts w:hint="eastAsia"/>
                <w:color w:val="auto"/>
                <w:highlight w:val="none"/>
              </w:rPr>
              <w:t xml:space="preserve">　　（五）参加政府采购活动前三年内，在经营活动中没有重大违法记录； </w:t>
            </w:r>
            <w:r>
              <w:rPr>
                <w:rFonts w:hint="eastAsia"/>
                <w:color w:val="auto"/>
                <w:highlight w:val="none"/>
              </w:rPr>
              <w:br w:type="textWrapping"/>
            </w:r>
            <w:r>
              <w:rPr>
                <w:rFonts w:hint="eastAsia"/>
                <w:color w:val="auto"/>
                <w:highlight w:val="none"/>
              </w:rPr>
              <w:t xml:space="preserve">　　（六）法律、行政法规规定的其他条件。 </w:t>
            </w:r>
          </w:p>
          <w:p w14:paraId="54AC28CC">
            <w:pPr>
              <w:snapToGrid w:val="0"/>
              <w:spacing w:line="400" w:lineRule="exact"/>
              <w:ind w:firstLine="450"/>
              <w:rPr>
                <w:rFonts w:hint="eastAsia"/>
                <w:b/>
                <w:color w:val="auto"/>
                <w:highlight w:val="none"/>
              </w:rPr>
            </w:pPr>
            <w:r>
              <w:rPr>
                <w:rFonts w:hint="eastAsia"/>
                <w:color w:val="auto"/>
                <w:highlight w:val="none"/>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w:t>
            </w:r>
            <w:r>
              <w:rPr>
                <w:rFonts w:hint="eastAsia"/>
                <w:b/>
                <w:color w:val="auto"/>
                <w:highlight w:val="none"/>
              </w:rPr>
              <w:t>我单位承诺不存在上述文件规定依法限制参与政府采购的情况。</w:t>
            </w:r>
          </w:p>
          <w:p w14:paraId="643A896E">
            <w:pPr>
              <w:snapToGrid w:val="0"/>
              <w:spacing w:line="400" w:lineRule="exact"/>
              <w:ind w:firstLine="450"/>
              <w:rPr>
                <w:rFonts w:hint="eastAsia"/>
                <w:color w:val="auto"/>
                <w:highlight w:val="none"/>
              </w:rPr>
            </w:pPr>
            <w:r>
              <w:rPr>
                <w:rFonts w:hint="eastAsia"/>
                <w:color w:val="auto"/>
                <w:highlight w:val="none"/>
              </w:rPr>
              <w:t>3、我单位承诺没有被各地、各级财政部门限制参加政府采购活动。</w:t>
            </w:r>
          </w:p>
          <w:p w14:paraId="31384ED1">
            <w:pPr>
              <w:tabs>
                <w:tab w:val="center" w:pos="4483"/>
              </w:tabs>
              <w:snapToGrid w:val="0"/>
              <w:spacing w:line="360" w:lineRule="auto"/>
              <w:ind w:firstLine="400"/>
              <w:rPr>
                <w:rFonts w:hint="eastAsia"/>
                <w:color w:val="auto"/>
                <w:highlight w:val="none"/>
                <w:u w:val="single"/>
              </w:rPr>
            </w:pPr>
            <w:r>
              <w:rPr>
                <w:rFonts w:hint="eastAsia"/>
                <w:color w:val="auto"/>
                <w:highlight w:val="none"/>
              </w:rPr>
              <w:t>4、我单位承诺参与本项目政府采购活动3年内没有其它重大违法记录（重大违法记录，是指供应商因违法经营受到刑事处罚或者责令停产停业、吊销许可证或者执照、较大数额罚款等行政处罚）。</w:t>
            </w:r>
          </w:p>
          <w:p w14:paraId="5EC8240D">
            <w:pPr>
              <w:tabs>
                <w:tab w:val="center" w:pos="4483"/>
              </w:tabs>
              <w:snapToGrid w:val="0"/>
              <w:spacing w:line="360" w:lineRule="auto"/>
              <w:ind w:firstLine="440"/>
              <w:rPr>
                <w:rFonts w:hint="eastAsia"/>
                <w:color w:val="auto"/>
                <w:highlight w:val="none"/>
              </w:rPr>
            </w:pPr>
            <w:r>
              <w:rPr>
                <w:rFonts w:hint="eastAsia"/>
                <w:color w:val="auto"/>
                <w:highlight w:val="none"/>
                <w:u w:val="single"/>
              </w:rPr>
              <w:t>本公司所提交的本声明和陈述均是真实的、准确的。若与真实情况不符，本公司愿意承担由此而产生的一切后果。我方提供了全部能提供的资料和数据，我们同意遵照贵方要求出示有关证明文件。</w:t>
            </w:r>
          </w:p>
        </w:tc>
      </w:tr>
      <w:tr w14:paraId="1027F042">
        <w:tblPrEx>
          <w:tblCellMar>
            <w:top w:w="0" w:type="dxa"/>
            <w:left w:w="0" w:type="dxa"/>
            <w:bottom w:w="0" w:type="dxa"/>
            <w:right w:w="0" w:type="dxa"/>
          </w:tblCellMar>
        </w:tblPrEx>
        <w:trPr>
          <w:trHeight w:val="341"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9EA2153">
            <w:pPr>
              <w:snapToGrid w:val="0"/>
              <w:spacing w:line="400" w:lineRule="exact"/>
              <w:ind w:left="422" w:firstLine="331"/>
              <w:rPr>
                <w:rFonts w:hint="eastAsia"/>
                <w:color w:val="auto"/>
                <w:highlight w:val="none"/>
              </w:rPr>
            </w:pPr>
            <w:r>
              <w:rPr>
                <w:rFonts w:hint="eastAsia"/>
                <w:color w:val="auto"/>
                <w:highlight w:val="none"/>
              </w:rPr>
              <w:t>供应商名称（加盖盖章）：</w:t>
            </w:r>
          </w:p>
        </w:tc>
      </w:tr>
      <w:tr w14:paraId="636DC7EA">
        <w:tblPrEx>
          <w:tblCellMar>
            <w:top w:w="0" w:type="dxa"/>
            <w:left w:w="0" w:type="dxa"/>
            <w:bottom w:w="0" w:type="dxa"/>
            <w:right w:w="0" w:type="dxa"/>
          </w:tblCellMar>
        </w:tblPrEx>
        <w:trPr>
          <w:trHeight w:val="219"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F8C46A1">
            <w:pPr>
              <w:snapToGrid w:val="0"/>
              <w:spacing w:line="400" w:lineRule="exact"/>
              <w:ind w:left="422" w:firstLine="316"/>
              <w:rPr>
                <w:rFonts w:hint="eastAsia"/>
                <w:color w:val="auto"/>
                <w:highlight w:val="none"/>
              </w:rPr>
            </w:pPr>
            <w:r>
              <w:rPr>
                <w:rFonts w:hint="eastAsia"/>
                <w:color w:val="auto"/>
                <w:highlight w:val="none"/>
              </w:rPr>
              <w:t>法定代表人或授权代表（签字或盖章）：</w:t>
            </w:r>
          </w:p>
        </w:tc>
      </w:tr>
      <w:tr w14:paraId="407D799D">
        <w:tblPrEx>
          <w:tblCellMar>
            <w:top w:w="0" w:type="dxa"/>
            <w:left w:w="0" w:type="dxa"/>
            <w:bottom w:w="0" w:type="dxa"/>
            <w:right w:w="0" w:type="dxa"/>
          </w:tblCellMar>
        </w:tblPrEx>
        <w:trPr>
          <w:trHeight w:val="97"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11EFCD3">
            <w:pPr>
              <w:snapToGrid w:val="0"/>
              <w:spacing w:line="400" w:lineRule="exact"/>
              <w:ind w:left="422" w:firstLine="331"/>
              <w:rPr>
                <w:rFonts w:hint="eastAsia"/>
                <w:color w:val="auto"/>
                <w:highlight w:val="none"/>
              </w:rPr>
            </w:pPr>
            <w:r>
              <w:rPr>
                <w:rFonts w:hint="eastAsia"/>
                <w:color w:val="auto"/>
                <w:highlight w:val="none"/>
              </w:rPr>
              <w:t>签署日期：</w:t>
            </w:r>
          </w:p>
        </w:tc>
      </w:tr>
    </w:tbl>
    <w:p w14:paraId="3CDA091A">
      <w:pPr>
        <w:snapToGrid w:val="0"/>
        <w:spacing w:line="460" w:lineRule="atLeast"/>
        <w:rPr>
          <w:rFonts w:hint="eastAsia"/>
          <w:color w:val="auto"/>
          <w:highlight w:val="none"/>
        </w:rPr>
      </w:pPr>
    </w:p>
    <w:p w14:paraId="5B15CA07">
      <w:pPr>
        <w:rPr>
          <w:rFonts w:hint="eastAsia"/>
          <w:color w:val="auto"/>
          <w:highlight w:val="none"/>
        </w:rPr>
      </w:pPr>
    </w:p>
    <w:p w14:paraId="51C67B45">
      <w:pPr>
        <w:rPr>
          <w:rFonts w:hint="eastAsia"/>
          <w:color w:val="auto"/>
          <w:highlight w:val="none"/>
        </w:rPr>
      </w:pPr>
    </w:p>
    <w:p w14:paraId="40328E14">
      <w:pPr>
        <w:rPr>
          <w:rFonts w:hint="eastAsia"/>
          <w:color w:val="auto"/>
          <w:highlight w:val="none"/>
        </w:rPr>
      </w:pPr>
    </w:p>
    <w:p w14:paraId="1FAE4403">
      <w:pPr>
        <w:pStyle w:val="37"/>
        <w:adjustRightInd w:val="0"/>
        <w:snapToGrid w:val="0"/>
        <w:spacing w:line="500" w:lineRule="exact"/>
        <w:jc w:val="both"/>
        <w:rPr>
          <w:rFonts w:hint="eastAsia" w:hAnsi="宋体" w:cs="宋体"/>
          <w:color w:val="auto"/>
          <w:sz w:val="24"/>
          <w:szCs w:val="24"/>
          <w:highlight w:val="none"/>
        </w:rPr>
      </w:pPr>
      <w:r>
        <w:rPr>
          <w:rFonts w:hint="eastAsia" w:hAnsi="宋体" w:cs="宋体"/>
          <w:color w:val="auto"/>
          <w:kern w:val="0"/>
          <w:sz w:val="24"/>
          <w:szCs w:val="24"/>
          <w:highlight w:val="none"/>
        </w:rPr>
        <w:br w:type="page"/>
      </w:r>
      <w:r>
        <w:rPr>
          <w:rFonts w:hint="eastAsia" w:hAnsi="宋体" w:cs="宋体"/>
          <w:b/>
          <w:bCs/>
          <w:color w:val="auto"/>
          <w:kern w:val="0"/>
          <w:sz w:val="32"/>
          <w:szCs w:val="32"/>
          <w:highlight w:val="none"/>
        </w:rPr>
        <w:t>3.4投标函</w:t>
      </w:r>
      <w:r>
        <w:rPr>
          <w:rFonts w:hint="eastAsia" w:hAnsi="宋体" w:cs="宋体"/>
          <w:b/>
          <w:bCs/>
          <w:color w:val="auto"/>
          <w:sz w:val="32"/>
          <w:szCs w:val="32"/>
          <w:highlight w:val="none"/>
        </w:rPr>
        <w:t xml:space="preserve">  </w:t>
      </w:r>
      <w:r>
        <w:rPr>
          <w:rFonts w:hint="eastAsia" w:hAnsi="宋体" w:cs="宋体"/>
          <w:color w:val="auto"/>
          <w:sz w:val="24"/>
          <w:szCs w:val="24"/>
          <w:highlight w:val="none"/>
        </w:rPr>
        <w:t xml:space="preserve">                      </w:t>
      </w:r>
    </w:p>
    <w:p w14:paraId="4F6456A0">
      <w:pPr>
        <w:pStyle w:val="37"/>
        <w:adjustRightInd w:val="0"/>
        <w:snapToGrid w:val="0"/>
        <w:spacing w:line="500" w:lineRule="exact"/>
        <w:jc w:val="center"/>
        <w:rPr>
          <w:rFonts w:hint="eastAsia" w:hAnsi="宋体" w:cs="宋体"/>
          <w:color w:val="auto"/>
          <w:sz w:val="24"/>
          <w:szCs w:val="24"/>
          <w:highlight w:val="none"/>
        </w:rPr>
      </w:pPr>
      <w:r>
        <w:rPr>
          <w:rFonts w:hint="eastAsia" w:hAnsi="宋体" w:cs="宋体"/>
          <w:color w:val="auto"/>
          <w:sz w:val="24"/>
          <w:szCs w:val="24"/>
          <w:highlight w:val="none"/>
        </w:rPr>
        <w:t>投  标  函</w:t>
      </w:r>
    </w:p>
    <w:p w14:paraId="0C7083F6">
      <w:pPr>
        <w:pStyle w:val="37"/>
        <w:adjustRightInd w:val="0"/>
        <w:snapToGrid w:val="0"/>
        <w:spacing w:line="360" w:lineRule="atLeast"/>
        <w:ind w:firstLine="450"/>
        <w:rPr>
          <w:rFonts w:hint="eastAsia" w:hAnsi="宋体" w:cs="宋体"/>
          <w:color w:val="auto"/>
          <w:sz w:val="24"/>
          <w:szCs w:val="24"/>
          <w:highlight w:val="none"/>
          <w:u w:val="single"/>
        </w:rPr>
      </w:pPr>
      <w:r>
        <w:rPr>
          <w:rFonts w:hint="eastAsia" w:hAnsi="宋体" w:cs="宋体"/>
          <w:color w:val="auto"/>
          <w:sz w:val="24"/>
          <w:szCs w:val="24"/>
          <w:highlight w:val="none"/>
          <w:u w:val="single"/>
        </w:rPr>
        <w:t>平阳县鳌江镇人民政府：</w:t>
      </w:r>
    </w:p>
    <w:p w14:paraId="5A2CD16C">
      <w:pPr>
        <w:pStyle w:val="37"/>
        <w:adjustRightInd w:val="0"/>
        <w:snapToGrid w:val="0"/>
        <w:spacing w:line="360" w:lineRule="atLeast"/>
        <w:ind w:firstLine="450"/>
        <w:rPr>
          <w:rFonts w:hint="eastAsia" w:hAnsi="宋体" w:cs="宋体"/>
          <w:color w:val="auto"/>
          <w:sz w:val="24"/>
          <w:szCs w:val="24"/>
          <w:highlight w:val="none"/>
        </w:rPr>
      </w:pPr>
    </w:p>
    <w:p w14:paraId="2B302C37">
      <w:pPr>
        <w:autoSpaceDE w:val="0"/>
        <w:autoSpaceDN w:val="0"/>
        <w:adjustRightInd w:val="0"/>
        <w:snapToGrid w:val="0"/>
        <w:spacing w:line="360" w:lineRule="atLeast"/>
        <w:rPr>
          <w:rFonts w:hint="eastAsia"/>
          <w:color w:val="auto"/>
          <w:highlight w:val="none"/>
          <w:lang w:val="zh-CN"/>
        </w:rPr>
      </w:pPr>
      <w:r>
        <w:rPr>
          <w:rFonts w:hint="eastAsia"/>
          <w:color w:val="auto"/>
          <w:highlight w:val="none"/>
        </w:rPr>
        <w:t xml:space="preserve">     </w:t>
      </w:r>
      <w:r>
        <w:rPr>
          <w:rFonts w:hint="eastAsia"/>
          <w:color w:val="auto"/>
          <w:highlight w:val="none"/>
          <w:lang w:val="zh-CN"/>
        </w:rPr>
        <w:t xml:space="preserve"> </w:t>
      </w:r>
      <w:r>
        <w:rPr>
          <w:rFonts w:hint="eastAsia"/>
          <w:color w:val="auto"/>
          <w:highlight w:val="none"/>
          <w:u w:val="single"/>
          <w:lang w:val="zh-CN"/>
        </w:rPr>
        <w:t xml:space="preserve">                    </w:t>
      </w:r>
      <w:r>
        <w:rPr>
          <w:rFonts w:hint="eastAsia"/>
          <w:color w:val="auto"/>
          <w:highlight w:val="none"/>
          <w:lang w:val="zh-CN"/>
        </w:rPr>
        <w:t>（供应商全称）授权</w:t>
      </w:r>
      <w:r>
        <w:rPr>
          <w:rFonts w:hint="eastAsia"/>
          <w:color w:val="auto"/>
          <w:highlight w:val="none"/>
          <w:u w:val="single"/>
          <w:lang w:val="zh-CN"/>
        </w:rPr>
        <w:t xml:space="preserve">              </w:t>
      </w:r>
      <w:r>
        <w:rPr>
          <w:rFonts w:hint="eastAsia"/>
          <w:color w:val="auto"/>
          <w:highlight w:val="none"/>
          <w:lang w:val="zh-CN"/>
        </w:rPr>
        <w:t xml:space="preserve"> （授权代表名称）</w:t>
      </w:r>
      <w:r>
        <w:rPr>
          <w:rFonts w:hint="eastAsia"/>
          <w:color w:val="auto"/>
          <w:highlight w:val="none"/>
          <w:u w:val="single"/>
          <w:lang w:val="zh-CN"/>
        </w:rPr>
        <w:t xml:space="preserve">         </w:t>
      </w:r>
      <w:r>
        <w:rPr>
          <w:rFonts w:hint="eastAsia"/>
          <w:color w:val="auto"/>
          <w:highlight w:val="none"/>
          <w:lang w:val="zh-CN"/>
        </w:rPr>
        <w:t>（职务、职称）为授权代表，参加贵方组织的</w:t>
      </w:r>
      <w:r>
        <w:rPr>
          <w:rFonts w:hint="eastAsia"/>
          <w:color w:val="auto"/>
          <w:highlight w:val="none"/>
          <w:u w:val="single"/>
          <w:lang w:val="zh-CN"/>
        </w:rPr>
        <w:t xml:space="preserve">           </w:t>
      </w:r>
      <w:r>
        <w:rPr>
          <w:rFonts w:hint="eastAsia"/>
          <w:color w:val="auto"/>
          <w:highlight w:val="none"/>
          <w:lang w:val="zh-CN"/>
        </w:rPr>
        <w:t>（招标项目名称）（括号内填项目编号）招标的有关活动，为此：并对</w:t>
      </w:r>
      <w:r>
        <w:rPr>
          <w:rFonts w:hint="eastAsia"/>
          <w:color w:val="auto"/>
          <w:highlight w:val="none"/>
          <w:u w:val="single"/>
          <w:lang w:val="zh-CN"/>
        </w:rPr>
        <w:t xml:space="preserve">            </w:t>
      </w:r>
      <w:r>
        <w:rPr>
          <w:rFonts w:hint="eastAsia"/>
          <w:color w:val="auto"/>
          <w:highlight w:val="none"/>
          <w:lang w:val="zh-CN"/>
        </w:rPr>
        <w:t xml:space="preserve">项目（采购项目名称）进行投标。   </w:t>
      </w:r>
    </w:p>
    <w:p w14:paraId="6C5DC0B2">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1、提供供应商须知规定的全部投标文件。</w:t>
      </w:r>
    </w:p>
    <w:p w14:paraId="13384425">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2、保证遵守招标文件中的有关规定和收费标准。</w:t>
      </w:r>
    </w:p>
    <w:p w14:paraId="2F084327">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3、保证忠实地执行采购人、中标供应商双方所签的合同， 并承担合同规定的责任义务。</w:t>
      </w:r>
    </w:p>
    <w:p w14:paraId="415B4CB0">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4、我方承诺在合同生效后</w:t>
      </w:r>
      <w:r>
        <w:rPr>
          <w:rFonts w:hint="eastAsia"/>
          <w:b/>
          <w:color w:val="auto"/>
          <w:highlight w:val="none"/>
          <w:u w:val="single"/>
          <w:lang w:val="zh-CN"/>
        </w:rPr>
        <w:t>按招标文件要求完成本项目</w:t>
      </w:r>
      <w:r>
        <w:rPr>
          <w:rFonts w:hint="eastAsia"/>
          <w:color w:val="auto"/>
          <w:highlight w:val="none"/>
          <w:lang w:val="zh-CN"/>
        </w:rPr>
        <w:t>。</w:t>
      </w:r>
    </w:p>
    <w:p w14:paraId="308638B5">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5、供应商已详细审查全部招标文件，包括招标文件补充文件（如果有的话）。我方完全理解并同意放弃对这方面有不明及误解的权力。如果招标文件有相互矛盾之处，我方同意按采购人的理解处理。</w:t>
      </w:r>
    </w:p>
    <w:p w14:paraId="533E6ED8">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6、利益冲突：近三年内直至目前，我公司与本项目的采购人、采购机构没有任何的利害关系。</w:t>
      </w:r>
    </w:p>
    <w:p w14:paraId="1C60BCD8">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7、我公司近三年内没有行贿受贿记录；我公司符合</w:t>
      </w:r>
      <w:r>
        <w:rPr>
          <w:rFonts w:hint="eastAsia"/>
          <w:color w:val="auto"/>
          <w:highlight w:val="none"/>
        </w:rPr>
        <w:t>《中华人民共和国政府采购法》第二十二条对供应商的资格要求；</w:t>
      </w:r>
      <w:r>
        <w:rPr>
          <w:rFonts w:hint="eastAsia"/>
          <w:color w:val="auto"/>
          <w:highlight w:val="none"/>
          <w:lang w:val="zh-CN"/>
        </w:rPr>
        <w:t>我公司没有被政府采购管理部门限制参加投标。</w:t>
      </w:r>
    </w:p>
    <w:p w14:paraId="1C598A47">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8、愿意向贵方提供任何与该项投标有关的数据、情况和技术资料，完全理解贵方不一定接受最低价的投标或收到的任何投标。</w:t>
      </w:r>
    </w:p>
    <w:p w14:paraId="014BCBA4">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9、本投标自开标之日起90天内有效。</w:t>
      </w:r>
    </w:p>
    <w:p w14:paraId="2C9E6B9B">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10、与本投标有关的一切往来通讯请寄：</w:t>
      </w:r>
    </w:p>
    <w:p w14:paraId="56FDED3B">
      <w:pPr>
        <w:autoSpaceDE w:val="0"/>
        <w:autoSpaceDN w:val="0"/>
        <w:adjustRightInd w:val="0"/>
        <w:snapToGrid w:val="0"/>
        <w:spacing w:line="360" w:lineRule="atLeast"/>
        <w:ind w:firstLine="638" w:firstLineChars="266"/>
        <w:rPr>
          <w:rFonts w:hint="eastAsia"/>
          <w:color w:val="auto"/>
          <w:highlight w:val="none"/>
          <w:lang w:val="zh-CN"/>
        </w:rPr>
      </w:pPr>
      <w:r>
        <w:rPr>
          <w:rFonts w:hint="eastAsia"/>
          <w:color w:val="auto"/>
          <w:highlight w:val="none"/>
          <w:lang w:val="zh-CN"/>
        </w:rPr>
        <w:t>地址：</w:t>
      </w:r>
      <w:r>
        <w:rPr>
          <w:rFonts w:hint="eastAsia"/>
          <w:color w:val="auto"/>
          <w:highlight w:val="none"/>
          <w:u w:val="single"/>
          <w:lang w:val="zh-CN"/>
        </w:rPr>
        <w:t xml:space="preserve">                                 </w:t>
      </w:r>
    </w:p>
    <w:p w14:paraId="1A7FEC80">
      <w:pPr>
        <w:autoSpaceDE w:val="0"/>
        <w:autoSpaceDN w:val="0"/>
        <w:adjustRightInd w:val="0"/>
        <w:snapToGrid w:val="0"/>
        <w:spacing w:line="360" w:lineRule="atLeast"/>
        <w:ind w:firstLine="638" w:firstLineChars="266"/>
        <w:rPr>
          <w:rFonts w:hint="eastAsia"/>
          <w:color w:val="auto"/>
          <w:highlight w:val="none"/>
          <w:lang w:val="zh-CN"/>
        </w:rPr>
      </w:pPr>
      <w:r>
        <w:rPr>
          <w:rFonts w:hint="eastAsia"/>
          <w:color w:val="auto"/>
          <w:highlight w:val="none"/>
          <w:lang w:val="zh-CN"/>
        </w:rPr>
        <w:t>邮编：</w:t>
      </w:r>
      <w:r>
        <w:rPr>
          <w:rFonts w:hint="eastAsia"/>
          <w:color w:val="auto"/>
          <w:highlight w:val="none"/>
          <w:u w:val="single"/>
          <w:lang w:val="zh-CN"/>
        </w:rPr>
        <w:t xml:space="preserve">               </w:t>
      </w:r>
      <w:r>
        <w:rPr>
          <w:rFonts w:hint="eastAsia"/>
          <w:color w:val="auto"/>
          <w:highlight w:val="none"/>
          <w:lang w:val="zh-CN"/>
        </w:rPr>
        <w:t>电话：</w:t>
      </w:r>
      <w:r>
        <w:rPr>
          <w:rFonts w:hint="eastAsia"/>
          <w:color w:val="auto"/>
          <w:highlight w:val="none"/>
          <w:u w:val="single"/>
          <w:lang w:val="zh-CN"/>
        </w:rPr>
        <w:t xml:space="preserve">                 </w:t>
      </w:r>
      <w:r>
        <w:rPr>
          <w:rFonts w:hint="eastAsia"/>
          <w:color w:val="auto"/>
          <w:highlight w:val="none"/>
          <w:lang w:val="zh-CN"/>
        </w:rPr>
        <w:t>传真：</w:t>
      </w:r>
      <w:r>
        <w:rPr>
          <w:rFonts w:hint="eastAsia"/>
          <w:color w:val="auto"/>
          <w:highlight w:val="none"/>
          <w:u w:val="single"/>
          <w:lang w:val="zh-CN"/>
        </w:rPr>
        <w:t xml:space="preserve">                 </w:t>
      </w:r>
    </w:p>
    <w:p w14:paraId="47B02E2B">
      <w:pPr>
        <w:autoSpaceDE w:val="0"/>
        <w:autoSpaceDN w:val="0"/>
        <w:adjustRightInd w:val="0"/>
        <w:snapToGrid w:val="0"/>
        <w:spacing w:line="360" w:lineRule="atLeast"/>
        <w:ind w:firstLine="28" w:firstLineChars="12"/>
        <w:rPr>
          <w:rFonts w:hint="eastAsia"/>
          <w:color w:val="auto"/>
          <w:highlight w:val="none"/>
          <w:lang w:val="zh-CN"/>
        </w:rPr>
      </w:pPr>
    </w:p>
    <w:p w14:paraId="0420C6C9">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供应商全称（盖章）：</w:t>
      </w:r>
    </w:p>
    <w:p w14:paraId="109F26FE">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法定代表人或授权代表（签字或签章）：</w:t>
      </w:r>
    </w:p>
    <w:p w14:paraId="439E5920">
      <w:pPr>
        <w:autoSpaceDE w:val="0"/>
        <w:autoSpaceDN w:val="0"/>
        <w:adjustRightInd w:val="0"/>
        <w:snapToGrid w:val="0"/>
        <w:spacing w:line="360" w:lineRule="atLeast"/>
        <w:ind w:left="1" w:firstLine="638" w:firstLineChars="266"/>
        <w:rPr>
          <w:rFonts w:hint="eastAsia"/>
          <w:color w:val="auto"/>
          <w:highlight w:val="none"/>
          <w:lang w:val="zh-CN"/>
        </w:rPr>
      </w:pPr>
      <w:r>
        <w:rPr>
          <w:rFonts w:hint="eastAsia"/>
          <w:color w:val="auto"/>
          <w:highlight w:val="none"/>
          <w:lang w:val="zh-CN"/>
        </w:rPr>
        <w:t>日期：</w:t>
      </w:r>
    </w:p>
    <w:p w14:paraId="6B39BD87">
      <w:pPr>
        <w:autoSpaceDE w:val="0"/>
        <w:autoSpaceDN w:val="0"/>
        <w:adjustRightInd w:val="0"/>
        <w:snapToGrid w:val="0"/>
        <w:spacing w:line="360" w:lineRule="atLeast"/>
        <w:ind w:left="1" w:firstLine="638" w:firstLineChars="266"/>
        <w:rPr>
          <w:rFonts w:hint="eastAsia"/>
          <w:color w:val="auto"/>
          <w:highlight w:val="none"/>
          <w:lang w:val="zh-CN"/>
        </w:rPr>
      </w:pPr>
    </w:p>
    <w:p w14:paraId="1923FE1C">
      <w:pPr>
        <w:autoSpaceDE w:val="0"/>
        <w:autoSpaceDN w:val="0"/>
        <w:adjustRightInd w:val="0"/>
        <w:snapToGrid w:val="0"/>
        <w:spacing w:line="360" w:lineRule="atLeast"/>
        <w:ind w:firstLine="629" w:firstLineChars="285"/>
        <w:rPr>
          <w:rFonts w:hint="eastAsia"/>
          <w:b/>
          <w:color w:val="auto"/>
          <w:highlight w:val="none"/>
          <w:u w:val="single"/>
          <w:lang w:val="zh-CN"/>
        </w:rPr>
      </w:pPr>
      <w:r>
        <w:rPr>
          <w:rFonts w:hint="eastAsia"/>
          <w:b/>
          <w:bCs/>
          <w:color w:val="auto"/>
          <w:sz w:val="22"/>
          <w:szCs w:val="22"/>
          <w:highlight w:val="none"/>
        </w:rPr>
        <w:t>▲</w:t>
      </w:r>
      <w:r>
        <w:rPr>
          <w:rFonts w:hint="eastAsia"/>
          <w:b/>
          <w:color w:val="auto"/>
          <w:highlight w:val="none"/>
          <w:u w:val="single"/>
        </w:rPr>
        <w:t>不提供本函做无效投标处理。</w:t>
      </w:r>
    </w:p>
    <w:p w14:paraId="0BD1167A">
      <w:pPr>
        <w:pStyle w:val="37"/>
        <w:spacing w:line="400" w:lineRule="atLeast"/>
        <w:rPr>
          <w:rFonts w:hint="eastAsia" w:hAnsi="宋体" w:cs="宋体"/>
          <w:b/>
          <w:color w:val="auto"/>
          <w:sz w:val="24"/>
          <w:szCs w:val="24"/>
          <w:highlight w:val="none"/>
        </w:rPr>
      </w:pPr>
    </w:p>
    <w:p w14:paraId="6B33169D">
      <w:pPr>
        <w:pStyle w:val="37"/>
        <w:spacing w:line="400" w:lineRule="atLeast"/>
        <w:rPr>
          <w:rFonts w:hint="eastAsia" w:hAnsi="宋体" w:cs="宋体"/>
          <w:b/>
          <w:color w:val="auto"/>
          <w:sz w:val="24"/>
          <w:szCs w:val="24"/>
          <w:highlight w:val="none"/>
        </w:rPr>
      </w:pPr>
    </w:p>
    <w:p w14:paraId="005C1E01">
      <w:pPr>
        <w:pStyle w:val="37"/>
        <w:spacing w:line="400" w:lineRule="atLeast"/>
        <w:rPr>
          <w:rFonts w:hint="eastAsia" w:hAnsi="宋体" w:cs="宋体"/>
          <w:b/>
          <w:color w:val="auto"/>
          <w:sz w:val="24"/>
          <w:szCs w:val="24"/>
          <w:highlight w:val="none"/>
        </w:rPr>
      </w:pPr>
    </w:p>
    <w:p w14:paraId="790BA87B">
      <w:pPr>
        <w:pStyle w:val="37"/>
        <w:spacing w:line="400" w:lineRule="atLeast"/>
        <w:rPr>
          <w:rFonts w:hint="eastAsia" w:hAnsi="宋体" w:cs="宋体"/>
          <w:b/>
          <w:color w:val="auto"/>
          <w:sz w:val="24"/>
          <w:szCs w:val="24"/>
          <w:highlight w:val="none"/>
        </w:rPr>
      </w:pPr>
    </w:p>
    <w:p w14:paraId="1BFD7A81">
      <w:pPr>
        <w:pStyle w:val="37"/>
        <w:spacing w:line="400" w:lineRule="atLeast"/>
        <w:rPr>
          <w:rFonts w:hint="eastAsia" w:hAnsi="宋体" w:cs="宋体"/>
          <w:b/>
          <w:color w:val="auto"/>
          <w:sz w:val="24"/>
          <w:szCs w:val="24"/>
          <w:highlight w:val="none"/>
        </w:rPr>
      </w:pPr>
    </w:p>
    <w:p w14:paraId="44193871">
      <w:pPr>
        <w:tabs>
          <w:tab w:val="left" w:pos="1080"/>
        </w:tabs>
        <w:autoSpaceDE w:val="0"/>
        <w:autoSpaceDN w:val="0"/>
        <w:adjustRightInd w:val="0"/>
        <w:spacing w:line="440" w:lineRule="atLeast"/>
        <w:outlineLvl w:val="0"/>
        <w:rPr>
          <w:rFonts w:hint="eastAsia"/>
          <w:color w:val="auto"/>
          <w:highlight w:val="none"/>
        </w:rPr>
      </w:pPr>
    </w:p>
    <w:p w14:paraId="04E0A905">
      <w:pPr>
        <w:spacing w:line="360" w:lineRule="auto"/>
        <w:ind w:firstLine="3614" w:firstLineChars="1500"/>
        <w:jc w:val="right"/>
        <w:rPr>
          <w:rFonts w:hint="eastAsia"/>
          <w:b/>
          <w:color w:val="auto"/>
          <w:highlight w:val="none"/>
        </w:rPr>
      </w:pPr>
    </w:p>
    <w:p w14:paraId="4FD38E9D">
      <w:pPr>
        <w:pStyle w:val="37"/>
        <w:adjustRightInd w:val="0"/>
        <w:snapToGrid w:val="0"/>
        <w:spacing w:line="320" w:lineRule="atLeast"/>
        <w:jc w:val="center"/>
        <w:outlineLvl w:val="0"/>
        <w:rPr>
          <w:rFonts w:hint="eastAsia" w:hAnsi="宋体" w:cs="宋体"/>
          <w:b/>
          <w:color w:val="auto"/>
          <w:sz w:val="24"/>
          <w:szCs w:val="24"/>
          <w:highlight w:val="none"/>
        </w:rPr>
      </w:pPr>
    </w:p>
    <w:p w14:paraId="764BEB91">
      <w:pPr>
        <w:pStyle w:val="37"/>
        <w:adjustRightInd w:val="0"/>
        <w:snapToGrid w:val="0"/>
        <w:spacing w:line="320" w:lineRule="atLeast"/>
        <w:outlineLvl w:val="0"/>
        <w:rPr>
          <w:rFonts w:hint="eastAsia" w:hAnsi="宋体" w:cs="宋体"/>
          <w:b/>
          <w:bCs/>
          <w:color w:val="auto"/>
          <w:sz w:val="32"/>
          <w:szCs w:val="32"/>
          <w:highlight w:val="none"/>
        </w:rPr>
      </w:pPr>
      <w:r>
        <w:rPr>
          <w:rFonts w:hint="eastAsia" w:hAnsi="宋体" w:cs="宋体"/>
          <w:b/>
          <w:bCs/>
          <w:color w:val="auto"/>
          <w:kern w:val="0"/>
          <w:sz w:val="32"/>
          <w:szCs w:val="32"/>
          <w:highlight w:val="none"/>
        </w:rPr>
        <w:t>3.</w:t>
      </w:r>
      <w:r>
        <w:rPr>
          <w:rFonts w:hint="eastAsia" w:hAnsi="宋体" w:cs="宋体"/>
          <w:b/>
          <w:bCs/>
          <w:color w:val="auto"/>
          <w:sz w:val="32"/>
          <w:szCs w:val="32"/>
          <w:highlight w:val="none"/>
        </w:rPr>
        <w:t>5供应商情况声明</w:t>
      </w:r>
    </w:p>
    <w:p w14:paraId="56AD0255">
      <w:pPr>
        <w:pStyle w:val="37"/>
        <w:adjustRightInd w:val="0"/>
        <w:snapToGrid w:val="0"/>
        <w:spacing w:line="320" w:lineRule="atLeast"/>
        <w:jc w:val="center"/>
        <w:outlineLvl w:val="0"/>
        <w:rPr>
          <w:rFonts w:hint="eastAsia" w:hAnsi="宋体" w:cs="宋体"/>
          <w:b/>
          <w:color w:val="auto"/>
          <w:sz w:val="24"/>
          <w:szCs w:val="24"/>
          <w:highlight w:val="none"/>
        </w:rPr>
      </w:pPr>
      <w:r>
        <w:rPr>
          <w:rFonts w:hint="eastAsia" w:hAnsi="宋体" w:cs="宋体"/>
          <w:b/>
          <w:color w:val="auto"/>
          <w:sz w:val="24"/>
          <w:szCs w:val="24"/>
          <w:highlight w:val="none"/>
        </w:rPr>
        <w:t>供应商情况声明</w:t>
      </w:r>
    </w:p>
    <w:p w14:paraId="1201CC1B">
      <w:pPr>
        <w:spacing w:line="400" w:lineRule="exact"/>
        <w:outlineLvl w:val="0"/>
        <w:rPr>
          <w:rFonts w:hint="eastAsia"/>
          <w:color w:val="auto"/>
          <w:highlight w:val="none"/>
        </w:rPr>
      </w:pPr>
      <w:r>
        <w:rPr>
          <w:rFonts w:hint="eastAsia"/>
          <w:color w:val="auto"/>
          <w:highlight w:val="none"/>
        </w:rPr>
        <w:t>1. 名称及概况：</w:t>
      </w:r>
    </w:p>
    <w:p w14:paraId="719D11F6">
      <w:pPr>
        <w:spacing w:line="400" w:lineRule="exact"/>
        <w:rPr>
          <w:rFonts w:hint="eastAsia"/>
          <w:color w:val="auto"/>
          <w:highlight w:val="none"/>
        </w:rPr>
      </w:pPr>
      <w:r>
        <w:rPr>
          <w:rFonts w:hint="eastAsia"/>
          <w:color w:val="auto"/>
          <w:highlight w:val="none"/>
        </w:rPr>
        <w:t>（1）供应商名称：</w:t>
      </w:r>
      <w:r>
        <w:rPr>
          <w:rFonts w:hint="eastAsia"/>
          <w:color w:val="auto"/>
          <w:highlight w:val="none"/>
          <w:u w:val="single"/>
        </w:rPr>
        <w:t xml:space="preserve">                           </w:t>
      </w:r>
    </w:p>
    <w:p w14:paraId="48C7006F">
      <w:pPr>
        <w:spacing w:line="400" w:lineRule="exact"/>
        <w:rPr>
          <w:rFonts w:hint="eastAsia"/>
          <w:color w:val="auto"/>
          <w:highlight w:val="none"/>
        </w:rPr>
      </w:pPr>
      <w:r>
        <w:rPr>
          <w:rFonts w:hint="eastAsia"/>
          <w:color w:val="auto"/>
          <w:highlight w:val="none"/>
        </w:rPr>
        <w:t>（2）总部地址：</w:t>
      </w:r>
      <w:r>
        <w:rPr>
          <w:rFonts w:hint="eastAsia"/>
          <w:color w:val="auto"/>
          <w:highlight w:val="none"/>
          <w:u w:val="single"/>
        </w:rPr>
        <w:t xml:space="preserve">                             </w:t>
      </w:r>
    </w:p>
    <w:p w14:paraId="6142ACB5">
      <w:pPr>
        <w:spacing w:line="400" w:lineRule="exact"/>
        <w:ind w:firstLine="600"/>
        <w:rPr>
          <w:rFonts w:hint="eastAsia"/>
          <w:color w:val="auto"/>
          <w:highlight w:val="none"/>
          <w:u w:val="single"/>
        </w:rPr>
      </w:pPr>
      <w:r>
        <w:rPr>
          <w:rFonts w:hint="eastAsia"/>
          <w:color w:val="auto"/>
          <w:highlight w:val="none"/>
        </w:rPr>
        <w:t>传真/电话号码：</w:t>
      </w:r>
      <w:r>
        <w:rPr>
          <w:rFonts w:hint="eastAsia"/>
          <w:color w:val="auto"/>
          <w:highlight w:val="none"/>
          <w:u w:val="single"/>
        </w:rPr>
        <w:t xml:space="preserve">                        </w:t>
      </w:r>
    </w:p>
    <w:p w14:paraId="325B0F8D">
      <w:pPr>
        <w:spacing w:line="400" w:lineRule="exact"/>
        <w:rPr>
          <w:rFonts w:hint="eastAsia"/>
          <w:color w:val="auto"/>
          <w:highlight w:val="none"/>
        </w:rPr>
      </w:pPr>
      <w:r>
        <w:rPr>
          <w:rFonts w:hint="eastAsia"/>
          <w:color w:val="auto"/>
          <w:highlight w:val="none"/>
        </w:rPr>
        <w:t>（3）温州设立长期驻点办公地址（如有）：</w:t>
      </w:r>
      <w:r>
        <w:rPr>
          <w:rFonts w:hint="eastAsia"/>
          <w:color w:val="auto"/>
          <w:highlight w:val="none"/>
          <w:u w:val="single"/>
        </w:rPr>
        <w:t xml:space="preserve">                        </w:t>
      </w:r>
    </w:p>
    <w:p w14:paraId="028CF98C">
      <w:pPr>
        <w:spacing w:line="400" w:lineRule="exact"/>
        <w:rPr>
          <w:rFonts w:hint="eastAsia"/>
          <w:color w:val="auto"/>
          <w:highlight w:val="none"/>
        </w:rPr>
      </w:pPr>
      <w:r>
        <w:rPr>
          <w:rFonts w:hint="eastAsia"/>
          <w:color w:val="auto"/>
          <w:highlight w:val="none"/>
        </w:rPr>
        <w:t xml:space="preserve">     电话号码：</w:t>
      </w:r>
      <w:r>
        <w:rPr>
          <w:rFonts w:hint="eastAsia"/>
          <w:color w:val="auto"/>
          <w:highlight w:val="none"/>
          <w:u w:val="single"/>
        </w:rPr>
        <w:t xml:space="preserve">                        </w:t>
      </w:r>
    </w:p>
    <w:p w14:paraId="29D0277B">
      <w:pPr>
        <w:spacing w:line="400" w:lineRule="exact"/>
        <w:rPr>
          <w:rFonts w:hint="eastAsia"/>
          <w:color w:val="auto"/>
          <w:highlight w:val="none"/>
        </w:rPr>
      </w:pPr>
      <w:r>
        <w:rPr>
          <w:rFonts w:hint="eastAsia"/>
          <w:color w:val="auto"/>
          <w:highlight w:val="none"/>
        </w:rPr>
        <w:t>（4）成立或注册日期：</w:t>
      </w:r>
      <w:r>
        <w:rPr>
          <w:rFonts w:hint="eastAsia"/>
          <w:color w:val="auto"/>
          <w:highlight w:val="none"/>
          <w:u w:val="single"/>
        </w:rPr>
        <w:t xml:space="preserve">                        </w:t>
      </w:r>
    </w:p>
    <w:p w14:paraId="15B47874">
      <w:pPr>
        <w:spacing w:line="400" w:lineRule="exact"/>
        <w:rPr>
          <w:rFonts w:hint="eastAsia"/>
          <w:color w:val="auto"/>
          <w:highlight w:val="none"/>
        </w:rPr>
      </w:pPr>
      <w:r>
        <w:rPr>
          <w:rFonts w:hint="eastAsia"/>
          <w:color w:val="auto"/>
          <w:highlight w:val="none"/>
        </w:rPr>
        <w:t>（5）实收资本：</w:t>
      </w:r>
      <w:r>
        <w:rPr>
          <w:rFonts w:hint="eastAsia"/>
          <w:color w:val="auto"/>
          <w:highlight w:val="none"/>
          <w:u w:val="single"/>
        </w:rPr>
        <w:t xml:space="preserve">                              </w:t>
      </w:r>
    </w:p>
    <w:p w14:paraId="48BD4091">
      <w:pPr>
        <w:spacing w:line="400" w:lineRule="exact"/>
        <w:rPr>
          <w:rFonts w:hint="eastAsia"/>
          <w:color w:val="auto"/>
          <w:highlight w:val="none"/>
        </w:rPr>
      </w:pPr>
      <w:r>
        <w:rPr>
          <w:rFonts w:hint="eastAsia"/>
          <w:color w:val="auto"/>
          <w:highlight w:val="none"/>
        </w:rPr>
        <w:t>（6）近期资产负债表（到</w:t>
      </w:r>
      <w:r>
        <w:rPr>
          <w:rFonts w:hint="eastAsia"/>
          <w:color w:val="auto"/>
          <w:highlight w:val="none"/>
          <w:u w:val="single"/>
        </w:rPr>
        <w:t xml:space="preserve">        </w:t>
      </w:r>
      <w:r>
        <w:rPr>
          <w:rFonts w:hint="eastAsia"/>
          <w:color w:val="auto"/>
          <w:highlight w:val="none"/>
        </w:rPr>
        <w:t>年</w:t>
      </w:r>
      <w:r>
        <w:rPr>
          <w:rFonts w:hint="eastAsia"/>
          <w:color w:val="auto"/>
          <w:highlight w:val="none"/>
          <w:u w:val="single"/>
        </w:rPr>
        <w:t xml:space="preserve">    </w:t>
      </w:r>
      <w:r>
        <w:rPr>
          <w:rFonts w:hint="eastAsia"/>
          <w:color w:val="auto"/>
          <w:highlight w:val="none"/>
        </w:rPr>
        <w:t>月</w:t>
      </w:r>
      <w:r>
        <w:rPr>
          <w:rFonts w:hint="eastAsia"/>
          <w:color w:val="auto"/>
          <w:highlight w:val="none"/>
          <w:u w:val="single"/>
        </w:rPr>
        <w:t xml:space="preserve">    </w:t>
      </w:r>
      <w:r>
        <w:rPr>
          <w:rFonts w:hint="eastAsia"/>
          <w:color w:val="auto"/>
          <w:highlight w:val="none"/>
        </w:rPr>
        <w:t>日止）</w:t>
      </w:r>
    </w:p>
    <w:p w14:paraId="1ED4E95D">
      <w:pPr>
        <w:spacing w:line="400" w:lineRule="exact"/>
        <w:rPr>
          <w:rFonts w:hint="eastAsia"/>
          <w:color w:val="auto"/>
          <w:highlight w:val="none"/>
        </w:rPr>
      </w:pPr>
      <w:r>
        <w:rPr>
          <w:rFonts w:hint="eastAsia"/>
          <w:color w:val="auto"/>
          <w:highlight w:val="none"/>
        </w:rPr>
        <w:t xml:space="preserve">  1）固定资产：</w:t>
      </w:r>
      <w:r>
        <w:rPr>
          <w:rFonts w:hint="eastAsia"/>
          <w:color w:val="auto"/>
          <w:highlight w:val="none"/>
          <w:u w:val="single"/>
        </w:rPr>
        <w:t xml:space="preserve">               </w:t>
      </w:r>
    </w:p>
    <w:p w14:paraId="31AF3918">
      <w:pPr>
        <w:spacing w:line="400" w:lineRule="exact"/>
        <w:rPr>
          <w:rFonts w:hint="eastAsia"/>
          <w:color w:val="auto"/>
          <w:highlight w:val="none"/>
        </w:rPr>
      </w:pPr>
      <w:r>
        <w:rPr>
          <w:rFonts w:hint="eastAsia"/>
          <w:color w:val="auto"/>
          <w:highlight w:val="none"/>
        </w:rPr>
        <w:t xml:space="preserve">  2）流动资产：</w:t>
      </w:r>
      <w:r>
        <w:rPr>
          <w:rFonts w:hint="eastAsia"/>
          <w:color w:val="auto"/>
          <w:highlight w:val="none"/>
          <w:u w:val="single"/>
        </w:rPr>
        <w:t xml:space="preserve">               </w:t>
      </w:r>
    </w:p>
    <w:p w14:paraId="6C2F3C47">
      <w:pPr>
        <w:spacing w:line="400" w:lineRule="exact"/>
        <w:rPr>
          <w:rFonts w:hint="eastAsia"/>
          <w:color w:val="auto"/>
          <w:highlight w:val="none"/>
        </w:rPr>
      </w:pPr>
      <w:r>
        <w:rPr>
          <w:rFonts w:hint="eastAsia"/>
          <w:color w:val="auto"/>
          <w:highlight w:val="none"/>
        </w:rPr>
        <w:t xml:space="preserve">  3）长期负债：</w:t>
      </w:r>
      <w:r>
        <w:rPr>
          <w:rFonts w:hint="eastAsia"/>
          <w:color w:val="auto"/>
          <w:highlight w:val="none"/>
          <w:u w:val="single"/>
        </w:rPr>
        <w:t xml:space="preserve">               </w:t>
      </w:r>
    </w:p>
    <w:p w14:paraId="5D9C2478">
      <w:pPr>
        <w:spacing w:line="400" w:lineRule="exact"/>
        <w:rPr>
          <w:rFonts w:hint="eastAsia"/>
          <w:color w:val="auto"/>
          <w:highlight w:val="none"/>
        </w:rPr>
      </w:pPr>
      <w:r>
        <w:rPr>
          <w:rFonts w:hint="eastAsia"/>
          <w:color w:val="auto"/>
          <w:highlight w:val="none"/>
        </w:rPr>
        <w:t xml:space="preserve">  4）流动负债：</w:t>
      </w:r>
      <w:r>
        <w:rPr>
          <w:rFonts w:hint="eastAsia"/>
          <w:color w:val="auto"/>
          <w:highlight w:val="none"/>
          <w:u w:val="single"/>
        </w:rPr>
        <w:t xml:space="preserve">               </w:t>
      </w:r>
    </w:p>
    <w:p w14:paraId="4B6DDA02">
      <w:pPr>
        <w:spacing w:line="400" w:lineRule="exact"/>
        <w:rPr>
          <w:rFonts w:hint="eastAsia"/>
          <w:color w:val="auto"/>
          <w:highlight w:val="none"/>
        </w:rPr>
      </w:pPr>
      <w:r>
        <w:rPr>
          <w:rFonts w:hint="eastAsia"/>
          <w:color w:val="auto"/>
          <w:highlight w:val="none"/>
        </w:rPr>
        <w:t xml:space="preserve">  5）净值：</w:t>
      </w:r>
      <w:r>
        <w:rPr>
          <w:rFonts w:hint="eastAsia"/>
          <w:color w:val="auto"/>
          <w:highlight w:val="none"/>
          <w:u w:val="single"/>
        </w:rPr>
        <w:t xml:space="preserve">                   </w:t>
      </w:r>
    </w:p>
    <w:p w14:paraId="6D6DF8B6">
      <w:pPr>
        <w:spacing w:line="400" w:lineRule="exact"/>
        <w:rPr>
          <w:rFonts w:hint="eastAsia"/>
          <w:color w:val="auto"/>
          <w:highlight w:val="none"/>
        </w:rPr>
      </w:pPr>
      <w:r>
        <w:rPr>
          <w:rFonts w:hint="eastAsia"/>
          <w:color w:val="auto"/>
          <w:highlight w:val="none"/>
        </w:rPr>
        <w:t>（6）主要负责人姓名：</w:t>
      </w:r>
      <w:r>
        <w:rPr>
          <w:rFonts w:hint="eastAsia"/>
          <w:color w:val="auto"/>
          <w:highlight w:val="none"/>
          <w:u w:val="single"/>
        </w:rPr>
        <w:t xml:space="preserve">                      </w:t>
      </w:r>
    </w:p>
    <w:p w14:paraId="28565ABC">
      <w:pPr>
        <w:spacing w:line="360" w:lineRule="exact"/>
        <w:ind w:left="720" w:hanging="720" w:hangingChars="300"/>
        <w:rPr>
          <w:rFonts w:hint="eastAsia"/>
          <w:color w:val="auto"/>
          <w:highlight w:val="none"/>
        </w:rPr>
      </w:pPr>
      <w:r>
        <w:rPr>
          <w:rFonts w:hint="eastAsia"/>
          <w:color w:val="auto"/>
          <w:highlight w:val="none"/>
        </w:rPr>
        <w:t>2．企业生产设备及规模：</w:t>
      </w:r>
    </w:p>
    <w:p w14:paraId="588459F0">
      <w:pPr>
        <w:spacing w:line="360" w:lineRule="exact"/>
        <w:ind w:left="720" w:hanging="720" w:hangingChars="300"/>
        <w:outlineLvl w:val="0"/>
        <w:rPr>
          <w:rFonts w:hint="eastAsia"/>
          <w:color w:val="auto"/>
          <w:highlight w:val="none"/>
        </w:rPr>
      </w:pPr>
      <w:r>
        <w:rPr>
          <w:rFonts w:hint="eastAsia"/>
          <w:color w:val="auto"/>
          <w:highlight w:val="none"/>
        </w:rPr>
        <w:t>3. 企业人员情况：</w:t>
      </w:r>
    </w:p>
    <w:p w14:paraId="581CCB16">
      <w:pPr>
        <w:spacing w:line="400" w:lineRule="exact"/>
        <w:rPr>
          <w:rFonts w:hint="eastAsia"/>
          <w:color w:val="auto"/>
          <w:highlight w:val="none"/>
        </w:rPr>
      </w:pPr>
      <w:r>
        <w:rPr>
          <w:rFonts w:hint="eastAsia"/>
          <w:color w:val="auto"/>
          <w:highlight w:val="none"/>
        </w:rPr>
        <w:t>职工（在职）人数</w:t>
      </w:r>
      <w:r>
        <w:rPr>
          <w:rFonts w:hint="eastAsia"/>
          <w:color w:val="auto"/>
          <w:highlight w:val="none"/>
          <w:u w:val="single"/>
        </w:rPr>
        <w:t xml:space="preserve">       </w:t>
      </w:r>
      <w:r>
        <w:rPr>
          <w:rFonts w:hint="eastAsia"/>
          <w:color w:val="auto"/>
          <w:highlight w:val="none"/>
        </w:rPr>
        <w:t>人，其中技术人员</w:t>
      </w:r>
      <w:r>
        <w:rPr>
          <w:rFonts w:hint="eastAsia"/>
          <w:color w:val="auto"/>
          <w:highlight w:val="none"/>
          <w:u w:val="single"/>
        </w:rPr>
        <w:t xml:space="preserve">       </w:t>
      </w:r>
      <w:r>
        <w:rPr>
          <w:rFonts w:hint="eastAsia"/>
          <w:color w:val="auto"/>
          <w:highlight w:val="none"/>
        </w:rPr>
        <w:t>人，</w:t>
      </w:r>
    </w:p>
    <w:p w14:paraId="4F465A83">
      <w:pPr>
        <w:spacing w:line="360" w:lineRule="exact"/>
        <w:ind w:left="720" w:hanging="720" w:hangingChars="300"/>
        <w:outlineLvl w:val="0"/>
        <w:rPr>
          <w:rFonts w:hint="eastAsia"/>
          <w:color w:val="auto"/>
          <w:highlight w:val="none"/>
        </w:rPr>
      </w:pPr>
      <w:r>
        <w:rPr>
          <w:rFonts w:hint="eastAsia"/>
          <w:color w:val="auto"/>
          <w:highlight w:val="none"/>
        </w:rPr>
        <w:t>4. 近三年的年营业总额</w:t>
      </w:r>
      <w:r>
        <w:rPr>
          <w:rFonts w:hint="eastAsia"/>
          <w:color w:val="auto"/>
          <w:highlight w:val="none"/>
          <w:u w:val="single"/>
        </w:rPr>
        <w:t xml:space="preserve">                       </w:t>
      </w:r>
    </w:p>
    <w:p w14:paraId="32922002">
      <w:pPr>
        <w:spacing w:line="400" w:lineRule="exact"/>
        <w:ind w:firstLine="240" w:firstLineChars="100"/>
        <w:rPr>
          <w:rFonts w:hint="eastAsia"/>
          <w:color w:val="auto"/>
          <w:highlight w:val="none"/>
        </w:rPr>
      </w:pPr>
      <w:r>
        <w:rPr>
          <w:rFonts w:hint="eastAsia"/>
          <w:color w:val="auto"/>
          <w:highlight w:val="none"/>
        </w:rPr>
        <w:t>兹证明上述声明是真实、正确的、并提供了全部能提供的资料和数据，我们同意遵照贵方要求出示有关证明文件。</w:t>
      </w:r>
    </w:p>
    <w:p w14:paraId="495C85A2">
      <w:pPr>
        <w:spacing w:line="400" w:lineRule="exact"/>
        <w:rPr>
          <w:rFonts w:hint="eastAsia"/>
          <w:color w:val="auto"/>
          <w:highlight w:val="none"/>
        </w:rPr>
      </w:pPr>
    </w:p>
    <w:p w14:paraId="0616A9DD">
      <w:pPr>
        <w:spacing w:line="400" w:lineRule="exact"/>
        <w:rPr>
          <w:rFonts w:hint="eastAsia"/>
          <w:color w:val="auto"/>
          <w:highlight w:val="none"/>
        </w:rPr>
      </w:pPr>
      <w:r>
        <w:rPr>
          <w:rFonts w:hint="eastAsia"/>
          <w:color w:val="auto"/>
          <w:highlight w:val="none"/>
        </w:rPr>
        <w:t>供应商名称</w:t>
      </w:r>
      <w:r>
        <w:rPr>
          <w:rFonts w:hint="eastAsia"/>
          <w:color w:val="auto"/>
          <w:highlight w:val="none"/>
          <w:u w:val="single"/>
        </w:rPr>
        <w:t xml:space="preserve">                               （盖章）</w:t>
      </w:r>
    </w:p>
    <w:p w14:paraId="304D2C08">
      <w:pPr>
        <w:spacing w:line="400" w:lineRule="exact"/>
        <w:rPr>
          <w:rFonts w:hint="eastAsia"/>
          <w:color w:val="auto"/>
          <w:highlight w:val="none"/>
        </w:rPr>
      </w:pPr>
      <w:r>
        <w:rPr>
          <w:rFonts w:hint="eastAsia"/>
          <w:color w:val="auto"/>
          <w:highlight w:val="none"/>
        </w:rPr>
        <w:t>法定代表人姓名和职务</w:t>
      </w:r>
      <w:r>
        <w:rPr>
          <w:rFonts w:hint="eastAsia"/>
          <w:color w:val="auto"/>
          <w:highlight w:val="none"/>
          <w:u w:val="single"/>
        </w:rPr>
        <w:t xml:space="preserve">                     </w:t>
      </w:r>
    </w:p>
    <w:p w14:paraId="29512AE8">
      <w:pPr>
        <w:spacing w:line="400" w:lineRule="exact"/>
        <w:rPr>
          <w:rFonts w:hint="eastAsia"/>
          <w:color w:val="auto"/>
          <w:highlight w:val="none"/>
        </w:rPr>
      </w:pPr>
      <w:r>
        <w:rPr>
          <w:rFonts w:hint="eastAsia"/>
          <w:color w:val="auto"/>
          <w:highlight w:val="none"/>
        </w:rPr>
        <w:t>法定代表人或</w:t>
      </w:r>
      <w:r>
        <w:rPr>
          <w:rFonts w:hint="eastAsia"/>
          <w:color w:val="auto"/>
          <w:highlight w:val="none"/>
          <w:lang w:val="zh-CN"/>
        </w:rPr>
        <w:t>授权代表（签字或签章）</w:t>
      </w:r>
      <w:r>
        <w:rPr>
          <w:rFonts w:hint="eastAsia"/>
          <w:color w:val="auto"/>
          <w:highlight w:val="none"/>
          <w:u w:val="single"/>
        </w:rPr>
        <w:t xml:space="preserve">                           </w:t>
      </w:r>
    </w:p>
    <w:p w14:paraId="0C9A6643">
      <w:pPr>
        <w:spacing w:line="400" w:lineRule="exact"/>
        <w:rPr>
          <w:rFonts w:hint="eastAsia"/>
          <w:color w:val="auto"/>
          <w:highlight w:val="none"/>
        </w:rPr>
      </w:pPr>
      <w:r>
        <w:rPr>
          <w:rFonts w:hint="eastAsia"/>
          <w:color w:val="auto"/>
          <w:highlight w:val="none"/>
        </w:rPr>
        <w:t>签字日期</w:t>
      </w:r>
      <w:r>
        <w:rPr>
          <w:rFonts w:hint="eastAsia"/>
          <w:color w:val="auto"/>
          <w:highlight w:val="none"/>
          <w:u w:val="single"/>
        </w:rPr>
        <w:t xml:space="preserve">                                 </w:t>
      </w:r>
    </w:p>
    <w:p w14:paraId="2DE28DBC">
      <w:pPr>
        <w:spacing w:line="360" w:lineRule="exact"/>
        <w:rPr>
          <w:rFonts w:hint="eastAsia"/>
          <w:color w:val="auto"/>
          <w:highlight w:val="none"/>
          <w:u w:val="single"/>
        </w:rPr>
      </w:pPr>
      <w:r>
        <w:rPr>
          <w:rFonts w:hint="eastAsia"/>
          <w:color w:val="auto"/>
          <w:highlight w:val="none"/>
        </w:rPr>
        <w:t>电子邮件</w:t>
      </w:r>
      <w:r>
        <w:rPr>
          <w:rFonts w:hint="eastAsia"/>
          <w:color w:val="auto"/>
          <w:highlight w:val="none"/>
          <w:u w:val="single"/>
        </w:rPr>
        <w:t xml:space="preserve">                                 </w:t>
      </w:r>
    </w:p>
    <w:p w14:paraId="4122A16B">
      <w:pPr>
        <w:pStyle w:val="37"/>
        <w:spacing w:line="400" w:lineRule="atLeast"/>
        <w:rPr>
          <w:rFonts w:hint="eastAsia" w:hAnsi="宋体" w:cs="宋体"/>
          <w:b/>
          <w:color w:val="auto"/>
          <w:sz w:val="24"/>
          <w:szCs w:val="24"/>
          <w:highlight w:val="none"/>
        </w:rPr>
      </w:pPr>
    </w:p>
    <w:p w14:paraId="388D1A96">
      <w:pPr>
        <w:pStyle w:val="37"/>
        <w:spacing w:line="400" w:lineRule="atLeast"/>
        <w:rPr>
          <w:rFonts w:hint="eastAsia" w:hAnsi="宋体" w:cs="宋体"/>
          <w:b/>
          <w:color w:val="auto"/>
          <w:sz w:val="24"/>
          <w:szCs w:val="24"/>
          <w:highlight w:val="none"/>
        </w:rPr>
      </w:pPr>
    </w:p>
    <w:p w14:paraId="537B6434">
      <w:pPr>
        <w:pStyle w:val="37"/>
        <w:spacing w:line="400" w:lineRule="atLeast"/>
        <w:rPr>
          <w:rFonts w:hint="eastAsia" w:hAnsi="宋体" w:cs="宋体"/>
          <w:b/>
          <w:color w:val="auto"/>
          <w:sz w:val="24"/>
          <w:szCs w:val="24"/>
          <w:highlight w:val="none"/>
        </w:rPr>
      </w:pPr>
    </w:p>
    <w:p w14:paraId="11C10354">
      <w:pPr>
        <w:pStyle w:val="37"/>
        <w:spacing w:line="400" w:lineRule="atLeast"/>
        <w:rPr>
          <w:rFonts w:hint="eastAsia" w:hAnsi="宋体" w:cs="宋体"/>
          <w:b/>
          <w:color w:val="auto"/>
          <w:sz w:val="24"/>
          <w:szCs w:val="24"/>
          <w:highlight w:val="none"/>
        </w:rPr>
      </w:pPr>
    </w:p>
    <w:p w14:paraId="705DDC3F">
      <w:pPr>
        <w:widowControl/>
        <w:snapToGrid w:val="0"/>
        <w:spacing w:line="320" w:lineRule="exact"/>
        <w:jc w:val="left"/>
        <w:rPr>
          <w:rFonts w:hint="eastAsia"/>
          <w:b/>
          <w:color w:val="auto"/>
          <w:sz w:val="32"/>
          <w:szCs w:val="32"/>
          <w:highlight w:val="none"/>
          <w:lang w:val="zh-CN"/>
        </w:rPr>
      </w:pPr>
      <w:r>
        <w:rPr>
          <w:rFonts w:hint="eastAsia"/>
          <w:b/>
          <w:color w:val="auto"/>
          <w:highlight w:val="none"/>
          <w:lang w:val="zh-CN"/>
        </w:rPr>
        <w:br w:type="page"/>
      </w:r>
      <w:r>
        <w:rPr>
          <w:rFonts w:hint="eastAsia"/>
          <w:b/>
          <w:color w:val="auto"/>
          <w:sz w:val="32"/>
          <w:szCs w:val="32"/>
          <w:highlight w:val="none"/>
          <w:lang w:val="zh-CN"/>
        </w:rPr>
        <w:t>3.</w:t>
      </w:r>
      <w:r>
        <w:rPr>
          <w:rFonts w:hint="eastAsia"/>
          <w:b/>
          <w:color w:val="auto"/>
          <w:sz w:val="32"/>
          <w:szCs w:val="32"/>
          <w:highlight w:val="none"/>
        </w:rPr>
        <w:t>6</w:t>
      </w:r>
      <w:r>
        <w:rPr>
          <w:rFonts w:hint="eastAsia"/>
          <w:b/>
          <w:color w:val="auto"/>
          <w:sz w:val="32"/>
          <w:szCs w:val="32"/>
          <w:highlight w:val="none"/>
          <w:lang w:val="zh-CN"/>
        </w:rPr>
        <w:t>商务偏离表、技术偏离表</w:t>
      </w:r>
    </w:p>
    <w:p w14:paraId="07ABB77A">
      <w:pPr>
        <w:widowControl/>
        <w:snapToGrid w:val="0"/>
        <w:spacing w:line="320" w:lineRule="exact"/>
        <w:jc w:val="left"/>
        <w:rPr>
          <w:rFonts w:hint="eastAsia" w:ascii="宋体" w:hAnsi="宋体" w:eastAsia="宋体" w:cs="宋体"/>
          <w:b/>
          <w:color w:val="auto"/>
          <w:sz w:val="32"/>
          <w:szCs w:val="32"/>
          <w:highlight w:val="none"/>
          <w:lang w:val="zh-CN" w:eastAsia="zh-CN"/>
        </w:rPr>
      </w:pPr>
      <w:r>
        <w:rPr>
          <w:rFonts w:hint="eastAsia" w:ascii="宋体" w:hAnsi="宋体" w:eastAsia="宋体" w:cs="宋体"/>
          <w:b/>
          <w:color w:val="auto"/>
          <w:sz w:val="32"/>
          <w:szCs w:val="32"/>
          <w:highlight w:val="none"/>
          <w:lang w:val="zh-CN"/>
        </w:rPr>
        <w:t>（若不填写，则视为完全响应采购文件</w:t>
      </w:r>
      <w:r>
        <w:rPr>
          <w:rFonts w:hint="eastAsia" w:ascii="宋体" w:hAnsi="宋体" w:eastAsia="宋体" w:cs="宋体"/>
          <w:b/>
          <w:color w:val="auto"/>
          <w:sz w:val="32"/>
          <w:szCs w:val="32"/>
          <w:highlight w:val="none"/>
          <w:lang w:val="zh-CN" w:eastAsia="zh-CN"/>
        </w:rPr>
        <w:t>）</w:t>
      </w:r>
    </w:p>
    <w:p w14:paraId="455A95C5">
      <w:pPr>
        <w:autoSpaceDE w:val="0"/>
        <w:autoSpaceDN w:val="0"/>
        <w:adjustRightInd w:val="0"/>
        <w:spacing w:line="440" w:lineRule="atLeast"/>
        <w:jc w:val="center"/>
        <w:outlineLvl w:val="0"/>
        <w:rPr>
          <w:rFonts w:hint="eastAsia"/>
          <w:b/>
          <w:color w:val="auto"/>
          <w:highlight w:val="none"/>
          <w:lang w:val="zh-CN"/>
        </w:rPr>
      </w:pPr>
      <w:r>
        <w:rPr>
          <w:rFonts w:hint="eastAsia"/>
          <w:b/>
          <w:color w:val="auto"/>
          <w:highlight w:val="none"/>
          <w:lang w:val="zh-CN"/>
        </w:rPr>
        <w:t>商务偏离表</w:t>
      </w:r>
    </w:p>
    <w:p w14:paraId="4E3A0A20">
      <w:pPr>
        <w:autoSpaceDE w:val="0"/>
        <w:autoSpaceDN w:val="0"/>
        <w:adjustRightInd w:val="0"/>
        <w:spacing w:line="440" w:lineRule="atLeast"/>
        <w:ind w:firstLine="3413"/>
        <w:rPr>
          <w:rFonts w:hint="eastAsia"/>
          <w:b/>
          <w:color w:val="auto"/>
          <w:highlight w:val="none"/>
          <w:lang w:val="zh-CN"/>
        </w:rPr>
      </w:pPr>
    </w:p>
    <w:tbl>
      <w:tblPr>
        <w:tblStyle w:val="66"/>
        <w:tblW w:w="0" w:type="auto"/>
        <w:tblInd w:w="0" w:type="dxa"/>
        <w:tblLayout w:type="fixed"/>
        <w:tblCellMar>
          <w:top w:w="0" w:type="dxa"/>
          <w:left w:w="108" w:type="dxa"/>
          <w:bottom w:w="0" w:type="dxa"/>
          <w:right w:w="108" w:type="dxa"/>
        </w:tblCellMar>
      </w:tblPr>
      <w:tblGrid>
        <w:gridCol w:w="900"/>
        <w:gridCol w:w="1800"/>
        <w:gridCol w:w="2664"/>
        <w:gridCol w:w="2110"/>
        <w:gridCol w:w="2126"/>
      </w:tblGrid>
      <w:tr w14:paraId="4C38DE5A">
        <w:tblPrEx>
          <w:tblCellMar>
            <w:top w:w="0" w:type="dxa"/>
            <w:left w:w="108" w:type="dxa"/>
            <w:bottom w:w="0" w:type="dxa"/>
            <w:right w:w="108" w:type="dxa"/>
          </w:tblCellMar>
        </w:tblPrEx>
        <w:trPr>
          <w:trHeight w:val="936" w:hRule="atLeast"/>
        </w:trPr>
        <w:tc>
          <w:tcPr>
            <w:tcW w:w="900" w:type="dxa"/>
            <w:tcBorders>
              <w:top w:val="single" w:color="auto" w:sz="6" w:space="0"/>
              <w:left w:val="single" w:color="auto" w:sz="6" w:space="0"/>
              <w:bottom w:val="single" w:color="auto" w:sz="6" w:space="0"/>
              <w:right w:val="single" w:color="auto" w:sz="6" w:space="0"/>
            </w:tcBorders>
            <w:noWrap w:val="0"/>
            <w:vAlign w:val="center"/>
          </w:tcPr>
          <w:p w14:paraId="181FC39B">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序 号</w:t>
            </w:r>
          </w:p>
        </w:tc>
        <w:tc>
          <w:tcPr>
            <w:tcW w:w="1800" w:type="dxa"/>
            <w:tcBorders>
              <w:top w:val="single" w:color="auto" w:sz="6" w:space="0"/>
              <w:left w:val="single" w:color="auto" w:sz="6" w:space="0"/>
              <w:bottom w:val="single" w:color="auto" w:sz="6" w:space="0"/>
              <w:right w:val="single" w:color="auto" w:sz="6" w:space="0"/>
            </w:tcBorders>
            <w:noWrap w:val="0"/>
            <w:vAlign w:val="center"/>
          </w:tcPr>
          <w:p w14:paraId="41501C8F">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内容</w:t>
            </w:r>
          </w:p>
        </w:tc>
        <w:tc>
          <w:tcPr>
            <w:tcW w:w="2664" w:type="dxa"/>
            <w:tcBorders>
              <w:top w:val="single" w:color="auto" w:sz="6" w:space="0"/>
              <w:left w:val="single" w:color="auto" w:sz="6" w:space="0"/>
              <w:bottom w:val="single" w:color="auto" w:sz="6" w:space="0"/>
              <w:right w:val="single" w:color="auto" w:sz="6" w:space="0"/>
            </w:tcBorders>
            <w:noWrap w:val="0"/>
            <w:vAlign w:val="center"/>
          </w:tcPr>
          <w:p w14:paraId="1A45C1F2">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招标文件规范要求</w:t>
            </w:r>
          </w:p>
        </w:tc>
        <w:tc>
          <w:tcPr>
            <w:tcW w:w="2110" w:type="dxa"/>
            <w:tcBorders>
              <w:top w:val="single" w:color="auto" w:sz="6" w:space="0"/>
              <w:left w:val="single" w:color="auto" w:sz="6" w:space="0"/>
              <w:bottom w:val="single" w:color="auto" w:sz="6" w:space="0"/>
              <w:right w:val="single" w:color="auto" w:sz="6" w:space="0"/>
            </w:tcBorders>
            <w:noWrap w:val="0"/>
            <w:vAlign w:val="center"/>
          </w:tcPr>
          <w:p w14:paraId="559303A7">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投标文件</w:t>
            </w:r>
          </w:p>
          <w:p w14:paraId="00ECAFCB">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对应规范</w:t>
            </w:r>
          </w:p>
        </w:tc>
        <w:tc>
          <w:tcPr>
            <w:tcW w:w="2126" w:type="dxa"/>
            <w:tcBorders>
              <w:top w:val="single" w:color="auto" w:sz="6" w:space="0"/>
              <w:left w:val="single" w:color="auto" w:sz="6" w:space="0"/>
              <w:bottom w:val="single" w:color="auto" w:sz="6" w:space="0"/>
              <w:right w:val="single" w:color="auto" w:sz="6" w:space="0"/>
            </w:tcBorders>
            <w:noWrap w:val="0"/>
            <w:vAlign w:val="center"/>
          </w:tcPr>
          <w:p w14:paraId="28CABAF0">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备 注</w:t>
            </w:r>
          </w:p>
        </w:tc>
      </w:tr>
      <w:tr w14:paraId="37A8FB7C">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246587DC">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64C167DF">
            <w:pPr>
              <w:autoSpaceDE w:val="0"/>
              <w:autoSpaceDN w:val="0"/>
              <w:adjustRightInd w:val="0"/>
              <w:spacing w:line="440" w:lineRule="atLeast"/>
              <w:jc w:val="center"/>
              <w:rPr>
                <w:rFonts w:hint="eastAsia"/>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69C1B43F">
            <w:pPr>
              <w:autoSpaceDE w:val="0"/>
              <w:autoSpaceDN w:val="0"/>
              <w:adjustRightInd w:val="0"/>
              <w:spacing w:line="440" w:lineRule="atLeast"/>
              <w:jc w:val="center"/>
              <w:rPr>
                <w:rFonts w:hint="eastAsia"/>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6B40516E">
            <w:pPr>
              <w:autoSpaceDE w:val="0"/>
              <w:autoSpaceDN w:val="0"/>
              <w:adjustRightInd w:val="0"/>
              <w:spacing w:line="440" w:lineRule="atLeast"/>
              <w:jc w:val="center"/>
              <w:rPr>
                <w:rFonts w:hint="eastAsia"/>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60D5C916">
            <w:pPr>
              <w:autoSpaceDE w:val="0"/>
              <w:autoSpaceDN w:val="0"/>
              <w:adjustRightInd w:val="0"/>
              <w:spacing w:line="440" w:lineRule="atLeast"/>
              <w:jc w:val="center"/>
              <w:rPr>
                <w:rFonts w:hint="eastAsia"/>
                <w:b/>
                <w:color w:val="auto"/>
                <w:highlight w:val="none"/>
                <w:lang w:val="zh-CN"/>
              </w:rPr>
            </w:pPr>
          </w:p>
        </w:tc>
      </w:tr>
      <w:tr w14:paraId="4B2AFCED">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6074F4AD">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64F63FCD">
            <w:pPr>
              <w:autoSpaceDE w:val="0"/>
              <w:autoSpaceDN w:val="0"/>
              <w:adjustRightInd w:val="0"/>
              <w:spacing w:line="440" w:lineRule="atLeast"/>
              <w:jc w:val="center"/>
              <w:rPr>
                <w:rFonts w:hint="eastAsia"/>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0C5A6938">
            <w:pPr>
              <w:autoSpaceDE w:val="0"/>
              <w:autoSpaceDN w:val="0"/>
              <w:adjustRightInd w:val="0"/>
              <w:spacing w:line="440" w:lineRule="atLeast"/>
              <w:jc w:val="center"/>
              <w:rPr>
                <w:rFonts w:hint="eastAsia"/>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2C2167BC">
            <w:pPr>
              <w:autoSpaceDE w:val="0"/>
              <w:autoSpaceDN w:val="0"/>
              <w:adjustRightInd w:val="0"/>
              <w:spacing w:line="440" w:lineRule="atLeast"/>
              <w:jc w:val="center"/>
              <w:rPr>
                <w:rFonts w:hint="eastAsia"/>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6548EB45">
            <w:pPr>
              <w:autoSpaceDE w:val="0"/>
              <w:autoSpaceDN w:val="0"/>
              <w:adjustRightInd w:val="0"/>
              <w:spacing w:line="440" w:lineRule="atLeast"/>
              <w:jc w:val="center"/>
              <w:rPr>
                <w:rFonts w:hint="eastAsia"/>
                <w:b/>
                <w:color w:val="auto"/>
                <w:highlight w:val="none"/>
                <w:lang w:val="zh-CN"/>
              </w:rPr>
            </w:pPr>
          </w:p>
        </w:tc>
      </w:tr>
      <w:tr w14:paraId="5E129FAE">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37D80991">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0CAFC3A7">
            <w:pPr>
              <w:autoSpaceDE w:val="0"/>
              <w:autoSpaceDN w:val="0"/>
              <w:adjustRightInd w:val="0"/>
              <w:spacing w:line="440" w:lineRule="atLeast"/>
              <w:jc w:val="center"/>
              <w:rPr>
                <w:rFonts w:hint="eastAsia"/>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48C5B068">
            <w:pPr>
              <w:autoSpaceDE w:val="0"/>
              <w:autoSpaceDN w:val="0"/>
              <w:adjustRightInd w:val="0"/>
              <w:spacing w:line="440" w:lineRule="atLeast"/>
              <w:jc w:val="center"/>
              <w:rPr>
                <w:rFonts w:hint="eastAsia"/>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52858C29">
            <w:pPr>
              <w:autoSpaceDE w:val="0"/>
              <w:autoSpaceDN w:val="0"/>
              <w:adjustRightInd w:val="0"/>
              <w:spacing w:line="440" w:lineRule="atLeast"/>
              <w:jc w:val="center"/>
              <w:rPr>
                <w:rFonts w:hint="eastAsia"/>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52F916ED">
            <w:pPr>
              <w:autoSpaceDE w:val="0"/>
              <w:autoSpaceDN w:val="0"/>
              <w:adjustRightInd w:val="0"/>
              <w:spacing w:line="440" w:lineRule="atLeast"/>
              <w:jc w:val="center"/>
              <w:rPr>
                <w:rFonts w:hint="eastAsia"/>
                <w:b/>
                <w:color w:val="auto"/>
                <w:highlight w:val="none"/>
                <w:lang w:val="zh-CN"/>
              </w:rPr>
            </w:pPr>
          </w:p>
        </w:tc>
      </w:tr>
      <w:tr w14:paraId="0B69A7D7">
        <w:tblPrEx>
          <w:tblCellMar>
            <w:top w:w="0" w:type="dxa"/>
            <w:left w:w="108" w:type="dxa"/>
            <w:bottom w:w="0" w:type="dxa"/>
            <w:right w:w="108" w:type="dxa"/>
          </w:tblCellMar>
        </w:tblPrEx>
        <w:trPr>
          <w:trHeight w:val="436"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7E718CF6">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662C0289">
            <w:pPr>
              <w:autoSpaceDE w:val="0"/>
              <w:autoSpaceDN w:val="0"/>
              <w:adjustRightInd w:val="0"/>
              <w:spacing w:line="440" w:lineRule="atLeast"/>
              <w:jc w:val="center"/>
              <w:rPr>
                <w:rFonts w:hint="eastAsia"/>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3BD7A929">
            <w:pPr>
              <w:autoSpaceDE w:val="0"/>
              <w:autoSpaceDN w:val="0"/>
              <w:adjustRightInd w:val="0"/>
              <w:spacing w:line="440" w:lineRule="atLeast"/>
              <w:jc w:val="center"/>
              <w:rPr>
                <w:rFonts w:hint="eastAsia"/>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0499BF6D">
            <w:pPr>
              <w:autoSpaceDE w:val="0"/>
              <w:autoSpaceDN w:val="0"/>
              <w:adjustRightInd w:val="0"/>
              <w:spacing w:line="440" w:lineRule="atLeast"/>
              <w:jc w:val="center"/>
              <w:rPr>
                <w:rFonts w:hint="eastAsia"/>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0B698D70">
            <w:pPr>
              <w:autoSpaceDE w:val="0"/>
              <w:autoSpaceDN w:val="0"/>
              <w:adjustRightInd w:val="0"/>
              <w:spacing w:line="440" w:lineRule="atLeast"/>
              <w:jc w:val="center"/>
              <w:rPr>
                <w:rFonts w:hint="eastAsia"/>
                <w:b/>
                <w:color w:val="auto"/>
                <w:highlight w:val="none"/>
                <w:lang w:val="zh-CN"/>
              </w:rPr>
            </w:pPr>
          </w:p>
        </w:tc>
      </w:tr>
      <w:tr w14:paraId="75C3D948">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65DC2BB4">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6C71D7C1">
            <w:pPr>
              <w:autoSpaceDE w:val="0"/>
              <w:autoSpaceDN w:val="0"/>
              <w:adjustRightInd w:val="0"/>
              <w:spacing w:line="440" w:lineRule="atLeast"/>
              <w:jc w:val="center"/>
              <w:rPr>
                <w:rFonts w:hint="eastAsia"/>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0E3A6C2D">
            <w:pPr>
              <w:autoSpaceDE w:val="0"/>
              <w:autoSpaceDN w:val="0"/>
              <w:adjustRightInd w:val="0"/>
              <w:spacing w:line="440" w:lineRule="atLeast"/>
              <w:jc w:val="center"/>
              <w:rPr>
                <w:rFonts w:hint="eastAsia"/>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38B8A550">
            <w:pPr>
              <w:autoSpaceDE w:val="0"/>
              <w:autoSpaceDN w:val="0"/>
              <w:adjustRightInd w:val="0"/>
              <w:spacing w:line="440" w:lineRule="atLeast"/>
              <w:jc w:val="center"/>
              <w:rPr>
                <w:rFonts w:hint="eastAsia"/>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745E45A9">
            <w:pPr>
              <w:autoSpaceDE w:val="0"/>
              <w:autoSpaceDN w:val="0"/>
              <w:adjustRightInd w:val="0"/>
              <w:spacing w:line="440" w:lineRule="atLeast"/>
              <w:jc w:val="center"/>
              <w:rPr>
                <w:rFonts w:hint="eastAsia"/>
                <w:b/>
                <w:color w:val="auto"/>
                <w:highlight w:val="none"/>
                <w:lang w:val="zh-CN"/>
              </w:rPr>
            </w:pPr>
          </w:p>
        </w:tc>
      </w:tr>
      <w:tr w14:paraId="4233D838">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0DC0D959">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0173DBCA">
            <w:pPr>
              <w:autoSpaceDE w:val="0"/>
              <w:autoSpaceDN w:val="0"/>
              <w:adjustRightInd w:val="0"/>
              <w:spacing w:line="440" w:lineRule="atLeast"/>
              <w:jc w:val="center"/>
              <w:rPr>
                <w:rFonts w:hint="eastAsia"/>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7452BDF7">
            <w:pPr>
              <w:autoSpaceDE w:val="0"/>
              <w:autoSpaceDN w:val="0"/>
              <w:adjustRightInd w:val="0"/>
              <w:spacing w:line="440" w:lineRule="atLeast"/>
              <w:jc w:val="center"/>
              <w:rPr>
                <w:rFonts w:hint="eastAsia"/>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7784A1DD">
            <w:pPr>
              <w:autoSpaceDE w:val="0"/>
              <w:autoSpaceDN w:val="0"/>
              <w:adjustRightInd w:val="0"/>
              <w:spacing w:line="440" w:lineRule="atLeast"/>
              <w:jc w:val="center"/>
              <w:rPr>
                <w:rFonts w:hint="eastAsia"/>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1BA84FDB">
            <w:pPr>
              <w:autoSpaceDE w:val="0"/>
              <w:autoSpaceDN w:val="0"/>
              <w:adjustRightInd w:val="0"/>
              <w:spacing w:line="440" w:lineRule="atLeast"/>
              <w:jc w:val="center"/>
              <w:rPr>
                <w:rFonts w:hint="eastAsia"/>
                <w:b/>
                <w:color w:val="auto"/>
                <w:highlight w:val="none"/>
                <w:lang w:val="zh-CN"/>
              </w:rPr>
            </w:pPr>
          </w:p>
        </w:tc>
      </w:tr>
      <w:tr w14:paraId="204FC70B">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24989A95">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6791D7CF">
            <w:pPr>
              <w:autoSpaceDE w:val="0"/>
              <w:autoSpaceDN w:val="0"/>
              <w:adjustRightInd w:val="0"/>
              <w:spacing w:line="440" w:lineRule="atLeast"/>
              <w:jc w:val="center"/>
              <w:rPr>
                <w:rFonts w:hint="eastAsia"/>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34EEF630">
            <w:pPr>
              <w:autoSpaceDE w:val="0"/>
              <w:autoSpaceDN w:val="0"/>
              <w:adjustRightInd w:val="0"/>
              <w:spacing w:line="440" w:lineRule="atLeast"/>
              <w:jc w:val="center"/>
              <w:rPr>
                <w:rFonts w:hint="eastAsia"/>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2084BF6E">
            <w:pPr>
              <w:autoSpaceDE w:val="0"/>
              <w:autoSpaceDN w:val="0"/>
              <w:adjustRightInd w:val="0"/>
              <w:spacing w:line="440" w:lineRule="atLeast"/>
              <w:jc w:val="center"/>
              <w:rPr>
                <w:rFonts w:hint="eastAsia"/>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011CFF06">
            <w:pPr>
              <w:autoSpaceDE w:val="0"/>
              <w:autoSpaceDN w:val="0"/>
              <w:adjustRightInd w:val="0"/>
              <w:spacing w:line="440" w:lineRule="atLeast"/>
              <w:jc w:val="center"/>
              <w:rPr>
                <w:rFonts w:hint="eastAsia"/>
                <w:b/>
                <w:color w:val="auto"/>
                <w:highlight w:val="none"/>
                <w:lang w:val="zh-CN"/>
              </w:rPr>
            </w:pPr>
          </w:p>
        </w:tc>
      </w:tr>
      <w:tr w14:paraId="74E789CB">
        <w:tblPrEx>
          <w:tblCellMar>
            <w:top w:w="0" w:type="dxa"/>
            <w:left w:w="108" w:type="dxa"/>
            <w:bottom w:w="0" w:type="dxa"/>
            <w:right w:w="108" w:type="dxa"/>
          </w:tblCellMar>
        </w:tblPrEx>
        <w:trPr>
          <w:trHeight w:val="436"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39DDD2B2">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1EDB06C0">
            <w:pPr>
              <w:autoSpaceDE w:val="0"/>
              <w:autoSpaceDN w:val="0"/>
              <w:adjustRightInd w:val="0"/>
              <w:spacing w:line="440" w:lineRule="atLeast"/>
              <w:jc w:val="center"/>
              <w:rPr>
                <w:rFonts w:hint="eastAsia"/>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24DB486E">
            <w:pPr>
              <w:autoSpaceDE w:val="0"/>
              <w:autoSpaceDN w:val="0"/>
              <w:adjustRightInd w:val="0"/>
              <w:spacing w:line="440" w:lineRule="atLeast"/>
              <w:jc w:val="center"/>
              <w:rPr>
                <w:rFonts w:hint="eastAsia"/>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30CDDABB">
            <w:pPr>
              <w:autoSpaceDE w:val="0"/>
              <w:autoSpaceDN w:val="0"/>
              <w:adjustRightInd w:val="0"/>
              <w:spacing w:line="440" w:lineRule="atLeast"/>
              <w:jc w:val="center"/>
              <w:rPr>
                <w:rFonts w:hint="eastAsia"/>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2D7B49A7">
            <w:pPr>
              <w:autoSpaceDE w:val="0"/>
              <w:autoSpaceDN w:val="0"/>
              <w:adjustRightInd w:val="0"/>
              <w:spacing w:line="440" w:lineRule="atLeast"/>
              <w:jc w:val="center"/>
              <w:rPr>
                <w:rFonts w:hint="eastAsia"/>
                <w:b/>
                <w:color w:val="auto"/>
                <w:highlight w:val="none"/>
                <w:lang w:val="zh-CN"/>
              </w:rPr>
            </w:pPr>
          </w:p>
        </w:tc>
      </w:tr>
    </w:tbl>
    <w:p w14:paraId="35E4B856">
      <w:pPr>
        <w:autoSpaceDE w:val="0"/>
        <w:autoSpaceDN w:val="0"/>
        <w:adjustRightInd w:val="0"/>
        <w:spacing w:line="440" w:lineRule="atLeast"/>
        <w:rPr>
          <w:rFonts w:hint="eastAsia"/>
          <w:b/>
          <w:color w:val="auto"/>
          <w:highlight w:val="none"/>
          <w:lang w:val="zh-CN"/>
        </w:rPr>
      </w:pPr>
      <w:r>
        <w:rPr>
          <w:rFonts w:hint="eastAsia"/>
          <w:b/>
          <w:color w:val="auto"/>
          <w:highlight w:val="none"/>
          <w:lang w:val="zh-CN"/>
        </w:rPr>
        <w:t>供应商</w:t>
      </w:r>
      <w:r>
        <w:rPr>
          <w:rFonts w:hint="eastAsia"/>
          <w:b/>
          <w:color w:val="auto"/>
          <w:highlight w:val="none"/>
        </w:rPr>
        <w:t>名称（</w:t>
      </w:r>
      <w:r>
        <w:rPr>
          <w:rFonts w:hint="eastAsia"/>
          <w:b/>
          <w:color w:val="auto"/>
          <w:highlight w:val="none"/>
          <w:lang w:val="zh-CN"/>
        </w:rPr>
        <w:t>盖章</w:t>
      </w:r>
      <w:r>
        <w:rPr>
          <w:rFonts w:hint="eastAsia"/>
          <w:b/>
          <w:color w:val="auto"/>
          <w:highlight w:val="none"/>
        </w:rPr>
        <w:t>）</w:t>
      </w:r>
      <w:r>
        <w:rPr>
          <w:rFonts w:hint="eastAsia"/>
          <w:b/>
          <w:color w:val="auto"/>
          <w:highlight w:val="none"/>
          <w:lang w:val="zh-CN"/>
        </w:rPr>
        <w:t>：</w:t>
      </w:r>
    </w:p>
    <w:p w14:paraId="1A23ACA7">
      <w:pPr>
        <w:autoSpaceDE w:val="0"/>
        <w:autoSpaceDN w:val="0"/>
        <w:adjustRightInd w:val="0"/>
        <w:spacing w:line="440" w:lineRule="atLeast"/>
        <w:rPr>
          <w:rFonts w:hint="eastAsia"/>
          <w:b/>
          <w:color w:val="auto"/>
          <w:highlight w:val="none"/>
          <w:lang w:val="zh-CN"/>
        </w:rPr>
      </w:pPr>
    </w:p>
    <w:p w14:paraId="0750D970">
      <w:pPr>
        <w:autoSpaceDE w:val="0"/>
        <w:autoSpaceDN w:val="0"/>
        <w:adjustRightInd w:val="0"/>
        <w:spacing w:line="440" w:lineRule="atLeast"/>
        <w:rPr>
          <w:rFonts w:hint="eastAsia"/>
          <w:b/>
          <w:color w:val="auto"/>
          <w:highlight w:val="none"/>
          <w:lang w:val="zh-CN"/>
        </w:rPr>
      </w:pPr>
    </w:p>
    <w:p w14:paraId="2B26ABD5">
      <w:pPr>
        <w:autoSpaceDE w:val="0"/>
        <w:autoSpaceDN w:val="0"/>
        <w:adjustRightInd w:val="0"/>
        <w:spacing w:line="440" w:lineRule="atLeast"/>
        <w:outlineLvl w:val="0"/>
        <w:rPr>
          <w:rFonts w:hint="eastAsia"/>
          <w:b/>
          <w:color w:val="auto"/>
          <w:highlight w:val="none"/>
          <w:lang w:val="zh-CN"/>
        </w:rPr>
      </w:pPr>
    </w:p>
    <w:p w14:paraId="1DCFC2C4">
      <w:pPr>
        <w:autoSpaceDE w:val="0"/>
        <w:autoSpaceDN w:val="0"/>
        <w:adjustRightInd w:val="0"/>
        <w:spacing w:line="440" w:lineRule="atLeast"/>
        <w:jc w:val="center"/>
        <w:outlineLvl w:val="0"/>
        <w:rPr>
          <w:rFonts w:hint="eastAsia"/>
          <w:b/>
          <w:color w:val="auto"/>
          <w:highlight w:val="none"/>
          <w:lang w:val="zh-CN"/>
        </w:rPr>
      </w:pPr>
      <w:r>
        <w:rPr>
          <w:rFonts w:hint="eastAsia"/>
          <w:b/>
          <w:color w:val="auto"/>
          <w:highlight w:val="none"/>
          <w:lang w:val="zh-CN"/>
        </w:rPr>
        <w:t>技术偏离表</w:t>
      </w:r>
    </w:p>
    <w:tbl>
      <w:tblPr>
        <w:tblStyle w:val="66"/>
        <w:tblW w:w="0" w:type="auto"/>
        <w:tblInd w:w="-192" w:type="dxa"/>
        <w:tblLayout w:type="fixed"/>
        <w:tblCellMar>
          <w:top w:w="0" w:type="dxa"/>
          <w:left w:w="108" w:type="dxa"/>
          <w:bottom w:w="0" w:type="dxa"/>
          <w:right w:w="108" w:type="dxa"/>
        </w:tblCellMar>
      </w:tblPr>
      <w:tblGrid>
        <w:gridCol w:w="900"/>
        <w:gridCol w:w="1800"/>
        <w:gridCol w:w="2300"/>
        <w:gridCol w:w="2000"/>
        <w:gridCol w:w="2800"/>
      </w:tblGrid>
      <w:tr w14:paraId="03D23399">
        <w:tblPrEx>
          <w:tblCellMar>
            <w:top w:w="0" w:type="dxa"/>
            <w:left w:w="108" w:type="dxa"/>
            <w:bottom w:w="0" w:type="dxa"/>
            <w:right w:w="108" w:type="dxa"/>
          </w:tblCellMar>
        </w:tblPrEx>
        <w:trPr>
          <w:trHeight w:val="918" w:hRule="atLeast"/>
        </w:trPr>
        <w:tc>
          <w:tcPr>
            <w:tcW w:w="900" w:type="dxa"/>
            <w:tcBorders>
              <w:top w:val="single" w:color="auto" w:sz="6" w:space="0"/>
              <w:left w:val="single" w:color="auto" w:sz="6" w:space="0"/>
              <w:bottom w:val="single" w:color="auto" w:sz="6" w:space="0"/>
              <w:right w:val="single" w:color="auto" w:sz="6" w:space="0"/>
            </w:tcBorders>
            <w:noWrap w:val="0"/>
            <w:vAlign w:val="center"/>
          </w:tcPr>
          <w:p w14:paraId="46F94E68">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序 号</w:t>
            </w:r>
          </w:p>
        </w:tc>
        <w:tc>
          <w:tcPr>
            <w:tcW w:w="1800" w:type="dxa"/>
            <w:tcBorders>
              <w:top w:val="single" w:color="auto" w:sz="6" w:space="0"/>
              <w:left w:val="single" w:color="auto" w:sz="6" w:space="0"/>
              <w:bottom w:val="single" w:color="auto" w:sz="6" w:space="0"/>
              <w:right w:val="single" w:color="auto" w:sz="6" w:space="0"/>
            </w:tcBorders>
            <w:noWrap w:val="0"/>
            <w:vAlign w:val="center"/>
          </w:tcPr>
          <w:p w14:paraId="15EA62ED">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内容</w:t>
            </w:r>
          </w:p>
        </w:tc>
        <w:tc>
          <w:tcPr>
            <w:tcW w:w="2300" w:type="dxa"/>
            <w:tcBorders>
              <w:top w:val="single" w:color="auto" w:sz="6" w:space="0"/>
              <w:left w:val="single" w:color="auto" w:sz="6" w:space="0"/>
              <w:bottom w:val="single" w:color="auto" w:sz="6" w:space="0"/>
              <w:right w:val="single" w:color="auto" w:sz="6" w:space="0"/>
            </w:tcBorders>
            <w:noWrap w:val="0"/>
            <w:vAlign w:val="center"/>
          </w:tcPr>
          <w:p w14:paraId="0D5799F8">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招标文件规范要求</w:t>
            </w:r>
          </w:p>
        </w:tc>
        <w:tc>
          <w:tcPr>
            <w:tcW w:w="2000" w:type="dxa"/>
            <w:tcBorders>
              <w:top w:val="single" w:color="auto" w:sz="6" w:space="0"/>
              <w:left w:val="single" w:color="auto" w:sz="6" w:space="0"/>
              <w:bottom w:val="single" w:color="auto" w:sz="6" w:space="0"/>
              <w:right w:val="single" w:color="auto" w:sz="6" w:space="0"/>
            </w:tcBorders>
            <w:noWrap w:val="0"/>
            <w:vAlign w:val="center"/>
          </w:tcPr>
          <w:p w14:paraId="2B94775A">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投标文件</w:t>
            </w:r>
          </w:p>
          <w:p w14:paraId="02956CB1">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对应规范</w:t>
            </w:r>
          </w:p>
        </w:tc>
        <w:tc>
          <w:tcPr>
            <w:tcW w:w="2800" w:type="dxa"/>
            <w:tcBorders>
              <w:top w:val="single" w:color="auto" w:sz="6" w:space="0"/>
              <w:left w:val="single" w:color="auto" w:sz="6" w:space="0"/>
              <w:bottom w:val="single" w:color="auto" w:sz="6" w:space="0"/>
              <w:right w:val="single" w:color="auto" w:sz="6" w:space="0"/>
            </w:tcBorders>
            <w:noWrap w:val="0"/>
            <w:vAlign w:val="center"/>
          </w:tcPr>
          <w:p w14:paraId="6E5E9C21">
            <w:pPr>
              <w:autoSpaceDE w:val="0"/>
              <w:autoSpaceDN w:val="0"/>
              <w:adjustRightInd w:val="0"/>
              <w:spacing w:line="440" w:lineRule="atLeast"/>
              <w:jc w:val="center"/>
              <w:rPr>
                <w:rFonts w:hint="eastAsia"/>
                <w:b/>
                <w:color w:val="auto"/>
                <w:highlight w:val="none"/>
                <w:lang w:val="zh-CN"/>
              </w:rPr>
            </w:pPr>
            <w:r>
              <w:rPr>
                <w:rFonts w:hint="eastAsia"/>
                <w:b/>
                <w:color w:val="auto"/>
                <w:highlight w:val="none"/>
                <w:lang w:val="zh-CN"/>
              </w:rPr>
              <w:t>备 注</w:t>
            </w:r>
          </w:p>
        </w:tc>
      </w:tr>
      <w:tr w14:paraId="126FE36A">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57172267">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007015A5">
            <w:pPr>
              <w:autoSpaceDE w:val="0"/>
              <w:autoSpaceDN w:val="0"/>
              <w:adjustRightInd w:val="0"/>
              <w:spacing w:line="440" w:lineRule="atLeast"/>
              <w:jc w:val="center"/>
              <w:rPr>
                <w:rFonts w:hint="eastAsia"/>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2281B682">
            <w:pPr>
              <w:autoSpaceDE w:val="0"/>
              <w:autoSpaceDN w:val="0"/>
              <w:adjustRightInd w:val="0"/>
              <w:spacing w:line="440" w:lineRule="atLeast"/>
              <w:jc w:val="center"/>
              <w:rPr>
                <w:rFonts w:hint="eastAsia"/>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6929AB40">
            <w:pPr>
              <w:autoSpaceDE w:val="0"/>
              <w:autoSpaceDN w:val="0"/>
              <w:adjustRightInd w:val="0"/>
              <w:spacing w:line="440" w:lineRule="atLeast"/>
              <w:jc w:val="center"/>
              <w:rPr>
                <w:rFonts w:hint="eastAsia"/>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3A523D78">
            <w:pPr>
              <w:autoSpaceDE w:val="0"/>
              <w:autoSpaceDN w:val="0"/>
              <w:adjustRightInd w:val="0"/>
              <w:spacing w:line="440" w:lineRule="atLeast"/>
              <w:jc w:val="center"/>
              <w:rPr>
                <w:rFonts w:hint="eastAsia"/>
                <w:b/>
                <w:color w:val="auto"/>
                <w:highlight w:val="none"/>
                <w:lang w:val="zh-CN"/>
              </w:rPr>
            </w:pPr>
          </w:p>
        </w:tc>
      </w:tr>
      <w:tr w14:paraId="02A691E2">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6039FDF8">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0228175E">
            <w:pPr>
              <w:autoSpaceDE w:val="0"/>
              <w:autoSpaceDN w:val="0"/>
              <w:adjustRightInd w:val="0"/>
              <w:spacing w:line="440" w:lineRule="atLeast"/>
              <w:jc w:val="center"/>
              <w:rPr>
                <w:rFonts w:hint="eastAsia"/>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5D9539C7">
            <w:pPr>
              <w:autoSpaceDE w:val="0"/>
              <w:autoSpaceDN w:val="0"/>
              <w:adjustRightInd w:val="0"/>
              <w:spacing w:line="440" w:lineRule="atLeast"/>
              <w:jc w:val="center"/>
              <w:rPr>
                <w:rFonts w:hint="eastAsia"/>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1A658CC4">
            <w:pPr>
              <w:autoSpaceDE w:val="0"/>
              <w:autoSpaceDN w:val="0"/>
              <w:adjustRightInd w:val="0"/>
              <w:spacing w:line="440" w:lineRule="atLeast"/>
              <w:jc w:val="center"/>
              <w:rPr>
                <w:rFonts w:hint="eastAsia"/>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1F27EB91">
            <w:pPr>
              <w:autoSpaceDE w:val="0"/>
              <w:autoSpaceDN w:val="0"/>
              <w:adjustRightInd w:val="0"/>
              <w:spacing w:line="440" w:lineRule="atLeast"/>
              <w:jc w:val="center"/>
              <w:rPr>
                <w:rFonts w:hint="eastAsia"/>
                <w:b/>
                <w:color w:val="auto"/>
                <w:highlight w:val="none"/>
                <w:lang w:val="zh-CN"/>
              </w:rPr>
            </w:pPr>
          </w:p>
        </w:tc>
      </w:tr>
      <w:tr w14:paraId="61C191A3">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0F7CAB27">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06AD0939">
            <w:pPr>
              <w:autoSpaceDE w:val="0"/>
              <w:autoSpaceDN w:val="0"/>
              <w:adjustRightInd w:val="0"/>
              <w:spacing w:line="440" w:lineRule="atLeast"/>
              <w:jc w:val="center"/>
              <w:rPr>
                <w:rFonts w:hint="eastAsia"/>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53482C14">
            <w:pPr>
              <w:autoSpaceDE w:val="0"/>
              <w:autoSpaceDN w:val="0"/>
              <w:adjustRightInd w:val="0"/>
              <w:spacing w:line="440" w:lineRule="atLeast"/>
              <w:jc w:val="center"/>
              <w:rPr>
                <w:rFonts w:hint="eastAsia"/>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694D7220">
            <w:pPr>
              <w:autoSpaceDE w:val="0"/>
              <w:autoSpaceDN w:val="0"/>
              <w:adjustRightInd w:val="0"/>
              <w:spacing w:line="440" w:lineRule="atLeast"/>
              <w:jc w:val="center"/>
              <w:rPr>
                <w:rFonts w:hint="eastAsia"/>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38C25AF6">
            <w:pPr>
              <w:autoSpaceDE w:val="0"/>
              <w:autoSpaceDN w:val="0"/>
              <w:adjustRightInd w:val="0"/>
              <w:spacing w:line="440" w:lineRule="atLeast"/>
              <w:jc w:val="center"/>
              <w:rPr>
                <w:rFonts w:hint="eastAsia"/>
                <w:b/>
                <w:color w:val="auto"/>
                <w:highlight w:val="none"/>
                <w:lang w:val="zh-CN"/>
              </w:rPr>
            </w:pPr>
          </w:p>
        </w:tc>
      </w:tr>
      <w:tr w14:paraId="0963AB7E">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269742C2">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452A1CC9">
            <w:pPr>
              <w:autoSpaceDE w:val="0"/>
              <w:autoSpaceDN w:val="0"/>
              <w:adjustRightInd w:val="0"/>
              <w:spacing w:line="440" w:lineRule="atLeast"/>
              <w:jc w:val="center"/>
              <w:rPr>
                <w:rFonts w:hint="eastAsia"/>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30E781E5">
            <w:pPr>
              <w:autoSpaceDE w:val="0"/>
              <w:autoSpaceDN w:val="0"/>
              <w:adjustRightInd w:val="0"/>
              <w:spacing w:line="440" w:lineRule="atLeast"/>
              <w:jc w:val="center"/>
              <w:rPr>
                <w:rFonts w:hint="eastAsia"/>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681678BC">
            <w:pPr>
              <w:autoSpaceDE w:val="0"/>
              <w:autoSpaceDN w:val="0"/>
              <w:adjustRightInd w:val="0"/>
              <w:spacing w:line="440" w:lineRule="atLeast"/>
              <w:jc w:val="center"/>
              <w:rPr>
                <w:rFonts w:hint="eastAsia"/>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7EFED5C1">
            <w:pPr>
              <w:autoSpaceDE w:val="0"/>
              <w:autoSpaceDN w:val="0"/>
              <w:adjustRightInd w:val="0"/>
              <w:spacing w:line="440" w:lineRule="atLeast"/>
              <w:jc w:val="center"/>
              <w:rPr>
                <w:rFonts w:hint="eastAsia"/>
                <w:b/>
                <w:color w:val="auto"/>
                <w:highlight w:val="none"/>
                <w:lang w:val="zh-CN"/>
              </w:rPr>
            </w:pPr>
          </w:p>
        </w:tc>
      </w:tr>
      <w:tr w14:paraId="2FA91766">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3A209681">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02827D6F">
            <w:pPr>
              <w:autoSpaceDE w:val="0"/>
              <w:autoSpaceDN w:val="0"/>
              <w:adjustRightInd w:val="0"/>
              <w:spacing w:line="440" w:lineRule="atLeast"/>
              <w:jc w:val="center"/>
              <w:rPr>
                <w:rFonts w:hint="eastAsia"/>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6F63E6A4">
            <w:pPr>
              <w:autoSpaceDE w:val="0"/>
              <w:autoSpaceDN w:val="0"/>
              <w:adjustRightInd w:val="0"/>
              <w:spacing w:line="440" w:lineRule="atLeast"/>
              <w:jc w:val="center"/>
              <w:rPr>
                <w:rFonts w:hint="eastAsia"/>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627EC4A0">
            <w:pPr>
              <w:autoSpaceDE w:val="0"/>
              <w:autoSpaceDN w:val="0"/>
              <w:adjustRightInd w:val="0"/>
              <w:spacing w:line="440" w:lineRule="atLeast"/>
              <w:jc w:val="center"/>
              <w:rPr>
                <w:rFonts w:hint="eastAsia"/>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5AD39498">
            <w:pPr>
              <w:autoSpaceDE w:val="0"/>
              <w:autoSpaceDN w:val="0"/>
              <w:adjustRightInd w:val="0"/>
              <w:spacing w:line="440" w:lineRule="atLeast"/>
              <w:jc w:val="center"/>
              <w:rPr>
                <w:rFonts w:hint="eastAsia"/>
                <w:b/>
                <w:color w:val="auto"/>
                <w:highlight w:val="none"/>
                <w:lang w:val="zh-CN"/>
              </w:rPr>
            </w:pPr>
          </w:p>
        </w:tc>
      </w:tr>
      <w:tr w14:paraId="0ED299BA">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03FA286C">
            <w:pPr>
              <w:autoSpaceDE w:val="0"/>
              <w:autoSpaceDN w:val="0"/>
              <w:adjustRightInd w:val="0"/>
              <w:spacing w:line="440" w:lineRule="atLeast"/>
              <w:jc w:val="center"/>
              <w:rPr>
                <w:rFonts w:hint="eastAsia"/>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4EBE7B95">
            <w:pPr>
              <w:autoSpaceDE w:val="0"/>
              <w:autoSpaceDN w:val="0"/>
              <w:adjustRightInd w:val="0"/>
              <w:spacing w:line="440" w:lineRule="atLeast"/>
              <w:jc w:val="center"/>
              <w:rPr>
                <w:rFonts w:hint="eastAsia"/>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60EE6645">
            <w:pPr>
              <w:autoSpaceDE w:val="0"/>
              <w:autoSpaceDN w:val="0"/>
              <w:adjustRightInd w:val="0"/>
              <w:spacing w:line="440" w:lineRule="atLeast"/>
              <w:jc w:val="center"/>
              <w:rPr>
                <w:rFonts w:hint="eastAsia"/>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57142989">
            <w:pPr>
              <w:autoSpaceDE w:val="0"/>
              <w:autoSpaceDN w:val="0"/>
              <w:adjustRightInd w:val="0"/>
              <w:spacing w:line="440" w:lineRule="atLeast"/>
              <w:jc w:val="center"/>
              <w:rPr>
                <w:rFonts w:hint="eastAsia"/>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6E5F1FC5">
            <w:pPr>
              <w:autoSpaceDE w:val="0"/>
              <w:autoSpaceDN w:val="0"/>
              <w:adjustRightInd w:val="0"/>
              <w:spacing w:line="440" w:lineRule="atLeast"/>
              <w:jc w:val="center"/>
              <w:rPr>
                <w:rFonts w:hint="eastAsia"/>
                <w:b/>
                <w:color w:val="auto"/>
                <w:highlight w:val="none"/>
                <w:lang w:val="zh-CN"/>
              </w:rPr>
            </w:pPr>
          </w:p>
        </w:tc>
      </w:tr>
    </w:tbl>
    <w:p w14:paraId="780F2E2E">
      <w:pPr>
        <w:autoSpaceDE w:val="0"/>
        <w:autoSpaceDN w:val="0"/>
        <w:adjustRightInd w:val="0"/>
        <w:spacing w:line="440" w:lineRule="atLeast"/>
        <w:rPr>
          <w:rFonts w:hint="eastAsia"/>
          <w:b/>
          <w:color w:val="auto"/>
          <w:highlight w:val="none"/>
          <w:lang w:val="zh-CN"/>
        </w:rPr>
      </w:pPr>
      <w:r>
        <w:rPr>
          <w:rFonts w:hint="eastAsia"/>
          <w:b/>
          <w:color w:val="auto"/>
          <w:highlight w:val="none"/>
          <w:lang w:val="zh-CN"/>
        </w:rPr>
        <w:t>供应商</w:t>
      </w:r>
      <w:r>
        <w:rPr>
          <w:rFonts w:hint="eastAsia"/>
          <w:b/>
          <w:color w:val="auto"/>
          <w:highlight w:val="none"/>
        </w:rPr>
        <w:t>名称（</w:t>
      </w:r>
      <w:r>
        <w:rPr>
          <w:rFonts w:hint="eastAsia"/>
          <w:b/>
          <w:color w:val="auto"/>
          <w:highlight w:val="none"/>
          <w:lang w:val="zh-CN"/>
        </w:rPr>
        <w:t>盖章</w:t>
      </w:r>
      <w:r>
        <w:rPr>
          <w:rFonts w:hint="eastAsia"/>
          <w:b/>
          <w:color w:val="auto"/>
          <w:highlight w:val="none"/>
        </w:rPr>
        <w:t>）</w:t>
      </w:r>
      <w:r>
        <w:rPr>
          <w:rFonts w:hint="eastAsia"/>
          <w:b/>
          <w:color w:val="auto"/>
          <w:highlight w:val="none"/>
          <w:lang w:val="zh-CN"/>
        </w:rPr>
        <w:t>：</w:t>
      </w:r>
    </w:p>
    <w:p w14:paraId="1E8A5EEC">
      <w:pPr>
        <w:autoSpaceDE w:val="0"/>
        <w:autoSpaceDN w:val="0"/>
        <w:adjustRightInd w:val="0"/>
        <w:rPr>
          <w:rFonts w:hint="eastAsia"/>
          <w:b/>
          <w:color w:val="auto"/>
          <w:highlight w:val="none"/>
        </w:rPr>
        <w:sectPr>
          <w:pgSz w:w="11906" w:h="16838"/>
          <w:pgMar w:top="1134" w:right="1134" w:bottom="1134" w:left="1134" w:header="851" w:footer="992" w:gutter="0"/>
          <w:pgNumType w:fmt="decimal"/>
          <w:cols w:space="720" w:num="1"/>
          <w:docGrid w:linePitch="312" w:charSpace="0"/>
        </w:sectPr>
      </w:pPr>
    </w:p>
    <w:p w14:paraId="36E3D257">
      <w:pPr>
        <w:pStyle w:val="37"/>
        <w:spacing w:line="400" w:lineRule="atLeast"/>
        <w:rPr>
          <w:rFonts w:hint="eastAsia" w:hAnsi="宋体" w:cs="宋体"/>
          <w:b/>
          <w:color w:val="auto"/>
          <w:sz w:val="24"/>
          <w:szCs w:val="24"/>
          <w:highlight w:val="none"/>
        </w:rPr>
      </w:pPr>
    </w:p>
    <w:p w14:paraId="19C86269">
      <w:pPr>
        <w:rPr>
          <w:color w:val="auto"/>
          <w:spacing w:val="20"/>
          <w:highlight w:val="none"/>
        </w:rPr>
      </w:pPr>
      <w:r>
        <w:rPr>
          <w:rFonts w:hint="eastAsia"/>
          <w:color w:val="auto"/>
          <w:sz w:val="32"/>
          <w:highlight w:val="none"/>
        </w:rPr>
        <w:t>3.</w:t>
      </w:r>
      <w:r>
        <w:rPr>
          <w:rFonts w:hint="eastAsia"/>
          <w:color w:val="auto"/>
          <w:sz w:val="32"/>
          <w:highlight w:val="none"/>
          <w:lang w:val="en-US" w:eastAsia="zh-CN"/>
        </w:rPr>
        <w:t xml:space="preserve">7 </w:t>
      </w:r>
      <w:r>
        <w:rPr>
          <w:rFonts w:hint="eastAsia"/>
          <w:b/>
          <w:color w:val="auto"/>
          <w:spacing w:val="20"/>
          <w:sz w:val="32"/>
          <w:szCs w:val="32"/>
          <w:highlight w:val="none"/>
        </w:rPr>
        <w:t>投标产品的配置及主要技术参数表</w:t>
      </w:r>
    </w:p>
    <w:p w14:paraId="283DBCBC">
      <w:pPr>
        <w:pStyle w:val="37"/>
        <w:spacing w:line="400" w:lineRule="atLeast"/>
        <w:rPr>
          <w:rFonts w:hAnsi="宋体"/>
          <w:b/>
          <w:color w:val="auto"/>
          <w:sz w:val="32"/>
          <w:szCs w:val="32"/>
          <w:highlight w:val="none"/>
        </w:rPr>
      </w:pPr>
    </w:p>
    <w:p w14:paraId="5C45F190">
      <w:pPr>
        <w:jc w:val="center"/>
        <w:rPr>
          <w:color w:val="auto"/>
          <w:spacing w:val="20"/>
          <w:highlight w:val="none"/>
        </w:rPr>
      </w:pPr>
      <w:r>
        <w:rPr>
          <w:rFonts w:hint="eastAsia"/>
          <w:b/>
          <w:color w:val="auto"/>
          <w:spacing w:val="20"/>
          <w:sz w:val="32"/>
          <w:szCs w:val="32"/>
          <w:highlight w:val="none"/>
        </w:rPr>
        <w:t>投标产品的配置及主要技术参数表</w:t>
      </w:r>
    </w:p>
    <w:p w14:paraId="6FD36C41">
      <w:pPr>
        <w:rPr>
          <w:b/>
          <w:color w:val="auto"/>
          <w:spacing w:val="20"/>
          <w:highlight w:val="none"/>
          <w:u w:val="single"/>
        </w:rPr>
      </w:pPr>
      <w:r>
        <w:rPr>
          <w:rFonts w:hint="eastAsia"/>
          <w:b/>
          <w:color w:val="auto"/>
          <w:spacing w:val="20"/>
          <w:highlight w:val="none"/>
        </w:rPr>
        <w:t>项目编号：</w:t>
      </w:r>
      <w:r>
        <w:rPr>
          <w:rFonts w:hint="eastAsia"/>
          <w:b/>
          <w:color w:val="auto"/>
          <w:spacing w:val="20"/>
          <w:highlight w:val="none"/>
          <w:u w:val="single"/>
        </w:rPr>
        <w:t xml:space="preserve">        </w:t>
      </w:r>
      <w:r>
        <w:rPr>
          <w:rFonts w:hint="eastAsia"/>
          <w:b/>
          <w:color w:val="auto"/>
          <w:spacing w:val="20"/>
          <w:highlight w:val="none"/>
        </w:rPr>
        <w:t xml:space="preserve">   项目名称：</w:t>
      </w:r>
      <w:r>
        <w:rPr>
          <w:rFonts w:hint="eastAsia"/>
          <w:b/>
          <w:color w:val="auto"/>
          <w:spacing w:val="20"/>
          <w:highlight w:val="none"/>
          <w:u w:val="single"/>
        </w:rPr>
        <w:t xml:space="preserve">      </w:t>
      </w:r>
    </w:p>
    <w:tbl>
      <w:tblPr>
        <w:tblStyle w:val="6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7"/>
        <w:gridCol w:w="2496"/>
        <w:gridCol w:w="1009"/>
        <w:gridCol w:w="867"/>
        <w:gridCol w:w="1325"/>
        <w:gridCol w:w="813"/>
        <w:gridCol w:w="2235"/>
      </w:tblGrid>
      <w:tr w14:paraId="1C0F2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727" w:type="dxa"/>
            <w:tcBorders>
              <w:top w:val="single" w:color="auto" w:sz="4" w:space="0"/>
              <w:left w:val="single" w:color="auto" w:sz="4" w:space="0"/>
              <w:bottom w:val="single" w:color="auto" w:sz="4" w:space="0"/>
              <w:right w:val="single" w:color="auto" w:sz="4" w:space="0"/>
            </w:tcBorders>
            <w:vAlign w:val="center"/>
          </w:tcPr>
          <w:p w14:paraId="09ACD158">
            <w:pPr>
              <w:snapToGrid w:val="0"/>
              <w:spacing w:before="50" w:after="50" w:line="360" w:lineRule="auto"/>
              <w:jc w:val="center"/>
              <w:rPr>
                <w:color w:val="auto"/>
                <w:sz w:val="22"/>
                <w:szCs w:val="22"/>
                <w:highlight w:val="none"/>
              </w:rPr>
            </w:pPr>
            <w:r>
              <w:rPr>
                <w:color w:val="auto"/>
                <w:sz w:val="22"/>
                <w:szCs w:val="22"/>
                <w:highlight w:val="none"/>
              </w:rPr>
              <w:t>序号</w:t>
            </w:r>
          </w:p>
        </w:tc>
        <w:tc>
          <w:tcPr>
            <w:tcW w:w="2496" w:type="dxa"/>
            <w:tcBorders>
              <w:top w:val="single" w:color="auto" w:sz="4" w:space="0"/>
              <w:left w:val="single" w:color="auto" w:sz="4" w:space="0"/>
              <w:bottom w:val="single" w:color="auto" w:sz="4" w:space="0"/>
              <w:right w:val="single" w:color="auto" w:sz="4" w:space="0"/>
            </w:tcBorders>
            <w:vAlign w:val="center"/>
          </w:tcPr>
          <w:p w14:paraId="15F661B9">
            <w:pPr>
              <w:snapToGrid w:val="0"/>
              <w:spacing w:before="50" w:after="50" w:line="360" w:lineRule="auto"/>
              <w:jc w:val="center"/>
              <w:rPr>
                <w:color w:val="auto"/>
                <w:sz w:val="22"/>
                <w:szCs w:val="22"/>
                <w:highlight w:val="none"/>
              </w:rPr>
            </w:pPr>
            <w:r>
              <w:rPr>
                <w:color w:val="auto"/>
                <w:sz w:val="22"/>
                <w:szCs w:val="22"/>
                <w:highlight w:val="none"/>
              </w:rPr>
              <w:t>设备名称</w:t>
            </w:r>
          </w:p>
        </w:tc>
        <w:tc>
          <w:tcPr>
            <w:tcW w:w="1009" w:type="dxa"/>
            <w:tcBorders>
              <w:top w:val="single" w:color="auto" w:sz="4" w:space="0"/>
              <w:left w:val="single" w:color="auto" w:sz="4" w:space="0"/>
              <w:bottom w:val="single" w:color="auto" w:sz="4" w:space="0"/>
              <w:right w:val="single" w:color="auto" w:sz="4" w:space="0"/>
            </w:tcBorders>
            <w:vAlign w:val="center"/>
          </w:tcPr>
          <w:p w14:paraId="1E8D9648">
            <w:pPr>
              <w:snapToGrid w:val="0"/>
              <w:spacing w:before="50" w:after="50" w:line="360" w:lineRule="auto"/>
              <w:jc w:val="center"/>
              <w:rPr>
                <w:color w:val="auto"/>
                <w:sz w:val="22"/>
                <w:szCs w:val="22"/>
                <w:highlight w:val="none"/>
              </w:rPr>
            </w:pPr>
            <w:r>
              <w:rPr>
                <w:color w:val="auto"/>
                <w:sz w:val="22"/>
                <w:szCs w:val="22"/>
                <w:highlight w:val="none"/>
              </w:rPr>
              <w:t>品牌</w:t>
            </w:r>
          </w:p>
        </w:tc>
        <w:tc>
          <w:tcPr>
            <w:tcW w:w="867" w:type="dxa"/>
            <w:tcBorders>
              <w:top w:val="single" w:color="auto" w:sz="4" w:space="0"/>
              <w:left w:val="single" w:color="auto" w:sz="4" w:space="0"/>
              <w:bottom w:val="single" w:color="auto" w:sz="4" w:space="0"/>
              <w:right w:val="single" w:color="auto" w:sz="4" w:space="0"/>
            </w:tcBorders>
            <w:vAlign w:val="center"/>
          </w:tcPr>
          <w:p w14:paraId="6BECF9DA">
            <w:pPr>
              <w:snapToGrid w:val="0"/>
              <w:spacing w:before="50" w:after="50" w:line="360" w:lineRule="auto"/>
              <w:jc w:val="center"/>
              <w:rPr>
                <w:color w:val="auto"/>
                <w:sz w:val="22"/>
                <w:szCs w:val="22"/>
                <w:highlight w:val="none"/>
              </w:rPr>
            </w:pPr>
            <w:r>
              <w:rPr>
                <w:color w:val="auto"/>
                <w:sz w:val="22"/>
                <w:szCs w:val="22"/>
                <w:highlight w:val="none"/>
              </w:rPr>
              <w:t>产地</w:t>
            </w:r>
          </w:p>
        </w:tc>
        <w:tc>
          <w:tcPr>
            <w:tcW w:w="1325" w:type="dxa"/>
            <w:tcBorders>
              <w:top w:val="single" w:color="auto" w:sz="4" w:space="0"/>
              <w:left w:val="single" w:color="auto" w:sz="4" w:space="0"/>
              <w:bottom w:val="single" w:color="auto" w:sz="4" w:space="0"/>
              <w:right w:val="single" w:color="auto" w:sz="4" w:space="0"/>
            </w:tcBorders>
            <w:shd w:val="clear" w:color="auto" w:fill="auto"/>
            <w:vAlign w:val="center"/>
          </w:tcPr>
          <w:p w14:paraId="5862E4B3">
            <w:pPr>
              <w:snapToGrid w:val="0"/>
              <w:spacing w:before="50" w:after="50" w:line="360" w:lineRule="auto"/>
              <w:jc w:val="center"/>
              <w:rPr>
                <w:rFonts w:ascii="宋体" w:hAnsi="宋体" w:eastAsia="宋体" w:cs="宋体"/>
                <w:color w:val="auto"/>
                <w:sz w:val="22"/>
                <w:szCs w:val="22"/>
                <w:highlight w:val="none"/>
                <w:lang w:val="en-US" w:eastAsia="zh-CN" w:bidi="ar-SA"/>
              </w:rPr>
            </w:pPr>
            <w:r>
              <w:rPr>
                <w:color w:val="auto"/>
                <w:sz w:val="22"/>
                <w:szCs w:val="22"/>
                <w:highlight w:val="none"/>
              </w:rPr>
              <w:t>规格型号</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5E356E01">
            <w:pPr>
              <w:snapToGrid w:val="0"/>
              <w:spacing w:before="50" w:after="50" w:line="360" w:lineRule="auto"/>
              <w:jc w:val="center"/>
              <w:rPr>
                <w:rFonts w:ascii="宋体" w:hAnsi="宋体" w:eastAsia="宋体" w:cs="宋体"/>
                <w:color w:val="auto"/>
                <w:sz w:val="22"/>
                <w:szCs w:val="22"/>
                <w:highlight w:val="none"/>
                <w:lang w:val="en-US" w:eastAsia="zh-CN" w:bidi="ar-SA"/>
              </w:rPr>
            </w:pPr>
            <w:r>
              <w:rPr>
                <w:color w:val="auto"/>
                <w:sz w:val="22"/>
                <w:szCs w:val="22"/>
                <w:highlight w:val="none"/>
              </w:rPr>
              <w:t>单位</w:t>
            </w:r>
          </w:p>
        </w:tc>
        <w:tc>
          <w:tcPr>
            <w:tcW w:w="2235" w:type="dxa"/>
            <w:tcBorders>
              <w:top w:val="single" w:color="auto" w:sz="4" w:space="0"/>
              <w:left w:val="single" w:color="auto" w:sz="4" w:space="0"/>
              <w:bottom w:val="single" w:color="auto" w:sz="4" w:space="0"/>
              <w:right w:val="single" w:color="auto" w:sz="4" w:space="0"/>
            </w:tcBorders>
            <w:shd w:val="clear" w:color="auto" w:fill="auto"/>
            <w:vAlign w:val="center"/>
          </w:tcPr>
          <w:p w14:paraId="093EBEFB">
            <w:pPr>
              <w:snapToGrid w:val="0"/>
              <w:spacing w:before="50" w:after="50" w:line="360" w:lineRule="auto"/>
              <w:jc w:val="center"/>
              <w:rPr>
                <w:rFonts w:ascii="宋体" w:hAnsi="宋体" w:eastAsia="宋体" w:cs="宋体"/>
                <w:color w:val="auto"/>
                <w:sz w:val="22"/>
                <w:szCs w:val="22"/>
                <w:highlight w:val="none"/>
                <w:lang w:val="en-US" w:eastAsia="zh-CN" w:bidi="ar-SA"/>
              </w:rPr>
            </w:pPr>
            <w:r>
              <w:rPr>
                <w:color w:val="auto"/>
                <w:sz w:val="22"/>
                <w:szCs w:val="22"/>
                <w:highlight w:val="none"/>
              </w:rPr>
              <w:t>性能及指标</w:t>
            </w:r>
          </w:p>
        </w:tc>
      </w:tr>
      <w:tr w14:paraId="590BAF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6"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5A2C58EB">
            <w:pPr>
              <w:keepNext w:val="0"/>
              <w:keepLines w:val="0"/>
              <w:widowControl/>
              <w:suppressLineNumbers w:val="0"/>
              <w:jc w:val="center"/>
              <w:textAlignment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1</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6A8A07F9">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违停摄像机</w:t>
            </w:r>
          </w:p>
        </w:tc>
        <w:tc>
          <w:tcPr>
            <w:tcW w:w="1009" w:type="dxa"/>
            <w:tcBorders>
              <w:top w:val="single" w:color="auto" w:sz="4" w:space="0"/>
              <w:left w:val="single" w:color="auto" w:sz="4" w:space="0"/>
              <w:bottom w:val="single" w:color="auto" w:sz="4" w:space="0"/>
              <w:right w:val="single" w:color="auto" w:sz="4" w:space="0"/>
            </w:tcBorders>
            <w:vAlign w:val="center"/>
          </w:tcPr>
          <w:p w14:paraId="7194CAC0">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67E154F7">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0F49A8CC">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24FC9A41">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356F0BDD">
            <w:pPr>
              <w:snapToGrid w:val="0"/>
              <w:spacing w:before="50" w:after="50" w:line="360" w:lineRule="auto"/>
              <w:jc w:val="center"/>
              <w:rPr>
                <w:color w:val="auto"/>
                <w:sz w:val="20"/>
                <w:szCs w:val="20"/>
                <w:highlight w:val="none"/>
              </w:rPr>
            </w:pPr>
          </w:p>
        </w:tc>
      </w:tr>
      <w:tr w14:paraId="74B7EB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71CFCD5F">
            <w:pPr>
              <w:keepNext w:val="0"/>
              <w:keepLines w:val="0"/>
              <w:widowControl/>
              <w:suppressLineNumbers w:val="0"/>
              <w:jc w:val="center"/>
              <w:textAlignment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2</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6F73DFB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音柱</w:t>
            </w:r>
          </w:p>
        </w:tc>
        <w:tc>
          <w:tcPr>
            <w:tcW w:w="1009" w:type="dxa"/>
            <w:tcBorders>
              <w:top w:val="single" w:color="auto" w:sz="4" w:space="0"/>
              <w:left w:val="single" w:color="auto" w:sz="4" w:space="0"/>
              <w:bottom w:val="single" w:color="auto" w:sz="4" w:space="0"/>
              <w:right w:val="single" w:color="auto" w:sz="4" w:space="0"/>
            </w:tcBorders>
            <w:vAlign w:val="center"/>
          </w:tcPr>
          <w:p w14:paraId="536E8C39">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7F52C3BA">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3A313F73">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3D210A92">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63BDF43C">
            <w:pPr>
              <w:snapToGrid w:val="0"/>
              <w:spacing w:before="50" w:after="50" w:line="360" w:lineRule="auto"/>
              <w:jc w:val="center"/>
              <w:rPr>
                <w:color w:val="auto"/>
                <w:sz w:val="20"/>
                <w:szCs w:val="20"/>
                <w:highlight w:val="none"/>
              </w:rPr>
            </w:pPr>
          </w:p>
        </w:tc>
      </w:tr>
      <w:tr w14:paraId="257181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5E378410">
            <w:pPr>
              <w:keepNext w:val="0"/>
              <w:keepLines w:val="0"/>
              <w:widowControl/>
              <w:suppressLineNumbers w:val="0"/>
              <w:jc w:val="center"/>
              <w:textAlignment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3</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62527756">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杆上控制箱</w:t>
            </w:r>
          </w:p>
        </w:tc>
        <w:tc>
          <w:tcPr>
            <w:tcW w:w="1009" w:type="dxa"/>
            <w:tcBorders>
              <w:top w:val="single" w:color="auto" w:sz="4" w:space="0"/>
              <w:left w:val="single" w:color="auto" w:sz="4" w:space="0"/>
              <w:bottom w:val="single" w:color="auto" w:sz="4" w:space="0"/>
              <w:right w:val="single" w:color="auto" w:sz="4" w:space="0"/>
            </w:tcBorders>
            <w:vAlign w:val="center"/>
          </w:tcPr>
          <w:p w14:paraId="6F6097BE">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4F902929">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394A1322">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5A7FBF57">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1497CD7A">
            <w:pPr>
              <w:snapToGrid w:val="0"/>
              <w:spacing w:before="50" w:after="50" w:line="360" w:lineRule="auto"/>
              <w:jc w:val="center"/>
              <w:rPr>
                <w:color w:val="auto"/>
                <w:sz w:val="20"/>
                <w:szCs w:val="20"/>
                <w:highlight w:val="none"/>
              </w:rPr>
            </w:pPr>
          </w:p>
        </w:tc>
      </w:tr>
      <w:tr w14:paraId="0D6D9A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29944637">
            <w:pPr>
              <w:keepNext w:val="0"/>
              <w:keepLines w:val="0"/>
              <w:widowControl/>
              <w:suppressLineNumbers w:val="0"/>
              <w:jc w:val="center"/>
              <w:textAlignment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4</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2F6FEC70">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900万电警抓拍摄像设备</w:t>
            </w:r>
          </w:p>
        </w:tc>
        <w:tc>
          <w:tcPr>
            <w:tcW w:w="1009" w:type="dxa"/>
            <w:tcBorders>
              <w:top w:val="single" w:color="auto" w:sz="4" w:space="0"/>
              <w:left w:val="single" w:color="auto" w:sz="4" w:space="0"/>
              <w:bottom w:val="single" w:color="auto" w:sz="4" w:space="0"/>
              <w:right w:val="single" w:color="auto" w:sz="4" w:space="0"/>
            </w:tcBorders>
            <w:vAlign w:val="center"/>
          </w:tcPr>
          <w:p w14:paraId="5384DD23">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62DC91DF">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32448324">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788A5702">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019B5739">
            <w:pPr>
              <w:snapToGrid w:val="0"/>
              <w:spacing w:before="50" w:after="50" w:line="360" w:lineRule="auto"/>
              <w:jc w:val="center"/>
              <w:rPr>
                <w:color w:val="auto"/>
                <w:sz w:val="20"/>
                <w:szCs w:val="20"/>
                <w:highlight w:val="none"/>
              </w:rPr>
            </w:pPr>
          </w:p>
        </w:tc>
      </w:tr>
      <w:tr w14:paraId="0775C8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4EE5C058">
            <w:pPr>
              <w:keepNext w:val="0"/>
              <w:keepLines w:val="0"/>
              <w:widowControl/>
              <w:suppressLineNumbers w:val="0"/>
              <w:jc w:val="center"/>
              <w:textAlignment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5</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680655E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1600万电警抓拍摄像设备</w:t>
            </w:r>
          </w:p>
        </w:tc>
        <w:tc>
          <w:tcPr>
            <w:tcW w:w="1009" w:type="dxa"/>
            <w:tcBorders>
              <w:top w:val="single" w:color="auto" w:sz="4" w:space="0"/>
              <w:left w:val="single" w:color="auto" w:sz="4" w:space="0"/>
              <w:bottom w:val="single" w:color="auto" w:sz="4" w:space="0"/>
              <w:right w:val="single" w:color="auto" w:sz="4" w:space="0"/>
            </w:tcBorders>
            <w:vAlign w:val="center"/>
          </w:tcPr>
          <w:p w14:paraId="6FD974CF">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18BFF04C">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66E0CD95">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1BBB2CB6">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256E8E84">
            <w:pPr>
              <w:snapToGrid w:val="0"/>
              <w:spacing w:before="50" w:after="50" w:line="360" w:lineRule="auto"/>
              <w:jc w:val="center"/>
              <w:rPr>
                <w:color w:val="auto"/>
                <w:sz w:val="20"/>
                <w:szCs w:val="20"/>
                <w:highlight w:val="none"/>
              </w:rPr>
            </w:pPr>
          </w:p>
        </w:tc>
      </w:tr>
      <w:tr w14:paraId="0EA7D4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0BBCAF1C">
            <w:pPr>
              <w:keepNext w:val="0"/>
              <w:keepLines w:val="0"/>
              <w:widowControl/>
              <w:suppressLineNumbers w:val="0"/>
              <w:jc w:val="center"/>
              <w:textAlignment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6</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0DCE0209">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多合一补光灯</w:t>
            </w:r>
          </w:p>
        </w:tc>
        <w:tc>
          <w:tcPr>
            <w:tcW w:w="1009" w:type="dxa"/>
            <w:tcBorders>
              <w:top w:val="single" w:color="auto" w:sz="4" w:space="0"/>
              <w:left w:val="single" w:color="auto" w:sz="4" w:space="0"/>
              <w:bottom w:val="single" w:color="auto" w:sz="4" w:space="0"/>
              <w:right w:val="single" w:color="auto" w:sz="4" w:space="0"/>
            </w:tcBorders>
            <w:vAlign w:val="center"/>
          </w:tcPr>
          <w:p w14:paraId="22B32581">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6290FF99">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3D525F63">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6BFBBE81">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0AB6C57B">
            <w:pPr>
              <w:snapToGrid w:val="0"/>
              <w:spacing w:before="50" w:after="50" w:line="360" w:lineRule="auto"/>
              <w:jc w:val="center"/>
              <w:rPr>
                <w:color w:val="auto"/>
                <w:sz w:val="20"/>
                <w:szCs w:val="20"/>
                <w:highlight w:val="none"/>
              </w:rPr>
            </w:pPr>
          </w:p>
        </w:tc>
      </w:tr>
      <w:tr w14:paraId="34ABCE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5E8EDED4">
            <w:pPr>
              <w:keepNext w:val="0"/>
              <w:keepLines w:val="0"/>
              <w:widowControl/>
              <w:suppressLineNumbers w:val="0"/>
              <w:jc w:val="center"/>
              <w:textAlignment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7</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5A4489C9">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频闪补光灯</w:t>
            </w:r>
          </w:p>
        </w:tc>
        <w:tc>
          <w:tcPr>
            <w:tcW w:w="1009" w:type="dxa"/>
            <w:tcBorders>
              <w:top w:val="single" w:color="auto" w:sz="4" w:space="0"/>
              <w:left w:val="single" w:color="auto" w:sz="4" w:space="0"/>
              <w:bottom w:val="single" w:color="auto" w:sz="4" w:space="0"/>
              <w:right w:val="single" w:color="auto" w:sz="4" w:space="0"/>
            </w:tcBorders>
            <w:vAlign w:val="center"/>
          </w:tcPr>
          <w:p w14:paraId="240C9C19">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7E9BC51A">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5FA2FA1B">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1024B958">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1F3F72CD">
            <w:pPr>
              <w:snapToGrid w:val="0"/>
              <w:spacing w:before="50" w:after="50" w:line="360" w:lineRule="auto"/>
              <w:jc w:val="center"/>
              <w:rPr>
                <w:color w:val="auto"/>
                <w:sz w:val="20"/>
                <w:szCs w:val="20"/>
                <w:highlight w:val="none"/>
              </w:rPr>
            </w:pPr>
          </w:p>
        </w:tc>
      </w:tr>
      <w:tr w14:paraId="27723B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9"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79C13278">
            <w:pPr>
              <w:keepNext w:val="0"/>
              <w:keepLines w:val="0"/>
              <w:widowControl/>
              <w:suppressLineNumbers w:val="0"/>
              <w:jc w:val="center"/>
              <w:textAlignment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8</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3E6B370A">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道路交通信号控制机(电子红绿灯控制系统）</w:t>
            </w:r>
          </w:p>
        </w:tc>
        <w:tc>
          <w:tcPr>
            <w:tcW w:w="1009" w:type="dxa"/>
            <w:tcBorders>
              <w:top w:val="single" w:color="auto" w:sz="4" w:space="0"/>
              <w:left w:val="single" w:color="auto" w:sz="4" w:space="0"/>
              <w:bottom w:val="single" w:color="auto" w:sz="4" w:space="0"/>
              <w:right w:val="single" w:color="auto" w:sz="4" w:space="0"/>
            </w:tcBorders>
            <w:vAlign w:val="center"/>
          </w:tcPr>
          <w:p w14:paraId="1CC42858">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2ED102AB">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5F7C13B4">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45979402">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27F9A66A">
            <w:pPr>
              <w:snapToGrid w:val="0"/>
              <w:spacing w:before="50" w:after="50" w:line="360" w:lineRule="auto"/>
              <w:jc w:val="center"/>
              <w:rPr>
                <w:color w:val="auto"/>
                <w:sz w:val="20"/>
                <w:szCs w:val="20"/>
                <w:highlight w:val="none"/>
              </w:rPr>
            </w:pPr>
          </w:p>
        </w:tc>
      </w:tr>
      <w:tr w14:paraId="2F1656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1B39DB58">
            <w:pPr>
              <w:keepNext w:val="0"/>
              <w:keepLines w:val="0"/>
              <w:widowControl/>
              <w:suppressLineNumbers w:val="0"/>
              <w:jc w:val="center"/>
              <w:textAlignment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9</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44E297A0">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智能终端管理设备(电子警察系统）</w:t>
            </w:r>
          </w:p>
        </w:tc>
        <w:tc>
          <w:tcPr>
            <w:tcW w:w="1009" w:type="dxa"/>
            <w:tcBorders>
              <w:top w:val="single" w:color="auto" w:sz="4" w:space="0"/>
              <w:left w:val="single" w:color="auto" w:sz="4" w:space="0"/>
              <w:bottom w:val="single" w:color="auto" w:sz="4" w:space="0"/>
              <w:right w:val="single" w:color="auto" w:sz="4" w:space="0"/>
            </w:tcBorders>
            <w:vAlign w:val="center"/>
          </w:tcPr>
          <w:p w14:paraId="207E75A8">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02F2701F">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2827D84B">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3A13128B">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6BFE5B0A">
            <w:pPr>
              <w:snapToGrid w:val="0"/>
              <w:spacing w:before="50" w:after="50" w:line="360" w:lineRule="auto"/>
              <w:jc w:val="center"/>
              <w:rPr>
                <w:color w:val="auto"/>
                <w:sz w:val="20"/>
                <w:szCs w:val="20"/>
                <w:highlight w:val="none"/>
              </w:rPr>
            </w:pPr>
          </w:p>
        </w:tc>
      </w:tr>
      <w:tr w14:paraId="57115E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3C6FBF6A">
            <w:pPr>
              <w:keepNext w:val="0"/>
              <w:keepLines w:val="0"/>
              <w:widowControl/>
              <w:suppressLineNumbers w:val="0"/>
              <w:jc w:val="center"/>
              <w:textAlignment w:val="center"/>
              <w:rPr>
                <w:rFonts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10</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27367BEB">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交换机</w:t>
            </w:r>
          </w:p>
        </w:tc>
        <w:tc>
          <w:tcPr>
            <w:tcW w:w="1009" w:type="dxa"/>
            <w:tcBorders>
              <w:top w:val="single" w:color="auto" w:sz="4" w:space="0"/>
              <w:left w:val="single" w:color="auto" w:sz="4" w:space="0"/>
              <w:bottom w:val="single" w:color="auto" w:sz="4" w:space="0"/>
              <w:right w:val="single" w:color="auto" w:sz="4" w:space="0"/>
            </w:tcBorders>
            <w:vAlign w:val="center"/>
          </w:tcPr>
          <w:p w14:paraId="6101DAF8">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6B623253">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7BD7A67B">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64704ACD">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5D06752C">
            <w:pPr>
              <w:snapToGrid w:val="0"/>
              <w:spacing w:before="50" w:after="50" w:line="360" w:lineRule="auto"/>
              <w:jc w:val="center"/>
              <w:rPr>
                <w:color w:val="auto"/>
                <w:sz w:val="20"/>
                <w:szCs w:val="20"/>
                <w:highlight w:val="none"/>
              </w:rPr>
            </w:pPr>
          </w:p>
        </w:tc>
      </w:tr>
      <w:tr w14:paraId="6C69AC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3BD48012">
            <w:pPr>
              <w:keepNext w:val="0"/>
              <w:keepLines w:val="0"/>
              <w:widowControl/>
              <w:suppressLineNumbers w:val="0"/>
              <w:jc w:val="center"/>
              <w:textAlignment w:val="center"/>
              <w:rPr>
                <w:rFonts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11</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69C994A7">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机房主机</w:t>
            </w:r>
          </w:p>
        </w:tc>
        <w:tc>
          <w:tcPr>
            <w:tcW w:w="1009" w:type="dxa"/>
            <w:tcBorders>
              <w:top w:val="single" w:color="auto" w:sz="4" w:space="0"/>
              <w:left w:val="single" w:color="auto" w:sz="4" w:space="0"/>
              <w:bottom w:val="single" w:color="auto" w:sz="4" w:space="0"/>
              <w:right w:val="single" w:color="auto" w:sz="4" w:space="0"/>
            </w:tcBorders>
            <w:vAlign w:val="center"/>
          </w:tcPr>
          <w:p w14:paraId="0287327D">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198D1C0B">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1C0D2773">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79FBAFD5">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22FECA25">
            <w:pPr>
              <w:snapToGrid w:val="0"/>
              <w:spacing w:before="50" w:after="50" w:line="360" w:lineRule="auto"/>
              <w:jc w:val="center"/>
              <w:rPr>
                <w:color w:val="auto"/>
                <w:sz w:val="20"/>
                <w:szCs w:val="20"/>
                <w:highlight w:val="none"/>
              </w:rPr>
            </w:pPr>
          </w:p>
        </w:tc>
      </w:tr>
      <w:tr w14:paraId="5B2A33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5AFD2D95">
            <w:pPr>
              <w:keepNext w:val="0"/>
              <w:keepLines w:val="0"/>
              <w:widowControl/>
              <w:suppressLineNumbers w:val="0"/>
              <w:jc w:val="center"/>
              <w:textAlignment w:val="center"/>
              <w:rPr>
                <w:rFonts w:ascii="宋体" w:hAnsi="宋体" w:eastAsia="宋体" w:cs="宋体"/>
                <w:color w:val="auto"/>
                <w:sz w:val="22"/>
                <w:szCs w:val="22"/>
                <w:highlight w:val="none"/>
                <w:lang w:val="en-US" w:eastAsia="zh-CN" w:bidi="ar-SA"/>
              </w:rPr>
            </w:pPr>
            <w:r>
              <w:rPr>
                <w:rFonts w:hint="eastAsia" w:ascii="宋体" w:hAnsi="宋体" w:eastAsia="宋体" w:cs="宋体"/>
                <w:i w:val="0"/>
                <w:iCs w:val="0"/>
                <w:color w:val="auto"/>
                <w:kern w:val="0"/>
                <w:sz w:val="22"/>
                <w:szCs w:val="22"/>
                <w:highlight w:val="none"/>
                <w:u w:val="none"/>
                <w:lang w:val="en-US" w:eastAsia="zh-CN" w:bidi="ar"/>
              </w:rPr>
              <w:t>12</w:t>
            </w: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316C2A14">
            <w:pPr>
              <w:keepNext w:val="0"/>
              <w:keepLines w:val="0"/>
              <w:widowControl/>
              <w:suppressLineNumbers w:val="0"/>
              <w:jc w:val="left"/>
              <w:textAlignment w:val="center"/>
              <w:rPr>
                <w:rFonts w:hint="default" w:ascii="宋体" w:hAnsi="宋体" w:eastAsia="宋体" w:cs="宋体"/>
                <w:i w:val="0"/>
                <w:iCs w:val="0"/>
                <w:color w:val="auto"/>
                <w:sz w:val="22"/>
                <w:szCs w:val="22"/>
                <w:highlight w:val="none"/>
                <w:u w:val="none"/>
                <w:lang w:val="en-US" w:eastAsia="zh-CN" w:bidi="ar-SA"/>
              </w:rPr>
            </w:pPr>
            <w:r>
              <w:rPr>
                <w:rFonts w:hint="eastAsia" w:cs="宋体"/>
                <w:i w:val="0"/>
                <w:iCs w:val="0"/>
                <w:color w:val="auto"/>
                <w:sz w:val="22"/>
                <w:szCs w:val="22"/>
                <w:highlight w:val="none"/>
                <w:u w:val="none"/>
                <w:lang w:val="en-US" w:eastAsia="zh-CN" w:bidi="ar-SA"/>
              </w:rPr>
              <w:t>......</w:t>
            </w:r>
          </w:p>
        </w:tc>
        <w:tc>
          <w:tcPr>
            <w:tcW w:w="1009" w:type="dxa"/>
            <w:tcBorders>
              <w:top w:val="single" w:color="auto" w:sz="4" w:space="0"/>
              <w:left w:val="single" w:color="auto" w:sz="4" w:space="0"/>
              <w:bottom w:val="single" w:color="auto" w:sz="4" w:space="0"/>
              <w:right w:val="single" w:color="auto" w:sz="4" w:space="0"/>
            </w:tcBorders>
            <w:vAlign w:val="center"/>
          </w:tcPr>
          <w:p w14:paraId="5104C81C">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5182E7AE">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22D05082">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6B6F547B">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52B7B4A0">
            <w:pPr>
              <w:snapToGrid w:val="0"/>
              <w:spacing w:before="50" w:after="50" w:line="360" w:lineRule="auto"/>
              <w:jc w:val="center"/>
              <w:rPr>
                <w:color w:val="auto"/>
                <w:sz w:val="20"/>
                <w:szCs w:val="20"/>
                <w:highlight w:val="none"/>
              </w:rPr>
            </w:pPr>
          </w:p>
        </w:tc>
      </w:tr>
      <w:tr w14:paraId="4C6DB2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424B5AB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21714A90">
            <w:pPr>
              <w:keepNext w:val="0"/>
              <w:keepLines w:val="0"/>
              <w:widowControl/>
              <w:suppressLineNumbers w:val="0"/>
              <w:jc w:val="left"/>
              <w:textAlignment w:val="center"/>
              <w:rPr>
                <w:rFonts w:hint="eastAsia" w:cs="宋体"/>
                <w:i w:val="0"/>
                <w:iCs w:val="0"/>
                <w:color w:val="auto"/>
                <w:sz w:val="20"/>
                <w:szCs w:val="20"/>
                <w:highlight w:val="none"/>
                <w:u w:val="none"/>
                <w:lang w:val="en-US" w:eastAsia="zh-CN" w:bidi="ar-SA"/>
              </w:rPr>
            </w:pPr>
          </w:p>
        </w:tc>
        <w:tc>
          <w:tcPr>
            <w:tcW w:w="1009" w:type="dxa"/>
            <w:tcBorders>
              <w:top w:val="single" w:color="auto" w:sz="4" w:space="0"/>
              <w:left w:val="single" w:color="auto" w:sz="4" w:space="0"/>
              <w:bottom w:val="single" w:color="auto" w:sz="4" w:space="0"/>
              <w:right w:val="single" w:color="auto" w:sz="4" w:space="0"/>
            </w:tcBorders>
            <w:vAlign w:val="center"/>
          </w:tcPr>
          <w:p w14:paraId="6FFBBEF9">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4F210AA9">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0B40AFE2">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17AB9ED9">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554A7111">
            <w:pPr>
              <w:snapToGrid w:val="0"/>
              <w:spacing w:before="50" w:after="50" w:line="360" w:lineRule="auto"/>
              <w:jc w:val="center"/>
              <w:rPr>
                <w:color w:val="auto"/>
                <w:sz w:val="20"/>
                <w:szCs w:val="20"/>
                <w:highlight w:val="none"/>
              </w:rPr>
            </w:pPr>
          </w:p>
        </w:tc>
      </w:tr>
      <w:tr w14:paraId="7CAD72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727" w:type="dxa"/>
            <w:tcBorders>
              <w:top w:val="single" w:color="auto" w:sz="4" w:space="0"/>
              <w:left w:val="single" w:color="auto" w:sz="4" w:space="0"/>
              <w:bottom w:val="single" w:color="auto" w:sz="4" w:space="0"/>
              <w:right w:val="single" w:color="auto" w:sz="4" w:space="0"/>
            </w:tcBorders>
            <w:shd w:val="clear" w:color="auto" w:fill="auto"/>
            <w:vAlign w:val="center"/>
          </w:tcPr>
          <w:p w14:paraId="3F6E9A1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2496" w:type="dxa"/>
            <w:tcBorders>
              <w:top w:val="single" w:color="auto" w:sz="4" w:space="0"/>
              <w:left w:val="single" w:color="auto" w:sz="4" w:space="0"/>
              <w:bottom w:val="single" w:color="auto" w:sz="4" w:space="0"/>
              <w:right w:val="single" w:color="auto" w:sz="4" w:space="0"/>
            </w:tcBorders>
            <w:shd w:val="clear" w:color="auto" w:fill="FFFFFF"/>
            <w:vAlign w:val="center"/>
          </w:tcPr>
          <w:p w14:paraId="054CEE69">
            <w:pPr>
              <w:keepNext w:val="0"/>
              <w:keepLines w:val="0"/>
              <w:widowControl/>
              <w:suppressLineNumbers w:val="0"/>
              <w:jc w:val="left"/>
              <w:textAlignment w:val="center"/>
              <w:rPr>
                <w:rFonts w:hint="eastAsia" w:cs="宋体"/>
                <w:i w:val="0"/>
                <w:iCs w:val="0"/>
                <w:color w:val="auto"/>
                <w:sz w:val="20"/>
                <w:szCs w:val="20"/>
                <w:highlight w:val="none"/>
                <w:u w:val="none"/>
                <w:lang w:val="en-US" w:eastAsia="zh-CN" w:bidi="ar-SA"/>
              </w:rPr>
            </w:pPr>
          </w:p>
        </w:tc>
        <w:tc>
          <w:tcPr>
            <w:tcW w:w="1009" w:type="dxa"/>
            <w:tcBorders>
              <w:top w:val="single" w:color="auto" w:sz="4" w:space="0"/>
              <w:left w:val="single" w:color="auto" w:sz="4" w:space="0"/>
              <w:bottom w:val="single" w:color="auto" w:sz="4" w:space="0"/>
              <w:right w:val="single" w:color="auto" w:sz="4" w:space="0"/>
            </w:tcBorders>
            <w:vAlign w:val="center"/>
          </w:tcPr>
          <w:p w14:paraId="0275A54A">
            <w:pPr>
              <w:snapToGrid w:val="0"/>
              <w:spacing w:before="50" w:after="50" w:line="360" w:lineRule="auto"/>
              <w:jc w:val="center"/>
              <w:rPr>
                <w:color w:val="auto"/>
                <w:sz w:val="20"/>
                <w:szCs w:val="20"/>
                <w:highlight w:val="none"/>
              </w:rPr>
            </w:pPr>
          </w:p>
        </w:tc>
        <w:tc>
          <w:tcPr>
            <w:tcW w:w="867" w:type="dxa"/>
            <w:tcBorders>
              <w:top w:val="single" w:color="auto" w:sz="4" w:space="0"/>
              <w:left w:val="single" w:color="auto" w:sz="4" w:space="0"/>
              <w:bottom w:val="single" w:color="auto" w:sz="4" w:space="0"/>
              <w:right w:val="single" w:color="auto" w:sz="4" w:space="0"/>
            </w:tcBorders>
            <w:vAlign w:val="center"/>
          </w:tcPr>
          <w:p w14:paraId="22395100">
            <w:pPr>
              <w:snapToGrid w:val="0"/>
              <w:spacing w:before="50" w:after="50" w:line="360" w:lineRule="auto"/>
              <w:jc w:val="center"/>
              <w:rPr>
                <w:color w:val="auto"/>
                <w:sz w:val="20"/>
                <w:szCs w:val="20"/>
                <w:highlight w:val="none"/>
              </w:rPr>
            </w:pPr>
          </w:p>
        </w:tc>
        <w:tc>
          <w:tcPr>
            <w:tcW w:w="1325" w:type="dxa"/>
            <w:tcBorders>
              <w:top w:val="single" w:color="auto" w:sz="4" w:space="0"/>
              <w:left w:val="single" w:color="auto" w:sz="4" w:space="0"/>
              <w:bottom w:val="single" w:color="auto" w:sz="4" w:space="0"/>
              <w:right w:val="single" w:color="auto" w:sz="4" w:space="0"/>
            </w:tcBorders>
            <w:vAlign w:val="center"/>
          </w:tcPr>
          <w:p w14:paraId="57213D43">
            <w:pPr>
              <w:snapToGrid w:val="0"/>
              <w:spacing w:before="50" w:after="50" w:line="360" w:lineRule="auto"/>
              <w:jc w:val="center"/>
              <w:rPr>
                <w:color w:val="auto"/>
                <w:sz w:val="20"/>
                <w:szCs w:val="20"/>
                <w:highlight w:val="none"/>
              </w:rPr>
            </w:pPr>
          </w:p>
        </w:tc>
        <w:tc>
          <w:tcPr>
            <w:tcW w:w="813" w:type="dxa"/>
            <w:tcBorders>
              <w:top w:val="single" w:color="auto" w:sz="4" w:space="0"/>
              <w:left w:val="single" w:color="auto" w:sz="4" w:space="0"/>
              <w:bottom w:val="single" w:color="auto" w:sz="4" w:space="0"/>
              <w:right w:val="single" w:color="auto" w:sz="4" w:space="0"/>
            </w:tcBorders>
            <w:vAlign w:val="center"/>
          </w:tcPr>
          <w:p w14:paraId="7D7675DE">
            <w:pPr>
              <w:snapToGrid w:val="0"/>
              <w:spacing w:before="50" w:after="50" w:line="360" w:lineRule="auto"/>
              <w:jc w:val="center"/>
              <w:rPr>
                <w:color w:val="auto"/>
                <w:sz w:val="20"/>
                <w:szCs w:val="20"/>
                <w:highlight w:val="none"/>
              </w:rPr>
            </w:pPr>
          </w:p>
        </w:tc>
        <w:tc>
          <w:tcPr>
            <w:tcW w:w="2235" w:type="dxa"/>
            <w:tcBorders>
              <w:top w:val="single" w:color="auto" w:sz="4" w:space="0"/>
              <w:left w:val="single" w:color="auto" w:sz="4" w:space="0"/>
              <w:bottom w:val="single" w:color="auto" w:sz="4" w:space="0"/>
              <w:right w:val="single" w:color="auto" w:sz="4" w:space="0"/>
            </w:tcBorders>
            <w:vAlign w:val="center"/>
          </w:tcPr>
          <w:p w14:paraId="43D33438">
            <w:pPr>
              <w:snapToGrid w:val="0"/>
              <w:spacing w:before="50" w:after="50" w:line="360" w:lineRule="auto"/>
              <w:jc w:val="center"/>
              <w:rPr>
                <w:color w:val="auto"/>
                <w:sz w:val="20"/>
                <w:szCs w:val="20"/>
                <w:highlight w:val="none"/>
              </w:rPr>
            </w:pPr>
          </w:p>
        </w:tc>
      </w:tr>
    </w:tbl>
    <w:p w14:paraId="12CBB8C6">
      <w:pPr>
        <w:rPr>
          <w:rFonts w:hint="default" w:eastAsia="宋体"/>
          <w:b/>
          <w:color w:val="auto"/>
          <w:spacing w:val="20"/>
          <w:highlight w:val="none"/>
          <w:lang w:val="en-US" w:eastAsia="zh-CN"/>
        </w:rPr>
      </w:pPr>
      <w:r>
        <w:rPr>
          <w:rFonts w:hint="eastAsia"/>
          <w:b/>
          <w:color w:val="auto"/>
          <w:spacing w:val="20"/>
          <w:highlight w:val="none"/>
          <w:lang w:val="en-US" w:eastAsia="zh-CN"/>
        </w:rPr>
        <w:t>注：1、</w:t>
      </w:r>
      <w:r>
        <w:rPr>
          <w:rFonts w:hint="eastAsia" w:ascii="宋体" w:hAnsi="宋体" w:eastAsia="宋体" w:cs="宋体"/>
          <w:b/>
          <w:color w:val="auto"/>
          <w:spacing w:val="20"/>
          <w:highlight w:val="none"/>
          <w:lang w:val="en-US" w:eastAsia="zh-CN"/>
        </w:rPr>
        <w:t>▲</w:t>
      </w:r>
      <w:r>
        <w:rPr>
          <w:rFonts w:hint="eastAsia"/>
          <w:b/>
          <w:color w:val="auto"/>
          <w:spacing w:val="20"/>
          <w:highlight w:val="none"/>
          <w:lang w:val="en-US" w:eastAsia="zh-CN"/>
        </w:rPr>
        <w:t>以上已列设备名称，供应商必须注明本次所投品牌，否则按无效投标处理。</w:t>
      </w:r>
    </w:p>
    <w:p w14:paraId="4651BCA7">
      <w:pPr>
        <w:rPr>
          <w:rFonts w:hint="eastAsia" w:ascii="宋体" w:hAnsi="宋体" w:eastAsia="宋体" w:cs="宋体"/>
          <w:b w:val="0"/>
          <w:bCs/>
          <w:color w:val="auto"/>
          <w:spacing w:val="20"/>
          <w:highlight w:val="none"/>
          <w:lang w:val="en-US" w:eastAsia="zh-CN"/>
        </w:rPr>
      </w:pPr>
      <w:r>
        <w:rPr>
          <w:rFonts w:hint="eastAsia" w:ascii="宋体" w:hAnsi="宋体" w:eastAsia="宋体" w:cs="宋体"/>
          <w:b w:val="0"/>
          <w:bCs/>
          <w:color w:val="auto"/>
          <w:spacing w:val="20"/>
          <w:highlight w:val="none"/>
          <w:lang w:val="en-US" w:eastAsia="zh-CN"/>
        </w:rPr>
        <w:t>2、货物详细配置、技术应另页描述。</w:t>
      </w:r>
    </w:p>
    <w:p w14:paraId="09FF9612">
      <w:pPr>
        <w:rPr>
          <w:rFonts w:hint="eastAsia" w:ascii="宋体" w:hAnsi="宋体" w:eastAsia="宋体" w:cs="宋体"/>
          <w:b w:val="0"/>
          <w:bCs/>
          <w:color w:val="auto"/>
          <w:spacing w:val="20"/>
          <w:highlight w:val="none"/>
          <w:lang w:val="zh-CN" w:eastAsia="zh-CN"/>
        </w:rPr>
      </w:pPr>
      <w:r>
        <w:rPr>
          <w:rFonts w:hint="eastAsia" w:ascii="宋体" w:hAnsi="宋体" w:eastAsia="宋体" w:cs="宋体"/>
          <w:b w:val="0"/>
          <w:bCs/>
          <w:color w:val="auto"/>
          <w:spacing w:val="20"/>
          <w:highlight w:val="none"/>
          <w:lang w:val="en-US" w:eastAsia="zh-CN"/>
        </w:rPr>
        <w:t>3、不带价格放入商务技术文件内。</w:t>
      </w:r>
    </w:p>
    <w:p w14:paraId="65CFD5DD">
      <w:pPr>
        <w:rPr>
          <w:rFonts w:hint="eastAsia"/>
          <w:b/>
          <w:color w:val="auto"/>
          <w:spacing w:val="20"/>
          <w:highlight w:val="none"/>
        </w:rPr>
      </w:pPr>
    </w:p>
    <w:p w14:paraId="64A01E84">
      <w:pPr>
        <w:autoSpaceDE w:val="0"/>
        <w:autoSpaceDN w:val="0"/>
        <w:adjustRightInd w:val="0"/>
        <w:outlineLvl w:val="0"/>
        <w:rPr>
          <w:rFonts w:hint="eastAsia"/>
          <w:b/>
          <w:bCs/>
          <w:color w:val="auto"/>
          <w:sz w:val="32"/>
          <w:szCs w:val="32"/>
          <w:highlight w:val="none"/>
        </w:rPr>
      </w:pPr>
      <w:r>
        <w:rPr>
          <w:rFonts w:hint="eastAsia"/>
          <w:b/>
          <w:color w:val="auto"/>
          <w:spacing w:val="20"/>
          <w:highlight w:val="none"/>
        </w:rPr>
        <w:t>供应商盖章</w:t>
      </w:r>
      <w:r>
        <w:rPr>
          <w:rFonts w:hint="eastAsia"/>
          <w:color w:val="auto"/>
          <w:spacing w:val="20"/>
          <w:highlight w:val="none"/>
        </w:rPr>
        <w:t>：</w:t>
      </w:r>
      <w:r>
        <w:rPr>
          <w:rFonts w:hint="eastAsia"/>
          <w:color w:val="auto"/>
          <w:spacing w:val="20"/>
          <w:highlight w:val="none"/>
          <w:u w:val="single"/>
        </w:rPr>
        <w:t xml:space="preserve">               </w:t>
      </w:r>
      <w:r>
        <w:rPr>
          <w:rFonts w:hint="eastAsia"/>
          <w:color w:val="auto"/>
          <w:spacing w:val="20"/>
          <w:highlight w:val="none"/>
        </w:rPr>
        <w:t xml:space="preserve">   </w:t>
      </w:r>
    </w:p>
    <w:p w14:paraId="37F66F9F">
      <w:pPr>
        <w:autoSpaceDE w:val="0"/>
        <w:autoSpaceDN w:val="0"/>
        <w:adjustRightInd w:val="0"/>
        <w:outlineLvl w:val="0"/>
        <w:rPr>
          <w:rFonts w:hint="eastAsia"/>
          <w:b/>
          <w:bCs/>
          <w:color w:val="auto"/>
          <w:sz w:val="32"/>
          <w:szCs w:val="32"/>
          <w:highlight w:val="none"/>
        </w:rPr>
      </w:pPr>
    </w:p>
    <w:p w14:paraId="4934EE3C">
      <w:pPr>
        <w:autoSpaceDE w:val="0"/>
        <w:autoSpaceDN w:val="0"/>
        <w:adjustRightInd w:val="0"/>
        <w:outlineLvl w:val="0"/>
        <w:rPr>
          <w:rFonts w:hint="eastAsia"/>
          <w:b/>
          <w:bCs/>
          <w:color w:val="auto"/>
          <w:sz w:val="32"/>
          <w:szCs w:val="32"/>
          <w:highlight w:val="none"/>
        </w:rPr>
        <w:sectPr>
          <w:headerReference r:id="rId14" w:type="default"/>
          <w:footerReference r:id="rId15" w:type="default"/>
          <w:pgSz w:w="11906" w:h="16838"/>
          <w:pgMar w:top="1134" w:right="1134" w:bottom="1134" w:left="1134" w:header="720" w:footer="720" w:gutter="0"/>
          <w:pgNumType w:fmt="decimal"/>
          <w:cols w:space="720" w:num="1"/>
          <w:docGrid w:linePitch="312" w:charSpace="0"/>
        </w:sectPr>
      </w:pPr>
    </w:p>
    <w:p w14:paraId="06816CDC">
      <w:pPr>
        <w:autoSpaceDE w:val="0"/>
        <w:autoSpaceDN w:val="0"/>
        <w:adjustRightInd w:val="0"/>
        <w:outlineLvl w:val="0"/>
        <w:rPr>
          <w:rFonts w:hint="eastAsia"/>
          <w:b/>
          <w:bCs/>
          <w:color w:val="auto"/>
          <w:sz w:val="32"/>
          <w:szCs w:val="32"/>
          <w:highlight w:val="none"/>
          <w:lang w:val="zh-CN"/>
        </w:rPr>
      </w:pPr>
      <w:r>
        <w:rPr>
          <w:rFonts w:hint="eastAsia"/>
          <w:b/>
          <w:bCs/>
          <w:color w:val="auto"/>
          <w:sz w:val="32"/>
          <w:szCs w:val="32"/>
          <w:highlight w:val="none"/>
        </w:rPr>
        <w:t>3.</w:t>
      </w:r>
      <w:r>
        <w:rPr>
          <w:rFonts w:hint="eastAsia"/>
          <w:b/>
          <w:bCs/>
          <w:color w:val="auto"/>
          <w:sz w:val="32"/>
          <w:szCs w:val="32"/>
          <w:highlight w:val="none"/>
          <w:lang w:val="en-US" w:eastAsia="zh-CN"/>
        </w:rPr>
        <w:t xml:space="preserve">8   </w:t>
      </w:r>
      <w:r>
        <w:rPr>
          <w:rFonts w:hint="eastAsia"/>
          <w:b/>
          <w:bCs/>
          <w:color w:val="auto"/>
          <w:sz w:val="32"/>
          <w:szCs w:val="32"/>
          <w:highlight w:val="none"/>
          <w:lang w:val="zh-CN"/>
        </w:rPr>
        <w:t>202</w:t>
      </w:r>
      <w:r>
        <w:rPr>
          <w:rFonts w:hint="eastAsia"/>
          <w:b/>
          <w:bCs/>
          <w:color w:val="auto"/>
          <w:sz w:val="32"/>
          <w:szCs w:val="32"/>
          <w:highlight w:val="none"/>
          <w:lang w:val="en-US" w:eastAsia="zh-CN"/>
        </w:rPr>
        <w:t>2</w:t>
      </w:r>
      <w:r>
        <w:rPr>
          <w:rFonts w:hint="eastAsia"/>
          <w:b/>
          <w:bCs/>
          <w:color w:val="auto"/>
          <w:sz w:val="32"/>
          <w:szCs w:val="32"/>
          <w:highlight w:val="none"/>
          <w:lang w:val="zh-CN"/>
        </w:rPr>
        <w:t>年1月1日以来的同类项目业绩证明</w:t>
      </w:r>
    </w:p>
    <w:p w14:paraId="1C64A9EC">
      <w:pPr>
        <w:pStyle w:val="37"/>
        <w:adjustRightInd w:val="0"/>
        <w:snapToGrid w:val="0"/>
        <w:spacing w:line="400" w:lineRule="exact"/>
        <w:jc w:val="center"/>
        <w:rPr>
          <w:rFonts w:hint="eastAsia" w:hAnsi="宋体" w:eastAsia="宋体" w:cs="宋体"/>
          <w:color w:val="auto"/>
          <w:sz w:val="24"/>
          <w:szCs w:val="24"/>
          <w:highlight w:val="none"/>
          <w:lang w:val="en-US" w:eastAsia="zh-CN"/>
        </w:rPr>
      </w:pPr>
      <w:r>
        <w:rPr>
          <w:rFonts w:hint="eastAsia" w:hAnsi="宋体" w:cs="宋体"/>
          <w:color w:val="auto"/>
          <w:sz w:val="24"/>
          <w:szCs w:val="24"/>
          <w:highlight w:val="none"/>
        </w:rPr>
        <w:t>202</w:t>
      </w:r>
      <w:r>
        <w:rPr>
          <w:rFonts w:hint="eastAsia" w:hAnsi="宋体" w:cs="宋体"/>
          <w:color w:val="auto"/>
          <w:sz w:val="24"/>
          <w:szCs w:val="24"/>
          <w:highlight w:val="none"/>
          <w:lang w:val="en-US" w:eastAsia="zh-CN"/>
        </w:rPr>
        <w:t>2</w:t>
      </w:r>
      <w:r>
        <w:rPr>
          <w:rFonts w:hint="eastAsia" w:hAnsi="宋体" w:cs="宋体"/>
          <w:color w:val="auto"/>
          <w:sz w:val="24"/>
          <w:szCs w:val="24"/>
          <w:highlight w:val="none"/>
        </w:rPr>
        <w:t>年1月1日以来的同类项目业绩证明（按评标细则要求提供）</w:t>
      </w:r>
      <w:r>
        <w:rPr>
          <w:rFonts w:hint="eastAsia" w:hAnsi="宋体" w:cs="宋体"/>
          <w:color w:val="auto"/>
          <w:sz w:val="24"/>
          <w:szCs w:val="24"/>
          <w:highlight w:val="none"/>
          <w:lang w:val="en-US" w:eastAsia="zh-CN"/>
        </w:rPr>
        <w:t xml:space="preserve"> </w:t>
      </w:r>
    </w:p>
    <w:tbl>
      <w:tblPr>
        <w:tblStyle w:val="6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30" w:type="dxa"/>
          <w:bottom w:w="0" w:type="dxa"/>
          <w:right w:w="30" w:type="dxa"/>
        </w:tblCellMar>
      </w:tblPr>
      <w:tblGrid>
        <w:gridCol w:w="679"/>
        <w:gridCol w:w="1319"/>
        <w:gridCol w:w="1521"/>
        <w:gridCol w:w="1224"/>
        <w:gridCol w:w="1312"/>
        <w:gridCol w:w="2150"/>
        <w:gridCol w:w="1489"/>
      </w:tblGrid>
      <w:tr w14:paraId="07DC2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723" w:hRule="exact"/>
          <w:jc w:val="center"/>
        </w:trPr>
        <w:tc>
          <w:tcPr>
            <w:tcW w:w="350" w:type="pct"/>
            <w:noWrap w:val="0"/>
            <w:vAlign w:val="center"/>
          </w:tcPr>
          <w:p w14:paraId="25D35FEC">
            <w:pPr>
              <w:autoSpaceDE w:val="0"/>
              <w:autoSpaceDN w:val="0"/>
              <w:adjustRightInd w:val="0"/>
              <w:jc w:val="center"/>
              <w:rPr>
                <w:rFonts w:hint="eastAsia"/>
                <w:b/>
                <w:color w:val="auto"/>
                <w:highlight w:val="none"/>
              </w:rPr>
            </w:pPr>
            <w:r>
              <w:rPr>
                <w:rFonts w:hint="eastAsia"/>
                <w:b/>
                <w:color w:val="auto"/>
                <w:highlight w:val="none"/>
              </w:rPr>
              <w:t>序号</w:t>
            </w:r>
          </w:p>
        </w:tc>
        <w:tc>
          <w:tcPr>
            <w:tcW w:w="680" w:type="pct"/>
            <w:noWrap w:val="0"/>
            <w:vAlign w:val="center"/>
          </w:tcPr>
          <w:p w14:paraId="3BBD0821">
            <w:pPr>
              <w:autoSpaceDE w:val="0"/>
              <w:autoSpaceDN w:val="0"/>
              <w:adjustRightInd w:val="0"/>
              <w:jc w:val="center"/>
              <w:rPr>
                <w:rFonts w:hint="eastAsia"/>
                <w:b/>
                <w:color w:val="auto"/>
                <w:highlight w:val="none"/>
              </w:rPr>
            </w:pPr>
            <w:r>
              <w:rPr>
                <w:rFonts w:hint="eastAsia"/>
                <w:b/>
                <w:color w:val="auto"/>
                <w:highlight w:val="none"/>
              </w:rPr>
              <w:t>项目名称</w:t>
            </w:r>
          </w:p>
        </w:tc>
        <w:tc>
          <w:tcPr>
            <w:tcW w:w="784" w:type="pct"/>
            <w:noWrap w:val="0"/>
            <w:vAlign w:val="center"/>
          </w:tcPr>
          <w:p w14:paraId="5274EC08">
            <w:pPr>
              <w:autoSpaceDE w:val="0"/>
              <w:autoSpaceDN w:val="0"/>
              <w:adjustRightInd w:val="0"/>
              <w:jc w:val="center"/>
              <w:rPr>
                <w:rFonts w:hint="eastAsia"/>
                <w:b/>
                <w:color w:val="auto"/>
                <w:highlight w:val="none"/>
              </w:rPr>
            </w:pPr>
            <w:r>
              <w:rPr>
                <w:rFonts w:hint="eastAsia"/>
                <w:b/>
                <w:color w:val="auto"/>
                <w:highlight w:val="none"/>
              </w:rPr>
              <w:t>合同内容</w:t>
            </w:r>
          </w:p>
        </w:tc>
        <w:tc>
          <w:tcPr>
            <w:tcW w:w="631" w:type="pct"/>
            <w:noWrap w:val="0"/>
            <w:vAlign w:val="center"/>
          </w:tcPr>
          <w:p w14:paraId="75D97E7A">
            <w:pPr>
              <w:autoSpaceDE w:val="0"/>
              <w:autoSpaceDN w:val="0"/>
              <w:adjustRightInd w:val="0"/>
              <w:jc w:val="center"/>
              <w:rPr>
                <w:rFonts w:hint="eastAsia"/>
                <w:b/>
                <w:color w:val="auto"/>
                <w:highlight w:val="none"/>
              </w:rPr>
            </w:pPr>
            <w:r>
              <w:rPr>
                <w:rFonts w:hint="eastAsia"/>
                <w:b/>
                <w:color w:val="auto"/>
                <w:highlight w:val="none"/>
              </w:rPr>
              <w:t>合同总价</w:t>
            </w:r>
          </w:p>
        </w:tc>
        <w:tc>
          <w:tcPr>
            <w:tcW w:w="676" w:type="pct"/>
            <w:noWrap w:val="0"/>
            <w:vAlign w:val="center"/>
          </w:tcPr>
          <w:p w14:paraId="04EA1D45">
            <w:pPr>
              <w:autoSpaceDE w:val="0"/>
              <w:autoSpaceDN w:val="0"/>
              <w:adjustRightInd w:val="0"/>
              <w:jc w:val="center"/>
              <w:rPr>
                <w:rFonts w:hint="eastAsia"/>
                <w:b/>
                <w:color w:val="auto"/>
                <w:highlight w:val="none"/>
              </w:rPr>
            </w:pPr>
            <w:r>
              <w:rPr>
                <w:rFonts w:hint="eastAsia"/>
                <w:b/>
                <w:color w:val="auto"/>
                <w:highlight w:val="none"/>
              </w:rPr>
              <w:t>签约日期</w:t>
            </w:r>
          </w:p>
        </w:tc>
        <w:tc>
          <w:tcPr>
            <w:tcW w:w="1108" w:type="pct"/>
            <w:noWrap w:val="0"/>
            <w:vAlign w:val="center"/>
          </w:tcPr>
          <w:p w14:paraId="07CCAA18">
            <w:pPr>
              <w:autoSpaceDE w:val="0"/>
              <w:autoSpaceDN w:val="0"/>
              <w:adjustRightInd w:val="0"/>
              <w:jc w:val="center"/>
              <w:rPr>
                <w:rFonts w:hint="eastAsia"/>
                <w:b/>
                <w:color w:val="auto"/>
                <w:highlight w:val="none"/>
              </w:rPr>
            </w:pPr>
            <w:r>
              <w:rPr>
                <w:rFonts w:hint="eastAsia"/>
                <w:b/>
                <w:color w:val="auto"/>
                <w:highlight w:val="none"/>
              </w:rPr>
              <w:t>发包方联系人</w:t>
            </w:r>
          </w:p>
        </w:tc>
        <w:tc>
          <w:tcPr>
            <w:tcW w:w="767" w:type="pct"/>
            <w:noWrap w:val="0"/>
            <w:vAlign w:val="center"/>
          </w:tcPr>
          <w:p w14:paraId="0AB4E557">
            <w:pPr>
              <w:autoSpaceDE w:val="0"/>
              <w:autoSpaceDN w:val="0"/>
              <w:adjustRightInd w:val="0"/>
              <w:jc w:val="center"/>
              <w:rPr>
                <w:rFonts w:hint="eastAsia"/>
                <w:b/>
                <w:color w:val="auto"/>
                <w:highlight w:val="none"/>
              </w:rPr>
            </w:pPr>
            <w:r>
              <w:rPr>
                <w:rFonts w:hint="eastAsia"/>
                <w:b/>
                <w:color w:val="auto"/>
                <w:highlight w:val="none"/>
              </w:rPr>
              <w:t>联系电话</w:t>
            </w:r>
          </w:p>
        </w:tc>
      </w:tr>
      <w:tr w14:paraId="3189E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723" w:hRule="exact"/>
          <w:jc w:val="center"/>
        </w:trPr>
        <w:tc>
          <w:tcPr>
            <w:tcW w:w="350" w:type="pct"/>
            <w:noWrap w:val="0"/>
            <w:vAlign w:val="center"/>
          </w:tcPr>
          <w:p w14:paraId="69839108">
            <w:pPr>
              <w:autoSpaceDE w:val="0"/>
              <w:autoSpaceDN w:val="0"/>
              <w:adjustRightInd w:val="0"/>
              <w:jc w:val="center"/>
              <w:rPr>
                <w:rFonts w:hint="eastAsia"/>
                <w:color w:val="auto"/>
                <w:highlight w:val="none"/>
              </w:rPr>
            </w:pPr>
          </w:p>
        </w:tc>
        <w:tc>
          <w:tcPr>
            <w:tcW w:w="680" w:type="pct"/>
            <w:noWrap w:val="0"/>
            <w:vAlign w:val="center"/>
          </w:tcPr>
          <w:p w14:paraId="3CD0D7C1">
            <w:pPr>
              <w:autoSpaceDE w:val="0"/>
              <w:autoSpaceDN w:val="0"/>
              <w:adjustRightInd w:val="0"/>
              <w:jc w:val="center"/>
              <w:rPr>
                <w:rFonts w:hint="eastAsia"/>
                <w:color w:val="auto"/>
                <w:highlight w:val="none"/>
              </w:rPr>
            </w:pPr>
          </w:p>
        </w:tc>
        <w:tc>
          <w:tcPr>
            <w:tcW w:w="784" w:type="pct"/>
            <w:noWrap w:val="0"/>
            <w:vAlign w:val="center"/>
          </w:tcPr>
          <w:p w14:paraId="0FA757A1">
            <w:pPr>
              <w:autoSpaceDE w:val="0"/>
              <w:autoSpaceDN w:val="0"/>
              <w:adjustRightInd w:val="0"/>
              <w:jc w:val="center"/>
              <w:rPr>
                <w:rFonts w:hint="eastAsia"/>
                <w:color w:val="auto"/>
                <w:highlight w:val="none"/>
              </w:rPr>
            </w:pPr>
          </w:p>
        </w:tc>
        <w:tc>
          <w:tcPr>
            <w:tcW w:w="631" w:type="pct"/>
            <w:noWrap w:val="0"/>
            <w:vAlign w:val="center"/>
          </w:tcPr>
          <w:p w14:paraId="172E6B53">
            <w:pPr>
              <w:autoSpaceDE w:val="0"/>
              <w:autoSpaceDN w:val="0"/>
              <w:adjustRightInd w:val="0"/>
              <w:jc w:val="center"/>
              <w:rPr>
                <w:rFonts w:hint="eastAsia"/>
                <w:color w:val="auto"/>
                <w:highlight w:val="none"/>
              </w:rPr>
            </w:pPr>
          </w:p>
        </w:tc>
        <w:tc>
          <w:tcPr>
            <w:tcW w:w="676" w:type="pct"/>
            <w:noWrap w:val="0"/>
            <w:vAlign w:val="center"/>
          </w:tcPr>
          <w:p w14:paraId="048A8AFD">
            <w:pPr>
              <w:autoSpaceDE w:val="0"/>
              <w:autoSpaceDN w:val="0"/>
              <w:adjustRightInd w:val="0"/>
              <w:jc w:val="center"/>
              <w:rPr>
                <w:rFonts w:hint="eastAsia"/>
                <w:color w:val="auto"/>
                <w:highlight w:val="none"/>
              </w:rPr>
            </w:pPr>
          </w:p>
        </w:tc>
        <w:tc>
          <w:tcPr>
            <w:tcW w:w="1108" w:type="pct"/>
            <w:noWrap w:val="0"/>
            <w:vAlign w:val="center"/>
          </w:tcPr>
          <w:p w14:paraId="3E798237">
            <w:pPr>
              <w:autoSpaceDE w:val="0"/>
              <w:autoSpaceDN w:val="0"/>
              <w:adjustRightInd w:val="0"/>
              <w:jc w:val="center"/>
              <w:rPr>
                <w:rFonts w:hint="eastAsia"/>
                <w:color w:val="auto"/>
                <w:highlight w:val="none"/>
              </w:rPr>
            </w:pPr>
          </w:p>
        </w:tc>
        <w:tc>
          <w:tcPr>
            <w:tcW w:w="767" w:type="pct"/>
            <w:noWrap w:val="0"/>
            <w:vAlign w:val="center"/>
          </w:tcPr>
          <w:p w14:paraId="2F4EE6DB">
            <w:pPr>
              <w:autoSpaceDE w:val="0"/>
              <w:autoSpaceDN w:val="0"/>
              <w:adjustRightInd w:val="0"/>
              <w:jc w:val="center"/>
              <w:rPr>
                <w:rFonts w:hint="eastAsia"/>
                <w:color w:val="auto"/>
                <w:highlight w:val="none"/>
              </w:rPr>
            </w:pPr>
          </w:p>
        </w:tc>
      </w:tr>
      <w:tr w14:paraId="07B9F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723" w:hRule="exact"/>
          <w:jc w:val="center"/>
        </w:trPr>
        <w:tc>
          <w:tcPr>
            <w:tcW w:w="350" w:type="pct"/>
            <w:noWrap w:val="0"/>
            <w:vAlign w:val="center"/>
          </w:tcPr>
          <w:p w14:paraId="684E01C7">
            <w:pPr>
              <w:autoSpaceDE w:val="0"/>
              <w:autoSpaceDN w:val="0"/>
              <w:adjustRightInd w:val="0"/>
              <w:jc w:val="center"/>
              <w:rPr>
                <w:rFonts w:hint="eastAsia"/>
                <w:color w:val="auto"/>
                <w:highlight w:val="none"/>
              </w:rPr>
            </w:pPr>
          </w:p>
        </w:tc>
        <w:tc>
          <w:tcPr>
            <w:tcW w:w="680" w:type="pct"/>
            <w:noWrap w:val="0"/>
            <w:vAlign w:val="center"/>
          </w:tcPr>
          <w:p w14:paraId="6FA86E49">
            <w:pPr>
              <w:autoSpaceDE w:val="0"/>
              <w:autoSpaceDN w:val="0"/>
              <w:adjustRightInd w:val="0"/>
              <w:jc w:val="center"/>
              <w:rPr>
                <w:rFonts w:hint="eastAsia"/>
                <w:color w:val="auto"/>
                <w:highlight w:val="none"/>
              </w:rPr>
            </w:pPr>
          </w:p>
        </w:tc>
        <w:tc>
          <w:tcPr>
            <w:tcW w:w="784" w:type="pct"/>
            <w:noWrap w:val="0"/>
            <w:vAlign w:val="center"/>
          </w:tcPr>
          <w:p w14:paraId="1EA74150">
            <w:pPr>
              <w:autoSpaceDE w:val="0"/>
              <w:autoSpaceDN w:val="0"/>
              <w:adjustRightInd w:val="0"/>
              <w:jc w:val="center"/>
              <w:rPr>
                <w:rFonts w:hint="eastAsia"/>
                <w:color w:val="auto"/>
                <w:highlight w:val="none"/>
              </w:rPr>
            </w:pPr>
          </w:p>
        </w:tc>
        <w:tc>
          <w:tcPr>
            <w:tcW w:w="631" w:type="pct"/>
            <w:noWrap w:val="0"/>
            <w:vAlign w:val="center"/>
          </w:tcPr>
          <w:p w14:paraId="353F0EDA">
            <w:pPr>
              <w:autoSpaceDE w:val="0"/>
              <w:autoSpaceDN w:val="0"/>
              <w:adjustRightInd w:val="0"/>
              <w:jc w:val="center"/>
              <w:rPr>
                <w:rFonts w:hint="eastAsia"/>
                <w:color w:val="auto"/>
                <w:highlight w:val="none"/>
              </w:rPr>
            </w:pPr>
          </w:p>
        </w:tc>
        <w:tc>
          <w:tcPr>
            <w:tcW w:w="676" w:type="pct"/>
            <w:noWrap w:val="0"/>
            <w:vAlign w:val="center"/>
          </w:tcPr>
          <w:p w14:paraId="726DC14D">
            <w:pPr>
              <w:autoSpaceDE w:val="0"/>
              <w:autoSpaceDN w:val="0"/>
              <w:adjustRightInd w:val="0"/>
              <w:jc w:val="center"/>
              <w:rPr>
                <w:rFonts w:hint="eastAsia"/>
                <w:color w:val="auto"/>
                <w:highlight w:val="none"/>
              </w:rPr>
            </w:pPr>
          </w:p>
        </w:tc>
        <w:tc>
          <w:tcPr>
            <w:tcW w:w="1108" w:type="pct"/>
            <w:noWrap w:val="0"/>
            <w:vAlign w:val="center"/>
          </w:tcPr>
          <w:p w14:paraId="04EF949F">
            <w:pPr>
              <w:autoSpaceDE w:val="0"/>
              <w:autoSpaceDN w:val="0"/>
              <w:adjustRightInd w:val="0"/>
              <w:jc w:val="center"/>
              <w:rPr>
                <w:rFonts w:hint="eastAsia"/>
                <w:color w:val="auto"/>
                <w:highlight w:val="none"/>
              </w:rPr>
            </w:pPr>
          </w:p>
        </w:tc>
        <w:tc>
          <w:tcPr>
            <w:tcW w:w="767" w:type="pct"/>
            <w:noWrap w:val="0"/>
            <w:vAlign w:val="center"/>
          </w:tcPr>
          <w:p w14:paraId="5DA10FC8">
            <w:pPr>
              <w:autoSpaceDE w:val="0"/>
              <w:autoSpaceDN w:val="0"/>
              <w:adjustRightInd w:val="0"/>
              <w:jc w:val="center"/>
              <w:rPr>
                <w:rFonts w:hint="eastAsia"/>
                <w:color w:val="auto"/>
                <w:highlight w:val="none"/>
              </w:rPr>
            </w:pPr>
          </w:p>
        </w:tc>
      </w:tr>
      <w:tr w14:paraId="67DF1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723" w:hRule="exact"/>
          <w:jc w:val="center"/>
        </w:trPr>
        <w:tc>
          <w:tcPr>
            <w:tcW w:w="350" w:type="pct"/>
            <w:noWrap w:val="0"/>
            <w:vAlign w:val="center"/>
          </w:tcPr>
          <w:p w14:paraId="27ADDDF1">
            <w:pPr>
              <w:autoSpaceDE w:val="0"/>
              <w:autoSpaceDN w:val="0"/>
              <w:adjustRightInd w:val="0"/>
              <w:jc w:val="center"/>
              <w:rPr>
                <w:rFonts w:hint="eastAsia"/>
                <w:color w:val="auto"/>
                <w:highlight w:val="none"/>
              </w:rPr>
            </w:pPr>
          </w:p>
        </w:tc>
        <w:tc>
          <w:tcPr>
            <w:tcW w:w="680" w:type="pct"/>
            <w:noWrap w:val="0"/>
            <w:vAlign w:val="center"/>
          </w:tcPr>
          <w:p w14:paraId="2A3E12FF">
            <w:pPr>
              <w:autoSpaceDE w:val="0"/>
              <w:autoSpaceDN w:val="0"/>
              <w:adjustRightInd w:val="0"/>
              <w:jc w:val="center"/>
              <w:rPr>
                <w:rFonts w:hint="eastAsia"/>
                <w:color w:val="auto"/>
                <w:highlight w:val="none"/>
              </w:rPr>
            </w:pPr>
          </w:p>
        </w:tc>
        <w:tc>
          <w:tcPr>
            <w:tcW w:w="784" w:type="pct"/>
            <w:noWrap w:val="0"/>
            <w:vAlign w:val="center"/>
          </w:tcPr>
          <w:p w14:paraId="6948454C">
            <w:pPr>
              <w:autoSpaceDE w:val="0"/>
              <w:autoSpaceDN w:val="0"/>
              <w:adjustRightInd w:val="0"/>
              <w:jc w:val="center"/>
              <w:rPr>
                <w:rFonts w:hint="eastAsia"/>
                <w:color w:val="auto"/>
                <w:highlight w:val="none"/>
              </w:rPr>
            </w:pPr>
          </w:p>
        </w:tc>
        <w:tc>
          <w:tcPr>
            <w:tcW w:w="631" w:type="pct"/>
            <w:noWrap w:val="0"/>
            <w:vAlign w:val="center"/>
          </w:tcPr>
          <w:p w14:paraId="6C85AC2D">
            <w:pPr>
              <w:autoSpaceDE w:val="0"/>
              <w:autoSpaceDN w:val="0"/>
              <w:adjustRightInd w:val="0"/>
              <w:jc w:val="center"/>
              <w:rPr>
                <w:rFonts w:hint="eastAsia"/>
                <w:color w:val="auto"/>
                <w:highlight w:val="none"/>
              </w:rPr>
            </w:pPr>
          </w:p>
        </w:tc>
        <w:tc>
          <w:tcPr>
            <w:tcW w:w="676" w:type="pct"/>
            <w:noWrap w:val="0"/>
            <w:vAlign w:val="center"/>
          </w:tcPr>
          <w:p w14:paraId="1A73B2D9">
            <w:pPr>
              <w:autoSpaceDE w:val="0"/>
              <w:autoSpaceDN w:val="0"/>
              <w:adjustRightInd w:val="0"/>
              <w:jc w:val="center"/>
              <w:rPr>
                <w:rFonts w:hint="eastAsia"/>
                <w:color w:val="auto"/>
                <w:highlight w:val="none"/>
              </w:rPr>
            </w:pPr>
          </w:p>
        </w:tc>
        <w:tc>
          <w:tcPr>
            <w:tcW w:w="1108" w:type="pct"/>
            <w:noWrap w:val="0"/>
            <w:vAlign w:val="center"/>
          </w:tcPr>
          <w:p w14:paraId="1ACAB603">
            <w:pPr>
              <w:autoSpaceDE w:val="0"/>
              <w:autoSpaceDN w:val="0"/>
              <w:adjustRightInd w:val="0"/>
              <w:jc w:val="center"/>
              <w:rPr>
                <w:rFonts w:hint="eastAsia"/>
                <w:color w:val="auto"/>
                <w:highlight w:val="none"/>
              </w:rPr>
            </w:pPr>
          </w:p>
        </w:tc>
        <w:tc>
          <w:tcPr>
            <w:tcW w:w="767" w:type="pct"/>
            <w:noWrap w:val="0"/>
            <w:vAlign w:val="center"/>
          </w:tcPr>
          <w:p w14:paraId="21A6F9C5">
            <w:pPr>
              <w:autoSpaceDE w:val="0"/>
              <w:autoSpaceDN w:val="0"/>
              <w:adjustRightInd w:val="0"/>
              <w:jc w:val="center"/>
              <w:rPr>
                <w:rFonts w:hint="eastAsia"/>
                <w:color w:val="auto"/>
                <w:highlight w:val="none"/>
              </w:rPr>
            </w:pPr>
          </w:p>
        </w:tc>
      </w:tr>
      <w:tr w14:paraId="778C4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723" w:hRule="exact"/>
          <w:jc w:val="center"/>
        </w:trPr>
        <w:tc>
          <w:tcPr>
            <w:tcW w:w="350" w:type="pct"/>
            <w:noWrap w:val="0"/>
            <w:vAlign w:val="center"/>
          </w:tcPr>
          <w:p w14:paraId="5E3267B3">
            <w:pPr>
              <w:autoSpaceDE w:val="0"/>
              <w:autoSpaceDN w:val="0"/>
              <w:adjustRightInd w:val="0"/>
              <w:jc w:val="center"/>
              <w:rPr>
                <w:rFonts w:hint="eastAsia"/>
                <w:color w:val="auto"/>
                <w:highlight w:val="none"/>
              </w:rPr>
            </w:pPr>
          </w:p>
        </w:tc>
        <w:tc>
          <w:tcPr>
            <w:tcW w:w="680" w:type="pct"/>
            <w:noWrap w:val="0"/>
            <w:vAlign w:val="center"/>
          </w:tcPr>
          <w:p w14:paraId="04F3092C">
            <w:pPr>
              <w:autoSpaceDE w:val="0"/>
              <w:autoSpaceDN w:val="0"/>
              <w:adjustRightInd w:val="0"/>
              <w:jc w:val="center"/>
              <w:rPr>
                <w:rFonts w:hint="eastAsia"/>
                <w:color w:val="auto"/>
                <w:highlight w:val="none"/>
              </w:rPr>
            </w:pPr>
          </w:p>
        </w:tc>
        <w:tc>
          <w:tcPr>
            <w:tcW w:w="784" w:type="pct"/>
            <w:noWrap w:val="0"/>
            <w:vAlign w:val="center"/>
          </w:tcPr>
          <w:p w14:paraId="36545D16">
            <w:pPr>
              <w:autoSpaceDE w:val="0"/>
              <w:autoSpaceDN w:val="0"/>
              <w:adjustRightInd w:val="0"/>
              <w:jc w:val="center"/>
              <w:rPr>
                <w:rFonts w:hint="eastAsia"/>
                <w:color w:val="auto"/>
                <w:highlight w:val="none"/>
              </w:rPr>
            </w:pPr>
          </w:p>
        </w:tc>
        <w:tc>
          <w:tcPr>
            <w:tcW w:w="631" w:type="pct"/>
            <w:noWrap w:val="0"/>
            <w:vAlign w:val="center"/>
          </w:tcPr>
          <w:p w14:paraId="6E4D75B7">
            <w:pPr>
              <w:autoSpaceDE w:val="0"/>
              <w:autoSpaceDN w:val="0"/>
              <w:adjustRightInd w:val="0"/>
              <w:jc w:val="center"/>
              <w:rPr>
                <w:rFonts w:hint="eastAsia"/>
                <w:color w:val="auto"/>
                <w:highlight w:val="none"/>
              </w:rPr>
            </w:pPr>
          </w:p>
        </w:tc>
        <w:tc>
          <w:tcPr>
            <w:tcW w:w="676" w:type="pct"/>
            <w:noWrap w:val="0"/>
            <w:vAlign w:val="center"/>
          </w:tcPr>
          <w:p w14:paraId="562773B0">
            <w:pPr>
              <w:autoSpaceDE w:val="0"/>
              <w:autoSpaceDN w:val="0"/>
              <w:adjustRightInd w:val="0"/>
              <w:jc w:val="center"/>
              <w:rPr>
                <w:rFonts w:hint="eastAsia"/>
                <w:color w:val="auto"/>
                <w:highlight w:val="none"/>
              </w:rPr>
            </w:pPr>
          </w:p>
        </w:tc>
        <w:tc>
          <w:tcPr>
            <w:tcW w:w="1108" w:type="pct"/>
            <w:noWrap w:val="0"/>
            <w:vAlign w:val="center"/>
          </w:tcPr>
          <w:p w14:paraId="76B1DC58">
            <w:pPr>
              <w:autoSpaceDE w:val="0"/>
              <w:autoSpaceDN w:val="0"/>
              <w:adjustRightInd w:val="0"/>
              <w:jc w:val="center"/>
              <w:rPr>
                <w:rFonts w:hint="eastAsia"/>
                <w:color w:val="auto"/>
                <w:highlight w:val="none"/>
              </w:rPr>
            </w:pPr>
          </w:p>
        </w:tc>
        <w:tc>
          <w:tcPr>
            <w:tcW w:w="767" w:type="pct"/>
            <w:noWrap w:val="0"/>
            <w:vAlign w:val="center"/>
          </w:tcPr>
          <w:p w14:paraId="609BC3F7">
            <w:pPr>
              <w:autoSpaceDE w:val="0"/>
              <w:autoSpaceDN w:val="0"/>
              <w:adjustRightInd w:val="0"/>
              <w:jc w:val="center"/>
              <w:rPr>
                <w:rFonts w:hint="eastAsia"/>
                <w:color w:val="auto"/>
                <w:highlight w:val="none"/>
              </w:rPr>
            </w:pPr>
          </w:p>
        </w:tc>
      </w:tr>
      <w:tr w14:paraId="3E96F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723" w:hRule="exact"/>
          <w:jc w:val="center"/>
        </w:trPr>
        <w:tc>
          <w:tcPr>
            <w:tcW w:w="350" w:type="pct"/>
            <w:noWrap w:val="0"/>
            <w:vAlign w:val="center"/>
          </w:tcPr>
          <w:p w14:paraId="41A580BE">
            <w:pPr>
              <w:autoSpaceDE w:val="0"/>
              <w:autoSpaceDN w:val="0"/>
              <w:adjustRightInd w:val="0"/>
              <w:jc w:val="center"/>
              <w:rPr>
                <w:rFonts w:hint="eastAsia"/>
                <w:color w:val="auto"/>
                <w:highlight w:val="none"/>
              </w:rPr>
            </w:pPr>
          </w:p>
        </w:tc>
        <w:tc>
          <w:tcPr>
            <w:tcW w:w="680" w:type="pct"/>
            <w:noWrap w:val="0"/>
            <w:vAlign w:val="center"/>
          </w:tcPr>
          <w:p w14:paraId="0AC1A50D">
            <w:pPr>
              <w:autoSpaceDE w:val="0"/>
              <w:autoSpaceDN w:val="0"/>
              <w:adjustRightInd w:val="0"/>
              <w:jc w:val="center"/>
              <w:rPr>
                <w:rFonts w:hint="eastAsia"/>
                <w:color w:val="auto"/>
                <w:highlight w:val="none"/>
              </w:rPr>
            </w:pPr>
          </w:p>
        </w:tc>
        <w:tc>
          <w:tcPr>
            <w:tcW w:w="784" w:type="pct"/>
            <w:noWrap w:val="0"/>
            <w:vAlign w:val="center"/>
          </w:tcPr>
          <w:p w14:paraId="2A556842">
            <w:pPr>
              <w:autoSpaceDE w:val="0"/>
              <w:autoSpaceDN w:val="0"/>
              <w:adjustRightInd w:val="0"/>
              <w:jc w:val="center"/>
              <w:rPr>
                <w:rFonts w:hint="eastAsia"/>
                <w:color w:val="auto"/>
                <w:highlight w:val="none"/>
              </w:rPr>
            </w:pPr>
          </w:p>
        </w:tc>
        <w:tc>
          <w:tcPr>
            <w:tcW w:w="631" w:type="pct"/>
            <w:noWrap w:val="0"/>
            <w:vAlign w:val="center"/>
          </w:tcPr>
          <w:p w14:paraId="16E6F196">
            <w:pPr>
              <w:autoSpaceDE w:val="0"/>
              <w:autoSpaceDN w:val="0"/>
              <w:adjustRightInd w:val="0"/>
              <w:jc w:val="center"/>
              <w:rPr>
                <w:rFonts w:hint="eastAsia"/>
                <w:color w:val="auto"/>
                <w:highlight w:val="none"/>
              </w:rPr>
            </w:pPr>
          </w:p>
        </w:tc>
        <w:tc>
          <w:tcPr>
            <w:tcW w:w="676" w:type="pct"/>
            <w:noWrap w:val="0"/>
            <w:vAlign w:val="center"/>
          </w:tcPr>
          <w:p w14:paraId="49282CFF">
            <w:pPr>
              <w:autoSpaceDE w:val="0"/>
              <w:autoSpaceDN w:val="0"/>
              <w:adjustRightInd w:val="0"/>
              <w:jc w:val="center"/>
              <w:rPr>
                <w:rFonts w:hint="eastAsia"/>
                <w:color w:val="auto"/>
                <w:highlight w:val="none"/>
              </w:rPr>
            </w:pPr>
          </w:p>
        </w:tc>
        <w:tc>
          <w:tcPr>
            <w:tcW w:w="1108" w:type="pct"/>
            <w:noWrap w:val="0"/>
            <w:vAlign w:val="center"/>
          </w:tcPr>
          <w:p w14:paraId="236C6BEE">
            <w:pPr>
              <w:autoSpaceDE w:val="0"/>
              <w:autoSpaceDN w:val="0"/>
              <w:adjustRightInd w:val="0"/>
              <w:jc w:val="center"/>
              <w:rPr>
                <w:rFonts w:hint="eastAsia"/>
                <w:color w:val="auto"/>
                <w:highlight w:val="none"/>
              </w:rPr>
            </w:pPr>
          </w:p>
        </w:tc>
        <w:tc>
          <w:tcPr>
            <w:tcW w:w="767" w:type="pct"/>
            <w:noWrap w:val="0"/>
            <w:vAlign w:val="center"/>
          </w:tcPr>
          <w:p w14:paraId="638316E2">
            <w:pPr>
              <w:autoSpaceDE w:val="0"/>
              <w:autoSpaceDN w:val="0"/>
              <w:adjustRightInd w:val="0"/>
              <w:jc w:val="center"/>
              <w:rPr>
                <w:rFonts w:hint="eastAsia"/>
                <w:color w:val="auto"/>
                <w:highlight w:val="none"/>
              </w:rPr>
            </w:pPr>
          </w:p>
        </w:tc>
      </w:tr>
      <w:tr w14:paraId="6BFCF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723" w:hRule="exact"/>
          <w:jc w:val="center"/>
        </w:trPr>
        <w:tc>
          <w:tcPr>
            <w:tcW w:w="350" w:type="pct"/>
            <w:noWrap w:val="0"/>
            <w:vAlign w:val="center"/>
          </w:tcPr>
          <w:p w14:paraId="26A85BBD">
            <w:pPr>
              <w:autoSpaceDE w:val="0"/>
              <w:autoSpaceDN w:val="0"/>
              <w:adjustRightInd w:val="0"/>
              <w:jc w:val="center"/>
              <w:rPr>
                <w:rFonts w:hint="eastAsia"/>
                <w:color w:val="auto"/>
                <w:highlight w:val="none"/>
              </w:rPr>
            </w:pPr>
          </w:p>
        </w:tc>
        <w:tc>
          <w:tcPr>
            <w:tcW w:w="680" w:type="pct"/>
            <w:noWrap w:val="0"/>
            <w:vAlign w:val="center"/>
          </w:tcPr>
          <w:p w14:paraId="45F3B887">
            <w:pPr>
              <w:autoSpaceDE w:val="0"/>
              <w:autoSpaceDN w:val="0"/>
              <w:adjustRightInd w:val="0"/>
              <w:jc w:val="center"/>
              <w:rPr>
                <w:rFonts w:hint="eastAsia"/>
                <w:color w:val="auto"/>
                <w:highlight w:val="none"/>
              </w:rPr>
            </w:pPr>
          </w:p>
        </w:tc>
        <w:tc>
          <w:tcPr>
            <w:tcW w:w="784" w:type="pct"/>
            <w:noWrap w:val="0"/>
            <w:vAlign w:val="center"/>
          </w:tcPr>
          <w:p w14:paraId="1B3EEE41">
            <w:pPr>
              <w:autoSpaceDE w:val="0"/>
              <w:autoSpaceDN w:val="0"/>
              <w:adjustRightInd w:val="0"/>
              <w:jc w:val="center"/>
              <w:rPr>
                <w:rFonts w:hint="eastAsia"/>
                <w:color w:val="auto"/>
                <w:highlight w:val="none"/>
              </w:rPr>
            </w:pPr>
          </w:p>
        </w:tc>
        <w:tc>
          <w:tcPr>
            <w:tcW w:w="631" w:type="pct"/>
            <w:noWrap w:val="0"/>
            <w:vAlign w:val="center"/>
          </w:tcPr>
          <w:p w14:paraId="2E768843">
            <w:pPr>
              <w:autoSpaceDE w:val="0"/>
              <w:autoSpaceDN w:val="0"/>
              <w:adjustRightInd w:val="0"/>
              <w:jc w:val="center"/>
              <w:rPr>
                <w:rFonts w:hint="eastAsia"/>
                <w:color w:val="auto"/>
                <w:highlight w:val="none"/>
              </w:rPr>
            </w:pPr>
          </w:p>
        </w:tc>
        <w:tc>
          <w:tcPr>
            <w:tcW w:w="676" w:type="pct"/>
            <w:noWrap w:val="0"/>
            <w:vAlign w:val="center"/>
          </w:tcPr>
          <w:p w14:paraId="38C27666">
            <w:pPr>
              <w:autoSpaceDE w:val="0"/>
              <w:autoSpaceDN w:val="0"/>
              <w:adjustRightInd w:val="0"/>
              <w:jc w:val="center"/>
              <w:rPr>
                <w:rFonts w:hint="eastAsia"/>
                <w:color w:val="auto"/>
                <w:highlight w:val="none"/>
              </w:rPr>
            </w:pPr>
          </w:p>
        </w:tc>
        <w:tc>
          <w:tcPr>
            <w:tcW w:w="1108" w:type="pct"/>
            <w:noWrap w:val="0"/>
            <w:vAlign w:val="center"/>
          </w:tcPr>
          <w:p w14:paraId="29C59C01">
            <w:pPr>
              <w:autoSpaceDE w:val="0"/>
              <w:autoSpaceDN w:val="0"/>
              <w:adjustRightInd w:val="0"/>
              <w:jc w:val="center"/>
              <w:rPr>
                <w:rFonts w:hint="eastAsia"/>
                <w:color w:val="auto"/>
                <w:highlight w:val="none"/>
              </w:rPr>
            </w:pPr>
          </w:p>
        </w:tc>
        <w:tc>
          <w:tcPr>
            <w:tcW w:w="767" w:type="pct"/>
            <w:noWrap w:val="0"/>
            <w:vAlign w:val="center"/>
          </w:tcPr>
          <w:p w14:paraId="7B882738">
            <w:pPr>
              <w:autoSpaceDE w:val="0"/>
              <w:autoSpaceDN w:val="0"/>
              <w:adjustRightInd w:val="0"/>
              <w:jc w:val="center"/>
              <w:rPr>
                <w:rFonts w:hint="eastAsia"/>
                <w:color w:val="auto"/>
                <w:highlight w:val="none"/>
              </w:rPr>
            </w:pPr>
          </w:p>
        </w:tc>
      </w:tr>
      <w:tr w14:paraId="52248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758" w:hRule="exact"/>
          <w:jc w:val="center"/>
        </w:trPr>
        <w:tc>
          <w:tcPr>
            <w:tcW w:w="350" w:type="pct"/>
            <w:noWrap w:val="0"/>
            <w:vAlign w:val="center"/>
          </w:tcPr>
          <w:p w14:paraId="0D17A048">
            <w:pPr>
              <w:autoSpaceDE w:val="0"/>
              <w:autoSpaceDN w:val="0"/>
              <w:adjustRightInd w:val="0"/>
              <w:jc w:val="center"/>
              <w:rPr>
                <w:rFonts w:hint="eastAsia"/>
                <w:color w:val="auto"/>
                <w:highlight w:val="none"/>
              </w:rPr>
            </w:pPr>
          </w:p>
        </w:tc>
        <w:tc>
          <w:tcPr>
            <w:tcW w:w="680" w:type="pct"/>
            <w:noWrap w:val="0"/>
            <w:vAlign w:val="center"/>
          </w:tcPr>
          <w:p w14:paraId="7B97DD88">
            <w:pPr>
              <w:autoSpaceDE w:val="0"/>
              <w:autoSpaceDN w:val="0"/>
              <w:adjustRightInd w:val="0"/>
              <w:jc w:val="center"/>
              <w:rPr>
                <w:rFonts w:hint="eastAsia"/>
                <w:color w:val="auto"/>
                <w:highlight w:val="none"/>
              </w:rPr>
            </w:pPr>
          </w:p>
        </w:tc>
        <w:tc>
          <w:tcPr>
            <w:tcW w:w="784" w:type="pct"/>
            <w:noWrap w:val="0"/>
            <w:vAlign w:val="center"/>
          </w:tcPr>
          <w:p w14:paraId="0F91A1B1">
            <w:pPr>
              <w:autoSpaceDE w:val="0"/>
              <w:autoSpaceDN w:val="0"/>
              <w:adjustRightInd w:val="0"/>
              <w:jc w:val="center"/>
              <w:rPr>
                <w:rFonts w:hint="eastAsia"/>
                <w:color w:val="auto"/>
                <w:highlight w:val="none"/>
              </w:rPr>
            </w:pPr>
          </w:p>
        </w:tc>
        <w:tc>
          <w:tcPr>
            <w:tcW w:w="631" w:type="pct"/>
            <w:noWrap w:val="0"/>
            <w:vAlign w:val="center"/>
          </w:tcPr>
          <w:p w14:paraId="44546AB0">
            <w:pPr>
              <w:autoSpaceDE w:val="0"/>
              <w:autoSpaceDN w:val="0"/>
              <w:adjustRightInd w:val="0"/>
              <w:jc w:val="center"/>
              <w:rPr>
                <w:rFonts w:hint="eastAsia"/>
                <w:color w:val="auto"/>
                <w:highlight w:val="none"/>
              </w:rPr>
            </w:pPr>
          </w:p>
        </w:tc>
        <w:tc>
          <w:tcPr>
            <w:tcW w:w="676" w:type="pct"/>
            <w:noWrap w:val="0"/>
            <w:vAlign w:val="center"/>
          </w:tcPr>
          <w:p w14:paraId="3924C7AA">
            <w:pPr>
              <w:autoSpaceDE w:val="0"/>
              <w:autoSpaceDN w:val="0"/>
              <w:adjustRightInd w:val="0"/>
              <w:jc w:val="center"/>
              <w:rPr>
                <w:rFonts w:hint="eastAsia"/>
                <w:color w:val="auto"/>
                <w:highlight w:val="none"/>
              </w:rPr>
            </w:pPr>
          </w:p>
        </w:tc>
        <w:tc>
          <w:tcPr>
            <w:tcW w:w="1108" w:type="pct"/>
            <w:noWrap w:val="0"/>
            <w:vAlign w:val="center"/>
          </w:tcPr>
          <w:p w14:paraId="0D212D44">
            <w:pPr>
              <w:autoSpaceDE w:val="0"/>
              <w:autoSpaceDN w:val="0"/>
              <w:adjustRightInd w:val="0"/>
              <w:jc w:val="center"/>
              <w:rPr>
                <w:rFonts w:hint="eastAsia"/>
                <w:color w:val="auto"/>
                <w:highlight w:val="none"/>
              </w:rPr>
            </w:pPr>
          </w:p>
        </w:tc>
        <w:tc>
          <w:tcPr>
            <w:tcW w:w="767" w:type="pct"/>
            <w:noWrap w:val="0"/>
            <w:vAlign w:val="center"/>
          </w:tcPr>
          <w:p w14:paraId="26BB47DC">
            <w:pPr>
              <w:autoSpaceDE w:val="0"/>
              <w:autoSpaceDN w:val="0"/>
              <w:adjustRightInd w:val="0"/>
              <w:jc w:val="center"/>
              <w:rPr>
                <w:rFonts w:hint="eastAsia"/>
                <w:color w:val="auto"/>
                <w:highlight w:val="none"/>
              </w:rPr>
            </w:pPr>
          </w:p>
        </w:tc>
      </w:tr>
    </w:tbl>
    <w:p w14:paraId="3717E33E">
      <w:pPr>
        <w:pStyle w:val="37"/>
        <w:adjustRightInd w:val="0"/>
        <w:snapToGrid w:val="0"/>
        <w:spacing w:line="400" w:lineRule="exact"/>
        <w:ind w:firstLine="960" w:firstLineChars="400"/>
        <w:jc w:val="center"/>
        <w:rPr>
          <w:rFonts w:hint="eastAsia" w:hAnsi="宋体" w:cs="宋体"/>
          <w:color w:val="auto"/>
          <w:sz w:val="24"/>
          <w:szCs w:val="24"/>
          <w:highlight w:val="none"/>
        </w:rPr>
      </w:pPr>
    </w:p>
    <w:p w14:paraId="03D247FB">
      <w:pPr>
        <w:rPr>
          <w:rFonts w:hint="eastAsia"/>
          <w:b/>
          <w:color w:val="auto"/>
          <w:highlight w:val="none"/>
        </w:rPr>
      </w:pPr>
      <w:r>
        <w:rPr>
          <w:rFonts w:hint="eastAsia"/>
          <w:b/>
          <w:color w:val="auto"/>
          <w:highlight w:val="none"/>
        </w:rPr>
        <w:t>注：1、按评审细则要求提供，须附在商务技术投标文件中</w:t>
      </w:r>
      <w:r>
        <w:rPr>
          <w:rFonts w:hint="eastAsia"/>
          <w:color w:val="auto"/>
          <w:highlight w:val="none"/>
        </w:rPr>
        <w:t>。</w:t>
      </w:r>
      <w:r>
        <w:rPr>
          <w:rFonts w:hint="eastAsia"/>
          <w:b/>
          <w:color w:val="auto"/>
          <w:highlight w:val="none"/>
        </w:rPr>
        <w:t>业绩证明扫描件须加盖供应商盖章。</w:t>
      </w:r>
    </w:p>
    <w:p w14:paraId="3D1B7E2E">
      <w:pPr>
        <w:pStyle w:val="37"/>
        <w:spacing w:line="400" w:lineRule="atLeast"/>
        <w:rPr>
          <w:rFonts w:hint="eastAsia" w:hAnsi="宋体" w:cs="宋体"/>
          <w:b/>
          <w:color w:val="auto"/>
          <w:sz w:val="24"/>
          <w:szCs w:val="24"/>
          <w:highlight w:val="none"/>
        </w:rPr>
      </w:pPr>
    </w:p>
    <w:p w14:paraId="6488A996">
      <w:pPr>
        <w:pStyle w:val="37"/>
        <w:spacing w:line="400" w:lineRule="atLeast"/>
        <w:rPr>
          <w:rFonts w:hint="eastAsia" w:hAnsi="宋体" w:cs="宋体"/>
          <w:b/>
          <w:color w:val="auto"/>
          <w:sz w:val="24"/>
          <w:szCs w:val="24"/>
          <w:highlight w:val="none"/>
        </w:rPr>
      </w:pPr>
    </w:p>
    <w:p w14:paraId="204E14F4">
      <w:pPr>
        <w:pStyle w:val="37"/>
        <w:spacing w:line="400" w:lineRule="atLeast"/>
        <w:rPr>
          <w:rFonts w:hint="eastAsia" w:hAnsi="宋体" w:cs="宋体"/>
          <w:b/>
          <w:color w:val="auto"/>
          <w:sz w:val="24"/>
          <w:szCs w:val="24"/>
          <w:highlight w:val="none"/>
        </w:rPr>
      </w:pPr>
    </w:p>
    <w:p w14:paraId="5F98CD9D">
      <w:pPr>
        <w:pStyle w:val="37"/>
        <w:spacing w:line="400" w:lineRule="exact"/>
        <w:rPr>
          <w:rFonts w:hint="eastAsia" w:hAnsi="宋体" w:cs="宋体"/>
          <w:b/>
          <w:color w:val="auto"/>
          <w:sz w:val="24"/>
          <w:szCs w:val="24"/>
          <w:highlight w:val="none"/>
        </w:rPr>
      </w:pPr>
      <w:r>
        <w:rPr>
          <w:rFonts w:hint="eastAsia" w:hAnsi="宋体" w:cs="宋体"/>
          <w:b/>
          <w:color w:val="auto"/>
          <w:sz w:val="24"/>
          <w:szCs w:val="24"/>
          <w:highlight w:val="none"/>
        </w:rPr>
        <w:t>供应商名称（盖章）：</w:t>
      </w:r>
    </w:p>
    <w:p w14:paraId="6199F01C">
      <w:pPr>
        <w:pStyle w:val="37"/>
        <w:spacing w:line="400" w:lineRule="exact"/>
        <w:rPr>
          <w:rFonts w:hint="eastAsia" w:hAnsi="宋体" w:cs="宋体"/>
          <w:b/>
          <w:color w:val="auto"/>
          <w:sz w:val="24"/>
          <w:szCs w:val="24"/>
          <w:highlight w:val="none"/>
        </w:rPr>
      </w:pPr>
      <w:r>
        <w:rPr>
          <w:rFonts w:hint="eastAsia" w:hAnsi="宋体" w:cs="宋体"/>
          <w:b/>
          <w:color w:val="auto"/>
          <w:sz w:val="24"/>
          <w:szCs w:val="24"/>
          <w:highlight w:val="none"/>
        </w:rPr>
        <w:t>法定代表人或授权代表（签字或盖章）：</w:t>
      </w:r>
    </w:p>
    <w:p w14:paraId="404DCAB3">
      <w:pPr>
        <w:pStyle w:val="37"/>
        <w:spacing w:line="400" w:lineRule="exact"/>
        <w:rPr>
          <w:rFonts w:hint="eastAsia" w:hAnsi="宋体" w:cs="宋体"/>
          <w:b/>
          <w:color w:val="auto"/>
          <w:sz w:val="24"/>
          <w:szCs w:val="24"/>
          <w:highlight w:val="none"/>
        </w:rPr>
      </w:pPr>
      <w:r>
        <w:rPr>
          <w:rFonts w:hint="eastAsia" w:hAnsi="宋体" w:cs="宋体"/>
          <w:b/>
          <w:color w:val="auto"/>
          <w:sz w:val="24"/>
          <w:szCs w:val="24"/>
          <w:highlight w:val="none"/>
        </w:rPr>
        <w:t>日    期：</w:t>
      </w:r>
    </w:p>
    <w:p w14:paraId="16BE85E9">
      <w:pPr>
        <w:pStyle w:val="37"/>
        <w:spacing w:line="400" w:lineRule="exact"/>
        <w:rPr>
          <w:rFonts w:hint="eastAsia" w:hAnsi="宋体" w:cs="宋体"/>
          <w:b/>
          <w:color w:val="auto"/>
          <w:sz w:val="24"/>
          <w:szCs w:val="24"/>
          <w:highlight w:val="none"/>
        </w:rPr>
      </w:pPr>
    </w:p>
    <w:p w14:paraId="26A8AFD4">
      <w:pPr>
        <w:pStyle w:val="37"/>
        <w:spacing w:line="400" w:lineRule="exact"/>
        <w:rPr>
          <w:rFonts w:hint="eastAsia" w:hAnsi="宋体" w:cs="宋体"/>
          <w:b/>
          <w:color w:val="auto"/>
          <w:sz w:val="24"/>
          <w:szCs w:val="24"/>
          <w:highlight w:val="none"/>
        </w:rPr>
      </w:pPr>
    </w:p>
    <w:p w14:paraId="28E57DB4">
      <w:pPr>
        <w:pStyle w:val="8"/>
        <w:rPr>
          <w:rFonts w:hint="eastAsia" w:ascii="宋体" w:hAnsi="宋体" w:cs="宋体"/>
          <w:color w:val="auto"/>
          <w:sz w:val="24"/>
          <w:highlight w:val="none"/>
        </w:rPr>
      </w:pPr>
    </w:p>
    <w:p w14:paraId="396A7536">
      <w:pPr>
        <w:pStyle w:val="10"/>
        <w:rPr>
          <w:rFonts w:hint="eastAsia"/>
          <w:b w:val="0"/>
          <w:color w:val="auto"/>
          <w:highlight w:val="none"/>
        </w:rPr>
      </w:pPr>
      <w:r>
        <w:rPr>
          <w:rFonts w:hint="eastAsia"/>
          <w:b w:val="0"/>
          <w:color w:val="auto"/>
          <w:highlight w:val="none"/>
          <w:lang w:val="zh-CN"/>
        </w:rPr>
        <w:br w:type="page"/>
      </w:r>
      <w:r>
        <w:rPr>
          <w:rFonts w:hint="eastAsia"/>
          <w:color w:val="auto"/>
          <w:highlight w:val="none"/>
          <w:lang w:val="en-US" w:eastAsia="zh-CN"/>
        </w:rPr>
        <w:t>3</w:t>
      </w:r>
      <w:r>
        <w:rPr>
          <w:rFonts w:hint="eastAsia"/>
          <w:color w:val="auto"/>
          <w:highlight w:val="none"/>
        </w:rPr>
        <w:t>.</w:t>
      </w:r>
      <w:r>
        <w:rPr>
          <w:rFonts w:hint="eastAsia"/>
          <w:color w:val="auto"/>
          <w:highlight w:val="none"/>
          <w:lang w:val="en-US" w:eastAsia="zh-CN"/>
        </w:rPr>
        <w:t>9</w:t>
      </w:r>
      <w:r>
        <w:rPr>
          <w:rFonts w:hint="eastAsia"/>
          <w:color w:val="auto"/>
          <w:highlight w:val="none"/>
        </w:rPr>
        <w:t>项目人员配置情况</w:t>
      </w:r>
    </w:p>
    <w:p w14:paraId="3E957BD0">
      <w:pPr>
        <w:pStyle w:val="37"/>
        <w:adjustRightInd w:val="0"/>
        <w:snapToGrid w:val="0"/>
        <w:spacing w:line="440" w:lineRule="atLeast"/>
        <w:jc w:val="center"/>
        <w:outlineLvl w:val="0"/>
        <w:rPr>
          <w:rFonts w:hAnsi="宋体"/>
          <w:b/>
          <w:color w:val="auto"/>
          <w:sz w:val="36"/>
          <w:szCs w:val="36"/>
          <w:highlight w:val="none"/>
        </w:rPr>
      </w:pPr>
      <w:bookmarkStart w:id="25" w:name="_Toc477340078"/>
      <w:r>
        <w:rPr>
          <w:rFonts w:hint="eastAsia" w:hAnsi="宋体"/>
          <w:b/>
          <w:color w:val="auto"/>
          <w:sz w:val="36"/>
          <w:szCs w:val="36"/>
          <w:highlight w:val="none"/>
        </w:rPr>
        <w:t>（一） 人员配置</w:t>
      </w:r>
      <w:bookmarkEnd w:id="25"/>
    </w:p>
    <w:p w14:paraId="6C692BFF">
      <w:pPr>
        <w:jc w:val="center"/>
        <w:rPr>
          <w:rFonts w:ascii="宋体"/>
          <w:b/>
          <w:color w:val="auto"/>
          <w:sz w:val="24"/>
          <w:highlight w:val="none"/>
        </w:rPr>
      </w:pPr>
      <w:r>
        <w:rPr>
          <w:rFonts w:hint="eastAsia" w:ascii="宋体"/>
          <w:b/>
          <w:color w:val="auto"/>
          <w:sz w:val="24"/>
          <w:highlight w:val="none"/>
        </w:rPr>
        <w:t>项目主管人员、专业人员概况</w:t>
      </w:r>
    </w:p>
    <w:p w14:paraId="40B1E076">
      <w:pPr>
        <w:spacing w:line="360" w:lineRule="auto"/>
        <w:rPr>
          <w:rFonts w:hint="eastAsia"/>
          <w:color w:val="auto"/>
          <w:highlight w:val="none"/>
        </w:rPr>
      </w:pPr>
      <w:r>
        <w:rPr>
          <w:rFonts w:hint="eastAsia"/>
          <w:color w:val="auto"/>
          <w:highlight w:val="none"/>
        </w:rPr>
        <w:t xml:space="preserve">项目名称：       </w:t>
      </w:r>
    </w:p>
    <w:tbl>
      <w:tblPr>
        <w:tblStyle w:val="6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0"/>
        <w:gridCol w:w="865"/>
        <w:gridCol w:w="865"/>
        <w:gridCol w:w="1324"/>
        <w:gridCol w:w="1288"/>
        <w:gridCol w:w="1714"/>
        <w:gridCol w:w="2364"/>
      </w:tblGrid>
      <w:tr w14:paraId="03D70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726" w:type="pct"/>
            <w:noWrap w:val="0"/>
            <w:vAlign w:val="center"/>
          </w:tcPr>
          <w:p w14:paraId="436663F0">
            <w:pPr>
              <w:spacing w:line="360" w:lineRule="auto"/>
              <w:jc w:val="center"/>
              <w:rPr>
                <w:rFonts w:hint="eastAsia"/>
                <w:color w:val="auto"/>
                <w:highlight w:val="none"/>
              </w:rPr>
            </w:pPr>
            <w:r>
              <w:rPr>
                <w:rFonts w:hint="eastAsia"/>
                <w:color w:val="auto"/>
                <w:highlight w:val="none"/>
              </w:rPr>
              <w:t>在本项目担任职务</w:t>
            </w:r>
          </w:p>
        </w:tc>
        <w:tc>
          <w:tcPr>
            <w:tcW w:w="439" w:type="pct"/>
            <w:noWrap w:val="0"/>
            <w:vAlign w:val="center"/>
          </w:tcPr>
          <w:p w14:paraId="51D8AEF7">
            <w:pPr>
              <w:spacing w:line="360" w:lineRule="auto"/>
              <w:jc w:val="center"/>
              <w:rPr>
                <w:rFonts w:hint="eastAsia"/>
                <w:color w:val="auto"/>
                <w:highlight w:val="none"/>
              </w:rPr>
            </w:pPr>
            <w:r>
              <w:rPr>
                <w:rFonts w:hint="eastAsia"/>
                <w:color w:val="auto"/>
                <w:highlight w:val="none"/>
              </w:rPr>
              <w:t>姓名</w:t>
            </w:r>
          </w:p>
        </w:tc>
        <w:tc>
          <w:tcPr>
            <w:tcW w:w="439" w:type="pct"/>
            <w:noWrap w:val="0"/>
            <w:vAlign w:val="center"/>
          </w:tcPr>
          <w:p w14:paraId="64D157F4">
            <w:pPr>
              <w:spacing w:line="360" w:lineRule="auto"/>
              <w:jc w:val="center"/>
              <w:rPr>
                <w:rFonts w:hint="eastAsia"/>
                <w:color w:val="auto"/>
                <w:highlight w:val="none"/>
              </w:rPr>
            </w:pPr>
            <w:r>
              <w:rPr>
                <w:rFonts w:hint="eastAsia"/>
                <w:color w:val="auto"/>
                <w:highlight w:val="none"/>
              </w:rPr>
              <w:t>性别</w:t>
            </w:r>
          </w:p>
        </w:tc>
        <w:tc>
          <w:tcPr>
            <w:tcW w:w="672" w:type="pct"/>
            <w:noWrap w:val="0"/>
            <w:vAlign w:val="center"/>
          </w:tcPr>
          <w:p w14:paraId="5297B179">
            <w:pPr>
              <w:spacing w:line="360" w:lineRule="auto"/>
              <w:jc w:val="center"/>
              <w:rPr>
                <w:rFonts w:hint="eastAsia"/>
                <w:color w:val="auto"/>
                <w:highlight w:val="none"/>
              </w:rPr>
            </w:pPr>
            <w:r>
              <w:rPr>
                <w:rFonts w:hint="eastAsia"/>
                <w:color w:val="auto"/>
                <w:highlight w:val="none"/>
              </w:rPr>
              <w:t>年龄</w:t>
            </w:r>
          </w:p>
        </w:tc>
        <w:tc>
          <w:tcPr>
            <w:tcW w:w="654" w:type="pct"/>
            <w:noWrap w:val="0"/>
            <w:vAlign w:val="center"/>
          </w:tcPr>
          <w:p w14:paraId="2D8EE0D7">
            <w:pPr>
              <w:spacing w:line="360" w:lineRule="auto"/>
              <w:jc w:val="center"/>
              <w:rPr>
                <w:rFonts w:hint="eastAsia"/>
                <w:color w:val="auto"/>
                <w:highlight w:val="none"/>
              </w:rPr>
            </w:pPr>
            <w:r>
              <w:rPr>
                <w:rFonts w:hint="eastAsia"/>
                <w:color w:val="auto"/>
                <w:highlight w:val="none"/>
              </w:rPr>
              <w:t>职称</w:t>
            </w:r>
          </w:p>
        </w:tc>
        <w:tc>
          <w:tcPr>
            <w:tcW w:w="870" w:type="pct"/>
            <w:noWrap w:val="0"/>
            <w:vAlign w:val="center"/>
          </w:tcPr>
          <w:p w14:paraId="5857CAE4">
            <w:pPr>
              <w:spacing w:line="360" w:lineRule="auto"/>
              <w:jc w:val="center"/>
              <w:rPr>
                <w:rFonts w:hint="eastAsia"/>
                <w:color w:val="auto"/>
                <w:highlight w:val="none"/>
              </w:rPr>
            </w:pPr>
            <w:r>
              <w:rPr>
                <w:rFonts w:hint="eastAsia"/>
                <w:color w:val="auto"/>
                <w:highlight w:val="none"/>
              </w:rPr>
              <w:t>资格证书</w:t>
            </w:r>
          </w:p>
        </w:tc>
        <w:tc>
          <w:tcPr>
            <w:tcW w:w="1196" w:type="pct"/>
            <w:noWrap w:val="0"/>
            <w:vAlign w:val="center"/>
          </w:tcPr>
          <w:p w14:paraId="1CD10113">
            <w:pPr>
              <w:spacing w:line="360" w:lineRule="auto"/>
              <w:jc w:val="center"/>
              <w:rPr>
                <w:rFonts w:hint="eastAsia"/>
                <w:color w:val="auto"/>
                <w:highlight w:val="none"/>
              </w:rPr>
            </w:pPr>
            <w:r>
              <w:rPr>
                <w:rFonts w:hint="eastAsia"/>
                <w:color w:val="auto"/>
                <w:highlight w:val="none"/>
              </w:rPr>
              <w:t>从事类似工作服务的经历、年限、介绍（或另附简历）</w:t>
            </w:r>
          </w:p>
        </w:tc>
      </w:tr>
      <w:tr w14:paraId="647EB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26" w:type="pct"/>
            <w:noWrap w:val="0"/>
            <w:vAlign w:val="top"/>
          </w:tcPr>
          <w:p w14:paraId="5FC3DC83">
            <w:pPr>
              <w:spacing w:line="360" w:lineRule="auto"/>
              <w:rPr>
                <w:rFonts w:hint="eastAsia"/>
                <w:color w:val="auto"/>
                <w:highlight w:val="none"/>
              </w:rPr>
            </w:pPr>
          </w:p>
        </w:tc>
        <w:tc>
          <w:tcPr>
            <w:tcW w:w="439" w:type="pct"/>
            <w:noWrap w:val="0"/>
            <w:vAlign w:val="top"/>
          </w:tcPr>
          <w:p w14:paraId="70D815BF">
            <w:pPr>
              <w:spacing w:line="360" w:lineRule="auto"/>
              <w:rPr>
                <w:rFonts w:hint="eastAsia"/>
                <w:color w:val="auto"/>
                <w:highlight w:val="none"/>
              </w:rPr>
            </w:pPr>
          </w:p>
        </w:tc>
        <w:tc>
          <w:tcPr>
            <w:tcW w:w="439" w:type="pct"/>
            <w:noWrap w:val="0"/>
            <w:vAlign w:val="top"/>
          </w:tcPr>
          <w:p w14:paraId="4F2CDDC0">
            <w:pPr>
              <w:spacing w:line="360" w:lineRule="auto"/>
              <w:rPr>
                <w:rFonts w:hint="eastAsia"/>
                <w:color w:val="auto"/>
                <w:highlight w:val="none"/>
              </w:rPr>
            </w:pPr>
          </w:p>
        </w:tc>
        <w:tc>
          <w:tcPr>
            <w:tcW w:w="672" w:type="pct"/>
            <w:noWrap w:val="0"/>
            <w:vAlign w:val="top"/>
          </w:tcPr>
          <w:p w14:paraId="6D2E01AD">
            <w:pPr>
              <w:spacing w:line="360" w:lineRule="auto"/>
              <w:jc w:val="center"/>
              <w:rPr>
                <w:rFonts w:hint="eastAsia"/>
                <w:color w:val="auto"/>
                <w:highlight w:val="none"/>
              </w:rPr>
            </w:pPr>
          </w:p>
        </w:tc>
        <w:tc>
          <w:tcPr>
            <w:tcW w:w="654" w:type="pct"/>
            <w:noWrap w:val="0"/>
            <w:vAlign w:val="top"/>
          </w:tcPr>
          <w:p w14:paraId="13C69EBE">
            <w:pPr>
              <w:spacing w:line="360" w:lineRule="auto"/>
              <w:jc w:val="center"/>
              <w:rPr>
                <w:rFonts w:hint="eastAsia"/>
                <w:color w:val="auto"/>
                <w:highlight w:val="none"/>
              </w:rPr>
            </w:pPr>
          </w:p>
        </w:tc>
        <w:tc>
          <w:tcPr>
            <w:tcW w:w="870" w:type="pct"/>
            <w:noWrap w:val="0"/>
            <w:vAlign w:val="top"/>
          </w:tcPr>
          <w:p w14:paraId="311EAC4C">
            <w:pPr>
              <w:spacing w:line="360" w:lineRule="auto"/>
              <w:rPr>
                <w:rFonts w:hint="eastAsia"/>
                <w:color w:val="auto"/>
                <w:highlight w:val="none"/>
              </w:rPr>
            </w:pPr>
          </w:p>
        </w:tc>
        <w:tc>
          <w:tcPr>
            <w:tcW w:w="1196" w:type="pct"/>
            <w:noWrap w:val="0"/>
            <w:vAlign w:val="top"/>
          </w:tcPr>
          <w:p w14:paraId="11106A7C">
            <w:pPr>
              <w:spacing w:line="360" w:lineRule="auto"/>
              <w:rPr>
                <w:rFonts w:hint="eastAsia"/>
                <w:color w:val="auto"/>
                <w:highlight w:val="none"/>
              </w:rPr>
            </w:pPr>
          </w:p>
        </w:tc>
      </w:tr>
      <w:tr w14:paraId="0D0FE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6" w:type="pct"/>
            <w:noWrap w:val="0"/>
            <w:vAlign w:val="top"/>
          </w:tcPr>
          <w:p w14:paraId="7278795F">
            <w:pPr>
              <w:spacing w:line="360" w:lineRule="auto"/>
              <w:rPr>
                <w:rFonts w:hint="eastAsia"/>
                <w:color w:val="auto"/>
                <w:spacing w:val="-14"/>
                <w:highlight w:val="none"/>
              </w:rPr>
            </w:pPr>
          </w:p>
        </w:tc>
        <w:tc>
          <w:tcPr>
            <w:tcW w:w="439" w:type="pct"/>
            <w:noWrap w:val="0"/>
            <w:vAlign w:val="top"/>
          </w:tcPr>
          <w:p w14:paraId="5FA16AAC">
            <w:pPr>
              <w:spacing w:line="360" w:lineRule="auto"/>
              <w:rPr>
                <w:rFonts w:hint="eastAsia"/>
                <w:color w:val="auto"/>
                <w:highlight w:val="none"/>
              </w:rPr>
            </w:pPr>
          </w:p>
        </w:tc>
        <w:tc>
          <w:tcPr>
            <w:tcW w:w="439" w:type="pct"/>
            <w:noWrap w:val="0"/>
            <w:vAlign w:val="top"/>
          </w:tcPr>
          <w:p w14:paraId="4E45417B">
            <w:pPr>
              <w:spacing w:line="360" w:lineRule="auto"/>
              <w:rPr>
                <w:rFonts w:hint="eastAsia"/>
                <w:color w:val="auto"/>
                <w:highlight w:val="none"/>
              </w:rPr>
            </w:pPr>
          </w:p>
        </w:tc>
        <w:tc>
          <w:tcPr>
            <w:tcW w:w="672" w:type="pct"/>
            <w:noWrap w:val="0"/>
            <w:vAlign w:val="top"/>
          </w:tcPr>
          <w:p w14:paraId="05B145DD">
            <w:pPr>
              <w:spacing w:line="360" w:lineRule="auto"/>
              <w:rPr>
                <w:rFonts w:hint="eastAsia"/>
                <w:color w:val="auto"/>
                <w:highlight w:val="none"/>
              </w:rPr>
            </w:pPr>
          </w:p>
        </w:tc>
        <w:tc>
          <w:tcPr>
            <w:tcW w:w="654" w:type="pct"/>
            <w:noWrap w:val="0"/>
            <w:vAlign w:val="top"/>
          </w:tcPr>
          <w:p w14:paraId="0647983D">
            <w:pPr>
              <w:spacing w:line="360" w:lineRule="auto"/>
              <w:rPr>
                <w:rFonts w:hint="eastAsia"/>
                <w:color w:val="auto"/>
                <w:highlight w:val="none"/>
              </w:rPr>
            </w:pPr>
          </w:p>
        </w:tc>
        <w:tc>
          <w:tcPr>
            <w:tcW w:w="870" w:type="pct"/>
            <w:noWrap w:val="0"/>
            <w:vAlign w:val="top"/>
          </w:tcPr>
          <w:p w14:paraId="1F0DFB39">
            <w:pPr>
              <w:spacing w:line="360" w:lineRule="auto"/>
              <w:rPr>
                <w:rFonts w:hint="eastAsia"/>
                <w:color w:val="auto"/>
                <w:highlight w:val="none"/>
              </w:rPr>
            </w:pPr>
          </w:p>
        </w:tc>
        <w:tc>
          <w:tcPr>
            <w:tcW w:w="1196" w:type="pct"/>
            <w:noWrap w:val="0"/>
            <w:vAlign w:val="top"/>
          </w:tcPr>
          <w:p w14:paraId="4900AD5A">
            <w:pPr>
              <w:spacing w:line="360" w:lineRule="auto"/>
              <w:rPr>
                <w:rFonts w:hint="eastAsia"/>
                <w:color w:val="auto"/>
                <w:highlight w:val="none"/>
              </w:rPr>
            </w:pPr>
          </w:p>
        </w:tc>
      </w:tr>
      <w:tr w14:paraId="3A566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26" w:type="pct"/>
            <w:noWrap w:val="0"/>
            <w:vAlign w:val="top"/>
          </w:tcPr>
          <w:p w14:paraId="4C53EAEF">
            <w:pPr>
              <w:spacing w:line="360" w:lineRule="auto"/>
              <w:rPr>
                <w:rFonts w:hint="eastAsia"/>
                <w:color w:val="auto"/>
                <w:highlight w:val="none"/>
              </w:rPr>
            </w:pPr>
          </w:p>
        </w:tc>
        <w:tc>
          <w:tcPr>
            <w:tcW w:w="439" w:type="pct"/>
            <w:noWrap w:val="0"/>
            <w:vAlign w:val="top"/>
          </w:tcPr>
          <w:p w14:paraId="112379F7">
            <w:pPr>
              <w:spacing w:line="360" w:lineRule="auto"/>
              <w:rPr>
                <w:rFonts w:hint="eastAsia"/>
                <w:color w:val="auto"/>
                <w:highlight w:val="none"/>
              </w:rPr>
            </w:pPr>
          </w:p>
        </w:tc>
        <w:tc>
          <w:tcPr>
            <w:tcW w:w="439" w:type="pct"/>
            <w:noWrap w:val="0"/>
            <w:vAlign w:val="top"/>
          </w:tcPr>
          <w:p w14:paraId="5B144724">
            <w:pPr>
              <w:spacing w:line="360" w:lineRule="auto"/>
              <w:rPr>
                <w:rFonts w:hint="eastAsia"/>
                <w:color w:val="auto"/>
                <w:highlight w:val="none"/>
              </w:rPr>
            </w:pPr>
          </w:p>
        </w:tc>
        <w:tc>
          <w:tcPr>
            <w:tcW w:w="672" w:type="pct"/>
            <w:noWrap w:val="0"/>
            <w:vAlign w:val="top"/>
          </w:tcPr>
          <w:p w14:paraId="2C6BFC33">
            <w:pPr>
              <w:spacing w:line="360" w:lineRule="auto"/>
              <w:rPr>
                <w:rFonts w:hint="eastAsia"/>
                <w:color w:val="auto"/>
                <w:highlight w:val="none"/>
              </w:rPr>
            </w:pPr>
          </w:p>
        </w:tc>
        <w:tc>
          <w:tcPr>
            <w:tcW w:w="654" w:type="pct"/>
            <w:noWrap w:val="0"/>
            <w:vAlign w:val="top"/>
          </w:tcPr>
          <w:p w14:paraId="6630530D">
            <w:pPr>
              <w:spacing w:line="360" w:lineRule="auto"/>
              <w:rPr>
                <w:rFonts w:hint="eastAsia"/>
                <w:color w:val="auto"/>
                <w:highlight w:val="none"/>
              </w:rPr>
            </w:pPr>
          </w:p>
        </w:tc>
        <w:tc>
          <w:tcPr>
            <w:tcW w:w="870" w:type="pct"/>
            <w:noWrap w:val="0"/>
            <w:vAlign w:val="top"/>
          </w:tcPr>
          <w:p w14:paraId="50896957">
            <w:pPr>
              <w:spacing w:line="360" w:lineRule="auto"/>
              <w:rPr>
                <w:rFonts w:hint="eastAsia"/>
                <w:color w:val="auto"/>
                <w:highlight w:val="none"/>
              </w:rPr>
            </w:pPr>
          </w:p>
        </w:tc>
        <w:tc>
          <w:tcPr>
            <w:tcW w:w="1196" w:type="pct"/>
            <w:noWrap w:val="0"/>
            <w:vAlign w:val="top"/>
          </w:tcPr>
          <w:p w14:paraId="7D7806D1">
            <w:pPr>
              <w:spacing w:line="360" w:lineRule="auto"/>
              <w:rPr>
                <w:rFonts w:hint="eastAsia"/>
                <w:color w:val="auto"/>
                <w:highlight w:val="none"/>
              </w:rPr>
            </w:pPr>
          </w:p>
        </w:tc>
      </w:tr>
      <w:tr w14:paraId="21471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26" w:type="pct"/>
            <w:noWrap w:val="0"/>
            <w:vAlign w:val="top"/>
          </w:tcPr>
          <w:p w14:paraId="71C508FD">
            <w:pPr>
              <w:spacing w:line="360" w:lineRule="auto"/>
              <w:rPr>
                <w:rFonts w:hint="eastAsia"/>
                <w:color w:val="auto"/>
                <w:highlight w:val="none"/>
              </w:rPr>
            </w:pPr>
          </w:p>
        </w:tc>
        <w:tc>
          <w:tcPr>
            <w:tcW w:w="439" w:type="pct"/>
            <w:noWrap w:val="0"/>
            <w:vAlign w:val="top"/>
          </w:tcPr>
          <w:p w14:paraId="5952CFAA">
            <w:pPr>
              <w:spacing w:line="360" w:lineRule="auto"/>
              <w:rPr>
                <w:rFonts w:hint="eastAsia"/>
                <w:color w:val="auto"/>
                <w:highlight w:val="none"/>
              </w:rPr>
            </w:pPr>
          </w:p>
        </w:tc>
        <w:tc>
          <w:tcPr>
            <w:tcW w:w="439" w:type="pct"/>
            <w:noWrap w:val="0"/>
            <w:vAlign w:val="top"/>
          </w:tcPr>
          <w:p w14:paraId="77E032C3">
            <w:pPr>
              <w:spacing w:line="360" w:lineRule="auto"/>
              <w:rPr>
                <w:rFonts w:hint="eastAsia"/>
                <w:color w:val="auto"/>
                <w:highlight w:val="none"/>
              </w:rPr>
            </w:pPr>
          </w:p>
        </w:tc>
        <w:tc>
          <w:tcPr>
            <w:tcW w:w="672" w:type="pct"/>
            <w:noWrap w:val="0"/>
            <w:vAlign w:val="top"/>
          </w:tcPr>
          <w:p w14:paraId="3843233A">
            <w:pPr>
              <w:spacing w:line="360" w:lineRule="auto"/>
              <w:rPr>
                <w:rFonts w:hint="eastAsia"/>
                <w:color w:val="auto"/>
                <w:highlight w:val="none"/>
              </w:rPr>
            </w:pPr>
          </w:p>
        </w:tc>
        <w:tc>
          <w:tcPr>
            <w:tcW w:w="654" w:type="pct"/>
            <w:noWrap w:val="0"/>
            <w:vAlign w:val="top"/>
          </w:tcPr>
          <w:p w14:paraId="1715BA9F">
            <w:pPr>
              <w:spacing w:line="360" w:lineRule="auto"/>
              <w:rPr>
                <w:rFonts w:hint="eastAsia"/>
                <w:color w:val="auto"/>
                <w:highlight w:val="none"/>
              </w:rPr>
            </w:pPr>
          </w:p>
        </w:tc>
        <w:tc>
          <w:tcPr>
            <w:tcW w:w="870" w:type="pct"/>
            <w:noWrap w:val="0"/>
            <w:vAlign w:val="top"/>
          </w:tcPr>
          <w:p w14:paraId="6D320A9F">
            <w:pPr>
              <w:spacing w:line="360" w:lineRule="auto"/>
              <w:rPr>
                <w:rFonts w:hint="eastAsia"/>
                <w:color w:val="auto"/>
                <w:highlight w:val="none"/>
              </w:rPr>
            </w:pPr>
          </w:p>
        </w:tc>
        <w:tc>
          <w:tcPr>
            <w:tcW w:w="1196" w:type="pct"/>
            <w:noWrap w:val="0"/>
            <w:vAlign w:val="top"/>
          </w:tcPr>
          <w:p w14:paraId="17605151">
            <w:pPr>
              <w:spacing w:line="360" w:lineRule="auto"/>
              <w:rPr>
                <w:rFonts w:hint="eastAsia"/>
                <w:color w:val="auto"/>
                <w:highlight w:val="none"/>
              </w:rPr>
            </w:pPr>
          </w:p>
        </w:tc>
      </w:tr>
      <w:tr w14:paraId="1B7C5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26" w:type="pct"/>
            <w:noWrap w:val="0"/>
            <w:vAlign w:val="top"/>
          </w:tcPr>
          <w:p w14:paraId="56A89DEA">
            <w:pPr>
              <w:spacing w:line="360" w:lineRule="auto"/>
              <w:rPr>
                <w:rFonts w:hint="eastAsia"/>
                <w:color w:val="auto"/>
                <w:highlight w:val="none"/>
              </w:rPr>
            </w:pPr>
          </w:p>
        </w:tc>
        <w:tc>
          <w:tcPr>
            <w:tcW w:w="439" w:type="pct"/>
            <w:noWrap w:val="0"/>
            <w:vAlign w:val="top"/>
          </w:tcPr>
          <w:p w14:paraId="5D04A549">
            <w:pPr>
              <w:spacing w:line="360" w:lineRule="auto"/>
              <w:rPr>
                <w:rFonts w:hint="eastAsia"/>
                <w:color w:val="auto"/>
                <w:highlight w:val="none"/>
              </w:rPr>
            </w:pPr>
          </w:p>
        </w:tc>
        <w:tc>
          <w:tcPr>
            <w:tcW w:w="439" w:type="pct"/>
            <w:noWrap w:val="0"/>
            <w:vAlign w:val="top"/>
          </w:tcPr>
          <w:p w14:paraId="3B3AE8C3">
            <w:pPr>
              <w:spacing w:line="360" w:lineRule="auto"/>
              <w:rPr>
                <w:rFonts w:hint="eastAsia"/>
                <w:color w:val="auto"/>
                <w:highlight w:val="none"/>
              </w:rPr>
            </w:pPr>
          </w:p>
        </w:tc>
        <w:tc>
          <w:tcPr>
            <w:tcW w:w="672" w:type="pct"/>
            <w:noWrap w:val="0"/>
            <w:vAlign w:val="top"/>
          </w:tcPr>
          <w:p w14:paraId="414047AA">
            <w:pPr>
              <w:spacing w:line="360" w:lineRule="auto"/>
              <w:rPr>
                <w:rFonts w:hint="eastAsia"/>
                <w:color w:val="auto"/>
                <w:highlight w:val="none"/>
              </w:rPr>
            </w:pPr>
          </w:p>
        </w:tc>
        <w:tc>
          <w:tcPr>
            <w:tcW w:w="654" w:type="pct"/>
            <w:noWrap w:val="0"/>
            <w:vAlign w:val="top"/>
          </w:tcPr>
          <w:p w14:paraId="217B588A">
            <w:pPr>
              <w:spacing w:line="360" w:lineRule="auto"/>
              <w:rPr>
                <w:rFonts w:hint="eastAsia"/>
                <w:color w:val="auto"/>
                <w:highlight w:val="none"/>
              </w:rPr>
            </w:pPr>
          </w:p>
        </w:tc>
        <w:tc>
          <w:tcPr>
            <w:tcW w:w="870" w:type="pct"/>
            <w:noWrap w:val="0"/>
            <w:vAlign w:val="top"/>
          </w:tcPr>
          <w:p w14:paraId="321C1D9B">
            <w:pPr>
              <w:spacing w:line="360" w:lineRule="auto"/>
              <w:rPr>
                <w:rFonts w:hint="eastAsia"/>
                <w:color w:val="auto"/>
                <w:highlight w:val="none"/>
              </w:rPr>
            </w:pPr>
          </w:p>
        </w:tc>
        <w:tc>
          <w:tcPr>
            <w:tcW w:w="1196" w:type="pct"/>
            <w:noWrap w:val="0"/>
            <w:vAlign w:val="top"/>
          </w:tcPr>
          <w:p w14:paraId="7B6082CF">
            <w:pPr>
              <w:spacing w:line="360" w:lineRule="auto"/>
              <w:rPr>
                <w:rFonts w:hint="eastAsia"/>
                <w:color w:val="auto"/>
                <w:highlight w:val="none"/>
              </w:rPr>
            </w:pPr>
          </w:p>
        </w:tc>
      </w:tr>
      <w:tr w14:paraId="20AE1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26" w:type="pct"/>
            <w:noWrap w:val="0"/>
            <w:vAlign w:val="top"/>
          </w:tcPr>
          <w:p w14:paraId="3B81C9C4">
            <w:pPr>
              <w:spacing w:line="360" w:lineRule="auto"/>
              <w:rPr>
                <w:rFonts w:hint="eastAsia"/>
                <w:color w:val="auto"/>
                <w:highlight w:val="none"/>
              </w:rPr>
            </w:pPr>
          </w:p>
        </w:tc>
        <w:tc>
          <w:tcPr>
            <w:tcW w:w="439" w:type="pct"/>
            <w:noWrap w:val="0"/>
            <w:vAlign w:val="top"/>
          </w:tcPr>
          <w:p w14:paraId="2E7A120F">
            <w:pPr>
              <w:spacing w:line="360" w:lineRule="auto"/>
              <w:rPr>
                <w:rFonts w:hint="eastAsia"/>
                <w:color w:val="auto"/>
                <w:highlight w:val="none"/>
              </w:rPr>
            </w:pPr>
          </w:p>
        </w:tc>
        <w:tc>
          <w:tcPr>
            <w:tcW w:w="439" w:type="pct"/>
            <w:noWrap w:val="0"/>
            <w:vAlign w:val="top"/>
          </w:tcPr>
          <w:p w14:paraId="0BD15642">
            <w:pPr>
              <w:spacing w:line="360" w:lineRule="auto"/>
              <w:rPr>
                <w:rFonts w:hint="eastAsia"/>
                <w:color w:val="auto"/>
                <w:highlight w:val="none"/>
              </w:rPr>
            </w:pPr>
          </w:p>
        </w:tc>
        <w:tc>
          <w:tcPr>
            <w:tcW w:w="672" w:type="pct"/>
            <w:noWrap w:val="0"/>
            <w:vAlign w:val="top"/>
          </w:tcPr>
          <w:p w14:paraId="2A87E57C">
            <w:pPr>
              <w:spacing w:line="360" w:lineRule="auto"/>
              <w:rPr>
                <w:rFonts w:hint="eastAsia"/>
                <w:color w:val="auto"/>
                <w:highlight w:val="none"/>
              </w:rPr>
            </w:pPr>
          </w:p>
        </w:tc>
        <w:tc>
          <w:tcPr>
            <w:tcW w:w="654" w:type="pct"/>
            <w:noWrap w:val="0"/>
            <w:vAlign w:val="top"/>
          </w:tcPr>
          <w:p w14:paraId="75562A19">
            <w:pPr>
              <w:spacing w:line="360" w:lineRule="auto"/>
              <w:rPr>
                <w:rFonts w:hint="eastAsia"/>
                <w:color w:val="auto"/>
                <w:highlight w:val="none"/>
              </w:rPr>
            </w:pPr>
          </w:p>
        </w:tc>
        <w:tc>
          <w:tcPr>
            <w:tcW w:w="870" w:type="pct"/>
            <w:noWrap w:val="0"/>
            <w:vAlign w:val="top"/>
          </w:tcPr>
          <w:p w14:paraId="0DE379E1">
            <w:pPr>
              <w:spacing w:line="360" w:lineRule="auto"/>
              <w:rPr>
                <w:rFonts w:hint="eastAsia"/>
                <w:color w:val="auto"/>
                <w:highlight w:val="none"/>
              </w:rPr>
            </w:pPr>
          </w:p>
        </w:tc>
        <w:tc>
          <w:tcPr>
            <w:tcW w:w="1196" w:type="pct"/>
            <w:noWrap w:val="0"/>
            <w:vAlign w:val="top"/>
          </w:tcPr>
          <w:p w14:paraId="259F9750">
            <w:pPr>
              <w:spacing w:line="360" w:lineRule="auto"/>
              <w:rPr>
                <w:rFonts w:hint="eastAsia"/>
                <w:color w:val="auto"/>
                <w:highlight w:val="none"/>
              </w:rPr>
            </w:pPr>
          </w:p>
        </w:tc>
      </w:tr>
      <w:tr w14:paraId="1AEA5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26" w:type="pct"/>
            <w:noWrap w:val="0"/>
            <w:vAlign w:val="top"/>
          </w:tcPr>
          <w:p w14:paraId="2AED63CB">
            <w:pPr>
              <w:spacing w:line="360" w:lineRule="auto"/>
              <w:rPr>
                <w:rFonts w:hint="eastAsia"/>
                <w:color w:val="auto"/>
                <w:highlight w:val="none"/>
              </w:rPr>
            </w:pPr>
          </w:p>
        </w:tc>
        <w:tc>
          <w:tcPr>
            <w:tcW w:w="439" w:type="pct"/>
            <w:noWrap w:val="0"/>
            <w:vAlign w:val="top"/>
          </w:tcPr>
          <w:p w14:paraId="265C9C0E">
            <w:pPr>
              <w:spacing w:line="360" w:lineRule="auto"/>
              <w:rPr>
                <w:rFonts w:hint="eastAsia"/>
                <w:color w:val="auto"/>
                <w:highlight w:val="none"/>
              </w:rPr>
            </w:pPr>
          </w:p>
        </w:tc>
        <w:tc>
          <w:tcPr>
            <w:tcW w:w="439" w:type="pct"/>
            <w:noWrap w:val="0"/>
            <w:vAlign w:val="top"/>
          </w:tcPr>
          <w:p w14:paraId="4D7A8C00">
            <w:pPr>
              <w:spacing w:line="360" w:lineRule="auto"/>
              <w:rPr>
                <w:rFonts w:hint="eastAsia"/>
                <w:color w:val="auto"/>
                <w:highlight w:val="none"/>
              </w:rPr>
            </w:pPr>
          </w:p>
        </w:tc>
        <w:tc>
          <w:tcPr>
            <w:tcW w:w="672" w:type="pct"/>
            <w:noWrap w:val="0"/>
            <w:vAlign w:val="top"/>
          </w:tcPr>
          <w:p w14:paraId="0A84846E">
            <w:pPr>
              <w:spacing w:line="360" w:lineRule="auto"/>
              <w:rPr>
                <w:rFonts w:hint="eastAsia"/>
                <w:color w:val="auto"/>
                <w:highlight w:val="none"/>
              </w:rPr>
            </w:pPr>
          </w:p>
        </w:tc>
        <w:tc>
          <w:tcPr>
            <w:tcW w:w="654" w:type="pct"/>
            <w:noWrap w:val="0"/>
            <w:vAlign w:val="top"/>
          </w:tcPr>
          <w:p w14:paraId="25B97F67">
            <w:pPr>
              <w:spacing w:line="360" w:lineRule="auto"/>
              <w:rPr>
                <w:rFonts w:hint="eastAsia"/>
                <w:color w:val="auto"/>
                <w:highlight w:val="none"/>
              </w:rPr>
            </w:pPr>
          </w:p>
        </w:tc>
        <w:tc>
          <w:tcPr>
            <w:tcW w:w="870" w:type="pct"/>
            <w:noWrap w:val="0"/>
            <w:vAlign w:val="top"/>
          </w:tcPr>
          <w:p w14:paraId="1D8934C6">
            <w:pPr>
              <w:spacing w:line="360" w:lineRule="auto"/>
              <w:rPr>
                <w:rFonts w:hint="eastAsia"/>
                <w:color w:val="auto"/>
                <w:highlight w:val="none"/>
              </w:rPr>
            </w:pPr>
          </w:p>
        </w:tc>
        <w:tc>
          <w:tcPr>
            <w:tcW w:w="1196" w:type="pct"/>
            <w:noWrap w:val="0"/>
            <w:vAlign w:val="top"/>
          </w:tcPr>
          <w:p w14:paraId="596274E6">
            <w:pPr>
              <w:spacing w:line="360" w:lineRule="auto"/>
              <w:rPr>
                <w:rFonts w:hint="eastAsia"/>
                <w:color w:val="auto"/>
                <w:highlight w:val="none"/>
              </w:rPr>
            </w:pPr>
          </w:p>
        </w:tc>
      </w:tr>
      <w:tr w14:paraId="4CF85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26" w:type="pct"/>
            <w:noWrap w:val="0"/>
            <w:vAlign w:val="top"/>
          </w:tcPr>
          <w:p w14:paraId="5FDC2D23">
            <w:pPr>
              <w:spacing w:line="360" w:lineRule="auto"/>
              <w:rPr>
                <w:rFonts w:hint="eastAsia"/>
                <w:color w:val="auto"/>
                <w:highlight w:val="none"/>
              </w:rPr>
            </w:pPr>
          </w:p>
        </w:tc>
        <w:tc>
          <w:tcPr>
            <w:tcW w:w="439" w:type="pct"/>
            <w:noWrap w:val="0"/>
            <w:vAlign w:val="top"/>
          </w:tcPr>
          <w:p w14:paraId="5399F251">
            <w:pPr>
              <w:spacing w:line="360" w:lineRule="auto"/>
              <w:rPr>
                <w:rFonts w:hint="eastAsia"/>
                <w:color w:val="auto"/>
                <w:highlight w:val="none"/>
              </w:rPr>
            </w:pPr>
          </w:p>
        </w:tc>
        <w:tc>
          <w:tcPr>
            <w:tcW w:w="439" w:type="pct"/>
            <w:noWrap w:val="0"/>
            <w:vAlign w:val="top"/>
          </w:tcPr>
          <w:p w14:paraId="52467464">
            <w:pPr>
              <w:spacing w:line="360" w:lineRule="auto"/>
              <w:rPr>
                <w:rFonts w:hint="eastAsia"/>
                <w:color w:val="auto"/>
                <w:highlight w:val="none"/>
              </w:rPr>
            </w:pPr>
          </w:p>
        </w:tc>
        <w:tc>
          <w:tcPr>
            <w:tcW w:w="672" w:type="pct"/>
            <w:noWrap w:val="0"/>
            <w:vAlign w:val="top"/>
          </w:tcPr>
          <w:p w14:paraId="26CB46C9">
            <w:pPr>
              <w:spacing w:line="360" w:lineRule="auto"/>
              <w:rPr>
                <w:rFonts w:hint="eastAsia"/>
                <w:color w:val="auto"/>
                <w:highlight w:val="none"/>
              </w:rPr>
            </w:pPr>
          </w:p>
        </w:tc>
        <w:tc>
          <w:tcPr>
            <w:tcW w:w="654" w:type="pct"/>
            <w:noWrap w:val="0"/>
            <w:vAlign w:val="top"/>
          </w:tcPr>
          <w:p w14:paraId="46891350">
            <w:pPr>
              <w:spacing w:line="360" w:lineRule="auto"/>
              <w:rPr>
                <w:rFonts w:hint="eastAsia"/>
                <w:color w:val="auto"/>
                <w:highlight w:val="none"/>
              </w:rPr>
            </w:pPr>
          </w:p>
        </w:tc>
        <w:tc>
          <w:tcPr>
            <w:tcW w:w="870" w:type="pct"/>
            <w:noWrap w:val="0"/>
            <w:vAlign w:val="top"/>
          </w:tcPr>
          <w:p w14:paraId="00729052">
            <w:pPr>
              <w:spacing w:line="360" w:lineRule="auto"/>
              <w:rPr>
                <w:rFonts w:hint="eastAsia"/>
                <w:color w:val="auto"/>
                <w:highlight w:val="none"/>
              </w:rPr>
            </w:pPr>
          </w:p>
        </w:tc>
        <w:tc>
          <w:tcPr>
            <w:tcW w:w="1196" w:type="pct"/>
            <w:noWrap w:val="0"/>
            <w:vAlign w:val="top"/>
          </w:tcPr>
          <w:p w14:paraId="2FB1744C">
            <w:pPr>
              <w:spacing w:line="360" w:lineRule="auto"/>
              <w:rPr>
                <w:rFonts w:hint="eastAsia"/>
                <w:color w:val="auto"/>
                <w:highlight w:val="none"/>
              </w:rPr>
            </w:pPr>
          </w:p>
        </w:tc>
      </w:tr>
      <w:tr w14:paraId="08E6F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26" w:type="pct"/>
            <w:noWrap w:val="0"/>
            <w:vAlign w:val="top"/>
          </w:tcPr>
          <w:p w14:paraId="7D14C995">
            <w:pPr>
              <w:spacing w:line="360" w:lineRule="auto"/>
              <w:rPr>
                <w:rFonts w:hint="eastAsia"/>
                <w:color w:val="auto"/>
                <w:highlight w:val="none"/>
              </w:rPr>
            </w:pPr>
          </w:p>
        </w:tc>
        <w:tc>
          <w:tcPr>
            <w:tcW w:w="439" w:type="pct"/>
            <w:noWrap w:val="0"/>
            <w:vAlign w:val="top"/>
          </w:tcPr>
          <w:p w14:paraId="60B4D990">
            <w:pPr>
              <w:spacing w:line="360" w:lineRule="auto"/>
              <w:rPr>
                <w:rFonts w:hint="eastAsia"/>
                <w:color w:val="auto"/>
                <w:highlight w:val="none"/>
              </w:rPr>
            </w:pPr>
          </w:p>
        </w:tc>
        <w:tc>
          <w:tcPr>
            <w:tcW w:w="439" w:type="pct"/>
            <w:noWrap w:val="0"/>
            <w:vAlign w:val="top"/>
          </w:tcPr>
          <w:p w14:paraId="7579299E">
            <w:pPr>
              <w:spacing w:line="360" w:lineRule="auto"/>
              <w:rPr>
                <w:rFonts w:hint="eastAsia"/>
                <w:color w:val="auto"/>
                <w:highlight w:val="none"/>
              </w:rPr>
            </w:pPr>
          </w:p>
        </w:tc>
        <w:tc>
          <w:tcPr>
            <w:tcW w:w="672" w:type="pct"/>
            <w:noWrap w:val="0"/>
            <w:vAlign w:val="top"/>
          </w:tcPr>
          <w:p w14:paraId="77888D77">
            <w:pPr>
              <w:spacing w:line="360" w:lineRule="auto"/>
              <w:rPr>
                <w:rFonts w:hint="eastAsia"/>
                <w:color w:val="auto"/>
                <w:highlight w:val="none"/>
              </w:rPr>
            </w:pPr>
          </w:p>
        </w:tc>
        <w:tc>
          <w:tcPr>
            <w:tcW w:w="654" w:type="pct"/>
            <w:noWrap w:val="0"/>
            <w:vAlign w:val="top"/>
          </w:tcPr>
          <w:p w14:paraId="61481CAA">
            <w:pPr>
              <w:spacing w:line="360" w:lineRule="auto"/>
              <w:rPr>
                <w:rFonts w:hint="eastAsia"/>
                <w:color w:val="auto"/>
                <w:highlight w:val="none"/>
              </w:rPr>
            </w:pPr>
          </w:p>
        </w:tc>
        <w:tc>
          <w:tcPr>
            <w:tcW w:w="870" w:type="pct"/>
            <w:noWrap w:val="0"/>
            <w:vAlign w:val="top"/>
          </w:tcPr>
          <w:p w14:paraId="3BA681B2">
            <w:pPr>
              <w:spacing w:line="360" w:lineRule="auto"/>
              <w:rPr>
                <w:rFonts w:hint="eastAsia"/>
                <w:color w:val="auto"/>
                <w:highlight w:val="none"/>
              </w:rPr>
            </w:pPr>
          </w:p>
        </w:tc>
        <w:tc>
          <w:tcPr>
            <w:tcW w:w="1196" w:type="pct"/>
            <w:noWrap w:val="0"/>
            <w:vAlign w:val="top"/>
          </w:tcPr>
          <w:p w14:paraId="395BB51A">
            <w:pPr>
              <w:spacing w:line="360" w:lineRule="auto"/>
              <w:rPr>
                <w:rFonts w:hint="eastAsia"/>
                <w:color w:val="auto"/>
                <w:highlight w:val="none"/>
              </w:rPr>
            </w:pPr>
          </w:p>
        </w:tc>
      </w:tr>
      <w:tr w14:paraId="2FFA4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4" w:hRule="atLeast"/>
        </w:trPr>
        <w:tc>
          <w:tcPr>
            <w:tcW w:w="5000" w:type="pct"/>
            <w:gridSpan w:val="7"/>
            <w:noWrap w:val="0"/>
            <w:vAlign w:val="top"/>
          </w:tcPr>
          <w:p w14:paraId="0A21793B">
            <w:pPr>
              <w:spacing w:line="360" w:lineRule="auto"/>
              <w:ind w:firstLine="360"/>
              <w:rPr>
                <w:rFonts w:hint="eastAsia"/>
                <w:color w:val="auto"/>
                <w:highlight w:val="none"/>
              </w:rPr>
            </w:pPr>
            <w:r>
              <w:rPr>
                <w:rFonts w:hint="eastAsia"/>
                <w:color w:val="auto"/>
                <w:highlight w:val="none"/>
              </w:rPr>
              <w:t xml:space="preserve">一旦我单位中标，我方保证并配备上述项目组织机构。上述填报内容真实，若不真实，愿按有关规定接受处理。             </w:t>
            </w:r>
          </w:p>
        </w:tc>
      </w:tr>
    </w:tbl>
    <w:p w14:paraId="7F3AF90D">
      <w:pPr>
        <w:spacing w:line="360" w:lineRule="auto"/>
        <w:ind w:firstLine="480"/>
        <w:rPr>
          <w:rFonts w:hint="eastAsia"/>
          <w:color w:val="auto"/>
          <w:spacing w:val="20"/>
          <w:highlight w:val="none"/>
        </w:rPr>
      </w:pPr>
      <w:r>
        <w:rPr>
          <w:rFonts w:hint="eastAsia"/>
          <w:color w:val="auto"/>
          <w:spacing w:val="20"/>
          <w:highlight w:val="none"/>
        </w:rPr>
        <w:t>注：1、列入本表人员（包括项目负责人）的更换需经采购人同意，擅自更换或不到位均属违约行为。</w:t>
      </w:r>
    </w:p>
    <w:p w14:paraId="609326B7">
      <w:pPr>
        <w:spacing w:line="360" w:lineRule="auto"/>
        <w:ind w:firstLine="480"/>
        <w:rPr>
          <w:rFonts w:hint="eastAsia"/>
          <w:color w:val="auto"/>
          <w:spacing w:val="20"/>
          <w:highlight w:val="none"/>
        </w:rPr>
      </w:pPr>
      <w:r>
        <w:rPr>
          <w:rFonts w:hint="eastAsia"/>
          <w:color w:val="auto"/>
          <w:spacing w:val="20"/>
          <w:highlight w:val="none"/>
        </w:rPr>
        <w:t xml:space="preserve">   2、附评分内容条件所要求的相关证明等的扫描件，否则评分不予认可。</w:t>
      </w:r>
    </w:p>
    <w:p w14:paraId="6E68A80F">
      <w:pPr>
        <w:spacing w:line="360" w:lineRule="auto"/>
        <w:ind w:firstLine="480"/>
        <w:rPr>
          <w:rFonts w:hint="eastAsia"/>
          <w:color w:val="auto"/>
          <w:spacing w:val="20"/>
          <w:highlight w:val="none"/>
        </w:rPr>
      </w:pPr>
    </w:p>
    <w:p w14:paraId="26F31AE0">
      <w:pPr>
        <w:spacing w:line="360" w:lineRule="auto"/>
        <w:ind w:firstLine="480"/>
        <w:rPr>
          <w:rFonts w:hint="eastAsia"/>
          <w:color w:val="auto"/>
          <w:spacing w:val="20"/>
          <w:highlight w:val="none"/>
        </w:rPr>
      </w:pPr>
      <w:r>
        <w:rPr>
          <w:rFonts w:hint="eastAsia"/>
          <w:color w:val="auto"/>
          <w:spacing w:val="20"/>
          <w:highlight w:val="none"/>
        </w:rPr>
        <w:t>供应商名称（盖章）：</w:t>
      </w:r>
    </w:p>
    <w:p w14:paraId="77566754">
      <w:pPr>
        <w:spacing w:line="360" w:lineRule="auto"/>
        <w:ind w:firstLine="480"/>
        <w:rPr>
          <w:rFonts w:hint="eastAsia"/>
          <w:color w:val="auto"/>
          <w:spacing w:val="20"/>
          <w:highlight w:val="none"/>
        </w:rPr>
      </w:pPr>
      <w:r>
        <w:rPr>
          <w:rFonts w:hint="eastAsia"/>
          <w:color w:val="auto"/>
          <w:spacing w:val="20"/>
          <w:highlight w:val="none"/>
        </w:rPr>
        <w:t>法定代表人或授权代表（签字或盖章）：</w:t>
      </w:r>
    </w:p>
    <w:p w14:paraId="0BBB85EF">
      <w:pPr>
        <w:spacing w:line="360" w:lineRule="auto"/>
        <w:ind w:firstLine="480"/>
        <w:rPr>
          <w:rFonts w:hint="eastAsia"/>
          <w:color w:val="auto"/>
          <w:spacing w:val="20"/>
          <w:highlight w:val="none"/>
        </w:rPr>
      </w:pPr>
      <w:r>
        <w:rPr>
          <w:rFonts w:hint="eastAsia"/>
          <w:color w:val="auto"/>
          <w:spacing w:val="20"/>
          <w:highlight w:val="none"/>
        </w:rPr>
        <w:t>日期：</w:t>
      </w:r>
    </w:p>
    <w:p w14:paraId="3CBB6E3A">
      <w:pPr>
        <w:pStyle w:val="37"/>
        <w:spacing w:line="360" w:lineRule="auto"/>
        <w:rPr>
          <w:rFonts w:hint="eastAsia" w:hAnsi="宋体" w:cs="宋体"/>
          <w:b/>
          <w:color w:val="auto"/>
          <w:sz w:val="24"/>
          <w:szCs w:val="24"/>
          <w:highlight w:val="none"/>
        </w:rPr>
      </w:pPr>
      <w:r>
        <w:rPr>
          <w:rFonts w:hint="eastAsia" w:hAnsi="宋体" w:cs="宋体"/>
          <w:b/>
          <w:color w:val="auto"/>
          <w:sz w:val="24"/>
          <w:szCs w:val="24"/>
          <w:highlight w:val="none"/>
          <w:lang w:val="zh-CN"/>
        </w:rPr>
        <w:br w:type="page"/>
      </w:r>
    </w:p>
    <w:p w14:paraId="623D0A1D">
      <w:pPr>
        <w:pStyle w:val="37"/>
        <w:adjustRightInd w:val="0"/>
        <w:snapToGrid w:val="0"/>
        <w:spacing w:line="440" w:lineRule="atLeast"/>
        <w:ind w:firstLine="2461" w:firstLineChars="681"/>
        <w:outlineLvl w:val="0"/>
        <w:rPr>
          <w:rFonts w:hAnsi="宋体"/>
          <w:b/>
          <w:color w:val="auto"/>
          <w:sz w:val="36"/>
          <w:szCs w:val="36"/>
          <w:highlight w:val="none"/>
        </w:rPr>
      </w:pPr>
      <w:bookmarkStart w:id="26" w:name="_Toc477340079"/>
      <w:r>
        <w:rPr>
          <w:rFonts w:hint="eastAsia" w:hAnsi="宋体"/>
          <w:b/>
          <w:color w:val="auto"/>
          <w:sz w:val="36"/>
          <w:szCs w:val="36"/>
          <w:highlight w:val="none"/>
        </w:rPr>
        <w:t>（二） 项目主要负责人简历表</w:t>
      </w:r>
      <w:bookmarkEnd w:id="26"/>
    </w:p>
    <w:p w14:paraId="58D0755B">
      <w:pPr>
        <w:rPr>
          <w:rFonts w:ascii="宋体"/>
          <w:b/>
          <w:color w:val="auto"/>
          <w:szCs w:val="28"/>
          <w:highlight w:val="none"/>
        </w:rPr>
      </w:pPr>
    </w:p>
    <w:p w14:paraId="7C2E9C99">
      <w:pPr>
        <w:jc w:val="center"/>
        <w:rPr>
          <w:rFonts w:ascii="宋体"/>
          <w:b/>
          <w:color w:val="auto"/>
          <w:sz w:val="24"/>
          <w:highlight w:val="none"/>
        </w:rPr>
      </w:pPr>
      <w:r>
        <w:rPr>
          <w:rFonts w:hint="eastAsia" w:ascii="宋体"/>
          <w:b/>
          <w:color w:val="auto"/>
          <w:sz w:val="24"/>
          <w:highlight w:val="none"/>
        </w:rPr>
        <w:t>项目主要负责人简历表</w:t>
      </w:r>
    </w:p>
    <w:p w14:paraId="25CD9603">
      <w:pPr>
        <w:pStyle w:val="37"/>
        <w:spacing w:line="400" w:lineRule="atLeast"/>
        <w:ind w:left="663" w:hanging="663" w:hangingChars="300"/>
        <w:rPr>
          <w:rFonts w:hAnsi="宋体"/>
          <w:b/>
          <w:color w:val="auto"/>
          <w:sz w:val="22"/>
          <w:highlight w:val="none"/>
        </w:rPr>
      </w:pPr>
      <w:r>
        <w:rPr>
          <w:rFonts w:hint="eastAsia" w:hAnsi="宋体"/>
          <w:b/>
          <w:color w:val="auto"/>
          <w:sz w:val="22"/>
          <w:highlight w:val="none"/>
        </w:rPr>
        <w:t xml:space="preserve">项目名称：                                            </w:t>
      </w:r>
      <w:r>
        <w:rPr>
          <w:rFonts w:hint="eastAsia"/>
          <w:b/>
          <w:color w:val="auto"/>
          <w:sz w:val="22"/>
          <w:szCs w:val="22"/>
          <w:highlight w:val="none"/>
        </w:rPr>
        <w:t>招标</w:t>
      </w:r>
      <w:r>
        <w:rPr>
          <w:rFonts w:hint="eastAsia" w:hAnsi="宋体"/>
          <w:b/>
          <w:color w:val="auto"/>
          <w:sz w:val="22"/>
          <w:highlight w:val="none"/>
        </w:rPr>
        <w:t>编号：</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1"/>
        <w:gridCol w:w="1654"/>
        <w:gridCol w:w="1650"/>
        <w:gridCol w:w="1764"/>
        <w:gridCol w:w="1648"/>
        <w:gridCol w:w="1526"/>
      </w:tblGrid>
      <w:tr w14:paraId="7DD0C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exact"/>
          <w:jc w:val="center"/>
        </w:trPr>
        <w:tc>
          <w:tcPr>
            <w:tcW w:w="1431" w:type="dxa"/>
            <w:tcBorders>
              <w:top w:val="single" w:color="auto" w:sz="12" w:space="0"/>
              <w:left w:val="single" w:color="auto" w:sz="12" w:space="0"/>
              <w:bottom w:val="single" w:color="auto" w:sz="6" w:space="0"/>
              <w:right w:val="single" w:color="auto" w:sz="6" w:space="0"/>
            </w:tcBorders>
            <w:noWrap w:val="0"/>
            <w:vAlign w:val="center"/>
          </w:tcPr>
          <w:p w14:paraId="4C08C95C">
            <w:pPr>
              <w:pStyle w:val="37"/>
              <w:spacing w:line="400" w:lineRule="atLeast"/>
              <w:ind w:left="663" w:hanging="663" w:hangingChars="300"/>
              <w:rPr>
                <w:rFonts w:hAnsi="宋体"/>
                <w:b/>
                <w:color w:val="auto"/>
                <w:sz w:val="22"/>
                <w:highlight w:val="none"/>
              </w:rPr>
            </w:pPr>
            <w:r>
              <w:rPr>
                <w:rFonts w:hint="eastAsia" w:hAnsi="宋体"/>
                <w:b/>
                <w:color w:val="auto"/>
                <w:sz w:val="22"/>
                <w:highlight w:val="none"/>
              </w:rPr>
              <w:t>姓 名</w:t>
            </w:r>
          </w:p>
        </w:tc>
        <w:tc>
          <w:tcPr>
            <w:tcW w:w="1654" w:type="dxa"/>
            <w:tcBorders>
              <w:top w:val="single" w:color="auto" w:sz="12" w:space="0"/>
              <w:left w:val="single" w:color="auto" w:sz="6" w:space="0"/>
              <w:bottom w:val="single" w:color="auto" w:sz="6" w:space="0"/>
              <w:right w:val="single" w:color="auto" w:sz="6" w:space="0"/>
            </w:tcBorders>
            <w:noWrap w:val="0"/>
            <w:vAlign w:val="center"/>
          </w:tcPr>
          <w:p w14:paraId="6786873B">
            <w:pPr>
              <w:pStyle w:val="37"/>
              <w:spacing w:line="400" w:lineRule="atLeast"/>
              <w:ind w:left="663" w:hanging="663" w:hangingChars="300"/>
              <w:rPr>
                <w:rFonts w:hAnsi="宋体"/>
                <w:b/>
                <w:color w:val="auto"/>
                <w:sz w:val="22"/>
                <w:highlight w:val="none"/>
              </w:rPr>
            </w:pPr>
          </w:p>
        </w:tc>
        <w:tc>
          <w:tcPr>
            <w:tcW w:w="1650" w:type="dxa"/>
            <w:tcBorders>
              <w:top w:val="single" w:color="auto" w:sz="12" w:space="0"/>
              <w:left w:val="single" w:color="auto" w:sz="6" w:space="0"/>
              <w:bottom w:val="single" w:color="auto" w:sz="6" w:space="0"/>
              <w:right w:val="single" w:color="auto" w:sz="6" w:space="0"/>
            </w:tcBorders>
            <w:noWrap w:val="0"/>
            <w:vAlign w:val="center"/>
          </w:tcPr>
          <w:p w14:paraId="0DE0A57F">
            <w:pPr>
              <w:pStyle w:val="37"/>
              <w:spacing w:line="400" w:lineRule="atLeast"/>
              <w:ind w:left="663" w:hanging="663" w:hangingChars="300"/>
              <w:rPr>
                <w:rFonts w:hAnsi="宋体"/>
                <w:b/>
                <w:color w:val="auto"/>
                <w:sz w:val="22"/>
                <w:highlight w:val="none"/>
              </w:rPr>
            </w:pPr>
            <w:r>
              <w:rPr>
                <w:rFonts w:hint="eastAsia" w:hAnsi="宋体"/>
                <w:b/>
                <w:color w:val="auto"/>
                <w:sz w:val="22"/>
                <w:highlight w:val="none"/>
              </w:rPr>
              <w:t>性 别</w:t>
            </w:r>
          </w:p>
        </w:tc>
        <w:tc>
          <w:tcPr>
            <w:tcW w:w="1764" w:type="dxa"/>
            <w:tcBorders>
              <w:top w:val="single" w:color="auto" w:sz="12" w:space="0"/>
              <w:left w:val="single" w:color="auto" w:sz="6" w:space="0"/>
              <w:bottom w:val="single" w:color="auto" w:sz="6" w:space="0"/>
              <w:right w:val="single" w:color="auto" w:sz="6" w:space="0"/>
            </w:tcBorders>
            <w:noWrap w:val="0"/>
            <w:vAlign w:val="center"/>
          </w:tcPr>
          <w:p w14:paraId="254D9268">
            <w:pPr>
              <w:pStyle w:val="37"/>
              <w:spacing w:line="400" w:lineRule="atLeast"/>
              <w:ind w:left="663" w:hanging="663" w:hangingChars="300"/>
              <w:rPr>
                <w:rFonts w:hAnsi="宋体"/>
                <w:b/>
                <w:color w:val="auto"/>
                <w:sz w:val="22"/>
                <w:highlight w:val="none"/>
              </w:rPr>
            </w:pPr>
          </w:p>
        </w:tc>
        <w:tc>
          <w:tcPr>
            <w:tcW w:w="1648" w:type="dxa"/>
            <w:tcBorders>
              <w:top w:val="single" w:color="auto" w:sz="12" w:space="0"/>
              <w:left w:val="single" w:color="auto" w:sz="6" w:space="0"/>
              <w:bottom w:val="single" w:color="auto" w:sz="6" w:space="0"/>
              <w:right w:val="single" w:color="auto" w:sz="6" w:space="0"/>
            </w:tcBorders>
            <w:noWrap w:val="0"/>
            <w:vAlign w:val="center"/>
          </w:tcPr>
          <w:p w14:paraId="3645F50C">
            <w:pPr>
              <w:pStyle w:val="37"/>
              <w:spacing w:line="400" w:lineRule="atLeast"/>
              <w:ind w:left="663" w:hanging="663" w:hangingChars="300"/>
              <w:rPr>
                <w:rFonts w:hAnsi="宋体"/>
                <w:b/>
                <w:color w:val="auto"/>
                <w:sz w:val="22"/>
                <w:highlight w:val="none"/>
              </w:rPr>
            </w:pPr>
            <w:r>
              <w:rPr>
                <w:rFonts w:hint="eastAsia" w:hAnsi="宋体"/>
                <w:b/>
                <w:color w:val="auto"/>
                <w:sz w:val="22"/>
                <w:highlight w:val="none"/>
              </w:rPr>
              <w:t>年 龄</w:t>
            </w:r>
          </w:p>
        </w:tc>
        <w:tc>
          <w:tcPr>
            <w:tcW w:w="1526" w:type="dxa"/>
            <w:tcBorders>
              <w:top w:val="single" w:color="auto" w:sz="12" w:space="0"/>
              <w:left w:val="single" w:color="auto" w:sz="6" w:space="0"/>
              <w:bottom w:val="single" w:color="auto" w:sz="6" w:space="0"/>
              <w:right w:val="single" w:color="auto" w:sz="12" w:space="0"/>
            </w:tcBorders>
            <w:noWrap w:val="0"/>
            <w:vAlign w:val="center"/>
          </w:tcPr>
          <w:p w14:paraId="71A65625">
            <w:pPr>
              <w:pStyle w:val="37"/>
              <w:spacing w:line="400" w:lineRule="atLeast"/>
              <w:ind w:left="663" w:hanging="663" w:hangingChars="300"/>
              <w:rPr>
                <w:rFonts w:hAnsi="宋体"/>
                <w:b/>
                <w:color w:val="auto"/>
                <w:sz w:val="22"/>
                <w:highlight w:val="none"/>
              </w:rPr>
            </w:pPr>
          </w:p>
        </w:tc>
      </w:tr>
      <w:tr w14:paraId="2704F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exact"/>
          <w:jc w:val="center"/>
        </w:trPr>
        <w:tc>
          <w:tcPr>
            <w:tcW w:w="1431" w:type="dxa"/>
            <w:tcBorders>
              <w:top w:val="single" w:color="auto" w:sz="6" w:space="0"/>
              <w:left w:val="single" w:color="auto" w:sz="12" w:space="0"/>
              <w:bottom w:val="single" w:color="auto" w:sz="6" w:space="0"/>
              <w:right w:val="single" w:color="auto" w:sz="6" w:space="0"/>
            </w:tcBorders>
            <w:noWrap w:val="0"/>
            <w:vAlign w:val="center"/>
          </w:tcPr>
          <w:p w14:paraId="4491153F">
            <w:pPr>
              <w:pStyle w:val="37"/>
              <w:spacing w:line="400" w:lineRule="atLeast"/>
              <w:ind w:left="663" w:hanging="663" w:hangingChars="300"/>
              <w:rPr>
                <w:rFonts w:hAnsi="宋体"/>
                <w:b/>
                <w:color w:val="auto"/>
                <w:sz w:val="22"/>
                <w:highlight w:val="none"/>
              </w:rPr>
            </w:pPr>
            <w:r>
              <w:rPr>
                <w:rFonts w:hint="eastAsia" w:hAnsi="宋体"/>
                <w:b/>
                <w:color w:val="auto"/>
                <w:sz w:val="22"/>
                <w:highlight w:val="none"/>
              </w:rPr>
              <w:t>学 历</w:t>
            </w:r>
          </w:p>
        </w:tc>
        <w:tc>
          <w:tcPr>
            <w:tcW w:w="1654" w:type="dxa"/>
            <w:tcBorders>
              <w:top w:val="single" w:color="auto" w:sz="6" w:space="0"/>
              <w:left w:val="single" w:color="auto" w:sz="6" w:space="0"/>
              <w:bottom w:val="single" w:color="auto" w:sz="6" w:space="0"/>
              <w:right w:val="single" w:color="auto" w:sz="6" w:space="0"/>
            </w:tcBorders>
            <w:noWrap w:val="0"/>
            <w:vAlign w:val="center"/>
          </w:tcPr>
          <w:p w14:paraId="63F0A72C">
            <w:pPr>
              <w:pStyle w:val="37"/>
              <w:spacing w:line="400" w:lineRule="atLeast"/>
              <w:ind w:left="663" w:hanging="663" w:hangingChars="300"/>
              <w:rPr>
                <w:rFonts w:hAnsi="宋体"/>
                <w:b/>
                <w:color w:val="auto"/>
                <w:sz w:val="22"/>
                <w:highlight w:val="none"/>
              </w:rPr>
            </w:pPr>
          </w:p>
        </w:tc>
        <w:tc>
          <w:tcPr>
            <w:tcW w:w="1650" w:type="dxa"/>
            <w:tcBorders>
              <w:top w:val="single" w:color="auto" w:sz="6" w:space="0"/>
              <w:left w:val="single" w:color="auto" w:sz="6" w:space="0"/>
              <w:bottom w:val="single" w:color="auto" w:sz="6" w:space="0"/>
              <w:right w:val="single" w:color="auto" w:sz="6" w:space="0"/>
            </w:tcBorders>
            <w:noWrap w:val="0"/>
            <w:vAlign w:val="center"/>
          </w:tcPr>
          <w:p w14:paraId="101C9DA6">
            <w:pPr>
              <w:pStyle w:val="37"/>
              <w:spacing w:line="400" w:lineRule="atLeast"/>
              <w:ind w:left="663" w:hanging="663" w:hangingChars="300"/>
              <w:rPr>
                <w:rFonts w:hAnsi="宋体"/>
                <w:b/>
                <w:color w:val="auto"/>
                <w:sz w:val="22"/>
                <w:highlight w:val="none"/>
              </w:rPr>
            </w:pPr>
            <w:r>
              <w:rPr>
                <w:rFonts w:hint="eastAsia" w:hAnsi="宋体"/>
                <w:b/>
                <w:color w:val="auto"/>
                <w:sz w:val="22"/>
                <w:highlight w:val="none"/>
              </w:rPr>
              <w:t>职 称</w:t>
            </w:r>
          </w:p>
        </w:tc>
        <w:tc>
          <w:tcPr>
            <w:tcW w:w="1764" w:type="dxa"/>
            <w:tcBorders>
              <w:top w:val="single" w:color="auto" w:sz="6" w:space="0"/>
              <w:left w:val="single" w:color="auto" w:sz="6" w:space="0"/>
              <w:bottom w:val="single" w:color="auto" w:sz="6" w:space="0"/>
              <w:right w:val="single" w:color="auto" w:sz="6" w:space="0"/>
            </w:tcBorders>
            <w:noWrap w:val="0"/>
            <w:vAlign w:val="center"/>
          </w:tcPr>
          <w:p w14:paraId="1AF80DDF">
            <w:pPr>
              <w:pStyle w:val="37"/>
              <w:spacing w:line="400" w:lineRule="atLeast"/>
              <w:ind w:left="663" w:hanging="663" w:hangingChars="300"/>
              <w:rPr>
                <w:rFonts w:hAnsi="宋体"/>
                <w:b/>
                <w:color w:val="auto"/>
                <w:sz w:val="22"/>
                <w:highlight w:val="none"/>
              </w:rPr>
            </w:pPr>
          </w:p>
        </w:tc>
        <w:tc>
          <w:tcPr>
            <w:tcW w:w="1648" w:type="dxa"/>
            <w:tcBorders>
              <w:top w:val="single" w:color="auto" w:sz="6" w:space="0"/>
              <w:left w:val="single" w:color="auto" w:sz="6" w:space="0"/>
              <w:bottom w:val="single" w:color="auto" w:sz="6" w:space="0"/>
              <w:right w:val="single" w:color="auto" w:sz="6" w:space="0"/>
            </w:tcBorders>
            <w:noWrap w:val="0"/>
            <w:vAlign w:val="center"/>
          </w:tcPr>
          <w:p w14:paraId="5D49D556">
            <w:pPr>
              <w:pStyle w:val="37"/>
              <w:spacing w:line="400" w:lineRule="atLeast"/>
              <w:ind w:left="663" w:hanging="663" w:hangingChars="300"/>
              <w:rPr>
                <w:rFonts w:hAnsi="宋体"/>
                <w:b/>
                <w:color w:val="auto"/>
                <w:sz w:val="22"/>
                <w:highlight w:val="none"/>
              </w:rPr>
            </w:pPr>
            <w:r>
              <w:rPr>
                <w:rFonts w:hint="eastAsia" w:hAnsi="宋体"/>
                <w:b/>
                <w:color w:val="auto"/>
                <w:sz w:val="22"/>
                <w:highlight w:val="none"/>
              </w:rPr>
              <w:t>职 务</w:t>
            </w:r>
          </w:p>
        </w:tc>
        <w:tc>
          <w:tcPr>
            <w:tcW w:w="1526" w:type="dxa"/>
            <w:tcBorders>
              <w:top w:val="single" w:color="auto" w:sz="6" w:space="0"/>
              <w:left w:val="single" w:color="auto" w:sz="6" w:space="0"/>
              <w:bottom w:val="single" w:color="auto" w:sz="6" w:space="0"/>
              <w:right w:val="single" w:color="auto" w:sz="12" w:space="0"/>
            </w:tcBorders>
            <w:noWrap w:val="0"/>
            <w:vAlign w:val="center"/>
          </w:tcPr>
          <w:p w14:paraId="4A63C1C2">
            <w:pPr>
              <w:pStyle w:val="37"/>
              <w:spacing w:line="400" w:lineRule="atLeast"/>
              <w:ind w:left="663" w:hanging="663" w:hangingChars="300"/>
              <w:rPr>
                <w:rFonts w:hAnsi="宋体"/>
                <w:b/>
                <w:color w:val="auto"/>
                <w:sz w:val="22"/>
                <w:highlight w:val="none"/>
              </w:rPr>
            </w:pPr>
          </w:p>
        </w:tc>
      </w:tr>
      <w:tr w14:paraId="6CF95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exact"/>
          <w:jc w:val="center"/>
        </w:trPr>
        <w:tc>
          <w:tcPr>
            <w:tcW w:w="1431" w:type="dxa"/>
            <w:tcBorders>
              <w:top w:val="single" w:color="auto" w:sz="6" w:space="0"/>
              <w:left w:val="single" w:color="auto" w:sz="12" w:space="0"/>
              <w:bottom w:val="single" w:color="auto" w:sz="6" w:space="0"/>
              <w:right w:val="single" w:color="auto" w:sz="6" w:space="0"/>
            </w:tcBorders>
            <w:noWrap w:val="0"/>
            <w:vAlign w:val="center"/>
          </w:tcPr>
          <w:p w14:paraId="4420E535">
            <w:pPr>
              <w:pStyle w:val="37"/>
              <w:spacing w:line="400" w:lineRule="atLeast"/>
              <w:ind w:left="663" w:hanging="663" w:hangingChars="300"/>
              <w:rPr>
                <w:rFonts w:hAnsi="宋体"/>
                <w:b/>
                <w:color w:val="auto"/>
                <w:sz w:val="22"/>
                <w:highlight w:val="none"/>
              </w:rPr>
            </w:pPr>
            <w:r>
              <w:rPr>
                <w:rFonts w:hint="eastAsia" w:hAnsi="宋体"/>
                <w:b/>
                <w:color w:val="auto"/>
                <w:sz w:val="22"/>
                <w:highlight w:val="none"/>
              </w:rPr>
              <w:t>联系电话</w:t>
            </w:r>
          </w:p>
        </w:tc>
        <w:tc>
          <w:tcPr>
            <w:tcW w:w="3304" w:type="dxa"/>
            <w:gridSpan w:val="2"/>
            <w:tcBorders>
              <w:top w:val="single" w:color="auto" w:sz="6" w:space="0"/>
              <w:left w:val="single" w:color="auto" w:sz="6" w:space="0"/>
              <w:bottom w:val="single" w:color="auto" w:sz="6" w:space="0"/>
              <w:right w:val="single" w:color="auto" w:sz="6" w:space="0"/>
            </w:tcBorders>
            <w:noWrap w:val="0"/>
            <w:vAlign w:val="center"/>
          </w:tcPr>
          <w:p w14:paraId="783274D5">
            <w:pPr>
              <w:pStyle w:val="37"/>
              <w:spacing w:line="400" w:lineRule="atLeast"/>
              <w:ind w:left="663" w:hanging="663" w:hangingChars="300"/>
              <w:rPr>
                <w:rFonts w:hAnsi="宋体"/>
                <w:b/>
                <w:color w:val="auto"/>
                <w:sz w:val="22"/>
                <w:highlight w:val="none"/>
              </w:rPr>
            </w:pPr>
          </w:p>
        </w:tc>
        <w:tc>
          <w:tcPr>
            <w:tcW w:w="1764" w:type="dxa"/>
            <w:tcBorders>
              <w:top w:val="single" w:color="auto" w:sz="6" w:space="0"/>
              <w:left w:val="single" w:color="auto" w:sz="6" w:space="0"/>
              <w:bottom w:val="single" w:color="auto" w:sz="6" w:space="0"/>
              <w:right w:val="single" w:color="auto" w:sz="6" w:space="0"/>
            </w:tcBorders>
            <w:noWrap w:val="0"/>
            <w:vAlign w:val="center"/>
          </w:tcPr>
          <w:p w14:paraId="0A6EC3AC">
            <w:pPr>
              <w:pStyle w:val="37"/>
              <w:spacing w:line="400" w:lineRule="atLeast"/>
              <w:ind w:left="663" w:hanging="663" w:hangingChars="300"/>
              <w:rPr>
                <w:rFonts w:hAnsi="宋体"/>
                <w:b/>
                <w:color w:val="auto"/>
                <w:sz w:val="22"/>
                <w:highlight w:val="none"/>
              </w:rPr>
            </w:pPr>
            <w:r>
              <w:rPr>
                <w:rFonts w:hint="eastAsia" w:hAnsi="宋体"/>
                <w:b/>
                <w:color w:val="auto"/>
                <w:sz w:val="22"/>
                <w:highlight w:val="none"/>
              </w:rPr>
              <w:t>手 机</w:t>
            </w:r>
          </w:p>
        </w:tc>
        <w:tc>
          <w:tcPr>
            <w:tcW w:w="3174" w:type="dxa"/>
            <w:gridSpan w:val="2"/>
            <w:tcBorders>
              <w:top w:val="single" w:color="auto" w:sz="6" w:space="0"/>
              <w:left w:val="single" w:color="auto" w:sz="6" w:space="0"/>
              <w:bottom w:val="single" w:color="auto" w:sz="6" w:space="0"/>
              <w:right w:val="single" w:color="auto" w:sz="12" w:space="0"/>
            </w:tcBorders>
            <w:noWrap w:val="0"/>
            <w:vAlign w:val="center"/>
          </w:tcPr>
          <w:p w14:paraId="6C3BA6F4">
            <w:pPr>
              <w:pStyle w:val="37"/>
              <w:spacing w:line="400" w:lineRule="atLeast"/>
              <w:ind w:left="663" w:hanging="663" w:hangingChars="300"/>
              <w:rPr>
                <w:rFonts w:hAnsi="宋体"/>
                <w:b/>
                <w:color w:val="auto"/>
                <w:sz w:val="22"/>
                <w:highlight w:val="none"/>
              </w:rPr>
            </w:pPr>
          </w:p>
        </w:tc>
      </w:tr>
      <w:tr w14:paraId="35229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7" w:hRule="atLeast"/>
          <w:jc w:val="center"/>
        </w:trPr>
        <w:tc>
          <w:tcPr>
            <w:tcW w:w="9673" w:type="dxa"/>
            <w:gridSpan w:val="6"/>
            <w:tcBorders>
              <w:top w:val="single" w:color="auto" w:sz="6" w:space="0"/>
              <w:left w:val="single" w:color="auto" w:sz="12" w:space="0"/>
              <w:bottom w:val="single" w:color="auto" w:sz="12" w:space="0"/>
              <w:right w:val="single" w:color="auto" w:sz="12" w:space="0"/>
            </w:tcBorders>
            <w:noWrap w:val="0"/>
            <w:vAlign w:val="top"/>
          </w:tcPr>
          <w:p w14:paraId="3D08EBB2">
            <w:pPr>
              <w:pStyle w:val="37"/>
              <w:spacing w:line="400" w:lineRule="atLeast"/>
              <w:ind w:left="663" w:hanging="663" w:hangingChars="300"/>
              <w:rPr>
                <w:rFonts w:hAnsi="宋体"/>
                <w:b/>
                <w:color w:val="auto"/>
                <w:sz w:val="22"/>
                <w:highlight w:val="none"/>
              </w:rPr>
            </w:pPr>
            <w:r>
              <w:rPr>
                <w:rFonts w:hint="eastAsia" w:hAnsi="宋体"/>
                <w:b/>
                <w:color w:val="auto"/>
                <w:sz w:val="22"/>
                <w:highlight w:val="none"/>
              </w:rPr>
              <w:t>近五年从事相关工作经历及业绩：</w:t>
            </w:r>
          </w:p>
        </w:tc>
      </w:tr>
    </w:tbl>
    <w:p w14:paraId="6BB0E4F9">
      <w:pPr>
        <w:pStyle w:val="37"/>
        <w:spacing w:line="360" w:lineRule="exact"/>
        <w:jc w:val="left"/>
        <w:rPr>
          <w:rFonts w:hAnsi="宋体"/>
          <w:b/>
          <w:color w:val="auto"/>
          <w:sz w:val="22"/>
          <w:highlight w:val="none"/>
        </w:rPr>
      </w:pPr>
      <w:r>
        <w:rPr>
          <w:rFonts w:hint="eastAsia" w:hAnsi="宋体"/>
          <w:b/>
          <w:color w:val="auto"/>
          <w:sz w:val="22"/>
          <w:highlight w:val="none"/>
        </w:rPr>
        <w:t>供应商名称（盖章）：</w:t>
      </w:r>
    </w:p>
    <w:p w14:paraId="1EDFEEE2">
      <w:pPr>
        <w:pStyle w:val="37"/>
        <w:spacing w:line="360" w:lineRule="exact"/>
        <w:jc w:val="left"/>
        <w:rPr>
          <w:rFonts w:hAnsi="宋体"/>
          <w:b/>
          <w:color w:val="auto"/>
          <w:sz w:val="22"/>
          <w:highlight w:val="none"/>
        </w:rPr>
      </w:pPr>
      <w:r>
        <w:rPr>
          <w:rFonts w:hAnsi="宋体"/>
          <w:b/>
          <w:color w:val="auto"/>
          <w:sz w:val="22"/>
          <w:highlight w:val="none"/>
        </w:rPr>
        <w:t>法定代表人或授权代表（签字或盖章）</w:t>
      </w:r>
      <w:r>
        <w:rPr>
          <w:rFonts w:hint="eastAsia" w:hAnsi="宋体"/>
          <w:b/>
          <w:color w:val="auto"/>
          <w:sz w:val="22"/>
          <w:highlight w:val="none"/>
        </w:rPr>
        <w:t>：</w:t>
      </w:r>
    </w:p>
    <w:p w14:paraId="49B462C0">
      <w:pPr>
        <w:pStyle w:val="37"/>
        <w:spacing w:line="360" w:lineRule="exact"/>
        <w:jc w:val="left"/>
        <w:rPr>
          <w:rFonts w:hAnsi="宋体"/>
          <w:b/>
          <w:color w:val="auto"/>
          <w:sz w:val="22"/>
          <w:highlight w:val="none"/>
        </w:rPr>
      </w:pPr>
      <w:r>
        <w:rPr>
          <w:rFonts w:hint="eastAsia" w:hAnsi="宋体"/>
          <w:b/>
          <w:color w:val="auto"/>
          <w:sz w:val="22"/>
          <w:highlight w:val="none"/>
        </w:rPr>
        <w:t xml:space="preserve">日    期：    </w:t>
      </w:r>
    </w:p>
    <w:p w14:paraId="1EEBC255">
      <w:pPr>
        <w:spacing w:line="360" w:lineRule="auto"/>
        <w:rPr>
          <w:rFonts w:hint="eastAsia"/>
          <w:b/>
          <w:color w:val="auto"/>
          <w:highlight w:val="none"/>
        </w:rPr>
      </w:pPr>
      <w:r>
        <w:rPr>
          <w:rFonts w:hint="eastAsia"/>
          <w:color w:val="auto"/>
          <w:spacing w:val="20"/>
          <w:highlight w:val="none"/>
        </w:rPr>
        <w:br w:type="page"/>
      </w:r>
      <w:r>
        <w:rPr>
          <w:rFonts w:hint="eastAsia"/>
          <w:b/>
          <w:color w:val="auto"/>
          <w:sz w:val="32"/>
          <w:szCs w:val="32"/>
          <w:highlight w:val="none"/>
        </w:rPr>
        <w:t>3.</w:t>
      </w:r>
      <w:r>
        <w:rPr>
          <w:rFonts w:hint="eastAsia"/>
          <w:b/>
          <w:color w:val="auto"/>
          <w:sz w:val="32"/>
          <w:szCs w:val="32"/>
          <w:highlight w:val="none"/>
          <w:lang w:val="en-US" w:eastAsia="zh-CN"/>
        </w:rPr>
        <w:t>10</w:t>
      </w:r>
      <w:r>
        <w:rPr>
          <w:rFonts w:hint="eastAsia"/>
          <w:b/>
          <w:color w:val="auto"/>
          <w:sz w:val="32"/>
          <w:szCs w:val="32"/>
          <w:highlight w:val="none"/>
        </w:rPr>
        <w:t>主要机具、设备明细表（供应商投入）</w:t>
      </w:r>
    </w:p>
    <w:p w14:paraId="544A4011">
      <w:pPr>
        <w:pStyle w:val="46"/>
        <w:jc w:val="center"/>
        <w:rPr>
          <w:rFonts w:hint="eastAsia" w:ascii="宋体" w:hAnsi="宋体" w:cs="宋体"/>
          <w:color w:val="auto"/>
          <w:sz w:val="24"/>
          <w:szCs w:val="24"/>
          <w:highlight w:val="none"/>
        </w:rPr>
      </w:pPr>
      <w:r>
        <w:rPr>
          <w:rFonts w:hint="eastAsia" w:ascii="宋体" w:hAnsi="宋体" w:cs="宋体"/>
          <w:b/>
          <w:color w:val="auto"/>
          <w:sz w:val="24"/>
          <w:szCs w:val="24"/>
          <w:highlight w:val="none"/>
        </w:rPr>
        <w:t>主要机具、设备明细表（供应商投入）</w:t>
      </w:r>
    </w:p>
    <w:tbl>
      <w:tblPr>
        <w:tblStyle w:val="66"/>
        <w:tblpPr w:leftFromText="180" w:rightFromText="180" w:vertAnchor="text" w:horzAnchor="margin" w:tblpXSpec="center" w:tblpY="533"/>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9"/>
        <w:gridCol w:w="1281"/>
        <w:gridCol w:w="1364"/>
        <w:gridCol w:w="1575"/>
        <w:gridCol w:w="1112"/>
        <w:gridCol w:w="828"/>
        <w:gridCol w:w="1660"/>
        <w:gridCol w:w="1299"/>
      </w:tblGrid>
      <w:tr w14:paraId="50F2E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exact"/>
          <w:jc w:val="center"/>
        </w:trPr>
        <w:tc>
          <w:tcPr>
            <w:tcW w:w="370" w:type="pct"/>
            <w:noWrap w:val="0"/>
            <w:vAlign w:val="center"/>
          </w:tcPr>
          <w:p w14:paraId="48BC1E01">
            <w:pPr>
              <w:spacing w:line="360" w:lineRule="auto"/>
              <w:jc w:val="center"/>
              <w:rPr>
                <w:rFonts w:hint="eastAsia"/>
                <w:b/>
                <w:color w:val="auto"/>
                <w:highlight w:val="none"/>
              </w:rPr>
            </w:pPr>
            <w:r>
              <w:rPr>
                <w:rFonts w:hint="eastAsia"/>
                <w:b/>
                <w:color w:val="auto"/>
                <w:highlight w:val="none"/>
              </w:rPr>
              <w:t>序号</w:t>
            </w:r>
          </w:p>
        </w:tc>
        <w:tc>
          <w:tcPr>
            <w:tcW w:w="650" w:type="pct"/>
            <w:noWrap w:val="0"/>
            <w:vAlign w:val="center"/>
          </w:tcPr>
          <w:p w14:paraId="27006C50">
            <w:pPr>
              <w:spacing w:line="360" w:lineRule="auto"/>
              <w:jc w:val="center"/>
              <w:rPr>
                <w:rFonts w:hint="eastAsia"/>
                <w:b/>
                <w:color w:val="auto"/>
                <w:highlight w:val="none"/>
              </w:rPr>
            </w:pPr>
            <w:r>
              <w:rPr>
                <w:rFonts w:hint="eastAsia"/>
                <w:b/>
                <w:color w:val="auto"/>
                <w:highlight w:val="none"/>
              </w:rPr>
              <w:t>设备名称</w:t>
            </w:r>
          </w:p>
        </w:tc>
        <w:tc>
          <w:tcPr>
            <w:tcW w:w="692" w:type="pct"/>
            <w:noWrap w:val="0"/>
            <w:vAlign w:val="center"/>
          </w:tcPr>
          <w:p w14:paraId="1DBDF90F">
            <w:pPr>
              <w:spacing w:line="360" w:lineRule="auto"/>
              <w:jc w:val="center"/>
              <w:rPr>
                <w:rFonts w:hint="eastAsia"/>
                <w:b/>
                <w:color w:val="auto"/>
                <w:highlight w:val="none"/>
              </w:rPr>
            </w:pPr>
            <w:r>
              <w:rPr>
                <w:rFonts w:hint="eastAsia"/>
                <w:b/>
                <w:color w:val="auto"/>
                <w:highlight w:val="none"/>
              </w:rPr>
              <w:t>规格型号</w:t>
            </w:r>
          </w:p>
        </w:tc>
        <w:tc>
          <w:tcPr>
            <w:tcW w:w="799" w:type="pct"/>
            <w:noWrap w:val="0"/>
            <w:vAlign w:val="center"/>
          </w:tcPr>
          <w:p w14:paraId="29766083">
            <w:pPr>
              <w:spacing w:line="360" w:lineRule="auto"/>
              <w:jc w:val="center"/>
              <w:rPr>
                <w:rFonts w:hint="eastAsia"/>
                <w:b/>
                <w:color w:val="auto"/>
                <w:highlight w:val="none"/>
              </w:rPr>
            </w:pPr>
            <w:r>
              <w:rPr>
                <w:rFonts w:hint="eastAsia"/>
                <w:b/>
                <w:color w:val="auto"/>
                <w:highlight w:val="none"/>
              </w:rPr>
              <w:t>品牌/产地</w:t>
            </w:r>
          </w:p>
        </w:tc>
        <w:tc>
          <w:tcPr>
            <w:tcW w:w="564" w:type="pct"/>
            <w:noWrap w:val="0"/>
            <w:vAlign w:val="center"/>
          </w:tcPr>
          <w:p w14:paraId="685B098B">
            <w:pPr>
              <w:spacing w:line="360" w:lineRule="auto"/>
              <w:jc w:val="center"/>
              <w:rPr>
                <w:rFonts w:hint="eastAsia"/>
                <w:b/>
                <w:color w:val="auto"/>
                <w:highlight w:val="none"/>
              </w:rPr>
            </w:pPr>
            <w:r>
              <w:rPr>
                <w:rFonts w:hint="eastAsia"/>
                <w:b/>
                <w:color w:val="auto"/>
                <w:highlight w:val="none"/>
              </w:rPr>
              <w:t>已使用</w:t>
            </w:r>
          </w:p>
          <w:p w14:paraId="42933EFF">
            <w:pPr>
              <w:spacing w:line="360" w:lineRule="auto"/>
              <w:jc w:val="center"/>
              <w:rPr>
                <w:rFonts w:hint="eastAsia"/>
                <w:b/>
                <w:color w:val="auto"/>
                <w:highlight w:val="none"/>
              </w:rPr>
            </w:pPr>
            <w:r>
              <w:rPr>
                <w:rFonts w:hint="eastAsia"/>
                <w:b/>
                <w:color w:val="auto"/>
                <w:highlight w:val="none"/>
              </w:rPr>
              <w:t>年限</w:t>
            </w:r>
          </w:p>
        </w:tc>
        <w:tc>
          <w:tcPr>
            <w:tcW w:w="420" w:type="pct"/>
            <w:noWrap w:val="0"/>
            <w:vAlign w:val="center"/>
          </w:tcPr>
          <w:p w14:paraId="61C5B39C">
            <w:pPr>
              <w:spacing w:line="360" w:lineRule="auto"/>
              <w:jc w:val="center"/>
              <w:rPr>
                <w:rFonts w:hint="eastAsia"/>
                <w:b/>
                <w:color w:val="auto"/>
                <w:highlight w:val="none"/>
              </w:rPr>
            </w:pPr>
            <w:r>
              <w:rPr>
                <w:rFonts w:hint="eastAsia"/>
                <w:b/>
                <w:color w:val="auto"/>
                <w:highlight w:val="none"/>
              </w:rPr>
              <w:t>单位</w:t>
            </w:r>
          </w:p>
        </w:tc>
        <w:tc>
          <w:tcPr>
            <w:tcW w:w="842" w:type="pct"/>
            <w:noWrap w:val="0"/>
            <w:vAlign w:val="center"/>
          </w:tcPr>
          <w:p w14:paraId="5473E4E4">
            <w:pPr>
              <w:spacing w:line="360" w:lineRule="auto"/>
              <w:jc w:val="center"/>
              <w:rPr>
                <w:rFonts w:hint="eastAsia"/>
                <w:b/>
                <w:color w:val="auto"/>
                <w:highlight w:val="none"/>
              </w:rPr>
            </w:pPr>
            <w:r>
              <w:rPr>
                <w:rFonts w:hint="eastAsia"/>
                <w:b/>
                <w:color w:val="auto"/>
                <w:highlight w:val="none"/>
              </w:rPr>
              <w:t>数量</w:t>
            </w:r>
          </w:p>
        </w:tc>
        <w:tc>
          <w:tcPr>
            <w:tcW w:w="659" w:type="pct"/>
            <w:noWrap w:val="0"/>
            <w:vAlign w:val="center"/>
          </w:tcPr>
          <w:p w14:paraId="582D6F4C">
            <w:pPr>
              <w:spacing w:line="360" w:lineRule="auto"/>
              <w:jc w:val="center"/>
              <w:rPr>
                <w:rFonts w:hint="eastAsia"/>
                <w:b/>
                <w:color w:val="auto"/>
                <w:highlight w:val="none"/>
              </w:rPr>
            </w:pPr>
            <w:r>
              <w:rPr>
                <w:rFonts w:hint="eastAsia"/>
                <w:b/>
                <w:color w:val="auto"/>
                <w:highlight w:val="none"/>
              </w:rPr>
              <w:t>备注</w:t>
            </w:r>
          </w:p>
        </w:tc>
      </w:tr>
      <w:tr w14:paraId="37821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exact"/>
          <w:jc w:val="center"/>
        </w:trPr>
        <w:tc>
          <w:tcPr>
            <w:tcW w:w="370" w:type="pct"/>
            <w:noWrap w:val="0"/>
            <w:vAlign w:val="center"/>
          </w:tcPr>
          <w:p w14:paraId="21D2DD09">
            <w:pPr>
              <w:spacing w:line="360" w:lineRule="auto"/>
              <w:jc w:val="center"/>
              <w:rPr>
                <w:rFonts w:hint="eastAsia"/>
                <w:color w:val="auto"/>
                <w:highlight w:val="none"/>
              </w:rPr>
            </w:pPr>
          </w:p>
        </w:tc>
        <w:tc>
          <w:tcPr>
            <w:tcW w:w="650" w:type="pct"/>
            <w:noWrap w:val="0"/>
            <w:vAlign w:val="center"/>
          </w:tcPr>
          <w:p w14:paraId="2C19BF8A">
            <w:pPr>
              <w:spacing w:line="360" w:lineRule="auto"/>
              <w:jc w:val="center"/>
              <w:rPr>
                <w:rFonts w:hint="eastAsia"/>
                <w:b/>
                <w:color w:val="auto"/>
                <w:highlight w:val="none"/>
              </w:rPr>
            </w:pPr>
          </w:p>
        </w:tc>
        <w:tc>
          <w:tcPr>
            <w:tcW w:w="692" w:type="pct"/>
            <w:noWrap w:val="0"/>
            <w:vAlign w:val="top"/>
          </w:tcPr>
          <w:p w14:paraId="5C0A70BD">
            <w:pPr>
              <w:spacing w:line="360" w:lineRule="auto"/>
              <w:jc w:val="center"/>
              <w:rPr>
                <w:rFonts w:hint="eastAsia"/>
                <w:b/>
                <w:color w:val="auto"/>
                <w:highlight w:val="none"/>
              </w:rPr>
            </w:pPr>
          </w:p>
        </w:tc>
        <w:tc>
          <w:tcPr>
            <w:tcW w:w="799" w:type="pct"/>
            <w:noWrap w:val="0"/>
            <w:vAlign w:val="center"/>
          </w:tcPr>
          <w:p w14:paraId="444907C7">
            <w:pPr>
              <w:spacing w:line="360" w:lineRule="auto"/>
              <w:jc w:val="center"/>
              <w:rPr>
                <w:rFonts w:hint="eastAsia"/>
                <w:b/>
                <w:color w:val="auto"/>
                <w:highlight w:val="none"/>
              </w:rPr>
            </w:pPr>
          </w:p>
        </w:tc>
        <w:tc>
          <w:tcPr>
            <w:tcW w:w="564" w:type="pct"/>
            <w:noWrap w:val="0"/>
            <w:vAlign w:val="center"/>
          </w:tcPr>
          <w:p w14:paraId="68E47F19">
            <w:pPr>
              <w:spacing w:line="360" w:lineRule="auto"/>
              <w:jc w:val="center"/>
              <w:rPr>
                <w:rFonts w:hint="eastAsia"/>
                <w:b/>
                <w:color w:val="auto"/>
                <w:highlight w:val="none"/>
              </w:rPr>
            </w:pPr>
          </w:p>
        </w:tc>
        <w:tc>
          <w:tcPr>
            <w:tcW w:w="420" w:type="pct"/>
            <w:noWrap w:val="0"/>
            <w:vAlign w:val="top"/>
          </w:tcPr>
          <w:p w14:paraId="5E8BF6D3">
            <w:pPr>
              <w:spacing w:line="360" w:lineRule="auto"/>
              <w:jc w:val="center"/>
              <w:rPr>
                <w:rFonts w:hint="eastAsia"/>
                <w:b/>
                <w:color w:val="auto"/>
                <w:highlight w:val="none"/>
              </w:rPr>
            </w:pPr>
          </w:p>
        </w:tc>
        <w:tc>
          <w:tcPr>
            <w:tcW w:w="842" w:type="pct"/>
            <w:noWrap w:val="0"/>
            <w:vAlign w:val="top"/>
          </w:tcPr>
          <w:p w14:paraId="559EA3CE">
            <w:pPr>
              <w:spacing w:line="360" w:lineRule="auto"/>
              <w:jc w:val="center"/>
              <w:rPr>
                <w:rFonts w:hint="eastAsia"/>
                <w:b/>
                <w:color w:val="auto"/>
                <w:highlight w:val="none"/>
              </w:rPr>
            </w:pPr>
          </w:p>
        </w:tc>
        <w:tc>
          <w:tcPr>
            <w:tcW w:w="659" w:type="pct"/>
            <w:noWrap w:val="0"/>
            <w:vAlign w:val="center"/>
          </w:tcPr>
          <w:p w14:paraId="63551542">
            <w:pPr>
              <w:spacing w:line="360" w:lineRule="auto"/>
              <w:jc w:val="center"/>
              <w:rPr>
                <w:rFonts w:hint="eastAsia"/>
                <w:b/>
                <w:color w:val="auto"/>
                <w:highlight w:val="none"/>
              </w:rPr>
            </w:pPr>
          </w:p>
        </w:tc>
      </w:tr>
      <w:tr w14:paraId="27B31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exact"/>
          <w:jc w:val="center"/>
        </w:trPr>
        <w:tc>
          <w:tcPr>
            <w:tcW w:w="370" w:type="pct"/>
            <w:noWrap w:val="0"/>
            <w:vAlign w:val="center"/>
          </w:tcPr>
          <w:p w14:paraId="630E034B">
            <w:pPr>
              <w:spacing w:line="360" w:lineRule="auto"/>
              <w:jc w:val="center"/>
              <w:rPr>
                <w:rFonts w:hint="eastAsia"/>
                <w:color w:val="auto"/>
                <w:highlight w:val="none"/>
              </w:rPr>
            </w:pPr>
          </w:p>
        </w:tc>
        <w:tc>
          <w:tcPr>
            <w:tcW w:w="650" w:type="pct"/>
            <w:noWrap w:val="0"/>
            <w:vAlign w:val="center"/>
          </w:tcPr>
          <w:p w14:paraId="3D81CCE5">
            <w:pPr>
              <w:spacing w:line="360" w:lineRule="auto"/>
              <w:jc w:val="center"/>
              <w:rPr>
                <w:rFonts w:hint="eastAsia"/>
                <w:b/>
                <w:color w:val="auto"/>
                <w:highlight w:val="none"/>
              </w:rPr>
            </w:pPr>
          </w:p>
        </w:tc>
        <w:tc>
          <w:tcPr>
            <w:tcW w:w="692" w:type="pct"/>
            <w:noWrap w:val="0"/>
            <w:vAlign w:val="top"/>
          </w:tcPr>
          <w:p w14:paraId="79698802">
            <w:pPr>
              <w:spacing w:line="360" w:lineRule="auto"/>
              <w:jc w:val="center"/>
              <w:rPr>
                <w:rFonts w:hint="eastAsia"/>
                <w:b/>
                <w:color w:val="auto"/>
                <w:highlight w:val="none"/>
              </w:rPr>
            </w:pPr>
          </w:p>
        </w:tc>
        <w:tc>
          <w:tcPr>
            <w:tcW w:w="799" w:type="pct"/>
            <w:noWrap w:val="0"/>
            <w:vAlign w:val="center"/>
          </w:tcPr>
          <w:p w14:paraId="51E0358E">
            <w:pPr>
              <w:spacing w:line="360" w:lineRule="auto"/>
              <w:jc w:val="center"/>
              <w:rPr>
                <w:rFonts w:hint="eastAsia"/>
                <w:b/>
                <w:color w:val="auto"/>
                <w:highlight w:val="none"/>
              </w:rPr>
            </w:pPr>
          </w:p>
        </w:tc>
        <w:tc>
          <w:tcPr>
            <w:tcW w:w="564" w:type="pct"/>
            <w:noWrap w:val="0"/>
            <w:vAlign w:val="center"/>
          </w:tcPr>
          <w:p w14:paraId="3F619316">
            <w:pPr>
              <w:spacing w:line="360" w:lineRule="auto"/>
              <w:jc w:val="center"/>
              <w:rPr>
                <w:rFonts w:hint="eastAsia"/>
                <w:b/>
                <w:color w:val="auto"/>
                <w:highlight w:val="none"/>
              </w:rPr>
            </w:pPr>
          </w:p>
        </w:tc>
        <w:tc>
          <w:tcPr>
            <w:tcW w:w="420" w:type="pct"/>
            <w:noWrap w:val="0"/>
            <w:vAlign w:val="top"/>
          </w:tcPr>
          <w:p w14:paraId="215A8559">
            <w:pPr>
              <w:spacing w:line="360" w:lineRule="auto"/>
              <w:jc w:val="center"/>
              <w:rPr>
                <w:rFonts w:hint="eastAsia"/>
                <w:b/>
                <w:color w:val="auto"/>
                <w:highlight w:val="none"/>
              </w:rPr>
            </w:pPr>
          </w:p>
        </w:tc>
        <w:tc>
          <w:tcPr>
            <w:tcW w:w="842" w:type="pct"/>
            <w:noWrap w:val="0"/>
            <w:vAlign w:val="top"/>
          </w:tcPr>
          <w:p w14:paraId="3A9942BF">
            <w:pPr>
              <w:spacing w:line="360" w:lineRule="auto"/>
              <w:jc w:val="center"/>
              <w:rPr>
                <w:rFonts w:hint="eastAsia"/>
                <w:b/>
                <w:color w:val="auto"/>
                <w:highlight w:val="none"/>
              </w:rPr>
            </w:pPr>
          </w:p>
        </w:tc>
        <w:tc>
          <w:tcPr>
            <w:tcW w:w="659" w:type="pct"/>
            <w:noWrap w:val="0"/>
            <w:vAlign w:val="center"/>
          </w:tcPr>
          <w:p w14:paraId="4EDA9A51">
            <w:pPr>
              <w:spacing w:line="360" w:lineRule="auto"/>
              <w:jc w:val="center"/>
              <w:rPr>
                <w:rFonts w:hint="eastAsia"/>
                <w:b/>
                <w:color w:val="auto"/>
                <w:highlight w:val="none"/>
              </w:rPr>
            </w:pPr>
          </w:p>
        </w:tc>
      </w:tr>
      <w:tr w14:paraId="1FF2A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exact"/>
          <w:jc w:val="center"/>
        </w:trPr>
        <w:tc>
          <w:tcPr>
            <w:tcW w:w="370" w:type="pct"/>
            <w:noWrap w:val="0"/>
            <w:vAlign w:val="center"/>
          </w:tcPr>
          <w:p w14:paraId="4A506CE9">
            <w:pPr>
              <w:spacing w:line="360" w:lineRule="auto"/>
              <w:jc w:val="center"/>
              <w:rPr>
                <w:rFonts w:hint="eastAsia"/>
                <w:color w:val="auto"/>
                <w:highlight w:val="none"/>
              </w:rPr>
            </w:pPr>
          </w:p>
        </w:tc>
        <w:tc>
          <w:tcPr>
            <w:tcW w:w="650" w:type="pct"/>
            <w:noWrap w:val="0"/>
            <w:vAlign w:val="center"/>
          </w:tcPr>
          <w:p w14:paraId="19AE6974">
            <w:pPr>
              <w:spacing w:line="360" w:lineRule="auto"/>
              <w:jc w:val="center"/>
              <w:rPr>
                <w:rFonts w:hint="eastAsia"/>
                <w:b/>
                <w:color w:val="auto"/>
                <w:highlight w:val="none"/>
              </w:rPr>
            </w:pPr>
          </w:p>
        </w:tc>
        <w:tc>
          <w:tcPr>
            <w:tcW w:w="692" w:type="pct"/>
            <w:noWrap w:val="0"/>
            <w:vAlign w:val="top"/>
          </w:tcPr>
          <w:p w14:paraId="35FA24C7">
            <w:pPr>
              <w:spacing w:line="360" w:lineRule="auto"/>
              <w:jc w:val="center"/>
              <w:rPr>
                <w:rFonts w:hint="eastAsia"/>
                <w:b/>
                <w:color w:val="auto"/>
                <w:highlight w:val="none"/>
              </w:rPr>
            </w:pPr>
          </w:p>
        </w:tc>
        <w:tc>
          <w:tcPr>
            <w:tcW w:w="799" w:type="pct"/>
            <w:noWrap w:val="0"/>
            <w:vAlign w:val="center"/>
          </w:tcPr>
          <w:p w14:paraId="63D2447F">
            <w:pPr>
              <w:spacing w:line="360" w:lineRule="auto"/>
              <w:jc w:val="center"/>
              <w:rPr>
                <w:rFonts w:hint="eastAsia"/>
                <w:b/>
                <w:color w:val="auto"/>
                <w:highlight w:val="none"/>
              </w:rPr>
            </w:pPr>
          </w:p>
        </w:tc>
        <w:tc>
          <w:tcPr>
            <w:tcW w:w="564" w:type="pct"/>
            <w:noWrap w:val="0"/>
            <w:vAlign w:val="center"/>
          </w:tcPr>
          <w:p w14:paraId="2A02303A">
            <w:pPr>
              <w:spacing w:line="360" w:lineRule="auto"/>
              <w:jc w:val="center"/>
              <w:rPr>
                <w:rFonts w:hint="eastAsia"/>
                <w:b/>
                <w:color w:val="auto"/>
                <w:highlight w:val="none"/>
              </w:rPr>
            </w:pPr>
          </w:p>
        </w:tc>
        <w:tc>
          <w:tcPr>
            <w:tcW w:w="420" w:type="pct"/>
            <w:noWrap w:val="0"/>
            <w:vAlign w:val="top"/>
          </w:tcPr>
          <w:p w14:paraId="7CB64793">
            <w:pPr>
              <w:spacing w:line="360" w:lineRule="auto"/>
              <w:jc w:val="center"/>
              <w:rPr>
                <w:rFonts w:hint="eastAsia"/>
                <w:b/>
                <w:color w:val="auto"/>
                <w:highlight w:val="none"/>
              </w:rPr>
            </w:pPr>
          </w:p>
        </w:tc>
        <w:tc>
          <w:tcPr>
            <w:tcW w:w="842" w:type="pct"/>
            <w:noWrap w:val="0"/>
            <w:vAlign w:val="top"/>
          </w:tcPr>
          <w:p w14:paraId="1F2188EB">
            <w:pPr>
              <w:spacing w:line="360" w:lineRule="auto"/>
              <w:jc w:val="center"/>
              <w:rPr>
                <w:rFonts w:hint="eastAsia"/>
                <w:b/>
                <w:color w:val="auto"/>
                <w:highlight w:val="none"/>
              </w:rPr>
            </w:pPr>
          </w:p>
        </w:tc>
        <w:tc>
          <w:tcPr>
            <w:tcW w:w="659" w:type="pct"/>
            <w:noWrap w:val="0"/>
            <w:vAlign w:val="center"/>
          </w:tcPr>
          <w:p w14:paraId="50E3A061">
            <w:pPr>
              <w:spacing w:line="360" w:lineRule="auto"/>
              <w:jc w:val="center"/>
              <w:rPr>
                <w:rFonts w:hint="eastAsia"/>
                <w:b/>
                <w:color w:val="auto"/>
                <w:highlight w:val="none"/>
              </w:rPr>
            </w:pPr>
          </w:p>
        </w:tc>
      </w:tr>
      <w:tr w14:paraId="14C73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exact"/>
          <w:jc w:val="center"/>
        </w:trPr>
        <w:tc>
          <w:tcPr>
            <w:tcW w:w="370" w:type="pct"/>
            <w:noWrap w:val="0"/>
            <w:vAlign w:val="center"/>
          </w:tcPr>
          <w:p w14:paraId="496ADE64">
            <w:pPr>
              <w:spacing w:line="360" w:lineRule="auto"/>
              <w:jc w:val="center"/>
              <w:rPr>
                <w:rFonts w:hint="eastAsia"/>
                <w:color w:val="auto"/>
                <w:highlight w:val="none"/>
              </w:rPr>
            </w:pPr>
          </w:p>
        </w:tc>
        <w:tc>
          <w:tcPr>
            <w:tcW w:w="650" w:type="pct"/>
            <w:noWrap w:val="0"/>
            <w:vAlign w:val="center"/>
          </w:tcPr>
          <w:p w14:paraId="2B96AC2F">
            <w:pPr>
              <w:spacing w:line="360" w:lineRule="auto"/>
              <w:jc w:val="center"/>
              <w:rPr>
                <w:rFonts w:hint="eastAsia"/>
                <w:b/>
                <w:color w:val="auto"/>
                <w:highlight w:val="none"/>
              </w:rPr>
            </w:pPr>
          </w:p>
        </w:tc>
        <w:tc>
          <w:tcPr>
            <w:tcW w:w="692" w:type="pct"/>
            <w:noWrap w:val="0"/>
            <w:vAlign w:val="top"/>
          </w:tcPr>
          <w:p w14:paraId="7EB6A90F">
            <w:pPr>
              <w:spacing w:line="360" w:lineRule="auto"/>
              <w:jc w:val="center"/>
              <w:rPr>
                <w:rFonts w:hint="eastAsia"/>
                <w:b/>
                <w:color w:val="auto"/>
                <w:highlight w:val="none"/>
              </w:rPr>
            </w:pPr>
          </w:p>
        </w:tc>
        <w:tc>
          <w:tcPr>
            <w:tcW w:w="799" w:type="pct"/>
            <w:noWrap w:val="0"/>
            <w:vAlign w:val="center"/>
          </w:tcPr>
          <w:p w14:paraId="6DF4E964">
            <w:pPr>
              <w:spacing w:line="360" w:lineRule="auto"/>
              <w:jc w:val="center"/>
              <w:rPr>
                <w:rFonts w:hint="eastAsia"/>
                <w:b/>
                <w:color w:val="auto"/>
                <w:highlight w:val="none"/>
              </w:rPr>
            </w:pPr>
          </w:p>
        </w:tc>
        <w:tc>
          <w:tcPr>
            <w:tcW w:w="564" w:type="pct"/>
            <w:noWrap w:val="0"/>
            <w:vAlign w:val="center"/>
          </w:tcPr>
          <w:p w14:paraId="0FE3FBA0">
            <w:pPr>
              <w:spacing w:line="360" w:lineRule="auto"/>
              <w:jc w:val="center"/>
              <w:rPr>
                <w:rFonts w:hint="eastAsia"/>
                <w:b/>
                <w:color w:val="auto"/>
                <w:highlight w:val="none"/>
              </w:rPr>
            </w:pPr>
          </w:p>
        </w:tc>
        <w:tc>
          <w:tcPr>
            <w:tcW w:w="420" w:type="pct"/>
            <w:noWrap w:val="0"/>
            <w:vAlign w:val="top"/>
          </w:tcPr>
          <w:p w14:paraId="1C06CE40">
            <w:pPr>
              <w:spacing w:line="360" w:lineRule="auto"/>
              <w:jc w:val="center"/>
              <w:rPr>
                <w:rFonts w:hint="eastAsia"/>
                <w:b/>
                <w:color w:val="auto"/>
                <w:highlight w:val="none"/>
              </w:rPr>
            </w:pPr>
          </w:p>
        </w:tc>
        <w:tc>
          <w:tcPr>
            <w:tcW w:w="842" w:type="pct"/>
            <w:noWrap w:val="0"/>
            <w:vAlign w:val="top"/>
          </w:tcPr>
          <w:p w14:paraId="222F65E8">
            <w:pPr>
              <w:spacing w:line="360" w:lineRule="auto"/>
              <w:jc w:val="center"/>
              <w:rPr>
                <w:rFonts w:hint="eastAsia"/>
                <w:b/>
                <w:color w:val="auto"/>
                <w:highlight w:val="none"/>
              </w:rPr>
            </w:pPr>
          </w:p>
        </w:tc>
        <w:tc>
          <w:tcPr>
            <w:tcW w:w="659" w:type="pct"/>
            <w:noWrap w:val="0"/>
            <w:vAlign w:val="center"/>
          </w:tcPr>
          <w:p w14:paraId="43F464DF">
            <w:pPr>
              <w:spacing w:line="360" w:lineRule="auto"/>
              <w:jc w:val="center"/>
              <w:rPr>
                <w:rFonts w:hint="eastAsia"/>
                <w:b/>
                <w:color w:val="auto"/>
                <w:highlight w:val="none"/>
              </w:rPr>
            </w:pPr>
          </w:p>
        </w:tc>
      </w:tr>
      <w:tr w14:paraId="797B4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exact"/>
          <w:jc w:val="center"/>
        </w:trPr>
        <w:tc>
          <w:tcPr>
            <w:tcW w:w="370" w:type="pct"/>
            <w:noWrap w:val="0"/>
            <w:vAlign w:val="center"/>
          </w:tcPr>
          <w:p w14:paraId="3666249D">
            <w:pPr>
              <w:spacing w:line="360" w:lineRule="auto"/>
              <w:jc w:val="center"/>
              <w:rPr>
                <w:rFonts w:hint="eastAsia"/>
                <w:color w:val="auto"/>
                <w:highlight w:val="none"/>
              </w:rPr>
            </w:pPr>
          </w:p>
        </w:tc>
        <w:tc>
          <w:tcPr>
            <w:tcW w:w="650" w:type="pct"/>
            <w:noWrap w:val="0"/>
            <w:vAlign w:val="center"/>
          </w:tcPr>
          <w:p w14:paraId="5B868DDE">
            <w:pPr>
              <w:spacing w:line="360" w:lineRule="auto"/>
              <w:jc w:val="center"/>
              <w:rPr>
                <w:rFonts w:hint="eastAsia"/>
                <w:b/>
                <w:color w:val="auto"/>
                <w:highlight w:val="none"/>
              </w:rPr>
            </w:pPr>
          </w:p>
        </w:tc>
        <w:tc>
          <w:tcPr>
            <w:tcW w:w="692" w:type="pct"/>
            <w:noWrap w:val="0"/>
            <w:vAlign w:val="top"/>
          </w:tcPr>
          <w:p w14:paraId="4B36E9C5">
            <w:pPr>
              <w:spacing w:line="360" w:lineRule="auto"/>
              <w:jc w:val="center"/>
              <w:rPr>
                <w:rFonts w:hint="eastAsia"/>
                <w:b/>
                <w:color w:val="auto"/>
                <w:highlight w:val="none"/>
              </w:rPr>
            </w:pPr>
          </w:p>
        </w:tc>
        <w:tc>
          <w:tcPr>
            <w:tcW w:w="799" w:type="pct"/>
            <w:noWrap w:val="0"/>
            <w:vAlign w:val="center"/>
          </w:tcPr>
          <w:p w14:paraId="663B4F03">
            <w:pPr>
              <w:spacing w:line="360" w:lineRule="auto"/>
              <w:jc w:val="center"/>
              <w:rPr>
                <w:rFonts w:hint="eastAsia"/>
                <w:b/>
                <w:color w:val="auto"/>
                <w:highlight w:val="none"/>
              </w:rPr>
            </w:pPr>
          </w:p>
        </w:tc>
        <w:tc>
          <w:tcPr>
            <w:tcW w:w="564" w:type="pct"/>
            <w:noWrap w:val="0"/>
            <w:vAlign w:val="center"/>
          </w:tcPr>
          <w:p w14:paraId="517ADCAD">
            <w:pPr>
              <w:spacing w:line="360" w:lineRule="auto"/>
              <w:jc w:val="center"/>
              <w:rPr>
                <w:rFonts w:hint="eastAsia"/>
                <w:b/>
                <w:color w:val="auto"/>
                <w:highlight w:val="none"/>
              </w:rPr>
            </w:pPr>
          </w:p>
        </w:tc>
        <w:tc>
          <w:tcPr>
            <w:tcW w:w="420" w:type="pct"/>
            <w:noWrap w:val="0"/>
            <w:vAlign w:val="top"/>
          </w:tcPr>
          <w:p w14:paraId="366D3C89">
            <w:pPr>
              <w:spacing w:line="360" w:lineRule="auto"/>
              <w:jc w:val="center"/>
              <w:rPr>
                <w:rFonts w:hint="eastAsia"/>
                <w:b/>
                <w:color w:val="auto"/>
                <w:highlight w:val="none"/>
              </w:rPr>
            </w:pPr>
          </w:p>
        </w:tc>
        <w:tc>
          <w:tcPr>
            <w:tcW w:w="842" w:type="pct"/>
            <w:noWrap w:val="0"/>
            <w:vAlign w:val="top"/>
          </w:tcPr>
          <w:p w14:paraId="4FB3DF4D">
            <w:pPr>
              <w:spacing w:line="360" w:lineRule="auto"/>
              <w:jc w:val="center"/>
              <w:rPr>
                <w:rFonts w:hint="eastAsia"/>
                <w:b/>
                <w:color w:val="auto"/>
                <w:highlight w:val="none"/>
              </w:rPr>
            </w:pPr>
          </w:p>
        </w:tc>
        <w:tc>
          <w:tcPr>
            <w:tcW w:w="659" w:type="pct"/>
            <w:noWrap w:val="0"/>
            <w:vAlign w:val="center"/>
          </w:tcPr>
          <w:p w14:paraId="53C8D04A">
            <w:pPr>
              <w:spacing w:line="360" w:lineRule="auto"/>
              <w:jc w:val="center"/>
              <w:rPr>
                <w:rFonts w:hint="eastAsia"/>
                <w:b/>
                <w:color w:val="auto"/>
                <w:highlight w:val="none"/>
              </w:rPr>
            </w:pPr>
          </w:p>
        </w:tc>
      </w:tr>
    </w:tbl>
    <w:p w14:paraId="58D64EB9">
      <w:pPr>
        <w:spacing w:line="360" w:lineRule="auto"/>
        <w:rPr>
          <w:rFonts w:hint="eastAsia" w:eastAsia="宋体"/>
          <w:b/>
          <w:color w:val="auto"/>
          <w:highlight w:val="none"/>
          <w:lang w:eastAsia="zh-CN"/>
        </w:rPr>
      </w:pPr>
      <w:r>
        <w:rPr>
          <w:rFonts w:hint="eastAsia"/>
          <w:b/>
          <w:color w:val="auto"/>
          <w:highlight w:val="none"/>
        </w:rPr>
        <w:t>项目名称：                                     项目编号：</w:t>
      </w:r>
      <w:r>
        <w:rPr>
          <w:rFonts w:hint="eastAsia"/>
          <w:b/>
          <w:color w:val="auto"/>
          <w:highlight w:val="none"/>
          <w:lang w:val="en-US" w:eastAsia="zh-CN"/>
        </w:rPr>
        <w:t xml:space="preserve"> </w:t>
      </w:r>
    </w:p>
    <w:p w14:paraId="4E13424F">
      <w:pPr>
        <w:pStyle w:val="37"/>
        <w:spacing w:line="360" w:lineRule="auto"/>
        <w:rPr>
          <w:rFonts w:hint="eastAsia" w:hAnsi="宋体" w:cs="宋体"/>
          <w:b/>
          <w:color w:val="auto"/>
          <w:sz w:val="24"/>
          <w:szCs w:val="24"/>
          <w:highlight w:val="none"/>
        </w:rPr>
      </w:pPr>
      <w:r>
        <w:rPr>
          <w:rFonts w:hint="eastAsia" w:hAnsi="宋体" w:cs="宋体"/>
          <w:b/>
          <w:color w:val="auto"/>
          <w:sz w:val="24"/>
          <w:szCs w:val="24"/>
          <w:highlight w:val="none"/>
        </w:rPr>
        <w:t>注：1、本表所列为供应商拟投入的作业机具、设备清单。</w:t>
      </w:r>
    </w:p>
    <w:p w14:paraId="7BA8BFEC">
      <w:pPr>
        <w:pStyle w:val="37"/>
        <w:spacing w:line="360" w:lineRule="auto"/>
        <w:ind w:left="499" w:leftChars="208"/>
        <w:rPr>
          <w:rFonts w:hint="eastAsia" w:hAnsi="宋体" w:cs="宋体"/>
          <w:b/>
          <w:color w:val="auto"/>
          <w:sz w:val="24"/>
          <w:szCs w:val="24"/>
          <w:highlight w:val="none"/>
        </w:rPr>
      </w:pPr>
      <w:r>
        <w:rPr>
          <w:rFonts w:hint="eastAsia" w:hAnsi="宋体" w:cs="宋体"/>
          <w:b/>
          <w:color w:val="auto"/>
          <w:sz w:val="24"/>
          <w:szCs w:val="24"/>
          <w:highlight w:val="none"/>
        </w:rPr>
        <w:t>2、本表所列设备价格不计入投标总价，但应在投标价格中考虑机具、设备的损耗、折旧及有关费用。</w:t>
      </w:r>
    </w:p>
    <w:p w14:paraId="5B90B76A">
      <w:pPr>
        <w:pStyle w:val="37"/>
        <w:spacing w:line="360" w:lineRule="auto"/>
        <w:ind w:firstLine="482" w:firstLineChars="200"/>
        <w:rPr>
          <w:rFonts w:hint="eastAsia" w:hAnsi="宋体" w:cs="宋体"/>
          <w:b/>
          <w:color w:val="auto"/>
          <w:sz w:val="24"/>
          <w:szCs w:val="24"/>
          <w:highlight w:val="none"/>
        </w:rPr>
      </w:pPr>
      <w:r>
        <w:rPr>
          <w:rFonts w:hint="eastAsia" w:hAnsi="宋体" w:cs="宋体"/>
          <w:b/>
          <w:color w:val="auto"/>
          <w:sz w:val="24"/>
          <w:szCs w:val="24"/>
          <w:highlight w:val="none"/>
        </w:rPr>
        <w:t>3、此表仅提供了表格形式，供应商可按此表格编制。</w:t>
      </w:r>
    </w:p>
    <w:p w14:paraId="72B093BF">
      <w:pPr>
        <w:pStyle w:val="37"/>
        <w:spacing w:line="360" w:lineRule="auto"/>
        <w:ind w:left="751" w:leftChars="313"/>
        <w:rPr>
          <w:rFonts w:hint="eastAsia" w:hAnsi="宋体" w:cs="宋体"/>
          <w:b/>
          <w:color w:val="auto"/>
          <w:sz w:val="24"/>
          <w:szCs w:val="24"/>
          <w:highlight w:val="none"/>
        </w:rPr>
      </w:pPr>
    </w:p>
    <w:p w14:paraId="1A8BA0E7">
      <w:pPr>
        <w:pStyle w:val="37"/>
        <w:spacing w:line="360" w:lineRule="auto"/>
        <w:ind w:left="751" w:leftChars="313"/>
        <w:rPr>
          <w:rFonts w:hint="eastAsia" w:hAnsi="宋体" w:cs="宋体"/>
          <w:b/>
          <w:color w:val="auto"/>
          <w:sz w:val="24"/>
          <w:szCs w:val="24"/>
          <w:highlight w:val="none"/>
        </w:rPr>
      </w:pPr>
    </w:p>
    <w:p w14:paraId="7A570320">
      <w:pPr>
        <w:pStyle w:val="37"/>
        <w:spacing w:line="360" w:lineRule="auto"/>
        <w:ind w:firstLine="482" w:firstLineChars="200"/>
        <w:rPr>
          <w:rFonts w:hint="eastAsia" w:hAnsi="宋体" w:cs="宋体"/>
          <w:b/>
          <w:color w:val="auto"/>
          <w:sz w:val="24"/>
          <w:szCs w:val="24"/>
          <w:highlight w:val="none"/>
        </w:rPr>
      </w:pPr>
      <w:r>
        <w:rPr>
          <w:rFonts w:hint="eastAsia" w:hAnsi="宋体" w:cs="宋体"/>
          <w:b/>
          <w:color w:val="auto"/>
          <w:sz w:val="24"/>
          <w:szCs w:val="24"/>
          <w:highlight w:val="none"/>
        </w:rPr>
        <w:t>供应商名称（盖章）：</w:t>
      </w:r>
    </w:p>
    <w:p w14:paraId="238658B9">
      <w:pPr>
        <w:pStyle w:val="37"/>
        <w:spacing w:line="360" w:lineRule="auto"/>
        <w:ind w:firstLine="482" w:firstLineChars="200"/>
        <w:rPr>
          <w:rFonts w:hint="eastAsia" w:hAnsi="宋体" w:cs="宋体"/>
          <w:b/>
          <w:color w:val="auto"/>
          <w:sz w:val="24"/>
          <w:szCs w:val="24"/>
          <w:highlight w:val="none"/>
        </w:rPr>
      </w:pPr>
      <w:r>
        <w:rPr>
          <w:rFonts w:hint="eastAsia" w:hAnsi="宋体" w:cs="宋体"/>
          <w:b/>
          <w:color w:val="auto"/>
          <w:sz w:val="24"/>
          <w:szCs w:val="24"/>
          <w:highlight w:val="none"/>
        </w:rPr>
        <w:t>法定代表人或授权代表（签字或盖章）：</w:t>
      </w:r>
    </w:p>
    <w:p w14:paraId="4605F3EB">
      <w:pPr>
        <w:pStyle w:val="37"/>
        <w:spacing w:line="360" w:lineRule="auto"/>
        <w:ind w:firstLine="482" w:firstLineChars="200"/>
        <w:rPr>
          <w:rFonts w:hint="eastAsia" w:hAnsi="宋体" w:cs="宋体"/>
          <w:b/>
          <w:color w:val="auto"/>
          <w:sz w:val="24"/>
          <w:szCs w:val="24"/>
          <w:highlight w:val="none"/>
        </w:rPr>
      </w:pPr>
      <w:r>
        <w:rPr>
          <w:rFonts w:hint="eastAsia" w:hAnsi="宋体" w:cs="宋体"/>
          <w:b/>
          <w:color w:val="auto"/>
          <w:sz w:val="24"/>
          <w:szCs w:val="24"/>
          <w:highlight w:val="none"/>
        </w:rPr>
        <w:t xml:space="preserve">日    期：   </w:t>
      </w:r>
    </w:p>
    <w:p w14:paraId="140BDA0A">
      <w:pPr>
        <w:pStyle w:val="9"/>
        <w:spacing w:line="360" w:lineRule="auto"/>
        <w:rPr>
          <w:rFonts w:hint="eastAsia" w:ascii="宋体" w:hAnsi="宋体" w:eastAsia="宋体" w:cs="宋体"/>
          <w:bCs w:val="0"/>
          <w:color w:val="auto"/>
          <w:sz w:val="24"/>
          <w:szCs w:val="24"/>
          <w:highlight w:val="none"/>
        </w:rPr>
      </w:pPr>
      <w:r>
        <w:rPr>
          <w:rFonts w:hint="eastAsia" w:ascii="宋体" w:hAnsi="宋体" w:eastAsia="宋体" w:cs="宋体"/>
          <w:color w:val="auto"/>
          <w:sz w:val="24"/>
          <w:szCs w:val="24"/>
          <w:highlight w:val="none"/>
          <w:lang w:val="zh-CN"/>
        </w:rPr>
        <w:br w:type="page"/>
      </w:r>
      <w:r>
        <w:rPr>
          <w:rFonts w:hint="eastAsia" w:ascii="宋体" w:hAnsi="宋体" w:eastAsia="宋体" w:cs="宋体"/>
          <w:color w:val="auto"/>
          <w:sz w:val="28"/>
          <w:szCs w:val="28"/>
          <w:highlight w:val="none"/>
        </w:rPr>
        <w:t>3.11技术方案（包括但不限于商务技术分评分细则要求的各个方案）</w:t>
      </w:r>
    </w:p>
    <w:p w14:paraId="746157A7">
      <w:pPr>
        <w:spacing w:line="360" w:lineRule="auto"/>
        <w:rPr>
          <w:rFonts w:hint="eastAsia"/>
          <w:b/>
          <w:color w:val="auto"/>
          <w:sz w:val="32"/>
          <w:szCs w:val="32"/>
          <w:highlight w:val="none"/>
          <w:lang w:val="zh-CN"/>
        </w:rPr>
      </w:pPr>
      <w:r>
        <w:rPr>
          <w:rFonts w:hint="eastAsia"/>
          <w:color w:val="auto"/>
          <w:highlight w:val="none"/>
          <w:lang w:val="en-US" w:eastAsia="zh-CN"/>
        </w:rPr>
        <w:t xml:space="preserve"> </w:t>
      </w:r>
      <w:r>
        <w:rPr>
          <w:rFonts w:hint="eastAsia"/>
          <w:color w:val="auto"/>
          <w:highlight w:val="none"/>
        </w:rPr>
        <w:t>格式自拟。</w:t>
      </w:r>
      <w:r>
        <w:rPr>
          <w:rFonts w:hint="eastAsia"/>
          <w:b/>
          <w:color w:val="auto"/>
          <w:highlight w:val="none"/>
          <w:lang w:val="zh-CN"/>
        </w:rPr>
        <w:br w:type="page"/>
      </w:r>
      <w:r>
        <w:rPr>
          <w:rFonts w:hint="eastAsia" w:ascii="宋体" w:hAnsi="宋体" w:eastAsia="宋体" w:cs="宋体"/>
          <w:b/>
          <w:color w:val="auto"/>
          <w:sz w:val="32"/>
          <w:szCs w:val="32"/>
          <w:highlight w:val="none"/>
          <w:lang w:val="zh-CN"/>
        </w:rPr>
        <w:t>3.1</w:t>
      </w:r>
      <w:r>
        <w:rPr>
          <w:rFonts w:hint="eastAsia"/>
          <w:b/>
          <w:color w:val="auto"/>
          <w:sz w:val="32"/>
          <w:szCs w:val="32"/>
          <w:highlight w:val="none"/>
        </w:rPr>
        <w:t>2</w:t>
      </w:r>
      <w:r>
        <w:rPr>
          <w:rFonts w:hint="eastAsia"/>
          <w:b/>
          <w:color w:val="auto"/>
          <w:sz w:val="32"/>
          <w:szCs w:val="32"/>
          <w:highlight w:val="none"/>
          <w:lang w:val="zh-CN"/>
        </w:rPr>
        <w:t>供应商认为有必要提供的其他材料或说明（如有）</w:t>
      </w:r>
    </w:p>
    <w:p w14:paraId="4DA4804C">
      <w:pPr>
        <w:spacing w:line="360" w:lineRule="auto"/>
        <w:jc w:val="center"/>
        <w:rPr>
          <w:rFonts w:hint="eastAsia"/>
          <w:b/>
          <w:color w:val="auto"/>
          <w:highlight w:val="none"/>
        </w:rPr>
      </w:pPr>
    </w:p>
    <w:p w14:paraId="0956FDAC">
      <w:pPr>
        <w:spacing w:line="360" w:lineRule="auto"/>
        <w:jc w:val="center"/>
        <w:rPr>
          <w:rFonts w:hint="eastAsia"/>
          <w:b/>
          <w:color w:val="auto"/>
          <w:highlight w:val="none"/>
        </w:rPr>
      </w:pPr>
      <w:r>
        <w:rPr>
          <w:rFonts w:hint="eastAsia"/>
          <w:b/>
          <w:color w:val="auto"/>
          <w:highlight w:val="none"/>
        </w:rPr>
        <w:t>供应商认为有必要提供的其他材料或说明</w:t>
      </w:r>
    </w:p>
    <w:p w14:paraId="04C122DD">
      <w:pPr>
        <w:spacing w:line="360" w:lineRule="auto"/>
        <w:rPr>
          <w:rFonts w:hint="eastAsia" w:eastAsia="宋体"/>
          <w:b/>
          <w:color w:val="auto"/>
          <w:highlight w:val="none"/>
          <w:u w:val="single"/>
          <w:lang w:eastAsia="zh-CN"/>
        </w:rPr>
      </w:pPr>
      <w:r>
        <w:rPr>
          <w:rFonts w:hint="eastAsia"/>
          <w:b/>
          <w:color w:val="auto"/>
          <w:highlight w:val="none"/>
        </w:rPr>
        <w:t>项目名称：</w:t>
      </w:r>
      <w:r>
        <w:rPr>
          <w:rFonts w:hint="eastAsia"/>
          <w:b/>
          <w:color w:val="auto"/>
          <w:highlight w:val="none"/>
          <w:u w:val="single"/>
          <w:lang w:eastAsia="zh-CN"/>
        </w:rPr>
        <w:t>鳌江镇塘川高速互通路网交通安全设施项目</w:t>
      </w:r>
    </w:p>
    <w:p w14:paraId="25E2420E">
      <w:pPr>
        <w:spacing w:line="360" w:lineRule="auto"/>
        <w:rPr>
          <w:rFonts w:hint="eastAsia" w:eastAsia="宋体"/>
          <w:b/>
          <w:color w:val="auto"/>
          <w:highlight w:val="none"/>
          <w:u w:val="single"/>
          <w:lang w:eastAsia="zh-CN"/>
        </w:rPr>
      </w:pPr>
      <w:r>
        <w:rPr>
          <w:rFonts w:hint="eastAsia"/>
          <w:b/>
          <w:color w:val="auto"/>
          <w:highlight w:val="none"/>
        </w:rPr>
        <w:t>项目编号：</w:t>
      </w:r>
      <w:r>
        <w:rPr>
          <w:rFonts w:hint="eastAsia"/>
          <w:b/>
          <w:color w:val="auto"/>
          <w:highlight w:val="none"/>
          <w:u w:val="single"/>
          <w:lang w:eastAsia="zh-CN"/>
        </w:rPr>
        <w:t xml:space="preserve">WZYX-2025030501    </w:t>
      </w:r>
    </w:p>
    <w:tbl>
      <w:tblPr>
        <w:tblStyle w:val="66"/>
        <w:tblW w:w="0" w:type="auto"/>
        <w:tblInd w:w="0" w:type="dxa"/>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Layout w:type="fixed"/>
        <w:tblCellMar>
          <w:top w:w="0" w:type="dxa"/>
          <w:left w:w="108" w:type="dxa"/>
          <w:bottom w:w="0" w:type="dxa"/>
          <w:right w:w="108" w:type="dxa"/>
        </w:tblCellMar>
      </w:tblPr>
      <w:tblGrid>
        <w:gridCol w:w="9145"/>
      </w:tblGrid>
      <w:tr w14:paraId="587080EF">
        <w:tblPrEx>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CellMar>
            <w:top w:w="0" w:type="dxa"/>
            <w:left w:w="108" w:type="dxa"/>
            <w:bottom w:w="0" w:type="dxa"/>
            <w:right w:w="108" w:type="dxa"/>
          </w:tblCellMar>
        </w:tblPrEx>
        <w:trPr>
          <w:trHeight w:val="8632" w:hRule="atLeast"/>
        </w:trPr>
        <w:tc>
          <w:tcPr>
            <w:tcW w:w="9145" w:type="dxa"/>
            <w:noWrap w:val="0"/>
            <w:vAlign w:val="top"/>
          </w:tcPr>
          <w:p w14:paraId="248BBC7D">
            <w:pPr>
              <w:spacing w:line="360" w:lineRule="auto"/>
              <w:rPr>
                <w:rFonts w:hint="eastAsia"/>
                <w:color w:val="auto"/>
                <w:highlight w:val="none"/>
              </w:rPr>
            </w:pPr>
          </w:p>
        </w:tc>
      </w:tr>
    </w:tbl>
    <w:p w14:paraId="24C3041B">
      <w:pPr>
        <w:snapToGrid w:val="0"/>
        <w:spacing w:line="360" w:lineRule="auto"/>
        <w:rPr>
          <w:rFonts w:hint="eastAsia"/>
          <w:color w:val="auto"/>
          <w:highlight w:val="none"/>
        </w:rPr>
      </w:pPr>
      <w:r>
        <w:rPr>
          <w:rFonts w:hint="eastAsia"/>
          <w:color w:val="auto"/>
          <w:highlight w:val="none"/>
        </w:rPr>
        <w:t>供应商名称（盖章）：____________________________________________</w:t>
      </w:r>
    </w:p>
    <w:p w14:paraId="1AC076D9">
      <w:pPr>
        <w:snapToGrid w:val="0"/>
        <w:spacing w:line="360" w:lineRule="auto"/>
        <w:rPr>
          <w:rFonts w:hint="eastAsia"/>
          <w:color w:val="auto"/>
          <w:highlight w:val="none"/>
          <w:u w:val="single"/>
        </w:rPr>
      </w:pPr>
      <w:r>
        <w:rPr>
          <w:rFonts w:hint="eastAsia"/>
          <w:color w:val="auto"/>
          <w:highlight w:val="none"/>
        </w:rPr>
        <w:t>法定代表人（负责人）或其授权代表（签字或盖章）：____________________________</w:t>
      </w:r>
    </w:p>
    <w:p w14:paraId="16600FCE">
      <w:pPr>
        <w:spacing w:line="360" w:lineRule="auto"/>
        <w:rPr>
          <w:rFonts w:hint="eastAsia"/>
          <w:color w:val="auto"/>
          <w:highlight w:val="none"/>
          <w:u w:val="single"/>
        </w:rPr>
      </w:pPr>
      <w:r>
        <w:rPr>
          <w:rFonts w:hint="eastAsia"/>
          <w:color w:val="auto"/>
          <w:highlight w:val="none"/>
        </w:rPr>
        <w:t>日期：________年____月____日</w:t>
      </w:r>
    </w:p>
    <w:p w14:paraId="59254409">
      <w:pPr>
        <w:tabs>
          <w:tab w:val="left" w:pos="1575"/>
        </w:tabs>
        <w:adjustRightInd w:val="0"/>
        <w:snapToGrid w:val="0"/>
        <w:spacing w:line="360" w:lineRule="auto"/>
        <w:jc w:val="center"/>
        <w:rPr>
          <w:rFonts w:hint="eastAsia"/>
          <w:b/>
          <w:color w:val="auto"/>
          <w:highlight w:val="none"/>
        </w:rPr>
      </w:pPr>
    </w:p>
    <w:p w14:paraId="46382D17">
      <w:pPr>
        <w:tabs>
          <w:tab w:val="left" w:pos="1575"/>
        </w:tabs>
        <w:adjustRightInd w:val="0"/>
        <w:snapToGrid w:val="0"/>
        <w:spacing w:line="360" w:lineRule="auto"/>
        <w:jc w:val="center"/>
        <w:rPr>
          <w:rFonts w:hint="eastAsia"/>
          <w:b/>
          <w:color w:val="auto"/>
          <w:highlight w:val="none"/>
        </w:rPr>
        <w:sectPr>
          <w:pgSz w:w="11906" w:h="16838"/>
          <w:pgMar w:top="1134" w:right="1134" w:bottom="1134" w:left="1134" w:header="720" w:footer="720" w:gutter="0"/>
          <w:pgNumType w:fmt="decimal"/>
          <w:cols w:space="720" w:num="1"/>
          <w:docGrid w:linePitch="312" w:charSpace="0"/>
        </w:sectPr>
      </w:pPr>
    </w:p>
    <w:p w14:paraId="57D82E9B">
      <w:pPr>
        <w:tabs>
          <w:tab w:val="left" w:pos="1575"/>
        </w:tabs>
        <w:adjustRightInd w:val="0"/>
        <w:snapToGrid w:val="0"/>
        <w:spacing w:line="360" w:lineRule="auto"/>
        <w:jc w:val="center"/>
        <w:rPr>
          <w:rFonts w:hint="eastAsia"/>
          <w:b/>
          <w:color w:val="auto"/>
          <w:highlight w:val="none"/>
        </w:rPr>
      </w:pPr>
      <w:r>
        <w:rPr>
          <w:rFonts w:hint="eastAsia"/>
          <w:b/>
          <w:color w:val="auto"/>
          <w:highlight w:val="none"/>
        </w:rPr>
        <w:t>质量服务承诺书</w:t>
      </w:r>
    </w:p>
    <w:p w14:paraId="60659BD8">
      <w:pPr>
        <w:spacing w:line="360" w:lineRule="auto"/>
        <w:rPr>
          <w:rFonts w:hint="eastAsia"/>
          <w:color w:val="auto"/>
          <w:highlight w:val="none"/>
        </w:rPr>
      </w:pPr>
      <w:r>
        <w:rPr>
          <w:rFonts w:hint="eastAsia"/>
          <w:color w:val="auto"/>
          <w:highlight w:val="none"/>
        </w:rPr>
        <w:t>致</w:t>
      </w:r>
      <w:r>
        <w:rPr>
          <w:rFonts w:hint="eastAsia"/>
          <w:color w:val="auto"/>
          <w:highlight w:val="none"/>
          <w:u w:val="single"/>
        </w:rPr>
        <w:t xml:space="preserve">               </w:t>
      </w:r>
      <w:r>
        <w:rPr>
          <w:rFonts w:hint="eastAsia"/>
          <w:color w:val="auto"/>
          <w:highlight w:val="none"/>
        </w:rPr>
        <w:t>（采购人）:</w:t>
      </w:r>
    </w:p>
    <w:p w14:paraId="2D958713">
      <w:pPr>
        <w:spacing w:line="360" w:lineRule="auto"/>
        <w:ind w:firstLine="480" w:firstLineChars="200"/>
        <w:rPr>
          <w:rFonts w:hint="eastAsia"/>
          <w:color w:val="auto"/>
          <w:highlight w:val="none"/>
        </w:rPr>
      </w:pPr>
      <w:r>
        <w:rPr>
          <w:rFonts w:hint="eastAsia"/>
          <w:color w:val="auto"/>
          <w:highlight w:val="none"/>
        </w:rPr>
        <w:t>本公司</w:t>
      </w:r>
      <w:r>
        <w:rPr>
          <w:rFonts w:hint="eastAsia"/>
          <w:color w:val="auto"/>
          <w:highlight w:val="none"/>
          <w:u w:val="single"/>
        </w:rPr>
        <w:t xml:space="preserve">       </w:t>
      </w:r>
      <w:r>
        <w:rPr>
          <w:rFonts w:hint="eastAsia"/>
          <w:color w:val="auto"/>
          <w:highlight w:val="none"/>
        </w:rPr>
        <w:t>（供应商）对</w:t>
      </w:r>
      <w:r>
        <w:rPr>
          <w:rFonts w:hint="eastAsia"/>
          <w:color w:val="auto"/>
          <w:highlight w:val="none"/>
          <w:u w:val="single"/>
        </w:rPr>
        <w:t xml:space="preserve">   </w:t>
      </w:r>
      <w:r>
        <w:rPr>
          <w:rFonts w:hint="eastAsia"/>
          <w:color w:val="auto"/>
          <w:highlight w:val="none"/>
        </w:rPr>
        <w:t>（项目名称、标段号）项目做出如下承诺。</w:t>
      </w:r>
    </w:p>
    <w:p w14:paraId="3D3161A6">
      <w:pPr>
        <w:spacing w:line="360" w:lineRule="auto"/>
        <w:rPr>
          <w:rFonts w:hint="eastAsia"/>
          <w:color w:val="auto"/>
          <w:highlight w:val="none"/>
        </w:rPr>
      </w:pPr>
      <w:r>
        <w:rPr>
          <w:rFonts w:hint="eastAsia"/>
          <w:color w:val="auto"/>
          <w:highlight w:val="none"/>
        </w:rPr>
        <w:t xml:space="preserve">    如果我公司有幸成为</w:t>
      </w:r>
      <w:r>
        <w:rPr>
          <w:rFonts w:hint="eastAsia"/>
          <w:color w:val="auto"/>
          <w:highlight w:val="none"/>
          <w:u w:val="single"/>
        </w:rPr>
        <w:t xml:space="preserve">      </w:t>
      </w:r>
      <w:r>
        <w:rPr>
          <w:rFonts w:hint="eastAsia"/>
          <w:color w:val="auto"/>
          <w:highlight w:val="none"/>
        </w:rPr>
        <w:t>（项目名称、标段号）项目的中标供应商，将作出以下承诺：</w:t>
      </w:r>
    </w:p>
    <w:p w14:paraId="1D242AD4">
      <w:pPr>
        <w:spacing w:line="360" w:lineRule="auto"/>
        <w:ind w:firstLine="480" w:firstLineChars="200"/>
        <w:rPr>
          <w:rFonts w:hint="eastAsia"/>
          <w:color w:val="auto"/>
          <w:highlight w:val="none"/>
        </w:rPr>
      </w:pPr>
    </w:p>
    <w:p w14:paraId="068ECD0C">
      <w:pPr>
        <w:spacing w:line="360" w:lineRule="auto"/>
        <w:ind w:firstLine="480" w:firstLineChars="200"/>
        <w:rPr>
          <w:rFonts w:hint="eastAsia"/>
          <w:color w:val="auto"/>
          <w:highlight w:val="none"/>
        </w:rPr>
      </w:pPr>
      <w:r>
        <w:rPr>
          <w:rFonts w:hint="eastAsia"/>
          <w:color w:val="auto"/>
          <w:highlight w:val="none"/>
        </w:rPr>
        <w:t>一、本公司所提供的工程及服务都是质量合格的；</w:t>
      </w:r>
    </w:p>
    <w:p w14:paraId="0DAE8831">
      <w:pPr>
        <w:spacing w:line="360" w:lineRule="auto"/>
        <w:rPr>
          <w:rFonts w:hint="eastAsia"/>
          <w:color w:val="auto"/>
          <w:highlight w:val="none"/>
        </w:rPr>
      </w:pPr>
    </w:p>
    <w:p w14:paraId="3BBCFBA9">
      <w:pPr>
        <w:numPr>
          <w:ilvl w:val="0"/>
          <w:numId w:val="20"/>
        </w:numPr>
        <w:spacing w:line="360" w:lineRule="auto"/>
        <w:ind w:firstLine="480" w:firstLineChars="200"/>
        <w:rPr>
          <w:rFonts w:hint="eastAsia"/>
          <w:color w:val="auto"/>
          <w:highlight w:val="none"/>
        </w:rPr>
      </w:pPr>
      <w:r>
        <w:rPr>
          <w:rFonts w:hint="eastAsia"/>
          <w:color w:val="auto"/>
          <w:highlight w:val="none"/>
        </w:rPr>
        <w:t>在招标文件要求的服务期内和质保期内，对有质量问题的工程进行无条件技术服务直至满足使用方的项目使用需求；</w:t>
      </w:r>
    </w:p>
    <w:p w14:paraId="0E5AEB3E">
      <w:pPr>
        <w:spacing w:line="360" w:lineRule="auto"/>
        <w:rPr>
          <w:rFonts w:hint="eastAsia"/>
          <w:color w:val="auto"/>
          <w:highlight w:val="none"/>
        </w:rPr>
      </w:pPr>
    </w:p>
    <w:p w14:paraId="25C16D18">
      <w:pPr>
        <w:spacing w:line="360" w:lineRule="auto"/>
        <w:ind w:firstLine="480" w:firstLineChars="200"/>
        <w:rPr>
          <w:rFonts w:hint="eastAsia"/>
          <w:color w:val="auto"/>
          <w:highlight w:val="none"/>
        </w:rPr>
      </w:pPr>
      <w:r>
        <w:rPr>
          <w:rFonts w:hint="eastAsia"/>
          <w:color w:val="auto"/>
          <w:highlight w:val="none"/>
        </w:rPr>
        <w:t>本承诺书自开标日起至招标方与中标方合同结束之日均有效。</w:t>
      </w:r>
    </w:p>
    <w:p w14:paraId="6FCAA7E8">
      <w:pPr>
        <w:spacing w:line="360" w:lineRule="auto"/>
        <w:ind w:firstLine="480" w:firstLineChars="200"/>
        <w:rPr>
          <w:rFonts w:hint="eastAsia"/>
          <w:color w:val="auto"/>
          <w:highlight w:val="none"/>
        </w:rPr>
      </w:pPr>
    </w:p>
    <w:p w14:paraId="0F4B5E8C">
      <w:pPr>
        <w:spacing w:line="360" w:lineRule="auto"/>
        <w:ind w:firstLine="480" w:firstLineChars="200"/>
        <w:rPr>
          <w:rFonts w:hint="eastAsia"/>
          <w:color w:val="auto"/>
          <w:highlight w:val="none"/>
        </w:rPr>
      </w:pPr>
    </w:p>
    <w:p w14:paraId="2C6CFFAC">
      <w:pPr>
        <w:spacing w:line="360" w:lineRule="auto"/>
        <w:ind w:firstLine="480" w:firstLineChars="200"/>
        <w:rPr>
          <w:rFonts w:hint="eastAsia"/>
          <w:color w:val="auto"/>
          <w:highlight w:val="none"/>
        </w:rPr>
      </w:pPr>
    </w:p>
    <w:p w14:paraId="5199D09B">
      <w:pPr>
        <w:spacing w:line="360" w:lineRule="auto"/>
        <w:ind w:firstLine="480" w:firstLineChars="200"/>
        <w:rPr>
          <w:rFonts w:hint="eastAsia"/>
          <w:color w:val="auto"/>
          <w:highlight w:val="none"/>
        </w:rPr>
      </w:pPr>
    </w:p>
    <w:p w14:paraId="1158F956">
      <w:pPr>
        <w:snapToGrid w:val="0"/>
        <w:spacing w:line="360" w:lineRule="auto"/>
        <w:ind w:right="480"/>
        <w:rPr>
          <w:rFonts w:hint="eastAsia"/>
          <w:color w:val="auto"/>
          <w:highlight w:val="none"/>
        </w:rPr>
      </w:pPr>
      <w:r>
        <w:rPr>
          <w:rFonts w:hint="eastAsia"/>
          <w:color w:val="auto"/>
          <w:highlight w:val="none"/>
        </w:rPr>
        <w:t>地址：</w:t>
      </w:r>
      <w:r>
        <w:rPr>
          <w:rFonts w:hint="eastAsia"/>
          <w:color w:val="auto"/>
          <w:highlight w:val="none"/>
          <w:u w:val="single"/>
        </w:rPr>
        <w:t>　　　　　　　　　　</w:t>
      </w:r>
      <w:r>
        <w:rPr>
          <w:rFonts w:hint="eastAsia"/>
          <w:color w:val="auto"/>
          <w:highlight w:val="none"/>
        </w:rPr>
        <w:t>　　　　　邮编：</w:t>
      </w:r>
      <w:r>
        <w:rPr>
          <w:rFonts w:hint="eastAsia"/>
          <w:color w:val="auto"/>
          <w:highlight w:val="none"/>
          <w:u w:val="single"/>
        </w:rPr>
        <w:t>　　　　　　　</w:t>
      </w:r>
    </w:p>
    <w:p w14:paraId="67EFA46A">
      <w:pPr>
        <w:snapToGrid w:val="0"/>
        <w:spacing w:line="360" w:lineRule="auto"/>
        <w:ind w:right="480"/>
        <w:rPr>
          <w:rFonts w:hint="eastAsia"/>
          <w:color w:val="auto"/>
          <w:highlight w:val="none"/>
        </w:rPr>
      </w:pPr>
      <w:r>
        <w:rPr>
          <w:rFonts w:hint="eastAsia"/>
          <w:color w:val="auto"/>
          <w:highlight w:val="none"/>
        </w:rPr>
        <w:t>电话：</w:t>
      </w:r>
      <w:r>
        <w:rPr>
          <w:rFonts w:hint="eastAsia"/>
          <w:color w:val="auto"/>
          <w:highlight w:val="none"/>
          <w:u w:val="single"/>
        </w:rPr>
        <w:t>　　　　　　　　</w:t>
      </w:r>
      <w:r>
        <w:rPr>
          <w:rFonts w:hint="eastAsia"/>
          <w:color w:val="auto"/>
          <w:highlight w:val="none"/>
        </w:rPr>
        <w:t>　　　传真：</w:t>
      </w:r>
      <w:r>
        <w:rPr>
          <w:rFonts w:hint="eastAsia"/>
          <w:color w:val="auto"/>
          <w:highlight w:val="none"/>
          <w:u w:val="single"/>
        </w:rPr>
        <w:t>　　　　　　</w:t>
      </w:r>
      <w:r>
        <w:rPr>
          <w:rFonts w:hint="eastAsia"/>
          <w:color w:val="auto"/>
          <w:highlight w:val="none"/>
        </w:rPr>
        <w:t>　　</w:t>
      </w:r>
    </w:p>
    <w:p w14:paraId="5822A144">
      <w:pPr>
        <w:snapToGrid w:val="0"/>
        <w:spacing w:line="360" w:lineRule="auto"/>
        <w:ind w:right="480"/>
        <w:rPr>
          <w:rFonts w:hint="eastAsia"/>
          <w:color w:val="auto"/>
          <w:highlight w:val="none"/>
        </w:rPr>
      </w:pPr>
      <w:r>
        <w:rPr>
          <w:rFonts w:hint="eastAsia"/>
          <w:color w:val="auto"/>
          <w:highlight w:val="none"/>
        </w:rPr>
        <w:t>供应商授权代表姓名职务：</w:t>
      </w:r>
      <w:r>
        <w:rPr>
          <w:rFonts w:hint="eastAsia"/>
          <w:color w:val="auto"/>
          <w:highlight w:val="none"/>
          <w:u w:val="single"/>
        </w:rPr>
        <w:t>　　　　　　</w:t>
      </w:r>
      <w:r>
        <w:rPr>
          <w:rFonts w:hint="eastAsia"/>
          <w:color w:val="auto"/>
          <w:highlight w:val="none"/>
        </w:rPr>
        <w:t>　　</w:t>
      </w:r>
    </w:p>
    <w:p w14:paraId="20F6DD2C">
      <w:pPr>
        <w:tabs>
          <w:tab w:val="left" w:pos="1260"/>
        </w:tabs>
        <w:spacing w:line="360" w:lineRule="auto"/>
        <w:ind w:right="480"/>
        <w:rPr>
          <w:rFonts w:hint="eastAsia"/>
          <w:color w:val="auto"/>
          <w:highlight w:val="none"/>
          <w:u w:val="single"/>
        </w:rPr>
      </w:pPr>
      <w:r>
        <w:rPr>
          <w:rFonts w:hint="eastAsia"/>
          <w:color w:val="auto"/>
          <w:highlight w:val="none"/>
        </w:rPr>
        <w:t>供应商名称（公章）：</w:t>
      </w:r>
      <w:r>
        <w:rPr>
          <w:rFonts w:hint="eastAsia"/>
          <w:color w:val="auto"/>
          <w:highlight w:val="none"/>
          <w:u w:val="single"/>
        </w:rPr>
        <w:t>　　　　　　</w:t>
      </w:r>
    </w:p>
    <w:p w14:paraId="1BF32D29">
      <w:pPr>
        <w:tabs>
          <w:tab w:val="left" w:pos="1260"/>
        </w:tabs>
        <w:spacing w:line="360" w:lineRule="auto"/>
        <w:ind w:right="480"/>
        <w:rPr>
          <w:rFonts w:hint="eastAsia"/>
          <w:color w:val="auto"/>
          <w:highlight w:val="none"/>
        </w:rPr>
      </w:pPr>
      <w:r>
        <w:rPr>
          <w:rFonts w:hint="eastAsia"/>
          <w:color w:val="auto"/>
          <w:highlight w:val="none"/>
        </w:rPr>
        <w:t>法定代表人（负责人）或授权代表（签字或盖章）：</w:t>
      </w:r>
    </w:p>
    <w:p w14:paraId="03B517D5">
      <w:pPr>
        <w:pStyle w:val="37"/>
        <w:adjustRightInd w:val="0"/>
        <w:snapToGrid w:val="0"/>
        <w:spacing w:line="400" w:lineRule="exact"/>
        <w:rPr>
          <w:rFonts w:hint="eastAsia" w:hAnsi="宋体" w:cs="宋体"/>
          <w:color w:val="auto"/>
          <w:sz w:val="24"/>
          <w:szCs w:val="24"/>
          <w:highlight w:val="none"/>
        </w:rPr>
      </w:pPr>
    </w:p>
    <w:p w14:paraId="41C4EF5F">
      <w:pPr>
        <w:spacing w:line="360" w:lineRule="auto"/>
        <w:jc w:val="center"/>
        <w:rPr>
          <w:rFonts w:hint="eastAsia"/>
          <w:b/>
          <w:color w:val="auto"/>
          <w:highlight w:val="none"/>
        </w:rPr>
      </w:pPr>
    </w:p>
    <w:p w14:paraId="021243C7">
      <w:pPr>
        <w:spacing w:line="360" w:lineRule="auto"/>
        <w:jc w:val="center"/>
        <w:rPr>
          <w:rFonts w:hint="eastAsia"/>
          <w:b/>
          <w:color w:val="auto"/>
          <w:highlight w:val="none"/>
        </w:rPr>
      </w:pPr>
      <w:r>
        <w:rPr>
          <w:rFonts w:hint="eastAsia"/>
          <w:b/>
          <w:color w:val="auto"/>
          <w:highlight w:val="none"/>
        </w:rPr>
        <w:br w:type="page"/>
      </w:r>
      <w:r>
        <w:rPr>
          <w:rFonts w:hint="eastAsia"/>
          <w:b/>
          <w:color w:val="auto"/>
          <w:highlight w:val="none"/>
        </w:rPr>
        <w:t>诚信投标承诺书</w:t>
      </w:r>
    </w:p>
    <w:p w14:paraId="450E2CF1">
      <w:pPr>
        <w:spacing w:line="520" w:lineRule="exact"/>
        <w:ind w:right="-175" w:rightChars="-73"/>
        <w:rPr>
          <w:rFonts w:hint="eastAsia"/>
          <w:color w:val="auto"/>
          <w:highlight w:val="none"/>
        </w:rPr>
      </w:pPr>
      <w:r>
        <w:rPr>
          <w:rFonts w:hint="eastAsia"/>
          <w:color w:val="auto"/>
          <w:highlight w:val="none"/>
        </w:rPr>
        <w:t>本企业郑重承诺：</w:t>
      </w:r>
    </w:p>
    <w:p w14:paraId="7C01B72D">
      <w:pPr>
        <w:spacing w:line="500" w:lineRule="exact"/>
        <w:ind w:firstLine="480" w:firstLineChars="200"/>
        <w:rPr>
          <w:rFonts w:hint="eastAsia"/>
          <w:color w:val="auto"/>
          <w:highlight w:val="none"/>
        </w:rPr>
      </w:pPr>
      <w:r>
        <w:rPr>
          <w:rFonts w:hint="eastAsia"/>
          <w:color w:val="auto"/>
          <w:highlight w:val="none"/>
        </w:rPr>
        <w:t>为了积极配合采购人组织的</w:t>
      </w:r>
      <w:r>
        <w:rPr>
          <w:rFonts w:hint="eastAsia"/>
          <w:color w:val="auto"/>
          <w:highlight w:val="none"/>
          <w:u w:val="single"/>
        </w:rPr>
        <w:t xml:space="preserve"> （项目名称） </w:t>
      </w:r>
      <w:r>
        <w:rPr>
          <w:rFonts w:hint="eastAsia"/>
          <w:color w:val="auto"/>
          <w:highlight w:val="none"/>
        </w:rPr>
        <w:t>招标工作，有效遏制不公平竞争和违规违纪问题的发生，确保招标工作的公平、公正、公开，我们保证认真贯彻《中华人民共和国政府采购法》、《政府采购货物和服务招标投标管理办法》和《关于进一步规范政府采购活动的若干意见》等法律及有关法规相关规定以及有关廉洁要求，特承诺如下事项：</w:t>
      </w:r>
    </w:p>
    <w:p w14:paraId="3FB3B747">
      <w:pPr>
        <w:snapToGrid w:val="0"/>
        <w:spacing w:line="500" w:lineRule="exact"/>
        <w:ind w:firstLine="420" w:firstLineChars="175"/>
        <w:rPr>
          <w:rFonts w:hint="eastAsia"/>
          <w:color w:val="auto"/>
          <w:highlight w:val="none"/>
        </w:rPr>
      </w:pPr>
      <w:r>
        <w:rPr>
          <w:rFonts w:hint="eastAsia"/>
          <w:color w:val="auto"/>
          <w:highlight w:val="none"/>
        </w:rPr>
        <w:t>1、自觉遵守国家法律法规及有关廉政建设制度。</w:t>
      </w:r>
    </w:p>
    <w:p w14:paraId="7B84FDE0">
      <w:pPr>
        <w:snapToGrid w:val="0"/>
        <w:spacing w:line="500" w:lineRule="exact"/>
        <w:ind w:firstLine="420" w:firstLineChars="175"/>
        <w:rPr>
          <w:rFonts w:hint="eastAsia"/>
          <w:color w:val="auto"/>
          <w:highlight w:val="none"/>
        </w:rPr>
      </w:pPr>
      <w:r>
        <w:rPr>
          <w:rFonts w:hint="eastAsia"/>
          <w:color w:val="auto"/>
          <w:highlight w:val="none"/>
        </w:rPr>
        <w:t>2、主动了解采购人招投标纪律，积极配合采购人执行招投标廉政建设的有关规定。</w:t>
      </w:r>
    </w:p>
    <w:p w14:paraId="48F996C0">
      <w:pPr>
        <w:snapToGrid w:val="0"/>
        <w:spacing w:line="500" w:lineRule="exact"/>
        <w:ind w:firstLine="420" w:firstLineChars="175"/>
        <w:rPr>
          <w:rFonts w:hint="eastAsia"/>
          <w:color w:val="auto"/>
          <w:highlight w:val="none"/>
        </w:rPr>
      </w:pPr>
      <w:r>
        <w:rPr>
          <w:rFonts w:hint="eastAsia"/>
          <w:color w:val="auto"/>
          <w:highlight w:val="none"/>
        </w:rPr>
        <w:t>3、不使用不正当手段妨碍、排挤其它供应商或串通投标。</w:t>
      </w:r>
    </w:p>
    <w:p w14:paraId="11754397">
      <w:pPr>
        <w:snapToGrid w:val="0"/>
        <w:spacing w:line="500" w:lineRule="exact"/>
        <w:ind w:firstLine="420" w:firstLineChars="175"/>
        <w:rPr>
          <w:rFonts w:hint="eastAsia"/>
          <w:color w:val="auto"/>
          <w:highlight w:val="none"/>
        </w:rPr>
      </w:pPr>
      <w:r>
        <w:rPr>
          <w:rFonts w:hint="eastAsia"/>
          <w:color w:val="auto"/>
          <w:highlight w:val="none"/>
        </w:rPr>
        <w:t>4、按照本招标文件规定的方式进行投标，不隐瞒本单位投标资质的真实情况，投标资质符合规定。</w:t>
      </w:r>
    </w:p>
    <w:p w14:paraId="3F6D6A81">
      <w:pPr>
        <w:snapToGrid w:val="0"/>
        <w:spacing w:line="500" w:lineRule="exact"/>
        <w:ind w:firstLine="420" w:firstLineChars="175"/>
        <w:rPr>
          <w:rFonts w:hint="eastAsia"/>
          <w:color w:val="auto"/>
          <w:highlight w:val="none"/>
        </w:rPr>
      </w:pPr>
      <w:r>
        <w:rPr>
          <w:rFonts w:hint="eastAsia"/>
          <w:color w:val="auto"/>
          <w:highlight w:val="none"/>
        </w:rPr>
        <w:t>5、不以任何方式向采购人员赠送礼品、礼金及有价证券；不宴请或邀请采购人的任何人参加高档娱乐消费、旅游、考察、参观等活动；不以任何形式报销采购人的任何人以及亲友的各种票据及费用；不进行可能影响招投标公平、公正的任何活动。</w:t>
      </w:r>
    </w:p>
    <w:p w14:paraId="2F92978F">
      <w:pPr>
        <w:snapToGrid w:val="0"/>
        <w:spacing w:line="500" w:lineRule="exact"/>
        <w:ind w:firstLine="420" w:firstLineChars="175"/>
        <w:rPr>
          <w:rFonts w:hint="eastAsia"/>
          <w:color w:val="auto"/>
          <w:highlight w:val="none"/>
        </w:rPr>
      </w:pPr>
      <w:r>
        <w:rPr>
          <w:rFonts w:hint="eastAsia"/>
          <w:color w:val="auto"/>
          <w:highlight w:val="none"/>
        </w:rPr>
        <w:t>6、不向采购人及个人购置或提供通讯工具、交通工具和高档办公用品等。</w:t>
      </w:r>
    </w:p>
    <w:p w14:paraId="269AEF40">
      <w:pPr>
        <w:snapToGrid w:val="0"/>
        <w:spacing w:line="500" w:lineRule="exact"/>
        <w:ind w:firstLine="420" w:firstLineChars="175"/>
        <w:rPr>
          <w:rFonts w:hint="eastAsia"/>
          <w:color w:val="auto"/>
          <w:highlight w:val="none"/>
        </w:rPr>
      </w:pPr>
      <w:r>
        <w:rPr>
          <w:rFonts w:hint="eastAsia"/>
          <w:color w:val="auto"/>
          <w:highlight w:val="none"/>
        </w:rPr>
        <w:t>7、不向采购人涉及招标的人员的配偶、子女分包此次招标项目。</w:t>
      </w:r>
    </w:p>
    <w:p w14:paraId="7B7829B4">
      <w:pPr>
        <w:snapToGrid w:val="0"/>
        <w:spacing w:line="500" w:lineRule="exact"/>
        <w:ind w:firstLine="420" w:firstLineChars="175"/>
        <w:rPr>
          <w:rFonts w:hint="eastAsia"/>
          <w:color w:val="auto"/>
          <w:highlight w:val="none"/>
        </w:rPr>
      </w:pPr>
      <w:r>
        <w:rPr>
          <w:rFonts w:hint="eastAsia"/>
          <w:color w:val="auto"/>
          <w:highlight w:val="none"/>
        </w:rPr>
        <w:t>8、不向采购人及个人支付好处费、介绍费。</w:t>
      </w:r>
    </w:p>
    <w:p w14:paraId="507A0D5F">
      <w:pPr>
        <w:snapToGrid w:val="0"/>
        <w:spacing w:line="500" w:lineRule="exact"/>
        <w:ind w:firstLine="420" w:firstLineChars="175"/>
        <w:rPr>
          <w:rFonts w:hint="eastAsia"/>
          <w:color w:val="auto"/>
          <w:highlight w:val="none"/>
        </w:rPr>
      </w:pPr>
      <w:r>
        <w:rPr>
          <w:rFonts w:hint="eastAsia"/>
          <w:color w:val="auto"/>
          <w:highlight w:val="none"/>
        </w:rPr>
        <w:t>9、一旦发现相关人员在招标过程中的索要财物等不廉洁行为，坚决予以抵制，并及时向有关纪检监察部门举报。</w:t>
      </w:r>
    </w:p>
    <w:p w14:paraId="5F0397A5">
      <w:pPr>
        <w:snapToGrid w:val="0"/>
        <w:spacing w:line="500" w:lineRule="exact"/>
        <w:ind w:firstLine="420" w:firstLineChars="175"/>
        <w:rPr>
          <w:rFonts w:hint="eastAsia"/>
          <w:color w:val="auto"/>
          <w:highlight w:val="none"/>
        </w:rPr>
      </w:pPr>
      <w:r>
        <w:rPr>
          <w:rFonts w:hint="eastAsia"/>
          <w:color w:val="auto"/>
          <w:highlight w:val="none"/>
        </w:rPr>
        <w:t>10、我们若违反上述承诺，愿接受取消供应商中标资格及其他任何形式的处理。</w:t>
      </w:r>
    </w:p>
    <w:p w14:paraId="3FD1509D">
      <w:pPr>
        <w:snapToGrid w:val="0"/>
        <w:spacing w:line="500" w:lineRule="exact"/>
        <w:ind w:firstLine="420" w:firstLineChars="175"/>
        <w:rPr>
          <w:rFonts w:hint="eastAsia"/>
          <w:color w:val="auto"/>
          <w:highlight w:val="none"/>
        </w:rPr>
      </w:pPr>
    </w:p>
    <w:p w14:paraId="4EC2A6D7">
      <w:pPr>
        <w:spacing w:line="440" w:lineRule="exact"/>
        <w:rPr>
          <w:rFonts w:hint="eastAsia"/>
          <w:color w:val="auto"/>
          <w:highlight w:val="none"/>
        </w:rPr>
      </w:pPr>
      <w:r>
        <w:rPr>
          <w:rFonts w:hint="eastAsia"/>
          <w:color w:val="auto"/>
          <w:highlight w:val="none"/>
        </w:rPr>
        <w:t>供应商名称（盖章）：</w:t>
      </w:r>
    </w:p>
    <w:p w14:paraId="34D2ABEB">
      <w:pPr>
        <w:spacing w:line="440" w:lineRule="exact"/>
        <w:rPr>
          <w:rFonts w:hint="eastAsia"/>
          <w:color w:val="auto"/>
          <w:highlight w:val="none"/>
        </w:rPr>
      </w:pPr>
      <w:r>
        <w:rPr>
          <w:rFonts w:hint="eastAsia"/>
          <w:color w:val="auto"/>
          <w:highlight w:val="none"/>
        </w:rPr>
        <w:t>法定代表人（负责人）或授权代表（签字或盖章）：</w:t>
      </w:r>
    </w:p>
    <w:p w14:paraId="7637D913">
      <w:pPr>
        <w:spacing w:line="440" w:lineRule="exact"/>
        <w:rPr>
          <w:rFonts w:hint="eastAsia"/>
          <w:bCs/>
          <w:color w:val="auto"/>
          <w:highlight w:val="none"/>
        </w:rPr>
      </w:pPr>
      <w:r>
        <w:rPr>
          <w:rFonts w:hint="eastAsia"/>
          <w:color w:val="auto"/>
          <w:highlight w:val="none"/>
        </w:rPr>
        <w:t>日 期：</w:t>
      </w:r>
    </w:p>
    <w:p w14:paraId="6871A302">
      <w:pPr>
        <w:pStyle w:val="37"/>
        <w:adjustRightInd w:val="0"/>
        <w:snapToGrid w:val="0"/>
        <w:spacing w:line="400" w:lineRule="exact"/>
        <w:jc w:val="center"/>
        <w:rPr>
          <w:rFonts w:hint="eastAsia" w:hAnsi="宋体" w:cs="宋体"/>
          <w:color w:val="auto"/>
          <w:sz w:val="24"/>
          <w:szCs w:val="24"/>
          <w:highlight w:val="none"/>
        </w:rPr>
      </w:pPr>
    </w:p>
    <w:p w14:paraId="56D4417D">
      <w:pPr>
        <w:pStyle w:val="37"/>
        <w:adjustRightInd w:val="0"/>
        <w:snapToGrid w:val="0"/>
        <w:spacing w:line="400" w:lineRule="exact"/>
        <w:jc w:val="center"/>
        <w:rPr>
          <w:rFonts w:hint="eastAsia" w:hAnsi="宋体" w:cs="宋体"/>
          <w:color w:val="auto"/>
          <w:sz w:val="24"/>
          <w:highlight w:val="none"/>
        </w:rPr>
      </w:pPr>
    </w:p>
    <w:p w14:paraId="4CB870D7">
      <w:pPr>
        <w:pStyle w:val="37"/>
        <w:adjustRightInd w:val="0"/>
        <w:snapToGrid w:val="0"/>
        <w:spacing w:line="400" w:lineRule="exact"/>
        <w:jc w:val="center"/>
        <w:rPr>
          <w:rFonts w:hint="eastAsia" w:hAnsi="宋体" w:cs="宋体"/>
          <w:color w:val="auto"/>
          <w:sz w:val="24"/>
          <w:highlight w:val="none"/>
        </w:rPr>
      </w:pPr>
    </w:p>
    <w:p w14:paraId="51F50774">
      <w:pPr>
        <w:pStyle w:val="37"/>
        <w:adjustRightInd w:val="0"/>
        <w:snapToGrid w:val="0"/>
        <w:spacing w:line="400" w:lineRule="exact"/>
        <w:jc w:val="center"/>
        <w:rPr>
          <w:rFonts w:hint="eastAsia" w:hAnsi="宋体" w:cs="宋体"/>
          <w:color w:val="auto"/>
          <w:sz w:val="24"/>
          <w:highlight w:val="none"/>
        </w:rPr>
        <w:sectPr>
          <w:headerReference r:id="rId16" w:type="default"/>
          <w:footerReference r:id="rId17" w:type="default"/>
          <w:pgSz w:w="11906" w:h="16838"/>
          <w:pgMar w:top="1134" w:right="1134" w:bottom="1134" w:left="1134" w:header="720" w:footer="720" w:gutter="0"/>
          <w:pgNumType w:fmt="decimal"/>
          <w:cols w:space="720" w:num="1"/>
          <w:docGrid w:linePitch="312" w:charSpace="0"/>
        </w:sectPr>
      </w:pPr>
    </w:p>
    <w:p w14:paraId="4B6ABA21">
      <w:pPr>
        <w:autoSpaceDE w:val="0"/>
        <w:autoSpaceDN w:val="0"/>
        <w:adjustRightInd w:val="0"/>
        <w:snapToGrid w:val="0"/>
        <w:spacing w:line="360" w:lineRule="auto"/>
        <w:jc w:val="center"/>
        <w:textAlignment w:val="bottom"/>
        <w:rPr>
          <w:rFonts w:hint="eastAsia"/>
          <w:color w:val="auto"/>
          <w:sz w:val="32"/>
          <w:szCs w:val="32"/>
          <w:highlight w:val="none"/>
        </w:rPr>
      </w:pPr>
      <w:r>
        <w:rPr>
          <w:rFonts w:hint="eastAsia"/>
          <w:color w:val="auto"/>
          <w:sz w:val="32"/>
          <w:szCs w:val="32"/>
          <w:highlight w:val="none"/>
        </w:rPr>
        <w:t>第七部分   评标办法</w:t>
      </w:r>
    </w:p>
    <w:p w14:paraId="7635EA91">
      <w:pPr>
        <w:pStyle w:val="43"/>
        <w:adjustRightInd w:val="0"/>
        <w:snapToGrid w:val="0"/>
        <w:spacing w:line="360" w:lineRule="auto"/>
        <w:rPr>
          <w:rFonts w:hint="eastAsia" w:hAnsi="宋体" w:cs="宋体"/>
          <w:color w:val="auto"/>
          <w:sz w:val="22"/>
          <w:szCs w:val="22"/>
          <w:highlight w:val="none"/>
        </w:rPr>
      </w:pPr>
      <w:r>
        <w:rPr>
          <w:rFonts w:hint="eastAsia" w:hAnsi="宋体" w:cs="宋体"/>
          <w:color w:val="auto"/>
          <w:sz w:val="22"/>
          <w:szCs w:val="22"/>
          <w:highlight w:val="none"/>
        </w:rPr>
        <w:t>根据《中华人民共和国政府采购法》等有关政府采购法规，结合本次采购的实际，按照公平、公正、科学、择优的原则选择中标供应商，特制定本评标办法。</w:t>
      </w:r>
    </w:p>
    <w:p w14:paraId="5C0AEFD4">
      <w:pPr>
        <w:pStyle w:val="43"/>
        <w:adjustRightInd w:val="0"/>
        <w:snapToGrid w:val="0"/>
        <w:spacing w:line="360" w:lineRule="auto"/>
        <w:rPr>
          <w:rFonts w:hint="eastAsia" w:hAnsi="宋体" w:cs="宋体"/>
          <w:color w:val="auto"/>
          <w:sz w:val="22"/>
          <w:szCs w:val="22"/>
          <w:highlight w:val="none"/>
        </w:rPr>
      </w:pPr>
      <w:r>
        <w:rPr>
          <w:rFonts w:hint="eastAsia" w:hAnsi="宋体" w:cs="宋体"/>
          <w:color w:val="auto"/>
          <w:sz w:val="22"/>
          <w:szCs w:val="22"/>
          <w:highlight w:val="none"/>
        </w:rPr>
        <w:t>一、总则</w:t>
      </w:r>
    </w:p>
    <w:p w14:paraId="6484317E">
      <w:pPr>
        <w:pStyle w:val="43"/>
        <w:adjustRightInd w:val="0"/>
        <w:snapToGrid w:val="0"/>
        <w:spacing w:line="360" w:lineRule="auto"/>
        <w:rPr>
          <w:rFonts w:hint="eastAsia" w:hAnsi="宋体" w:cs="宋体"/>
          <w:color w:val="auto"/>
          <w:sz w:val="22"/>
          <w:szCs w:val="22"/>
          <w:highlight w:val="none"/>
        </w:rPr>
      </w:pPr>
      <w:r>
        <w:rPr>
          <w:rFonts w:hint="eastAsia" w:hAnsi="宋体" w:cs="宋体"/>
          <w:color w:val="auto"/>
          <w:sz w:val="22"/>
          <w:szCs w:val="22"/>
          <w:highlight w:val="none"/>
        </w:rPr>
        <w:t>评标工作遵循公平、公正、民主、科学的原则和诚实、信誉、效率的服务原则，本着科学、严谨的态度，认真进行评标，择优选定供应商，确保服务质量，节约投资，最大限度地保护当事人权益。严格按照采购文件的商务、技术要求，对投标文件进行综合评定，提出优选方案，编写评标报告。评标人员必须严格遵守保密规定，不得泄漏评标的有关情况，不得索贿受贿，不得接受吃请和礼品，不得参加影响公正评标的有关活动。对落标供应商，评标委员会不作任何落标解释。供应商不得以任何方式干扰招投标工作的进行，一经发现，其投标文件将被拒绝。</w:t>
      </w:r>
    </w:p>
    <w:p w14:paraId="47633908">
      <w:pPr>
        <w:adjustRightInd w:val="0"/>
        <w:snapToGrid w:val="0"/>
        <w:spacing w:line="360" w:lineRule="auto"/>
        <w:ind w:firstLine="440" w:firstLineChars="200"/>
        <w:jc w:val="both"/>
        <w:outlineLvl w:val="0"/>
        <w:rPr>
          <w:rFonts w:hint="eastAsia"/>
          <w:bCs/>
          <w:color w:val="auto"/>
          <w:sz w:val="22"/>
          <w:szCs w:val="22"/>
          <w:highlight w:val="none"/>
        </w:rPr>
      </w:pPr>
      <w:r>
        <w:rPr>
          <w:rFonts w:hint="eastAsia"/>
          <w:bCs/>
          <w:color w:val="auto"/>
          <w:sz w:val="22"/>
          <w:szCs w:val="22"/>
          <w:highlight w:val="none"/>
        </w:rPr>
        <w:t>二、评标组织</w:t>
      </w:r>
    </w:p>
    <w:p w14:paraId="3A48389D">
      <w:pPr>
        <w:pStyle w:val="43"/>
        <w:adjustRightInd w:val="0"/>
        <w:snapToGrid w:val="0"/>
        <w:spacing w:line="360" w:lineRule="auto"/>
        <w:rPr>
          <w:rFonts w:hint="eastAsia" w:hAnsi="宋体" w:cs="宋体"/>
          <w:color w:val="auto"/>
          <w:sz w:val="22"/>
          <w:szCs w:val="22"/>
          <w:highlight w:val="none"/>
        </w:rPr>
      </w:pPr>
      <w:r>
        <w:rPr>
          <w:rFonts w:hint="eastAsia" w:hAnsi="宋体" w:cs="宋体"/>
          <w:color w:val="auto"/>
          <w:sz w:val="22"/>
          <w:szCs w:val="22"/>
          <w:highlight w:val="none"/>
        </w:rPr>
        <w:t>评标工作由采购机构依法组建的评标委员会负责，评标委员会由采购人依法组建，成员人数应当为5人及以上单数，其中评审专家不得少于成员总数的三分之二；评审专家确定方式：按相关规定从专家库中抽取。评标全过程由招标管理部门监督整个开标、评标和定标过程。</w:t>
      </w:r>
    </w:p>
    <w:p w14:paraId="60B080C3">
      <w:pPr>
        <w:pStyle w:val="936"/>
        <w:widowControl w:val="0"/>
        <w:pBdr>
          <w:left w:val="none" w:color="auto" w:sz="0" w:space="0"/>
          <w:bottom w:val="none" w:color="auto" w:sz="0" w:space="0"/>
          <w:right w:val="none" w:color="auto" w:sz="0" w:space="0"/>
        </w:pBdr>
        <w:adjustRightInd w:val="0"/>
        <w:snapToGrid w:val="0"/>
        <w:spacing w:before="0" w:beforeAutospacing="0" w:after="0" w:afterAutospacing="0" w:line="360" w:lineRule="auto"/>
        <w:ind w:firstLine="440" w:firstLineChars="200"/>
        <w:jc w:val="both"/>
        <w:textAlignment w:val="auto"/>
        <w:outlineLvl w:val="0"/>
        <w:rPr>
          <w:rFonts w:hint="eastAsia" w:ascii="宋体" w:hAnsi="宋体"/>
          <w:b w:val="0"/>
          <w:color w:val="auto"/>
          <w:kern w:val="2"/>
          <w:sz w:val="22"/>
          <w:szCs w:val="22"/>
          <w:highlight w:val="none"/>
        </w:rPr>
      </w:pPr>
      <w:r>
        <w:rPr>
          <w:rFonts w:hint="eastAsia" w:ascii="宋体" w:hAnsi="宋体"/>
          <w:b w:val="0"/>
          <w:color w:val="auto"/>
          <w:kern w:val="2"/>
          <w:sz w:val="22"/>
          <w:szCs w:val="22"/>
          <w:highlight w:val="none"/>
        </w:rPr>
        <w:t>三、确定中标供应商办法</w:t>
      </w:r>
    </w:p>
    <w:p w14:paraId="70A94FCC">
      <w:pPr>
        <w:pStyle w:val="56"/>
        <w:snapToGrid w:val="0"/>
        <w:spacing w:line="360" w:lineRule="auto"/>
        <w:ind w:firstLine="440"/>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评标委员会</w:t>
      </w:r>
      <w:r>
        <w:rPr>
          <w:rFonts w:hint="eastAsia" w:ascii="宋体" w:hAnsi="宋体" w:eastAsia="宋体" w:cs="宋体"/>
          <w:color w:val="auto"/>
          <w:sz w:val="22"/>
          <w:szCs w:val="22"/>
          <w:highlight w:val="none"/>
        </w:rPr>
        <w:t>以商务技术标和报价标合计分值由高到低的顺序</w:t>
      </w:r>
      <w:r>
        <w:rPr>
          <w:rFonts w:hint="eastAsia" w:ascii="宋体" w:hAnsi="宋体" w:eastAsia="宋体" w:cs="宋体"/>
          <w:bCs/>
          <w:color w:val="auto"/>
          <w:sz w:val="22"/>
          <w:szCs w:val="22"/>
          <w:highlight w:val="none"/>
        </w:rPr>
        <w:t>推荐</w:t>
      </w:r>
      <w:r>
        <w:rPr>
          <w:rFonts w:hint="eastAsia" w:ascii="宋体" w:hAnsi="宋体" w:eastAsia="宋体" w:cs="宋体"/>
          <w:color w:val="auto"/>
          <w:sz w:val="22"/>
          <w:szCs w:val="22"/>
          <w:highlight w:val="none"/>
        </w:rPr>
        <w:t>供应商名单，并提交书面评审报告。采购人授权由评标委员会根据评审报告直接确定综合得分第一名的供应商为中标供应商。如果第一名得分相同，以报价低的优先；报价也相同，以抽签决定。</w:t>
      </w:r>
    </w:p>
    <w:p w14:paraId="3794D0E4">
      <w:pPr>
        <w:adjustRightInd w:val="0"/>
        <w:snapToGrid w:val="0"/>
        <w:spacing w:line="360" w:lineRule="auto"/>
        <w:ind w:firstLine="420"/>
        <w:rPr>
          <w:rFonts w:hint="eastAsia"/>
          <w:color w:val="auto"/>
          <w:highlight w:val="none"/>
        </w:rPr>
      </w:pPr>
      <w:r>
        <w:rPr>
          <w:rFonts w:hint="eastAsia"/>
          <w:color w:val="auto"/>
          <w:sz w:val="22"/>
          <w:szCs w:val="22"/>
          <w:highlight w:val="none"/>
        </w:rPr>
        <w:t>中标供应商放弃中标，或者因不可抗力提出不能履行合同，采购机构可以取消其中标资格。本次采购失败，依法重新组织采购。</w:t>
      </w:r>
    </w:p>
    <w:p w14:paraId="649B82C0">
      <w:pPr>
        <w:adjustRightInd w:val="0"/>
        <w:snapToGrid w:val="0"/>
        <w:spacing w:line="360" w:lineRule="auto"/>
        <w:ind w:firstLine="420"/>
        <w:rPr>
          <w:rFonts w:hint="eastAsia"/>
          <w:color w:val="auto"/>
          <w:sz w:val="22"/>
          <w:szCs w:val="22"/>
          <w:highlight w:val="none"/>
        </w:rPr>
      </w:pPr>
      <w:r>
        <w:rPr>
          <w:rFonts w:hint="eastAsia"/>
          <w:b/>
          <w:color w:val="auto"/>
          <w:sz w:val="22"/>
          <w:szCs w:val="22"/>
          <w:highlight w:val="none"/>
        </w:rPr>
        <w:t>其它参见本采购文件第三部分：“供应商须知” 中的相关内容。</w:t>
      </w:r>
    </w:p>
    <w:p w14:paraId="4CF15663">
      <w:pPr>
        <w:pStyle w:val="37"/>
        <w:adjustRightInd w:val="0"/>
        <w:snapToGrid w:val="0"/>
        <w:jc w:val="center"/>
        <w:rPr>
          <w:rFonts w:hint="eastAsia" w:hAnsi="宋体" w:cs="宋体"/>
          <w:b/>
          <w:color w:val="auto"/>
          <w:sz w:val="36"/>
          <w:szCs w:val="36"/>
          <w:highlight w:val="none"/>
        </w:rPr>
      </w:pPr>
      <w:r>
        <w:rPr>
          <w:rFonts w:hint="eastAsia" w:hAnsi="宋体" w:cs="宋体"/>
          <w:b/>
          <w:color w:val="auto"/>
          <w:sz w:val="36"/>
          <w:szCs w:val="36"/>
          <w:highlight w:val="none"/>
        </w:rPr>
        <w:br w:type="page"/>
      </w:r>
      <w:r>
        <w:rPr>
          <w:rFonts w:hint="eastAsia" w:hAnsi="宋体" w:cs="宋体"/>
          <w:b/>
          <w:color w:val="auto"/>
          <w:sz w:val="36"/>
          <w:szCs w:val="36"/>
          <w:highlight w:val="none"/>
        </w:rPr>
        <w:t>评标细则</w:t>
      </w:r>
    </w:p>
    <w:p w14:paraId="7B10B570">
      <w:pPr>
        <w:pStyle w:val="37"/>
        <w:tabs>
          <w:tab w:val="left" w:pos="5325"/>
        </w:tabs>
        <w:adjustRightInd w:val="0"/>
        <w:snapToGrid w:val="0"/>
        <w:spacing w:line="360" w:lineRule="auto"/>
        <w:rPr>
          <w:rFonts w:hint="eastAsia" w:hAnsi="宋体" w:cs="宋体"/>
          <w:b/>
          <w:bCs/>
          <w:color w:val="auto"/>
          <w:sz w:val="22"/>
          <w:szCs w:val="22"/>
          <w:highlight w:val="none"/>
        </w:rPr>
      </w:pPr>
      <w:r>
        <w:rPr>
          <w:rFonts w:hint="eastAsia" w:hAnsi="宋体" w:cs="宋体"/>
          <w:b/>
          <w:bCs/>
          <w:color w:val="auto"/>
          <w:sz w:val="22"/>
          <w:szCs w:val="22"/>
          <w:highlight w:val="none"/>
        </w:rPr>
        <w:t>一、</w:t>
      </w:r>
      <w:r>
        <w:rPr>
          <w:rFonts w:hint="eastAsia" w:hAnsi="宋体" w:cs="宋体"/>
          <w:b/>
          <w:bCs/>
          <w:color w:val="auto"/>
          <w:sz w:val="22"/>
          <w:szCs w:val="22"/>
          <w:highlight w:val="none"/>
          <w:u w:val="single"/>
        </w:rPr>
        <w:t>报价评分</w:t>
      </w:r>
      <w:r>
        <w:rPr>
          <w:rFonts w:hint="eastAsia" w:hAnsi="宋体" w:cs="宋体"/>
          <w:b/>
          <w:bCs/>
          <w:color w:val="auto"/>
          <w:sz w:val="22"/>
          <w:szCs w:val="22"/>
          <w:highlight w:val="none"/>
        </w:rPr>
        <w:t xml:space="preserve"> </w:t>
      </w:r>
      <w:r>
        <w:rPr>
          <w:rFonts w:hint="eastAsia" w:hAnsi="宋体" w:cs="宋体"/>
          <w:b/>
          <w:bCs/>
          <w:color w:val="auto"/>
          <w:sz w:val="22"/>
          <w:szCs w:val="22"/>
          <w:highlight w:val="none"/>
          <w:lang w:val="en-US" w:eastAsia="zh-CN"/>
        </w:rPr>
        <w:t>3</w:t>
      </w:r>
      <w:r>
        <w:rPr>
          <w:rFonts w:hint="eastAsia" w:hAnsi="宋体" w:cs="宋体"/>
          <w:b/>
          <w:bCs/>
          <w:color w:val="auto"/>
          <w:sz w:val="22"/>
          <w:szCs w:val="22"/>
          <w:highlight w:val="none"/>
        </w:rPr>
        <w:t xml:space="preserve">0分  </w:t>
      </w:r>
      <w:r>
        <w:rPr>
          <w:rFonts w:hint="eastAsia" w:hAnsi="宋体" w:cs="宋体"/>
          <w:b/>
          <w:bCs/>
          <w:color w:val="auto"/>
          <w:sz w:val="22"/>
          <w:szCs w:val="22"/>
          <w:highlight w:val="none"/>
        </w:rPr>
        <w:tab/>
      </w:r>
    </w:p>
    <w:p w14:paraId="3AE79518">
      <w:pPr>
        <w:spacing w:line="360" w:lineRule="auto"/>
        <w:ind w:firstLine="440" w:firstLineChars="200"/>
        <w:rPr>
          <w:rFonts w:hint="eastAsia"/>
          <w:bCs/>
          <w:color w:val="auto"/>
          <w:sz w:val="22"/>
          <w:szCs w:val="22"/>
          <w:highlight w:val="none"/>
        </w:rPr>
      </w:pPr>
      <w:r>
        <w:rPr>
          <w:rFonts w:hint="eastAsia"/>
          <w:bCs/>
          <w:color w:val="auto"/>
          <w:sz w:val="22"/>
          <w:szCs w:val="22"/>
          <w:highlight w:val="none"/>
        </w:rPr>
        <w:t>1、以供应商有效投标折扣中的最低投标折扣为评标基准价，得满分</w:t>
      </w:r>
      <w:r>
        <w:rPr>
          <w:rFonts w:hint="eastAsia"/>
          <w:bCs/>
          <w:color w:val="auto"/>
          <w:sz w:val="22"/>
          <w:szCs w:val="22"/>
          <w:highlight w:val="none"/>
          <w:lang w:val="en-US" w:eastAsia="zh-CN"/>
        </w:rPr>
        <w:t>30</w:t>
      </w:r>
      <w:r>
        <w:rPr>
          <w:rFonts w:hint="eastAsia"/>
          <w:bCs/>
          <w:color w:val="auto"/>
          <w:sz w:val="22"/>
          <w:szCs w:val="22"/>
          <w:highlight w:val="none"/>
        </w:rPr>
        <w:t>分。商务报价评分结算公式为:投标报价得分=(评标基准价／投标折扣)×</w:t>
      </w:r>
      <w:r>
        <w:rPr>
          <w:rFonts w:hint="eastAsia"/>
          <w:bCs/>
          <w:color w:val="auto"/>
          <w:sz w:val="22"/>
          <w:szCs w:val="22"/>
          <w:highlight w:val="none"/>
          <w:lang w:val="en-US" w:eastAsia="zh-CN"/>
        </w:rPr>
        <w:t>3</w:t>
      </w:r>
      <w:r>
        <w:rPr>
          <w:rFonts w:hint="eastAsia"/>
          <w:bCs/>
          <w:color w:val="auto"/>
          <w:sz w:val="22"/>
          <w:szCs w:val="22"/>
          <w:highlight w:val="none"/>
        </w:rPr>
        <w:t>0%×100</w:t>
      </w:r>
      <w:r>
        <w:rPr>
          <w:rFonts w:hint="eastAsia"/>
          <w:color w:val="auto"/>
          <w:sz w:val="22"/>
          <w:szCs w:val="22"/>
          <w:highlight w:val="none"/>
        </w:rPr>
        <w:t>（四舍五入，保留小数点后二位）。</w:t>
      </w:r>
    </w:p>
    <w:p w14:paraId="3B72C25F">
      <w:pPr>
        <w:pStyle w:val="61"/>
        <w:widowControl w:val="0"/>
        <w:adjustRightInd w:val="0"/>
        <w:snapToGrid w:val="0"/>
        <w:spacing w:before="0" w:beforeAutospacing="0" w:after="0" w:afterAutospacing="0" w:line="360" w:lineRule="auto"/>
        <w:ind w:firstLine="442" w:firstLineChars="200"/>
        <w:jc w:val="both"/>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rPr>
        <w:t>▲</w:t>
      </w:r>
      <w:r>
        <w:rPr>
          <w:rFonts w:hint="eastAsia" w:ascii="宋体" w:hAnsi="宋体" w:cs="宋体"/>
          <w:b/>
          <w:color w:val="auto"/>
          <w:sz w:val="22"/>
          <w:szCs w:val="22"/>
          <w:highlight w:val="none"/>
          <w:lang w:val="en-US" w:eastAsia="zh-CN"/>
        </w:rPr>
        <w:t>2</w:t>
      </w:r>
      <w:r>
        <w:rPr>
          <w:rFonts w:hint="eastAsia" w:ascii="宋体" w:hAnsi="宋体" w:cs="宋体"/>
          <w:b/>
          <w:color w:val="auto"/>
          <w:sz w:val="22"/>
          <w:szCs w:val="22"/>
          <w:highlight w:val="none"/>
        </w:rPr>
        <w:t>、</w:t>
      </w:r>
      <w:r>
        <w:rPr>
          <w:rFonts w:hint="eastAsia" w:ascii="宋体" w:hAnsi="宋体" w:cs="宋体"/>
          <w:b/>
          <w:color w:val="auto"/>
          <w:sz w:val="22"/>
          <w:szCs w:val="22"/>
          <w:highlight w:val="none"/>
          <w:u w:val="single"/>
        </w:rPr>
        <w:t>如果供应商的报价均超出最高限价且采购人确认不能支付的情况，则本项目做流（废）标处理。如果仅某些（个）供应商投标报价超出最高限价的，则拒绝接受其投标报价，该供应商投标按无效投标处理。</w:t>
      </w:r>
    </w:p>
    <w:p w14:paraId="22A7A50F">
      <w:pPr>
        <w:pStyle w:val="61"/>
        <w:widowControl w:val="0"/>
        <w:adjustRightInd w:val="0"/>
        <w:snapToGrid w:val="0"/>
        <w:spacing w:before="0" w:beforeAutospacing="0" w:after="0" w:afterAutospacing="0" w:line="360" w:lineRule="auto"/>
        <w:jc w:val="both"/>
        <w:rPr>
          <w:rFonts w:hint="eastAsia" w:ascii="宋体" w:hAnsi="宋体" w:cs="宋体"/>
          <w:b/>
          <w:color w:val="auto"/>
          <w:sz w:val="22"/>
          <w:szCs w:val="22"/>
          <w:highlight w:val="none"/>
        </w:rPr>
      </w:pPr>
      <w:r>
        <w:rPr>
          <w:rFonts w:hint="eastAsia" w:ascii="宋体" w:hAnsi="宋体" w:cs="宋体"/>
          <w:b/>
          <w:color w:val="auto"/>
          <w:sz w:val="22"/>
          <w:szCs w:val="22"/>
          <w:highlight w:val="none"/>
        </w:rPr>
        <w:t>二、</w:t>
      </w:r>
      <w:r>
        <w:rPr>
          <w:rFonts w:hint="eastAsia" w:ascii="宋体" w:hAnsi="宋体" w:cs="宋体"/>
          <w:b/>
          <w:color w:val="auto"/>
          <w:sz w:val="22"/>
          <w:szCs w:val="22"/>
          <w:highlight w:val="none"/>
          <w:u w:val="single"/>
        </w:rPr>
        <w:t>商务技术评分</w:t>
      </w:r>
      <w:r>
        <w:rPr>
          <w:rFonts w:hint="eastAsia" w:ascii="宋体" w:hAnsi="宋体" w:cs="宋体"/>
          <w:b/>
          <w:color w:val="auto"/>
          <w:sz w:val="22"/>
          <w:szCs w:val="22"/>
          <w:highlight w:val="none"/>
        </w:rPr>
        <w:t xml:space="preserve"> </w:t>
      </w:r>
      <w:r>
        <w:rPr>
          <w:rFonts w:hint="eastAsia" w:ascii="宋体" w:hAnsi="宋体" w:cs="宋体"/>
          <w:b/>
          <w:color w:val="auto"/>
          <w:sz w:val="22"/>
          <w:szCs w:val="22"/>
          <w:highlight w:val="none"/>
          <w:lang w:val="en-US" w:eastAsia="zh-CN"/>
        </w:rPr>
        <w:t>7</w:t>
      </w:r>
      <w:r>
        <w:rPr>
          <w:rFonts w:hint="eastAsia" w:ascii="宋体" w:hAnsi="宋体" w:cs="宋体"/>
          <w:b/>
          <w:color w:val="auto"/>
          <w:sz w:val="22"/>
          <w:szCs w:val="22"/>
          <w:highlight w:val="none"/>
        </w:rPr>
        <w:t>0分</w:t>
      </w:r>
    </w:p>
    <w:tbl>
      <w:tblPr>
        <w:tblStyle w:val="66"/>
        <w:tblW w:w="498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1"/>
        <w:gridCol w:w="1383"/>
        <w:gridCol w:w="947"/>
        <w:gridCol w:w="6898"/>
      </w:tblGrid>
      <w:tr w14:paraId="4131D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noWrap w:val="0"/>
            <w:vAlign w:val="center"/>
          </w:tcPr>
          <w:p w14:paraId="7177D2A7">
            <w:pPr>
              <w:spacing w:line="360" w:lineRule="exact"/>
              <w:jc w:val="center"/>
              <w:rPr>
                <w:rFonts w:hint="eastAsia"/>
                <w:b/>
                <w:color w:val="auto"/>
                <w:sz w:val="22"/>
                <w:szCs w:val="22"/>
                <w:highlight w:val="none"/>
              </w:rPr>
            </w:pPr>
            <w:r>
              <w:rPr>
                <w:rFonts w:hint="eastAsia"/>
                <w:b/>
                <w:color w:val="auto"/>
                <w:sz w:val="22"/>
                <w:szCs w:val="22"/>
                <w:highlight w:val="none"/>
              </w:rPr>
              <w:t>序号</w:t>
            </w:r>
          </w:p>
        </w:tc>
        <w:tc>
          <w:tcPr>
            <w:tcW w:w="704" w:type="pct"/>
            <w:noWrap w:val="0"/>
            <w:vAlign w:val="center"/>
          </w:tcPr>
          <w:p w14:paraId="412BD28E">
            <w:pPr>
              <w:spacing w:line="360" w:lineRule="exact"/>
              <w:jc w:val="center"/>
              <w:rPr>
                <w:rFonts w:hint="eastAsia"/>
                <w:b/>
                <w:color w:val="auto"/>
                <w:sz w:val="22"/>
                <w:szCs w:val="22"/>
                <w:highlight w:val="none"/>
              </w:rPr>
            </w:pPr>
            <w:r>
              <w:rPr>
                <w:rFonts w:hint="eastAsia"/>
                <w:b/>
                <w:color w:val="auto"/>
                <w:sz w:val="22"/>
                <w:szCs w:val="22"/>
                <w:highlight w:val="none"/>
              </w:rPr>
              <w:t>评分内容</w:t>
            </w:r>
          </w:p>
        </w:tc>
        <w:tc>
          <w:tcPr>
            <w:tcW w:w="482" w:type="pct"/>
            <w:tcBorders>
              <w:right w:val="single" w:color="auto" w:sz="6" w:space="0"/>
            </w:tcBorders>
            <w:noWrap w:val="0"/>
            <w:vAlign w:val="center"/>
          </w:tcPr>
          <w:p w14:paraId="1538EE9D">
            <w:pPr>
              <w:spacing w:line="360" w:lineRule="exact"/>
              <w:jc w:val="center"/>
              <w:rPr>
                <w:rFonts w:hint="eastAsia"/>
                <w:b/>
                <w:color w:val="auto"/>
                <w:sz w:val="22"/>
                <w:szCs w:val="22"/>
                <w:highlight w:val="none"/>
              </w:rPr>
            </w:pPr>
            <w:r>
              <w:rPr>
                <w:rFonts w:hint="eastAsia"/>
                <w:b/>
                <w:color w:val="auto"/>
                <w:sz w:val="22"/>
                <w:szCs w:val="22"/>
                <w:highlight w:val="none"/>
              </w:rPr>
              <w:t>分值范围（分）</w:t>
            </w:r>
          </w:p>
        </w:tc>
        <w:tc>
          <w:tcPr>
            <w:tcW w:w="3512" w:type="pct"/>
            <w:noWrap w:val="0"/>
            <w:vAlign w:val="center"/>
          </w:tcPr>
          <w:p w14:paraId="3C3E8ECE">
            <w:pPr>
              <w:spacing w:line="360" w:lineRule="exact"/>
              <w:jc w:val="center"/>
              <w:rPr>
                <w:rFonts w:hint="eastAsia"/>
                <w:b/>
                <w:color w:val="auto"/>
                <w:sz w:val="22"/>
                <w:szCs w:val="22"/>
                <w:highlight w:val="none"/>
              </w:rPr>
            </w:pPr>
            <w:r>
              <w:rPr>
                <w:rFonts w:hint="eastAsia"/>
                <w:b/>
                <w:color w:val="auto"/>
                <w:sz w:val="22"/>
                <w:szCs w:val="22"/>
                <w:highlight w:val="none"/>
              </w:rPr>
              <w:t>备  注</w:t>
            </w:r>
          </w:p>
        </w:tc>
      </w:tr>
      <w:tr w14:paraId="63AA4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noWrap w:val="0"/>
            <w:vAlign w:val="center"/>
          </w:tcPr>
          <w:p w14:paraId="4AC63134">
            <w:pPr>
              <w:spacing w:line="360" w:lineRule="exact"/>
              <w:jc w:val="center"/>
              <w:rPr>
                <w:rFonts w:hint="eastAsia"/>
                <w:color w:val="auto"/>
                <w:sz w:val="22"/>
                <w:szCs w:val="22"/>
                <w:highlight w:val="none"/>
              </w:rPr>
            </w:pPr>
            <w:r>
              <w:rPr>
                <w:rFonts w:hint="eastAsia"/>
                <w:color w:val="auto"/>
                <w:sz w:val="22"/>
                <w:szCs w:val="22"/>
                <w:highlight w:val="none"/>
              </w:rPr>
              <w:t>1</w:t>
            </w:r>
          </w:p>
        </w:tc>
        <w:tc>
          <w:tcPr>
            <w:tcW w:w="704" w:type="pct"/>
            <w:tcBorders>
              <w:top w:val="single" w:color="auto" w:sz="8" w:space="0"/>
            </w:tcBorders>
            <w:noWrap w:val="0"/>
            <w:vAlign w:val="center"/>
          </w:tcPr>
          <w:p w14:paraId="621D9FE0">
            <w:pPr>
              <w:tabs>
                <w:tab w:val="left" w:pos="252"/>
              </w:tabs>
              <w:spacing w:line="360" w:lineRule="exact"/>
              <w:jc w:val="center"/>
              <w:rPr>
                <w:rFonts w:hint="eastAsia"/>
                <w:color w:val="auto"/>
                <w:sz w:val="22"/>
                <w:szCs w:val="22"/>
                <w:highlight w:val="none"/>
              </w:rPr>
            </w:pPr>
            <w:r>
              <w:rPr>
                <w:rFonts w:hint="eastAsia"/>
                <w:color w:val="auto"/>
                <w:sz w:val="22"/>
                <w:szCs w:val="22"/>
                <w:highlight w:val="none"/>
              </w:rPr>
              <w:t>投标</w:t>
            </w:r>
            <w:r>
              <w:rPr>
                <w:rFonts w:hint="eastAsia"/>
                <w:color w:val="auto"/>
                <w:sz w:val="22"/>
                <w:szCs w:val="22"/>
                <w:highlight w:val="none"/>
                <w:lang w:val="en-US" w:eastAsia="zh-CN"/>
              </w:rPr>
              <w:t>供应商</w:t>
            </w:r>
            <w:r>
              <w:rPr>
                <w:rFonts w:hint="eastAsia"/>
                <w:color w:val="auto"/>
                <w:sz w:val="22"/>
                <w:szCs w:val="22"/>
                <w:highlight w:val="none"/>
              </w:rPr>
              <w:t>质量管理保证</w:t>
            </w:r>
          </w:p>
        </w:tc>
        <w:tc>
          <w:tcPr>
            <w:tcW w:w="482" w:type="pct"/>
            <w:tcBorders>
              <w:top w:val="single" w:color="auto" w:sz="8" w:space="0"/>
              <w:right w:val="single" w:color="auto" w:sz="6" w:space="0"/>
            </w:tcBorders>
            <w:noWrap w:val="0"/>
            <w:vAlign w:val="center"/>
          </w:tcPr>
          <w:p w14:paraId="23EF368F">
            <w:pPr>
              <w:pStyle w:val="30"/>
              <w:spacing w:after="0" w:line="360" w:lineRule="exact"/>
              <w:ind w:left="0" w:leftChars="0"/>
              <w:jc w:val="center"/>
              <w:rPr>
                <w:rFonts w:hint="eastAsia" w:ascii="宋体" w:hAnsi="宋体" w:cs="宋体"/>
                <w:color w:val="auto"/>
                <w:sz w:val="22"/>
                <w:szCs w:val="22"/>
                <w:highlight w:val="none"/>
                <w:lang w:val="en-US" w:eastAsia="zh-CN"/>
              </w:rPr>
            </w:pPr>
            <w:r>
              <w:rPr>
                <w:rFonts w:hint="eastAsia" w:ascii="宋体" w:hAnsi="宋体" w:cs="宋体"/>
                <w:color w:val="auto"/>
                <w:sz w:val="22"/>
                <w:szCs w:val="22"/>
                <w:highlight w:val="none"/>
                <w:lang w:val="en-US" w:eastAsia="zh-CN"/>
              </w:rPr>
              <w:t>6</w:t>
            </w:r>
          </w:p>
        </w:tc>
        <w:tc>
          <w:tcPr>
            <w:tcW w:w="3512" w:type="pct"/>
            <w:tcBorders>
              <w:top w:val="single" w:color="auto" w:sz="8" w:space="0"/>
              <w:bottom w:val="single" w:color="auto" w:sz="4" w:space="0"/>
            </w:tcBorders>
            <w:noWrap w:val="0"/>
            <w:vAlign w:val="center"/>
          </w:tcPr>
          <w:p w14:paraId="01D4AE91">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w:t>
            </w:r>
            <w:r>
              <w:rPr>
                <w:rFonts w:hint="eastAsia"/>
                <w:color w:val="auto"/>
                <w:sz w:val="22"/>
                <w:szCs w:val="22"/>
                <w:highlight w:val="none"/>
              </w:rPr>
              <w:t>投标</w:t>
            </w:r>
            <w:r>
              <w:rPr>
                <w:rFonts w:hint="eastAsia" w:ascii="宋体" w:hAnsi="宋体" w:eastAsia="宋体" w:cs="宋体"/>
                <w:b w:val="0"/>
                <w:bCs w:val="0"/>
                <w:color w:val="auto"/>
                <w:kern w:val="2"/>
                <w:sz w:val="22"/>
                <w:szCs w:val="22"/>
                <w:highlight w:val="none"/>
                <w:lang w:val="en-US" w:eastAsia="zh-CN" w:bidi="ar-SA"/>
              </w:rPr>
              <w:t>供应商具有有效质量管理体系认证的得2分。</w:t>
            </w:r>
          </w:p>
          <w:p w14:paraId="55D6FF9C">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w:t>
            </w:r>
            <w:r>
              <w:rPr>
                <w:rFonts w:hint="eastAsia"/>
                <w:color w:val="auto"/>
                <w:sz w:val="22"/>
                <w:szCs w:val="22"/>
                <w:highlight w:val="none"/>
              </w:rPr>
              <w:t>投标</w:t>
            </w:r>
            <w:r>
              <w:rPr>
                <w:rFonts w:hint="eastAsia" w:ascii="宋体" w:hAnsi="宋体" w:eastAsia="宋体" w:cs="宋体"/>
                <w:b w:val="0"/>
                <w:bCs w:val="0"/>
                <w:color w:val="auto"/>
                <w:kern w:val="2"/>
                <w:sz w:val="22"/>
                <w:szCs w:val="22"/>
                <w:highlight w:val="none"/>
                <w:lang w:val="en-US" w:eastAsia="zh-CN" w:bidi="ar-SA"/>
              </w:rPr>
              <w:t>供应商具有有效环境管理体系认证的得2分。</w:t>
            </w:r>
          </w:p>
          <w:p w14:paraId="46B5989B">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3.</w:t>
            </w:r>
            <w:r>
              <w:rPr>
                <w:rFonts w:hint="eastAsia"/>
                <w:color w:val="auto"/>
                <w:sz w:val="22"/>
                <w:szCs w:val="22"/>
                <w:highlight w:val="none"/>
              </w:rPr>
              <w:t>投标</w:t>
            </w:r>
            <w:r>
              <w:rPr>
                <w:rFonts w:hint="eastAsia" w:ascii="宋体" w:hAnsi="宋体" w:eastAsia="宋体" w:cs="宋体"/>
                <w:b w:val="0"/>
                <w:bCs w:val="0"/>
                <w:color w:val="auto"/>
                <w:kern w:val="2"/>
                <w:sz w:val="22"/>
                <w:szCs w:val="22"/>
                <w:highlight w:val="none"/>
                <w:lang w:val="en-US" w:eastAsia="zh-CN" w:bidi="ar-SA"/>
              </w:rPr>
              <w:t>供应商具备有效职业健康安全管理体系认证的得2分。</w:t>
            </w:r>
          </w:p>
          <w:p w14:paraId="46C9FC03">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注：提供供应商有效的体系证书扫描件或复印件加盖公章，还须提供</w:t>
            </w:r>
            <w:r>
              <w:rPr>
                <w:rFonts w:hint="eastAsia" w:cs="宋体"/>
                <w:b w:val="0"/>
                <w:bCs w:val="0"/>
                <w:color w:val="auto"/>
                <w:kern w:val="2"/>
                <w:sz w:val="22"/>
                <w:szCs w:val="22"/>
                <w:highlight w:val="none"/>
                <w:lang w:val="en-US" w:eastAsia="zh-CN" w:bidi="ar-SA"/>
              </w:rPr>
              <w:t>证书</w:t>
            </w:r>
            <w:r>
              <w:rPr>
                <w:rFonts w:hint="eastAsia" w:ascii="宋体" w:hAnsi="宋体" w:eastAsia="宋体" w:cs="宋体"/>
                <w:b w:val="0"/>
                <w:bCs w:val="0"/>
                <w:color w:val="auto"/>
                <w:kern w:val="2"/>
                <w:sz w:val="22"/>
                <w:szCs w:val="22"/>
                <w:highlight w:val="none"/>
                <w:lang w:val="en-US" w:eastAsia="zh-CN" w:bidi="ar-SA"/>
              </w:rPr>
              <w:t>在官网“全国认证认可信息公共服务平台http://cx.cnca.cn/”的网页查询截图（须显示网址），且显示有效，加盖电子公章，否则不得分。</w:t>
            </w:r>
          </w:p>
        </w:tc>
      </w:tr>
      <w:tr w14:paraId="5A946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300" w:type="pct"/>
            <w:noWrap w:val="0"/>
            <w:vAlign w:val="center"/>
          </w:tcPr>
          <w:p w14:paraId="0A9003CA">
            <w:pPr>
              <w:spacing w:line="360" w:lineRule="exact"/>
              <w:jc w:val="center"/>
              <w:rPr>
                <w:rFonts w:hint="eastAsia" w:eastAsia="宋体"/>
                <w:color w:val="auto"/>
                <w:sz w:val="22"/>
                <w:szCs w:val="22"/>
                <w:highlight w:val="none"/>
                <w:lang w:val="en-US" w:eastAsia="zh-CN"/>
              </w:rPr>
            </w:pPr>
            <w:r>
              <w:rPr>
                <w:rFonts w:hint="eastAsia"/>
                <w:color w:val="auto"/>
                <w:sz w:val="22"/>
                <w:szCs w:val="22"/>
                <w:highlight w:val="none"/>
                <w:lang w:val="en-US" w:eastAsia="zh-CN"/>
              </w:rPr>
              <w:t>2</w:t>
            </w:r>
          </w:p>
        </w:tc>
        <w:tc>
          <w:tcPr>
            <w:tcW w:w="704" w:type="pct"/>
            <w:tcBorders>
              <w:top w:val="single" w:color="auto" w:sz="8" w:space="0"/>
            </w:tcBorders>
            <w:noWrap w:val="0"/>
            <w:vAlign w:val="center"/>
          </w:tcPr>
          <w:p w14:paraId="702FB1BD">
            <w:pPr>
              <w:tabs>
                <w:tab w:val="left" w:pos="252"/>
              </w:tabs>
              <w:spacing w:line="360" w:lineRule="exact"/>
              <w:jc w:val="center"/>
              <w:rPr>
                <w:rFonts w:hint="eastAsia"/>
                <w:color w:val="auto"/>
                <w:sz w:val="22"/>
                <w:szCs w:val="22"/>
                <w:highlight w:val="none"/>
              </w:rPr>
            </w:pPr>
            <w:r>
              <w:rPr>
                <w:rFonts w:hint="eastAsia" w:ascii="宋体" w:hAnsi="宋体" w:cs="宋体"/>
                <w:color w:val="auto"/>
                <w:sz w:val="22"/>
                <w:szCs w:val="22"/>
                <w:highlight w:val="none"/>
                <w:lang w:val="en-US" w:eastAsia="zh-CN"/>
              </w:rPr>
              <w:t>业绩</w:t>
            </w:r>
          </w:p>
        </w:tc>
        <w:tc>
          <w:tcPr>
            <w:tcW w:w="482" w:type="pct"/>
            <w:tcBorders>
              <w:top w:val="single" w:color="auto" w:sz="8" w:space="0"/>
              <w:right w:val="single" w:color="auto" w:sz="6" w:space="0"/>
            </w:tcBorders>
            <w:noWrap w:val="0"/>
            <w:vAlign w:val="center"/>
          </w:tcPr>
          <w:p w14:paraId="70E26A12">
            <w:pPr>
              <w:jc w:val="center"/>
              <w:rPr>
                <w:rFonts w:hint="eastAsia" w:ascii="宋体" w:hAnsi="宋体" w:cs="宋体"/>
                <w:color w:val="auto"/>
                <w:sz w:val="22"/>
                <w:szCs w:val="22"/>
                <w:highlight w:val="none"/>
                <w:lang w:val="en-US" w:eastAsia="zh-CN"/>
              </w:rPr>
            </w:pPr>
            <w:r>
              <w:rPr>
                <w:rFonts w:hint="eastAsia" w:cs="宋体"/>
                <w:color w:val="auto"/>
                <w:sz w:val="22"/>
                <w:szCs w:val="22"/>
                <w:highlight w:val="none"/>
                <w:lang w:val="en-US" w:eastAsia="zh-CN"/>
              </w:rPr>
              <w:t>3</w:t>
            </w:r>
          </w:p>
        </w:tc>
        <w:tc>
          <w:tcPr>
            <w:tcW w:w="3512" w:type="pct"/>
            <w:tcBorders>
              <w:top w:val="single" w:color="auto" w:sz="8" w:space="0"/>
              <w:bottom w:val="single" w:color="auto" w:sz="4" w:space="0"/>
            </w:tcBorders>
            <w:noWrap w:val="0"/>
            <w:vAlign w:val="center"/>
          </w:tcPr>
          <w:p w14:paraId="185542A2">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根据投标供应商提供的2022年1月1日以来的类似项目1个得1</w:t>
            </w:r>
            <w:r>
              <w:rPr>
                <w:rFonts w:hint="eastAsia" w:cs="宋体"/>
                <w:b w:val="0"/>
                <w:bCs w:val="0"/>
                <w:color w:val="auto"/>
                <w:kern w:val="2"/>
                <w:sz w:val="22"/>
                <w:szCs w:val="22"/>
                <w:highlight w:val="none"/>
                <w:lang w:val="en-US" w:eastAsia="zh-CN" w:bidi="ar-SA"/>
              </w:rPr>
              <w:t>.5</w:t>
            </w:r>
            <w:r>
              <w:rPr>
                <w:rFonts w:hint="eastAsia" w:ascii="宋体" w:hAnsi="宋体" w:eastAsia="宋体" w:cs="宋体"/>
                <w:b w:val="0"/>
                <w:bCs w:val="0"/>
                <w:color w:val="auto"/>
                <w:kern w:val="2"/>
                <w:sz w:val="22"/>
                <w:szCs w:val="22"/>
                <w:highlight w:val="none"/>
                <w:lang w:val="en-US" w:eastAsia="zh-CN" w:bidi="ar-SA"/>
              </w:rPr>
              <w:t>分，本项最高得</w:t>
            </w:r>
            <w:r>
              <w:rPr>
                <w:rFonts w:hint="eastAsia" w:cs="宋体"/>
                <w:b w:val="0"/>
                <w:bCs w:val="0"/>
                <w:color w:val="auto"/>
                <w:kern w:val="2"/>
                <w:sz w:val="22"/>
                <w:szCs w:val="22"/>
                <w:highlight w:val="none"/>
                <w:lang w:val="en-US" w:eastAsia="zh-CN" w:bidi="ar-SA"/>
              </w:rPr>
              <w:t>3</w:t>
            </w:r>
            <w:r>
              <w:rPr>
                <w:rFonts w:hint="eastAsia" w:ascii="宋体" w:hAnsi="宋体" w:eastAsia="宋体" w:cs="宋体"/>
                <w:b w:val="0"/>
                <w:bCs w:val="0"/>
                <w:color w:val="auto"/>
                <w:kern w:val="2"/>
                <w:sz w:val="22"/>
                <w:szCs w:val="22"/>
                <w:highlight w:val="none"/>
                <w:lang w:val="en-US" w:eastAsia="zh-CN" w:bidi="ar-SA"/>
              </w:rPr>
              <w:t>分。</w:t>
            </w:r>
          </w:p>
          <w:p w14:paraId="0D625775">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注：需提供中标通知书和合同扫描件加盖公章（两项缺一不可），业绩认定时间合同签订时间为准</w:t>
            </w:r>
            <w:r>
              <w:rPr>
                <w:rFonts w:hint="eastAsia" w:cs="宋体"/>
                <w:b w:val="0"/>
                <w:bCs w:val="0"/>
                <w:color w:val="auto"/>
                <w:kern w:val="2"/>
                <w:sz w:val="22"/>
                <w:szCs w:val="22"/>
                <w:highlight w:val="none"/>
                <w:lang w:val="en-US" w:eastAsia="zh-CN" w:bidi="ar-SA"/>
              </w:rPr>
              <w:t>，否则不得分</w:t>
            </w:r>
            <w:r>
              <w:rPr>
                <w:rFonts w:hint="eastAsia" w:ascii="宋体" w:hAnsi="宋体" w:eastAsia="宋体" w:cs="宋体"/>
                <w:b w:val="0"/>
                <w:bCs w:val="0"/>
                <w:color w:val="auto"/>
                <w:kern w:val="2"/>
                <w:sz w:val="22"/>
                <w:szCs w:val="22"/>
                <w:highlight w:val="none"/>
                <w:lang w:val="en-US" w:eastAsia="zh-CN" w:bidi="ar-SA"/>
              </w:rPr>
              <w:t>。</w:t>
            </w:r>
          </w:p>
        </w:tc>
      </w:tr>
      <w:tr w14:paraId="25974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trPr>
        <w:tc>
          <w:tcPr>
            <w:tcW w:w="300" w:type="pct"/>
            <w:noWrap w:val="0"/>
            <w:vAlign w:val="center"/>
          </w:tcPr>
          <w:p w14:paraId="09F8F145">
            <w:pPr>
              <w:spacing w:line="360" w:lineRule="exact"/>
              <w:jc w:val="center"/>
              <w:rPr>
                <w:rFonts w:hint="eastAsia"/>
                <w:color w:val="auto"/>
                <w:sz w:val="22"/>
                <w:szCs w:val="22"/>
                <w:highlight w:val="none"/>
              </w:rPr>
            </w:pPr>
            <w:r>
              <w:rPr>
                <w:rFonts w:hint="eastAsia"/>
                <w:color w:val="auto"/>
                <w:sz w:val="22"/>
                <w:szCs w:val="22"/>
                <w:highlight w:val="none"/>
              </w:rPr>
              <w:t>3</w:t>
            </w:r>
          </w:p>
        </w:tc>
        <w:tc>
          <w:tcPr>
            <w:tcW w:w="704" w:type="pct"/>
            <w:tcBorders>
              <w:top w:val="single" w:color="auto" w:sz="8" w:space="0"/>
            </w:tcBorders>
            <w:noWrap w:val="0"/>
            <w:vAlign w:val="center"/>
          </w:tcPr>
          <w:p w14:paraId="59518E8B">
            <w:pPr>
              <w:spacing w:line="360" w:lineRule="exact"/>
              <w:jc w:val="center"/>
              <w:rPr>
                <w:rFonts w:hint="default" w:eastAsia="宋体"/>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bidi="ar-SA"/>
              </w:rPr>
              <w:t>项目人员配备</w:t>
            </w:r>
          </w:p>
        </w:tc>
        <w:tc>
          <w:tcPr>
            <w:tcW w:w="482" w:type="pct"/>
            <w:tcBorders>
              <w:top w:val="single" w:color="auto" w:sz="8" w:space="0"/>
              <w:bottom w:val="single" w:color="auto" w:sz="8" w:space="0"/>
              <w:right w:val="single" w:color="auto" w:sz="6" w:space="0"/>
            </w:tcBorders>
            <w:noWrap w:val="0"/>
            <w:vAlign w:val="center"/>
          </w:tcPr>
          <w:p w14:paraId="258C35FF">
            <w:pPr>
              <w:spacing w:line="360" w:lineRule="exact"/>
              <w:jc w:val="center"/>
              <w:rPr>
                <w:rFonts w:hint="default" w:eastAsia="宋体"/>
                <w:color w:val="auto"/>
                <w:sz w:val="22"/>
                <w:szCs w:val="22"/>
                <w:highlight w:val="none"/>
                <w:lang w:val="en-US" w:eastAsia="zh-CN"/>
              </w:rPr>
            </w:pPr>
            <w:r>
              <w:rPr>
                <w:rFonts w:hint="eastAsia"/>
                <w:color w:val="auto"/>
                <w:sz w:val="22"/>
                <w:szCs w:val="22"/>
                <w:highlight w:val="none"/>
                <w:lang w:val="en-US" w:eastAsia="zh-CN"/>
              </w:rPr>
              <w:t>6</w:t>
            </w:r>
          </w:p>
        </w:tc>
        <w:tc>
          <w:tcPr>
            <w:tcW w:w="3512" w:type="pct"/>
            <w:tcBorders>
              <w:top w:val="single" w:color="auto" w:sz="8" w:space="0"/>
              <w:bottom w:val="single" w:color="auto" w:sz="8" w:space="0"/>
            </w:tcBorders>
            <w:noWrap w:val="0"/>
            <w:vAlign w:val="center"/>
          </w:tcPr>
          <w:p w14:paraId="3FB8F76A">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color w:val="auto"/>
                <w:kern w:val="2"/>
                <w:sz w:val="22"/>
                <w:szCs w:val="22"/>
                <w:highlight w:val="none"/>
                <w:lang w:val="en-US" w:eastAsia="zh-CN"/>
              </w:rPr>
              <w:t>1</w:t>
            </w:r>
            <w:r>
              <w:rPr>
                <w:rFonts w:hint="eastAsia" w:ascii="宋体" w:hAnsi="宋体" w:eastAsia="宋体" w:cs="宋体"/>
                <w:b w:val="0"/>
                <w:bCs w:val="0"/>
                <w:color w:val="auto"/>
                <w:kern w:val="2"/>
                <w:sz w:val="22"/>
                <w:szCs w:val="22"/>
                <w:highlight w:val="none"/>
                <w:lang w:val="en-US" w:eastAsia="zh-CN" w:bidi="ar-SA"/>
              </w:rPr>
              <w:t>、项目负责人（本项最高得2分）：</w:t>
            </w:r>
          </w:p>
          <w:p w14:paraId="3EFE1514">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具备公路工程专业或机电工程专业二级及以上注册建造师证书得2分。</w:t>
            </w:r>
          </w:p>
          <w:p w14:paraId="71BE2D2B">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2、项目技术负责人（本项最高得1分）：</w:t>
            </w:r>
          </w:p>
          <w:p w14:paraId="5EC1447E">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具有公路工程相关专业或机电工程相关专业中级及以上技术职称的得1分。</w:t>
            </w:r>
          </w:p>
          <w:p w14:paraId="0015E2EF">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3、项目组人员（除项目负责人、项目技术负责人以外）具有电工证、交通厅安全员C证、高空作业证（或高处作业证）的，每提供一类证书得1分，本项最高得3分。</w:t>
            </w:r>
          </w:p>
          <w:p w14:paraId="616C6171">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bCs w:val="0"/>
                <w:color w:val="auto"/>
                <w:kern w:val="2"/>
                <w:sz w:val="22"/>
                <w:szCs w:val="22"/>
                <w:highlight w:val="none"/>
                <w:lang w:val="en-US" w:eastAsia="zh-CN"/>
              </w:rPr>
              <w:t>注：以上人员不重复兼任，须提供各人员相关证书复印件加盖投标供应商公章；所有人员需提供由社会保障部门出具的距投标截止时间近3个月内任一月份的本单位社保证明复印件加盖投标供应商公章</w:t>
            </w:r>
            <w:r>
              <w:rPr>
                <w:rFonts w:hint="eastAsia" w:cs="宋体"/>
                <w:b/>
                <w:bCs w:val="0"/>
                <w:color w:val="auto"/>
                <w:kern w:val="2"/>
                <w:sz w:val="22"/>
                <w:szCs w:val="22"/>
                <w:highlight w:val="none"/>
                <w:lang w:val="en-US" w:eastAsia="zh-CN"/>
              </w:rPr>
              <w:t>，否则不得分</w:t>
            </w:r>
            <w:r>
              <w:rPr>
                <w:rFonts w:hint="eastAsia" w:ascii="宋体" w:hAnsi="宋体" w:eastAsia="宋体" w:cs="宋体"/>
                <w:b/>
                <w:bCs w:val="0"/>
                <w:color w:val="auto"/>
                <w:kern w:val="2"/>
                <w:sz w:val="22"/>
                <w:szCs w:val="22"/>
                <w:highlight w:val="none"/>
                <w:lang w:val="en-US" w:eastAsia="zh-CN"/>
              </w:rPr>
              <w:t>。</w:t>
            </w:r>
          </w:p>
        </w:tc>
      </w:tr>
      <w:tr w14:paraId="0404E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noWrap w:val="0"/>
            <w:vAlign w:val="center"/>
          </w:tcPr>
          <w:p w14:paraId="0D41273A">
            <w:pPr>
              <w:spacing w:line="360" w:lineRule="exact"/>
              <w:jc w:val="center"/>
              <w:rPr>
                <w:rFonts w:hint="default"/>
                <w:color w:val="auto"/>
                <w:sz w:val="22"/>
                <w:szCs w:val="22"/>
                <w:highlight w:val="none"/>
                <w:lang w:val="en-US" w:eastAsia="zh-CN"/>
              </w:rPr>
            </w:pPr>
            <w:r>
              <w:rPr>
                <w:rFonts w:hint="eastAsia"/>
                <w:color w:val="auto"/>
                <w:sz w:val="22"/>
                <w:szCs w:val="22"/>
                <w:highlight w:val="none"/>
                <w:lang w:val="en-US" w:eastAsia="zh-CN"/>
              </w:rPr>
              <w:t>4</w:t>
            </w:r>
          </w:p>
        </w:tc>
        <w:tc>
          <w:tcPr>
            <w:tcW w:w="704" w:type="pct"/>
            <w:tcBorders>
              <w:top w:val="single" w:color="auto" w:sz="8" w:space="0"/>
              <w:bottom w:val="single" w:color="auto" w:sz="4" w:space="0"/>
            </w:tcBorders>
            <w:noWrap w:val="0"/>
            <w:vAlign w:val="center"/>
          </w:tcPr>
          <w:p w14:paraId="1A0C89A4">
            <w:pPr>
              <w:jc w:val="center"/>
              <w:rPr>
                <w:rFonts w:hint="eastAsia"/>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bidi="ar-SA"/>
              </w:rPr>
              <w:t>人员</w:t>
            </w:r>
            <w:r>
              <w:rPr>
                <w:rFonts w:hint="eastAsia" w:cs="宋体"/>
                <w:b w:val="0"/>
                <w:bCs/>
                <w:color w:val="auto"/>
                <w:sz w:val="22"/>
                <w:szCs w:val="22"/>
                <w:highlight w:val="none"/>
                <w:lang w:val="en-US" w:eastAsia="zh-CN" w:bidi="ar-SA"/>
              </w:rPr>
              <w:t>组织能力</w:t>
            </w:r>
          </w:p>
        </w:tc>
        <w:tc>
          <w:tcPr>
            <w:tcW w:w="482" w:type="pct"/>
            <w:tcBorders>
              <w:top w:val="single" w:color="auto" w:sz="8" w:space="0"/>
              <w:bottom w:val="single" w:color="auto" w:sz="8" w:space="0"/>
              <w:right w:val="single" w:color="auto" w:sz="6" w:space="0"/>
            </w:tcBorders>
            <w:noWrap w:val="0"/>
            <w:vAlign w:val="center"/>
          </w:tcPr>
          <w:p w14:paraId="514585E5">
            <w:pPr>
              <w:jc w:val="center"/>
              <w:rPr>
                <w:rFonts w:hint="eastAsia" w:eastAsia="宋体"/>
                <w:color w:val="auto"/>
                <w:sz w:val="22"/>
                <w:szCs w:val="22"/>
                <w:highlight w:val="none"/>
                <w:lang w:val="en-US" w:eastAsia="zh-CN"/>
              </w:rPr>
            </w:pPr>
            <w:r>
              <w:rPr>
                <w:rFonts w:hint="eastAsia" w:eastAsia="宋体"/>
                <w:color w:val="auto"/>
                <w:sz w:val="22"/>
                <w:szCs w:val="22"/>
                <w:highlight w:val="none"/>
                <w:lang w:val="en-US" w:eastAsia="zh-CN"/>
              </w:rPr>
              <w:t>3</w:t>
            </w:r>
          </w:p>
        </w:tc>
        <w:tc>
          <w:tcPr>
            <w:tcW w:w="3512" w:type="pct"/>
            <w:tcBorders>
              <w:top w:val="single" w:color="auto" w:sz="8" w:space="0"/>
              <w:bottom w:val="single" w:color="auto" w:sz="8" w:space="0"/>
            </w:tcBorders>
            <w:noWrap w:val="0"/>
            <w:vAlign w:val="center"/>
          </w:tcPr>
          <w:p w14:paraId="19601D4E">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bCs/>
                <w:color w:val="auto"/>
                <w:sz w:val="22"/>
                <w:szCs w:val="22"/>
                <w:highlight w:val="none"/>
              </w:rPr>
              <w:t>供应商根据投入人员</w:t>
            </w:r>
            <w:r>
              <w:rPr>
                <w:rFonts w:hint="eastAsia"/>
                <w:bCs/>
                <w:color w:val="auto"/>
                <w:sz w:val="22"/>
                <w:szCs w:val="22"/>
                <w:highlight w:val="none"/>
                <w:lang w:val="en-US" w:eastAsia="zh-CN"/>
              </w:rPr>
              <w:t>安装、调试及维护阶段</w:t>
            </w:r>
            <w:r>
              <w:rPr>
                <w:bCs/>
                <w:color w:val="auto"/>
                <w:sz w:val="22"/>
                <w:szCs w:val="22"/>
                <w:highlight w:val="none"/>
              </w:rPr>
              <w:t>的响应速度、服务流程简便性</w:t>
            </w:r>
            <w:r>
              <w:rPr>
                <w:rFonts w:hint="eastAsia"/>
                <w:bCs/>
                <w:color w:val="auto"/>
                <w:sz w:val="22"/>
                <w:szCs w:val="22"/>
                <w:highlight w:val="none"/>
                <w:lang w:eastAsia="zh-CN"/>
              </w:rPr>
              <w:t>、</w:t>
            </w:r>
            <w:r>
              <w:rPr>
                <w:bCs/>
                <w:color w:val="auto"/>
                <w:sz w:val="22"/>
                <w:szCs w:val="22"/>
                <w:highlight w:val="none"/>
              </w:rPr>
              <w:t>团队协作能力、冲突解决能力等方面合理性进行评分（评分范围</w:t>
            </w:r>
            <w:r>
              <w:rPr>
                <w:rFonts w:hint="eastAsia"/>
                <w:bCs/>
                <w:color w:val="auto"/>
                <w:sz w:val="22"/>
                <w:szCs w:val="22"/>
                <w:highlight w:val="none"/>
                <w:lang w:val="en-US" w:eastAsia="zh-CN"/>
              </w:rPr>
              <w:t>3、</w:t>
            </w:r>
            <w:r>
              <w:rPr>
                <w:bCs/>
                <w:color w:val="auto"/>
                <w:sz w:val="22"/>
                <w:szCs w:val="22"/>
                <w:highlight w:val="none"/>
              </w:rPr>
              <w:t>2、1、0</w:t>
            </w:r>
            <w:r>
              <w:rPr>
                <w:rFonts w:hint="eastAsia"/>
                <w:bCs/>
                <w:color w:val="auto"/>
                <w:sz w:val="22"/>
                <w:szCs w:val="22"/>
                <w:highlight w:val="none"/>
                <w:lang w:eastAsia="zh-CN"/>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bCs/>
                <w:color w:val="auto"/>
                <w:sz w:val="22"/>
                <w:szCs w:val="22"/>
                <w:highlight w:val="none"/>
              </w:rPr>
              <w:t>）</w:t>
            </w:r>
          </w:p>
        </w:tc>
      </w:tr>
      <w:tr w14:paraId="10310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noWrap w:val="0"/>
            <w:vAlign w:val="center"/>
          </w:tcPr>
          <w:p w14:paraId="63435E3C">
            <w:pPr>
              <w:spacing w:line="360" w:lineRule="exact"/>
              <w:jc w:val="center"/>
              <w:rPr>
                <w:rFonts w:hint="default"/>
                <w:color w:val="auto"/>
                <w:sz w:val="22"/>
                <w:szCs w:val="22"/>
                <w:highlight w:val="none"/>
                <w:lang w:val="en-US" w:eastAsia="zh-CN"/>
              </w:rPr>
            </w:pPr>
            <w:r>
              <w:rPr>
                <w:rFonts w:hint="eastAsia"/>
                <w:color w:val="auto"/>
                <w:sz w:val="22"/>
                <w:szCs w:val="22"/>
                <w:highlight w:val="none"/>
                <w:lang w:val="en-US" w:eastAsia="zh-CN"/>
              </w:rPr>
              <w:t>5</w:t>
            </w:r>
          </w:p>
        </w:tc>
        <w:tc>
          <w:tcPr>
            <w:tcW w:w="704" w:type="pct"/>
            <w:tcBorders>
              <w:top w:val="single" w:color="auto" w:sz="8" w:space="0"/>
              <w:bottom w:val="single" w:color="auto" w:sz="4" w:space="0"/>
            </w:tcBorders>
            <w:noWrap w:val="0"/>
            <w:vAlign w:val="center"/>
          </w:tcPr>
          <w:p w14:paraId="75869507">
            <w:pPr>
              <w:jc w:val="center"/>
              <w:rPr>
                <w:rFonts w:hint="default"/>
                <w:color w:val="auto"/>
                <w:sz w:val="22"/>
                <w:szCs w:val="22"/>
                <w:highlight w:val="none"/>
                <w:lang w:val="en-US" w:eastAsia="zh-CN"/>
              </w:rPr>
            </w:pPr>
            <w:r>
              <w:rPr>
                <w:rFonts w:hint="eastAsia"/>
                <w:color w:val="auto"/>
                <w:sz w:val="22"/>
                <w:szCs w:val="22"/>
                <w:highlight w:val="none"/>
                <w:lang w:val="en-US" w:eastAsia="zh-CN"/>
              </w:rPr>
              <w:t>重难点分析</w:t>
            </w:r>
          </w:p>
        </w:tc>
        <w:tc>
          <w:tcPr>
            <w:tcW w:w="482" w:type="pct"/>
            <w:tcBorders>
              <w:top w:val="single" w:color="auto" w:sz="8" w:space="0"/>
              <w:bottom w:val="single" w:color="auto" w:sz="8" w:space="0"/>
              <w:right w:val="single" w:color="auto" w:sz="6" w:space="0"/>
            </w:tcBorders>
            <w:noWrap w:val="0"/>
            <w:vAlign w:val="center"/>
          </w:tcPr>
          <w:p w14:paraId="7691232D">
            <w:pPr>
              <w:jc w:val="center"/>
              <w:rPr>
                <w:rFonts w:hint="default" w:eastAsia="宋体"/>
                <w:color w:val="auto"/>
                <w:sz w:val="22"/>
                <w:szCs w:val="22"/>
                <w:highlight w:val="none"/>
                <w:lang w:val="en-US" w:eastAsia="zh-CN"/>
              </w:rPr>
            </w:pPr>
            <w:r>
              <w:rPr>
                <w:rFonts w:hint="eastAsia" w:eastAsia="宋体"/>
                <w:color w:val="auto"/>
                <w:sz w:val="22"/>
                <w:szCs w:val="22"/>
                <w:highlight w:val="none"/>
                <w:lang w:val="en-US" w:eastAsia="zh-CN"/>
              </w:rPr>
              <w:t>5</w:t>
            </w:r>
          </w:p>
        </w:tc>
        <w:tc>
          <w:tcPr>
            <w:tcW w:w="3512" w:type="pct"/>
            <w:tcBorders>
              <w:top w:val="single" w:color="auto" w:sz="8" w:space="0"/>
              <w:bottom w:val="single" w:color="auto" w:sz="8" w:space="0"/>
            </w:tcBorders>
            <w:noWrap w:val="0"/>
            <w:vAlign w:val="center"/>
          </w:tcPr>
          <w:p w14:paraId="0684401E">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根据供应商针对本项目现状调查与特点、难点、突发情况等情况做出的具体承诺及所采用的流程、标准、具体实施计划，由专家打分。</w:t>
            </w:r>
          </w:p>
          <w:p w14:paraId="225BB5FB">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①评标委员会根据现状与特点、难点、突发情况分析等方面科学合理性进行评分（评分范围3、2、1、0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p w14:paraId="655C8681">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②评标委员会根据本项目特点、难点、突发情况等情况做出的具体承诺及所采用的流程、标准、具体实施计划等方面科学合理性进行评分（评分范围2、1、0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tc>
      </w:tr>
      <w:tr w14:paraId="6E212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300" w:type="pct"/>
            <w:vMerge w:val="restart"/>
            <w:noWrap w:val="0"/>
            <w:vAlign w:val="center"/>
          </w:tcPr>
          <w:p w14:paraId="36CA136D">
            <w:pPr>
              <w:spacing w:line="360" w:lineRule="exact"/>
              <w:jc w:val="center"/>
              <w:rPr>
                <w:rFonts w:hint="default" w:ascii="宋体" w:hAnsi="宋体" w:eastAsia="宋体" w:cs="宋体"/>
                <w:color w:val="auto"/>
                <w:sz w:val="22"/>
                <w:szCs w:val="22"/>
                <w:highlight w:val="none"/>
                <w:lang w:val="en-US" w:eastAsia="zh-CN" w:bidi="ar-SA"/>
              </w:rPr>
            </w:pPr>
            <w:r>
              <w:rPr>
                <w:rFonts w:hint="eastAsia" w:cs="宋体"/>
                <w:color w:val="auto"/>
                <w:sz w:val="22"/>
                <w:szCs w:val="22"/>
                <w:highlight w:val="none"/>
                <w:lang w:val="en-US" w:eastAsia="zh-CN" w:bidi="ar-SA"/>
              </w:rPr>
              <w:t>6</w:t>
            </w:r>
          </w:p>
        </w:tc>
        <w:tc>
          <w:tcPr>
            <w:tcW w:w="704" w:type="pct"/>
            <w:vMerge w:val="restart"/>
            <w:tcBorders>
              <w:top w:val="single" w:color="auto" w:sz="8" w:space="0"/>
            </w:tcBorders>
            <w:noWrap w:val="0"/>
            <w:vAlign w:val="center"/>
          </w:tcPr>
          <w:p w14:paraId="119D1EBC">
            <w:pPr>
              <w:jc w:val="center"/>
              <w:rPr>
                <w:rFonts w:hint="eastAsia"/>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bidi="ar-SA"/>
              </w:rPr>
              <w:t>技术方案</w:t>
            </w:r>
          </w:p>
        </w:tc>
        <w:tc>
          <w:tcPr>
            <w:tcW w:w="482" w:type="pct"/>
            <w:tcBorders>
              <w:top w:val="single" w:color="auto" w:sz="8" w:space="0"/>
              <w:bottom w:val="single" w:color="auto" w:sz="8" w:space="0"/>
              <w:right w:val="single" w:color="auto" w:sz="6" w:space="0"/>
            </w:tcBorders>
            <w:noWrap w:val="0"/>
            <w:vAlign w:val="center"/>
          </w:tcPr>
          <w:p w14:paraId="06224533">
            <w:pPr>
              <w:jc w:val="center"/>
              <w:rPr>
                <w:rFonts w:hint="default" w:eastAsia="宋体"/>
                <w:color w:val="auto"/>
                <w:sz w:val="22"/>
                <w:szCs w:val="22"/>
                <w:highlight w:val="none"/>
                <w:lang w:val="en-US" w:eastAsia="zh-CN"/>
              </w:rPr>
            </w:pPr>
            <w:r>
              <w:rPr>
                <w:rFonts w:hint="eastAsia" w:eastAsia="宋体"/>
                <w:color w:val="auto"/>
                <w:sz w:val="22"/>
                <w:szCs w:val="22"/>
                <w:highlight w:val="none"/>
                <w:lang w:val="en-US" w:eastAsia="zh-CN"/>
              </w:rPr>
              <w:t>5</w:t>
            </w:r>
          </w:p>
        </w:tc>
        <w:tc>
          <w:tcPr>
            <w:tcW w:w="3512" w:type="pct"/>
            <w:tcBorders>
              <w:top w:val="single" w:color="auto" w:sz="8" w:space="0"/>
              <w:bottom w:val="single" w:color="auto" w:sz="8" w:space="0"/>
            </w:tcBorders>
            <w:noWrap w:val="0"/>
            <w:vAlign w:val="center"/>
          </w:tcPr>
          <w:p w14:paraId="2D4BE975">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根据投标供应商技术方案的合理性，叙述的准确性，结构图、流程图、系统图等的完整性、准确性、规范性，方案的内容对实际需求的符合性打分。</w:t>
            </w:r>
          </w:p>
          <w:p w14:paraId="5424FF17">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①评标委员会根据技术方案的合理性，叙述的准确性等方面科学合理性进行评分（评分范围3、2、1、0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p w14:paraId="67BBD5C7">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②评标委员会根据技术方案的结构图、流程图、系统图等的完整性、准确性、规范性等方面科学合理性进行评分（评分范围2、1、0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tc>
      </w:tr>
      <w:tr w14:paraId="4AA2A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300" w:type="pct"/>
            <w:vMerge w:val="continue"/>
            <w:noWrap w:val="0"/>
            <w:vAlign w:val="center"/>
          </w:tcPr>
          <w:p w14:paraId="2324F26E">
            <w:pPr>
              <w:spacing w:line="360" w:lineRule="exact"/>
              <w:jc w:val="center"/>
              <w:rPr>
                <w:rFonts w:hint="eastAsia"/>
                <w:color w:val="auto"/>
                <w:sz w:val="22"/>
                <w:szCs w:val="22"/>
                <w:highlight w:val="none"/>
                <w:lang w:val="en-US" w:eastAsia="zh-CN"/>
              </w:rPr>
            </w:pPr>
          </w:p>
        </w:tc>
        <w:tc>
          <w:tcPr>
            <w:tcW w:w="704" w:type="pct"/>
            <w:vMerge w:val="continue"/>
            <w:noWrap w:val="0"/>
            <w:vAlign w:val="center"/>
          </w:tcPr>
          <w:p w14:paraId="4125BDA7">
            <w:pPr>
              <w:jc w:val="center"/>
              <w:rPr>
                <w:rFonts w:hint="eastAsia" w:ascii="宋体" w:hAnsi="宋体" w:eastAsia="宋体" w:cs="宋体"/>
                <w:b w:val="0"/>
                <w:bCs/>
                <w:color w:val="auto"/>
                <w:sz w:val="22"/>
                <w:szCs w:val="22"/>
                <w:highlight w:val="none"/>
                <w:lang w:val="en-US" w:eastAsia="zh-CN" w:bidi="ar-SA"/>
              </w:rPr>
            </w:pPr>
          </w:p>
        </w:tc>
        <w:tc>
          <w:tcPr>
            <w:tcW w:w="482" w:type="pct"/>
            <w:tcBorders>
              <w:top w:val="single" w:color="auto" w:sz="8" w:space="0"/>
              <w:bottom w:val="single" w:color="auto" w:sz="8" w:space="0"/>
              <w:right w:val="single" w:color="auto" w:sz="6" w:space="0"/>
            </w:tcBorders>
            <w:noWrap w:val="0"/>
            <w:vAlign w:val="center"/>
          </w:tcPr>
          <w:p w14:paraId="55360823">
            <w:pPr>
              <w:jc w:val="center"/>
              <w:rPr>
                <w:rFonts w:hint="default" w:eastAsia="宋体"/>
                <w:color w:val="auto"/>
                <w:sz w:val="22"/>
                <w:szCs w:val="22"/>
                <w:highlight w:val="none"/>
                <w:lang w:val="en-US" w:eastAsia="zh-CN"/>
              </w:rPr>
            </w:pPr>
            <w:r>
              <w:rPr>
                <w:rFonts w:hint="eastAsia" w:eastAsia="宋体"/>
                <w:color w:val="auto"/>
                <w:sz w:val="22"/>
                <w:szCs w:val="22"/>
                <w:highlight w:val="none"/>
                <w:lang w:val="en-US" w:eastAsia="zh-CN"/>
              </w:rPr>
              <w:t>5</w:t>
            </w:r>
          </w:p>
        </w:tc>
        <w:tc>
          <w:tcPr>
            <w:tcW w:w="3512" w:type="pct"/>
            <w:tcBorders>
              <w:top w:val="single" w:color="auto" w:sz="8" w:space="0"/>
              <w:bottom w:val="single" w:color="auto" w:sz="8" w:space="0"/>
            </w:tcBorders>
            <w:noWrap w:val="0"/>
            <w:vAlign w:val="center"/>
          </w:tcPr>
          <w:p w14:paraId="00B09FBF">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根据供应商针本项目提供的质量管理方案是否科学合理可行，由专家打分。</w:t>
            </w:r>
          </w:p>
          <w:p w14:paraId="03D5CDF2">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①评标委员会根据质量管理目标、制度等方面合理性进行评分（评分范围3、2、1、0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p w14:paraId="7EF9A8B0">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②评标委员会根据质量保证措施等方面合理性进行评分（评分范围2、1、0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tc>
      </w:tr>
      <w:tr w14:paraId="2F623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300" w:type="pct"/>
            <w:vMerge w:val="continue"/>
            <w:noWrap w:val="0"/>
            <w:vAlign w:val="center"/>
          </w:tcPr>
          <w:p w14:paraId="70F1A736">
            <w:pPr>
              <w:spacing w:line="360" w:lineRule="exact"/>
              <w:jc w:val="center"/>
              <w:rPr>
                <w:rFonts w:hint="eastAsia"/>
                <w:color w:val="auto"/>
                <w:sz w:val="22"/>
                <w:szCs w:val="22"/>
                <w:highlight w:val="none"/>
                <w:lang w:val="en-US" w:eastAsia="zh-CN"/>
              </w:rPr>
            </w:pPr>
          </w:p>
        </w:tc>
        <w:tc>
          <w:tcPr>
            <w:tcW w:w="704" w:type="pct"/>
            <w:vMerge w:val="continue"/>
            <w:noWrap w:val="0"/>
            <w:vAlign w:val="center"/>
          </w:tcPr>
          <w:p w14:paraId="377D6DA4">
            <w:pPr>
              <w:jc w:val="center"/>
              <w:rPr>
                <w:rFonts w:hint="eastAsia" w:ascii="宋体" w:hAnsi="宋体" w:eastAsia="宋体" w:cs="宋体"/>
                <w:b w:val="0"/>
                <w:bCs/>
                <w:color w:val="auto"/>
                <w:sz w:val="22"/>
                <w:szCs w:val="22"/>
                <w:highlight w:val="none"/>
                <w:lang w:val="en-US" w:eastAsia="zh-CN" w:bidi="ar-SA"/>
              </w:rPr>
            </w:pPr>
          </w:p>
        </w:tc>
        <w:tc>
          <w:tcPr>
            <w:tcW w:w="482" w:type="pct"/>
            <w:tcBorders>
              <w:top w:val="single" w:color="auto" w:sz="8" w:space="0"/>
              <w:bottom w:val="single" w:color="auto" w:sz="8" w:space="0"/>
              <w:right w:val="single" w:color="auto" w:sz="6" w:space="0"/>
            </w:tcBorders>
            <w:noWrap w:val="0"/>
            <w:vAlign w:val="center"/>
          </w:tcPr>
          <w:p w14:paraId="192EECFF">
            <w:pPr>
              <w:jc w:val="center"/>
              <w:rPr>
                <w:rFonts w:hint="default" w:eastAsia="宋体"/>
                <w:color w:val="auto"/>
                <w:sz w:val="22"/>
                <w:szCs w:val="22"/>
                <w:highlight w:val="none"/>
                <w:lang w:val="en-US" w:eastAsia="zh-CN"/>
              </w:rPr>
            </w:pPr>
            <w:r>
              <w:rPr>
                <w:rFonts w:hint="eastAsia" w:eastAsia="宋体"/>
                <w:color w:val="auto"/>
                <w:sz w:val="22"/>
                <w:szCs w:val="22"/>
                <w:highlight w:val="none"/>
                <w:lang w:val="en-US" w:eastAsia="zh-CN"/>
              </w:rPr>
              <w:t>5</w:t>
            </w:r>
          </w:p>
        </w:tc>
        <w:tc>
          <w:tcPr>
            <w:tcW w:w="3512" w:type="pct"/>
            <w:tcBorders>
              <w:top w:val="single" w:color="auto" w:sz="8" w:space="0"/>
              <w:bottom w:val="single" w:color="auto" w:sz="8" w:space="0"/>
            </w:tcBorders>
            <w:noWrap w:val="0"/>
            <w:vAlign w:val="center"/>
          </w:tcPr>
          <w:p w14:paraId="1AFB65CA">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根据供应商针本项目提供的安全生产</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en-US" w:eastAsia="zh-CN" w:bidi="ar-SA"/>
              </w:rPr>
              <w:t>环保文明作业方案是否科学合理可行，由专家打分。</w:t>
            </w:r>
          </w:p>
          <w:p w14:paraId="2B309847">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①评标委员会根据供应商提供的安全生产方案等方面合理性进行评分（评分范围3、2、1、0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p w14:paraId="69BD2E69">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②评标委员会根据供应商提供的环保文明作业方案等方面合理性进行评分（评分范围2、1、0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tc>
      </w:tr>
      <w:tr w14:paraId="40478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vMerge w:val="continue"/>
            <w:noWrap w:val="0"/>
            <w:vAlign w:val="center"/>
          </w:tcPr>
          <w:p w14:paraId="75D5BAF9">
            <w:pPr>
              <w:spacing w:line="360" w:lineRule="exact"/>
              <w:jc w:val="center"/>
              <w:rPr>
                <w:rFonts w:hint="eastAsia" w:ascii="宋体" w:hAnsi="宋体" w:eastAsia="宋体" w:cs="宋体"/>
                <w:color w:val="auto"/>
                <w:sz w:val="22"/>
                <w:szCs w:val="22"/>
                <w:highlight w:val="none"/>
                <w:lang w:val="en-US" w:eastAsia="zh-CN" w:bidi="ar-SA"/>
              </w:rPr>
            </w:pPr>
          </w:p>
        </w:tc>
        <w:tc>
          <w:tcPr>
            <w:tcW w:w="704" w:type="pct"/>
            <w:vMerge w:val="continue"/>
            <w:noWrap w:val="0"/>
            <w:vAlign w:val="center"/>
          </w:tcPr>
          <w:p w14:paraId="4ECC54D2">
            <w:pPr>
              <w:spacing w:line="280" w:lineRule="exact"/>
              <w:rPr>
                <w:rFonts w:hint="eastAsia" w:ascii="宋体" w:hAnsi="宋体" w:cs="宋体"/>
                <w:bCs/>
                <w:color w:val="auto"/>
                <w:sz w:val="22"/>
                <w:szCs w:val="22"/>
                <w:highlight w:val="none"/>
                <w:lang w:val="en-US" w:eastAsia="zh-CN" w:bidi="ar-SA"/>
              </w:rPr>
            </w:pPr>
          </w:p>
        </w:tc>
        <w:tc>
          <w:tcPr>
            <w:tcW w:w="482" w:type="pct"/>
            <w:tcBorders>
              <w:top w:val="single" w:color="auto" w:sz="8" w:space="0"/>
              <w:right w:val="single" w:color="auto" w:sz="6" w:space="0"/>
            </w:tcBorders>
            <w:noWrap w:val="0"/>
            <w:vAlign w:val="center"/>
          </w:tcPr>
          <w:p w14:paraId="74B4398B">
            <w:pPr>
              <w:spacing w:line="280" w:lineRule="exact"/>
              <w:jc w:val="center"/>
              <w:rPr>
                <w:rFonts w:hint="default" w:ascii="宋体" w:hAnsi="宋体" w:cs="宋体"/>
                <w:bCs/>
                <w:color w:val="auto"/>
                <w:sz w:val="22"/>
                <w:szCs w:val="22"/>
                <w:highlight w:val="none"/>
                <w:lang w:val="en-US" w:eastAsia="zh-CN" w:bidi="ar-SA"/>
              </w:rPr>
            </w:pPr>
            <w:r>
              <w:rPr>
                <w:rFonts w:hint="eastAsia"/>
                <w:bCs/>
                <w:color w:val="auto"/>
                <w:sz w:val="22"/>
                <w:szCs w:val="22"/>
                <w:highlight w:val="none"/>
              </w:rPr>
              <w:t>5</w:t>
            </w:r>
          </w:p>
        </w:tc>
        <w:tc>
          <w:tcPr>
            <w:tcW w:w="3512" w:type="pct"/>
            <w:tcBorders>
              <w:top w:val="single" w:color="auto" w:sz="8" w:space="0"/>
              <w:bottom w:val="single" w:color="auto" w:sz="4" w:space="0"/>
            </w:tcBorders>
            <w:noWrap w:val="0"/>
            <w:vAlign w:val="center"/>
          </w:tcPr>
          <w:p w14:paraId="2AC3B417">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根据供应商针对本项目采用的进度计划方案进行打分。</w:t>
            </w:r>
          </w:p>
          <w:p w14:paraId="6BC4BD10">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①评标委员会根据进度计划的目标明确性、规划合理性等方面合理性进行评分（评分范围3、2、1、0</w:t>
            </w:r>
            <w:r>
              <w:rPr>
                <w:rFonts w:hint="eastAsia" w:cs="宋体"/>
                <w:color w:val="auto"/>
                <w:sz w:val="22"/>
                <w:szCs w:val="22"/>
                <w:highlight w:val="none"/>
                <w:lang w:val="en-US" w:eastAsia="zh-CN"/>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color w:val="auto"/>
                <w:sz w:val="22"/>
                <w:szCs w:val="22"/>
                <w:highlight w:val="none"/>
                <w:lang w:val="en-US" w:eastAsia="zh-CN"/>
              </w:rPr>
              <w:t>）</w:t>
            </w:r>
          </w:p>
          <w:p w14:paraId="2DE494AB">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textAlignment w:val="auto"/>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rPr>
              <w:t>②评标委员会根据进度计划的时间节点安排等方面合理性进行评分（评分范围2、1、0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color w:val="auto"/>
                <w:sz w:val="22"/>
                <w:szCs w:val="22"/>
                <w:highlight w:val="none"/>
                <w:lang w:val="en-US" w:eastAsia="zh-CN"/>
              </w:rPr>
              <w:t>）</w:t>
            </w:r>
          </w:p>
        </w:tc>
      </w:tr>
      <w:tr w14:paraId="0E702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noWrap w:val="0"/>
            <w:vAlign w:val="center"/>
          </w:tcPr>
          <w:p w14:paraId="5250D82D">
            <w:pPr>
              <w:spacing w:line="360" w:lineRule="exact"/>
              <w:jc w:val="center"/>
              <w:rPr>
                <w:rFonts w:hint="default" w:ascii="宋体" w:hAnsi="宋体" w:eastAsia="宋体" w:cs="宋体"/>
                <w:color w:val="auto"/>
                <w:sz w:val="22"/>
                <w:szCs w:val="22"/>
                <w:highlight w:val="none"/>
                <w:lang w:val="en-US" w:eastAsia="zh-CN" w:bidi="ar-SA"/>
              </w:rPr>
            </w:pPr>
            <w:r>
              <w:rPr>
                <w:rFonts w:hint="eastAsia" w:cs="宋体"/>
                <w:color w:val="auto"/>
                <w:sz w:val="22"/>
                <w:szCs w:val="22"/>
                <w:highlight w:val="none"/>
                <w:lang w:val="en-US" w:eastAsia="zh-CN" w:bidi="ar-SA"/>
              </w:rPr>
              <w:t>7</w:t>
            </w:r>
          </w:p>
        </w:tc>
        <w:tc>
          <w:tcPr>
            <w:tcW w:w="704" w:type="pct"/>
            <w:tcBorders>
              <w:top w:val="single" w:color="auto" w:sz="4" w:space="0"/>
              <w:bottom w:val="single" w:color="auto" w:sz="4" w:space="0"/>
            </w:tcBorders>
            <w:noWrap w:val="0"/>
            <w:vAlign w:val="center"/>
          </w:tcPr>
          <w:p w14:paraId="73B419E3">
            <w:pPr>
              <w:spacing w:line="280" w:lineRule="exact"/>
              <w:rPr>
                <w:rFonts w:hint="eastAsia" w:ascii="宋体" w:hAnsi="宋体" w:cs="宋体"/>
                <w:bCs/>
                <w:color w:val="auto"/>
                <w:sz w:val="22"/>
                <w:szCs w:val="22"/>
                <w:highlight w:val="none"/>
                <w:lang w:val="en-US" w:eastAsia="zh-CN" w:bidi="ar-SA"/>
              </w:rPr>
            </w:pPr>
            <w:r>
              <w:rPr>
                <w:bCs/>
                <w:color w:val="auto"/>
                <w:sz w:val="22"/>
                <w:szCs w:val="22"/>
                <w:highlight w:val="none"/>
              </w:rPr>
              <w:t>保持员工队伍稳定措施</w:t>
            </w:r>
          </w:p>
        </w:tc>
        <w:tc>
          <w:tcPr>
            <w:tcW w:w="482" w:type="pct"/>
            <w:tcBorders>
              <w:top w:val="single" w:color="auto" w:sz="8" w:space="0"/>
              <w:bottom w:val="single" w:color="auto" w:sz="8" w:space="0"/>
              <w:right w:val="single" w:color="auto" w:sz="6" w:space="0"/>
            </w:tcBorders>
            <w:noWrap w:val="0"/>
            <w:vAlign w:val="center"/>
          </w:tcPr>
          <w:p w14:paraId="51C86169">
            <w:pPr>
              <w:spacing w:line="280" w:lineRule="exact"/>
              <w:jc w:val="center"/>
              <w:rPr>
                <w:rFonts w:hint="default" w:ascii="宋体" w:hAnsi="宋体" w:cs="宋体"/>
                <w:bCs/>
                <w:color w:val="auto"/>
                <w:sz w:val="22"/>
                <w:szCs w:val="22"/>
                <w:highlight w:val="none"/>
                <w:lang w:val="en-US" w:eastAsia="zh-CN" w:bidi="ar-SA"/>
              </w:rPr>
            </w:pPr>
            <w:r>
              <w:rPr>
                <w:rFonts w:hint="eastAsia" w:cs="宋体"/>
                <w:bCs/>
                <w:color w:val="auto"/>
                <w:sz w:val="22"/>
                <w:szCs w:val="22"/>
                <w:highlight w:val="none"/>
                <w:lang w:val="en-US" w:eastAsia="zh-CN" w:bidi="ar-SA"/>
              </w:rPr>
              <w:t>3</w:t>
            </w:r>
          </w:p>
        </w:tc>
        <w:tc>
          <w:tcPr>
            <w:tcW w:w="3512" w:type="pct"/>
            <w:tcBorders>
              <w:top w:val="single" w:color="auto" w:sz="8" w:space="0"/>
              <w:bottom w:val="single" w:color="auto" w:sz="8" w:space="0"/>
            </w:tcBorders>
            <w:noWrap w:val="0"/>
            <w:vAlign w:val="top"/>
          </w:tcPr>
          <w:p w14:paraId="0324EC88">
            <w:pPr>
              <w:spacing w:line="288" w:lineRule="auto"/>
              <w:ind w:left="0" w:leftChars="0" w:firstLine="0" w:firstLineChars="0"/>
              <w:rPr>
                <w:rFonts w:hint="eastAsia" w:ascii="宋体" w:hAnsi="宋体" w:cs="宋体"/>
                <w:bCs/>
                <w:color w:val="auto"/>
                <w:sz w:val="22"/>
                <w:szCs w:val="22"/>
                <w:highlight w:val="none"/>
                <w:lang w:val="en-US" w:eastAsia="zh-CN" w:bidi="ar-SA"/>
              </w:rPr>
            </w:pPr>
            <w:r>
              <w:rPr>
                <w:bCs/>
                <w:color w:val="auto"/>
                <w:sz w:val="22"/>
                <w:szCs w:val="22"/>
                <w:highlight w:val="none"/>
              </w:rPr>
              <w:t>供应商根据稳定员工队伍措施的可行性（包括员工工资模式、薪酬构成、工资发放标准、福利待遇、社保缴纳、高温补贴、污染防尘补贴等情况）等方面合理性进行评分（评分范围3、2、1、0</w:t>
            </w:r>
            <w:r>
              <w:rPr>
                <w:rFonts w:hint="eastAsia"/>
                <w:bCs/>
                <w:color w:val="auto"/>
                <w:sz w:val="22"/>
                <w:szCs w:val="22"/>
                <w:highlight w:val="none"/>
                <w:lang w:eastAsia="zh-CN"/>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bCs/>
                <w:color w:val="auto"/>
                <w:sz w:val="22"/>
                <w:szCs w:val="22"/>
                <w:highlight w:val="none"/>
              </w:rPr>
              <w:t>）</w:t>
            </w:r>
          </w:p>
        </w:tc>
      </w:tr>
      <w:tr w14:paraId="6882B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noWrap w:val="0"/>
            <w:vAlign w:val="center"/>
          </w:tcPr>
          <w:p w14:paraId="7B8388E2">
            <w:pPr>
              <w:spacing w:line="360" w:lineRule="exact"/>
              <w:jc w:val="center"/>
              <w:rPr>
                <w:rFonts w:hint="default" w:eastAsia="宋体"/>
                <w:color w:val="auto"/>
                <w:sz w:val="22"/>
                <w:szCs w:val="22"/>
                <w:highlight w:val="none"/>
                <w:lang w:val="en-US" w:eastAsia="zh-CN"/>
              </w:rPr>
            </w:pPr>
            <w:r>
              <w:rPr>
                <w:rFonts w:hint="eastAsia"/>
                <w:color w:val="auto"/>
                <w:sz w:val="22"/>
                <w:szCs w:val="22"/>
                <w:highlight w:val="none"/>
                <w:lang w:val="en-US" w:eastAsia="zh-CN"/>
              </w:rPr>
              <w:t>8</w:t>
            </w:r>
          </w:p>
        </w:tc>
        <w:tc>
          <w:tcPr>
            <w:tcW w:w="704" w:type="pct"/>
            <w:tcBorders>
              <w:top w:val="single" w:color="auto" w:sz="4" w:space="0"/>
              <w:bottom w:val="single" w:color="auto" w:sz="4" w:space="0"/>
            </w:tcBorders>
            <w:noWrap w:val="0"/>
            <w:vAlign w:val="center"/>
          </w:tcPr>
          <w:p w14:paraId="7CCB1AF7">
            <w:pPr>
              <w:spacing w:line="280" w:lineRule="exact"/>
              <w:rPr>
                <w:rFonts w:hint="eastAsia" w:ascii="宋体" w:hAnsi="宋体" w:cs="宋体"/>
                <w:bCs/>
                <w:color w:val="auto"/>
                <w:sz w:val="22"/>
                <w:szCs w:val="22"/>
                <w:highlight w:val="none"/>
                <w:lang w:val="en-US" w:eastAsia="zh-CN" w:bidi="ar-SA"/>
              </w:rPr>
            </w:pPr>
            <w:r>
              <w:rPr>
                <w:bCs/>
                <w:color w:val="auto"/>
                <w:sz w:val="22"/>
                <w:szCs w:val="22"/>
                <w:highlight w:val="none"/>
              </w:rPr>
              <w:t>各项管理规章制度及考核</w:t>
            </w:r>
          </w:p>
        </w:tc>
        <w:tc>
          <w:tcPr>
            <w:tcW w:w="482" w:type="pct"/>
            <w:tcBorders>
              <w:top w:val="single" w:color="auto" w:sz="8" w:space="0"/>
              <w:bottom w:val="single" w:color="auto" w:sz="8" w:space="0"/>
              <w:right w:val="single" w:color="auto" w:sz="6" w:space="0"/>
            </w:tcBorders>
            <w:noWrap w:val="0"/>
            <w:vAlign w:val="center"/>
          </w:tcPr>
          <w:p w14:paraId="441F100B">
            <w:pPr>
              <w:spacing w:line="280" w:lineRule="exact"/>
              <w:jc w:val="center"/>
              <w:rPr>
                <w:rFonts w:hint="eastAsia" w:ascii="宋体" w:hAnsi="宋体" w:cs="宋体"/>
                <w:bCs/>
                <w:color w:val="auto"/>
                <w:sz w:val="22"/>
                <w:szCs w:val="22"/>
                <w:highlight w:val="none"/>
                <w:lang w:val="en-US" w:eastAsia="zh-CN" w:bidi="ar-SA"/>
              </w:rPr>
            </w:pPr>
            <w:r>
              <w:rPr>
                <w:rFonts w:hint="eastAsia"/>
                <w:bCs/>
                <w:color w:val="auto"/>
                <w:sz w:val="22"/>
                <w:szCs w:val="22"/>
                <w:highlight w:val="none"/>
                <w:lang w:val="en-US" w:eastAsia="zh-CN"/>
              </w:rPr>
              <w:t>5</w:t>
            </w:r>
          </w:p>
        </w:tc>
        <w:tc>
          <w:tcPr>
            <w:tcW w:w="3512" w:type="pct"/>
            <w:tcBorders>
              <w:top w:val="single" w:color="auto" w:sz="8" w:space="0"/>
              <w:bottom w:val="single" w:color="auto" w:sz="8" w:space="0"/>
            </w:tcBorders>
            <w:noWrap w:val="0"/>
            <w:vAlign w:val="top"/>
          </w:tcPr>
          <w:p w14:paraId="31F6F73B">
            <w:pPr>
              <w:spacing w:line="288" w:lineRule="auto"/>
              <w:ind w:left="0" w:leftChars="0" w:firstLine="0" w:firstLineChars="0"/>
              <w:rPr>
                <w:bCs/>
                <w:color w:val="auto"/>
                <w:sz w:val="22"/>
                <w:szCs w:val="22"/>
                <w:highlight w:val="none"/>
              </w:rPr>
            </w:pPr>
            <w:r>
              <w:rPr>
                <w:bCs/>
                <w:color w:val="auto"/>
                <w:sz w:val="22"/>
                <w:szCs w:val="22"/>
                <w:highlight w:val="none"/>
              </w:rPr>
              <w:t>各项规章制度、内部岗位责任制度、管理制度、考核制度及标准，由评委评分。</w:t>
            </w:r>
          </w:p>
          <w:p w14:paraId="4C1F3C8D">
            <w:pPr>
              <w:spacing w:line="288" w:lineRule="auto"/>
              <w:ind w:left="0" w:leftChars="0" w:firstLine="0" w:firstLineChars="0"/>
              <w:rPr>
                <w:bCs/>
                <w:color w:val="auto"/>
                <w:sz w:val="22"/>
                <w:szCs w:val="22"/>
                <w:highlight w:val="none"/>
              </w:rPr>
            </w:pPr>
            <w:r>
              <w:rPr>
                <w:bCs/>
                <w:color w:val="auto"/>
                <w:sz w:val="22"/>
                <w:szCs w:val="22"/>
                <w:highlight w:val="none"/>
              </w:rPr>
              <w:t>①评标委员会根据各项规章制度、内部岗位责任制度等方面合理性进行评分（评分范围</w:t>
            </w:r>
            <w:r>
              <w:rPr>
                <w:rFonts w:hint="eastAsia"/>
                <w:bCs/>
                <w:color w:val="auto"/>
                <w:sz w:val="22"/>
                <w:szCs w:val="22"/>
                <w:highlight w:val="none"/>
                <w:lang w:val="en-US" w:eastAsia="zh-CN"/>
              </w:rPr>
              <w:t>3、</w:t>
            </w:r>
            <w:r>
              <w:rPr>
                <w:bCs/>
                <w:color w:val="auto"/>
                <w:sz w:val="22"/>
                <w:szCs w:val="22"/>
                <w:highlight w:val="none"/>
              </w:rPr>
              <w:t>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bCs/>
                <w:color w:val="auto"/>
                <w:sz w:val="22"/>
                <w:szCs w:val="22"/>
                <w:highlight w:val="none"/>
              </w:rPr>
              <w:t>）</w:t>
            </w:r>
          </w:p>
          <w:p w14:paraId="25076B70">
            <w:pPr>
              <w:spacing w:line="288" w:lineRule="auto"/>
              <w:ind w:left="0" w:leftChars="0" w:firstLine="0" w:firstLineChars="0"/>
              <w:rPr>
                <w:rFonts w:hint="eastAsia" w:ascii="宋体" w:hAnsi="宋体" w:cs="宋体"/>
                <w:bCs/>
                <w:color w:val="auto"/>
                <w:sz w:val="22"/>
                <w:szCs w:val="22"/>
                <w:highlight w:val="none"/>
                <w:lang w:val="en-US" w:eastAsia="zh-CN" w:bidi="ar-SA"/>
              </w:rPr>
            </w:pPr>
            <w:r>
              <w:rPr>
                <w:bCs/>
                <w:color w:val="auto"/>
                <w:sz w:val="22"/>
                <w:szCs w:val="22"/>
                <w:highlight w:val="none"/>
              </w:rPr>
              <w:t>②评标委员会根据管理制度、考核制度及标准等方面合理性进行评分（评分范围</w:t>
            </w:r>
            <w:r>
              <w:rPr>
                <w:rFonts w:hint="eastAsia"/>
                <w:bCs/>
                <w:color w:val="auto"/>
                <w:sz w:val="22"/>
                <w:szCs w:val="22"/>
                <w:highlight w:val="none"/>
                <w:lang w:val="en-US" w:eastAsia="zh-CN"/>
              </w:rPr>
              <w:t>2、</w:t>
            </w:r>
            <w:r>
              <w:rPr>
                <w:bCs/>
                <w:color w:val="auto"/>
                <w:sz w:val="22"/>
                <w:szCs w:val="22"/>
                <w:highlight w:val="none"/>
              </w:rPr>
              <w:t>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bCs/>
                <w:color w:val="auto"/>
                <w:sz w:val="22"/>
                <w:szCs w:val="22"/>
                <w:highlight w:val="none"/>
              </w:rPr>
              <w:t>）</w:t>
            </w:r>
          </w:p>
        </w:tc>
      </w:tr>
      <w:tr w14:paraId="7D392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noWrap w:val="0"/>
            <w:vAlign w:val="center"/>
          </w:tcPr>
          <w:p w14:paraId="5132F989">
            <w:pPr>
              <w:spacing w:line="360" w:lineRule="exact"/>
              <w:jc w:val="center"/>
              <w:rPr>
                <w:rFonts w:hint="default"/>
                <w:color w:val="auto"/>
                <w:sz w:val="22"/>
                <w:szCs w:val="22"/>
                <w:highlight w:val="none"/>
                <w:lang w:val="en-US" w:eastAsia="zh-CN"/>
              </w:rPr>
            </w:pPr>
            <w:r>
              <w:rPr>
                <w:rFonts w:hint="eastAsia"/>
                <w:color w:val="auto"/>
                <w:sz w:val="22"/>
                <w:szCs w:val="22"/>
                <w:highlight w:val="none"/>
                <w:lang w:val="en-US" w:eastAsia="zh-CN"/>
              </w:rPr>
              <w:t>9</w:t>
            </w:r>
          </w:p>
        </w:tc>
        <w:tc>
          <w:tcPr>
            <w:tcW w:w="704" w:type="pct"/>
            <w:tcBorders>
              <w:top w:val="single" w:color="auto" w:sz="4" w:space="0"/>
              <w:bottom w:val="single" w:color="auto" w:sz="4" w:space="0"/>
            </w:tcBorders>
            <w:noWrap w:val="0"/>
            <w:vAlign w:val="center"/>
          </w:tcPr>
          <w:p w14:paraId="58B69989">
            <w:pPr>
              <w:spacing w:line="360" w:lineRule="exact"/>
              <w:jc w:val="center"/>
              <w:rPr>
                <w:rFonts w:hint="eastAsia" w:ascii="宋体" w:hAnsi="宋体" w:cs="宋体"/>
                <w:color w:val="auto"/>
                <w:sz w:val="22"/>
                <w:szCs w:val="22"/>
                <w:highlight w:val="none"/>
                <w:lang w:val="en-US" w:eastAsia="zh-CN" w:bidi="ar-SA"/>
              </w:rPr>
            </w:pPr>
            <w:r>
              <w:rPr>
                <w:rFonts w:hint="eastAsia" w:ascii="宋体" w:hAnsi="宋体" w:eastAsia="宋体" w:cs="宋体"/>
                <w:b w:val="0"/>
                <w:bCs/>
                <w:color w:val="auto"/>
                <w:kern w:val="2"/>
                <w:sz w:val="22"/>
                <w:szCs w:val="22"/>
                <w:highlight w:val="none"/>
                <w:lang w:val="en-US" w:eastAsia="zh-CN" w:bidi="ar-SA"/>
              </w:rPr>
              <w:t>拟投入本项目机械设备</w:t>
            </w:r>
          </w:p>
        </w:tc>
        <w:tc>
          <w:tcPr>
            <w:tcW w:w="482" w:type="pct"/>
            <w:tcBorders>
              <w:top w:val="single" w:color="auto" w:sz="8" w:space="0"/>
              <w:bottom w:val="single" w:color="auto" w:sz="8" w:space="0"/>
              <w:right w:val="single" w:color="auto" w:sz="6" w:space="0"/>
            </w:tcBorders>
            <w:noWrap w:val="0"/>
            <w:vAlign w:val="center"/>
          </w:tcPr>
          <w:p w14:paraId="32606253">
            <w:pPr>
              <w:spacing w:line="360" w:lineRule="exact"/>
              <w:jc w:val="center"/>
              <w:rPr>
                <w:rFonts w:hint="eastAsia" w:ascii="宋体" w:hAnsi="宋体" w:eastAsia="宋体" w:cs="宋体"/>
                <w:color w:val="auto"/>
                <w:sz w:val="22"/>
                <w:szCs w:val="22"/>
                <w:highlight w:val="none"/>
                <w:lang w:val="en-US" w:eastAsia="zh-CN" w:bidi="ar-SA"/>
              </w:rPr>
            </w:pPr>
            <w:r>
              <w:rPr>
                <w:rFonts w:hint="eastAsia"/>
                <w:color w:val="auto"/>
                <w:sz w:val="22"/>
                <w:szCs w:val="22"/>
                <w:highlight w:val="none"/>
                <w:lang w:val="en-US" w:eastAsia="zh-CN"/>
              </w:rPr>
              <w:t>4</w:t>
            </w:r>
          </w:p>
        </w:tc>
        <w:tc>
          <w:tcPr>
            <w:tcW w:w="3512" w:type="pct"/>
            <w:tcBorders>
              <w:top w:val="single" w:color="auto" w:sz="8" w:space="0"/>
              <w:bottom w:val="single" w:color="auto" w:sz="8" w:space="0"/>
            </w:tcBorders>
            <w:noWrap w:val="0"/>
            <w:vAlign w:val="center"/>
          </w:tcPr>
          <w:p w14:paraId="4B99931F">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机械设备配置管理方案：根据供应商针对本项目拟投入的机械设备情况是否科学合理可行，由专家打分。</w:t>
            </w:r>
          </w:p>
          <w:p w14:paraId="15B5C884">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①评标委员会根据投入机械设备配置齐全性、合理性等方面进行评分（评分范围2、1、0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p w14:paraId="481FBF33">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②评标委员会根据机械设备、车辆的调度；设备、车辆管理措施等方面合理性进行评分（评分范围2、1、0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tc>
      </w:tr>
      <w:tr w14:paraId="1D2C4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noWrap w:val="0"/>
            <w:vAlign w:val="center"/>
          </w:tcPr>
          <w:p w14:paraId="60221FE1">
            <w:pPr>
              <w:spacing w:line="360" w:lineRule="exact"/>
              <w:jc w:val="center"/>
              <w:rPr>
                <w:rFonts w:hint="default"/>
                <w:color w:val="auto"/>
                <w:sz w:val="22"/>
                <w:szCs w:val="22"/>
                <w:highlight w:val="none"/>
                <w:lang w:val="en-US" w:eastAsia="zh-CN"/>
              </w:rPr>
            </w:pPr>
            <w:r>
              <w:rPr>
                <w:rFonts w:hint="eastAsia"/>
                <w:color w:val="auto"/>
                <w:sz w:val="22"/>
                <w:szCs w:val="22"/>
                <w:highlight w:val="none"/>
                <w:lang w:val="en-US" w:eastAsia="zh-CN"/>
              </w:rPr>
              <w:t>10</w:t>
            </w:r>
          </w:p>
        </w:tc>
        <w:tc>
          <w:tcPr>
            <w:tcW w:w="704" w:type="pct"/>
            <w:tcBorders>
              <w:top w:val="single" w:color="auto" w:sz="4" w:space="0"/>
              <w:bottom w:val="single" w:color="auto" w:sz="4" w:space="0"/>
            </w:tcBorders>
            <w:noWrap w:val="0"/>
            <w:vAlign w:val="center"/>
          </w:tcPr>
          <w:p w14:paraId="2B5B1644">
            <w:pPr>
              <w:spacing w:line="360" w:lineRule="exact"/>
              <w:jc w:val="center"/>
              <w:rPr>
                <w:rFonts w:hint="eastAsia" w:ascii="宋体" w:hAnsi="宋体" w:cs="宋体"/>
                <w:color w:val="auto"/>
                <w:sz w:val="22"/>
                <w:szCs w:val="22"/>
                <w:highlight w:val="none"/>
                <w:lang w:val="en-US" w:eastAsia="zh-CN" w:bidi="ar-SA"/>
              </w:rPr>
            </w:pPr>
            <w:r>
              <w:rPr>
                <w:rFonts w:hint="eastAsia" w:ascii="宋体" w:hAnsi="宋体" w:eastAsia="宋体" w:cs="宋体"/>
                <w:b w:val="0"/>
                <w:bCs/>
                <w:color w:val="auto"/>
                <w:sz w:val="22"/>
                <w:szCs w:val="22"/>
                <w:highlight w:val="none"/>
                <w:lang w:val="en-US" w:eastAsia="zh-CN" w:bidi="ar-SA"/>
              </w:rPr>
              <w:t>培训计划</w:t>
            </w:r>
          </w:p>
        </w:tc>
        <w:tc>
          <w:tcPr>
            <w:tcW w:w="482" w:type="pct"/>
            <w:tcBorders>
              <w:top w:val="single" w:color="auto" w:sz="8" w:space="0"/>
              <w:bottom w:val="single" w:color="auto" w:sz="8" w:space="0"/>
              <w:right w:val="single" w:color="auto" w:sz="6" w:space="0"/>
            </w:tcBorders>
            <w:noWrap w:val="0"/>
            <w:vAlign w:val="center"/>
          </w:tcPr>
          <w:p w14:paraId="160AF048">
            <w:pPr>
              <w:spacing w:line="360" w:lineRule="exact"/>
              <w:jc w:val="center"/>
              <w:rPr>
                <w:rFonts w:hint="eastAsia" w:ascii="宋体" w:hAnsi="宋体" w:eastAsia="宋体" w:cs="宋体"/>
                <w:color w:val="auto"/>
                <w:sz w:val="22"/>
                <w:szCs w:val="22"/>
                <w:highlight w:val="none"/>
                <w:lang w:val="en-US" w:eastAsia="zh-CN" w:bidi="ar-SA"/>
              </w:rPr>
            </w:pPr>
            <w:r>
              <w:rPr>
                <w:rFonts w:hint="eastAsia" w:eastAsia="宋体"/>
                <w:color w:val="auto"/>
                <w:sz w:val="22"/>
                <w:szCs w:val="22"/>
                <w:highlight w:val="none"/>
                <w:lang w:val="en-US" w:eastAsia="zh-CN"/>
              </w:rPr>
              <w:t>5</w:t>
            </w:r>
          </w:p>
        </w:tc>
        <w:tc>
          <w:tcPr>
            <w:tcW w:w="3512" w:type="pct"/>
            <w:tcBorders>
              <w:top w:val="single" w:color="auto" w:sz="8" w:space="0"/>
              <w:bottom w:val="single" w:color="auto" w:sz="8" w:space="0"/>
            </w:tcBorders>
            <w:noWrap w:val="0"/>
            <w:vAlign w:val="center"/>
          </w:tcPr>
          <w:p w14:paraId="5F499690">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根据供应商的投标文件中的管理人员、操作人员及设备维护人员进行培训等承诺情况由评委进行打分。</w:t>
            </w:r>
          </w:p>
          <w:p w14:paraId="1D7784B9">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①评标委员会根据培训计划的内容质量、培训方法等方面合理性进行评分（评分范围3、2、1、0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p w14:paraId="3F19F4D6">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②评标委员会根据培训计划的培训措施等方面合理性进行评分（评分范围2、1、0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tc>
      </w:tr>
      <w:tr w14:paraId="1547D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noWrap w:val="0"/>
            <w:vAlign w:val="center"/>
          </w:tcPr>
          <w:p w14:paraId="24B74873">
            <w:pPr>
              <w:spacing w:line="360" w:lineRule="exact"/>
              <w:jc w:val="center"/>
              <w:rPr>
                <w:rFonts w:hint="default"/>
                <w:color w:val="auto"/>
                <w:sz w:val="22"/>
                <w:szCs w:val="22"/>
                <w:highlight w:val="none"/>
                <w:lang w:val="en-US" w:eastAsia="zh-CN"/>
              </w:rPr>
            </w:pPr>
            <w:r>
              <w:rPr>
                <w:rFonts w:hint="eastAsia"/>
                <w:color w:val="auto"/>
                <w:sz w:val="22"/>
                <w:szCs w:val="22"/>
                <w:highlight w:val="none"/>
                <w:lang w:val="en-US" w:eastAsia="zh-CN"/>
              </w:rPr>
              <w:t>11</w:t>
            </w:r>
          </w:p>
        </w:tc>
        <w:tc>
          <w:tcPr>
            <w:tcW w:w="704" w:type="pct"/>
            <w:tcBorders>
              <w:top w:val="single" w:color="auto" w:sz="4" w:space="0"/>
              <w:bottom w:val="single" w:color="auto" w:sz="4" w:space="0"/>
            </w:tcBorders>
            <w:noWrap w:val="0"/>
            <w:vAlign w:val="center"/>
          </w:tcPr>
          <w:p w14:paraId="0141CC3D">
            <w:pPr>
              <w:spacing w:line="240" w:lineRule="auto"/>
              <w:jc w:val="center"/>
              <w:rPr>
                <w:rFonts w:hint="eastAsia" w:ascii="宋体" w:hAnsi="宋体" w:cs="宋体"/>
                <w:color w:val="auto"/>
                <w:sz w:val="22"/>
                <w:szCs w:val="22"/>
                <w:highlight w:val="none"/>
                <w:lang w:val="en-US" w:eastAsia="zh-CN" w:bidi="ar-SA"/>
              </w:rPr>
            </w:pPr>
            <w:r>
              <w:rPr>
                <w:rFonts w:hint="eastAsia" w:ascii="宋体" w:hAnsi="宋体" w:eastAsia="宋体" w:cs="宋体"/>
                <w:b w:val="0"/>
                <w:bCs/>
                <w:color w:val="auto"/>
                <w:sz w:val="22"/>
                <w:szCs w:val="22"/>
                <w:highlight w:val="none"/>
                <w:lang w:val="en-US" w:eastAsia="zh-CN" w:bidi="ar-SA"/>
              </w:rPr>
              <w:t>应急处置方案</w:t>
            </w:r>
          </w:p>
        </w:tc>
        <w:tc>
          <w:tcPr>
            <w:tcW w:w="482" w:type="pct"/>
            <w:tcBorders>
              <w:top w:val="single" w:color="auto" w:sz="8" w:space="0"/>
              <w:bottom w:val="single" w:color="auto" w:sz="8" w:space="0"/>
              <w:right w:val="single" w:color="auto" w:sz="6" w:space="0"/>
            </w:tcBorders>
            <w:noWrap w:val="0"/>
            <w:vAlign w:val="center"/>
          </w:tcPr>
          <w:p w14:paraId="0BD932E4">
            <w:pPr>
              <w:spacing w:line="240" w:lineRule="auto"/>
              <w:jc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b w:val="0"/>
                <w:bCs/>
                <w:color w:val="auto"/>
                <w:sz w:val="22"/>
                <w:szCs w:val="22"/>
                <w:highlight w:val="none"/>
                <w:lang w:val="en-US" w:eastAsia="zh-CN" w:bidi="ar-SA"/>
              </w:rPr>
              <w:t>5</w:t>
            </w:r>
          </w:p>
        </w:tc>
        <w:tc>
          <w:tcPr>
            <w:tcW w:w="3512" w:type="pct"/>
            <w:tcBorders>
              <w:top w:val="single" w:color="auto" w:sz="8" w:space="0"/>
              <w:bottom w:val="single" w:color="auto" w:sz="8" w:space="0"/>
            </w:tcBorders>
            <w:noWrap w:val="0"/>
            <w:vAlign w:val="top"/>
          </w:tcPr>
          <w:p w14:paraId="3393AE57">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根据投标供应商是否有考虑到本项目在实施过程中可能会方发生的突发事件，以及应对突发事件的措施是否合理可行，是否具有针对性，由专家打分。</w:t>
            </w:r>
          </w:p>
          <w:p w14:paraId="55C50303">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①评标委员会根据应急措施方案中预防事故发生、快速响应等方面合理性进行评分（评分范围3、2、1、0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p w14:paraId="2F80EC86">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②评标委员会根据应急措施方案中有效应对及降低事故影响等等方面合理性进行评分（评分范围2、1、0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tc>
      </w:tr>
      <w:tr w14:paraId="5CE98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 w:type="pct"/>
            <w:noWrap w:val="0"/>
            <w:vAlign w:val="center"/>
          </w:tcPr>
          <w:p w14:paraId="4CA6F04D">
            <w:pPr>
              <w:spacing w:line="360" w:lineRule="exact"/>
              <w:jc w:val="center"/>
              <w:rPr>
                <w:rFonts w:hint="default"/>
                <w:color w:val="auto"/>
                <w:sz w:val="22"/>
                <w:szCs w:val="22"/>
                <w:highlight w:val="none"/>
                <w:lang w:val="en-US" w:eastAsia="zh-CN"/>
              </w:rPr>
            </w:pPr>
            <w:r>
              <w:rPr>
                <w:rFonts w:hint="eastAsia"/>
                <w:color w:val="auto"/>
                <w:sz w:val="22"/>
                <w:szCs w:val="22"/>
                <w:highlight w:val="none"/>
                <w:lang w:val="en-US" w:eastAsia="zh-CN"/>
              </w:rPr>
              <w:t>12</w:t>
            </w:r>
          </w:p>
        </w:tc>
        <w:tc>
          <w:tcPr>
            <w:tcW w:w="704" w:type="pct"/>
            <w:tcBorders>
              <w:top w:val="single" w:color="auto" w:sz="4" w:space="0"/>
            </w:tcBorders>
            <w:noWrap w:val="0"/>
            <w:vAlign w:val="center"/>
          </w:tcPr>
          <w:p w14:paraId="4D897359">
            <w:pPr>
              <w:spacing w:line="240" w:lineRule="auto"/>
              <w:jc w:val="center"/>
              <w:rPr>
                <w:rFonts w:hint="eastAsia" w:ascii="宋体" w:hAnsi="宋体" w:cs="宋体"/>
                <w:color w:val="auto"/>
                <w:sz w:val="22"/>
                <w:szCs w:val="22"/>
                <w:highlight w:val="none"/>
                <w:lang w:val="en-US" w:eastAsia="zh-CN" w:bidi="ar-SA"/>
              </w:rPr>
            </w:pPr>
            <w:r>
              <w:rPr>
                <w:rFonts w:hint="eastAsia" w:ascii="宋体" w:hAnsi="宋体" w:eastAsia="宋体" w:cs="宋体"/>
                <w:b w:val="0"/>
                <w:bCs/>
                <w:color w:val="auto"/>
                <w:sz w:val="22"/>
                <w:szCs w:val="22"/>
                <w:highlight w:val="none"/>
                <w:lang w:val="en-US" w:eastAsia="zh-CN" w:bidi="ar-SA"/>
              </w:rPr>
              <w:t>售后服务方案</w:t>
            </w:r>
          </w:p>
        </w:tc>
        <w:tc>
          <w:tcPr>
            <w:tcW w:w="482" w:type="pct"/>
            <w:tcBorders>
              <w:top w:val="single" w:color="auto" w:sz="8" w:space="0"/>
              <w:right w:val="single" w:color="auto" w:sz="6" w:space="0"/>
            </w:tcBorders>
            <w:noWrap w:val="0"/>
            <w:vAlign w:val="center"/>
          </w:tcPr>
          <w:p w14:paraId="0F18D137">
            <w:pPr>
              <w:spacing w:line="240" w:lineRule="auto"/>
              <w:jc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b w:val="0"/>
                <w:bCs/>
                <w:color w:val="auto"/>
                <w:sz w:val="22"/>
                <w:szCs w:val="22"/>
                <w:highlight w:val="none"/>
                <w:lang w:val="en-US" w:eastAsia="zh-CN" w:bidi="ar-SA"/>
              </w:rPr>
              <w:t>5</w:t>
            </w:r>
          </w:p>
        </w:tc>
        <w:tc>
          <w:tcPr>
            <w:tcW w:w="3512" w:type="pct"/>
            <w:tcBorders>
              <w:top w:val="single" w:color="auto" w:sz="8" w:space="0"/>
              <w:bottom w:val="single" w:color="auto" w:sz="4" w:space="0"/>
            </w:tcBorders>
            <w:noWrap w:val="0"/>
            <w:vAlign w:val="top"/>
          </w:tcPr>
          <w:p w14:paraId="099B9693">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default" w:ascii="宋体" w:hAnsi="宋体" w:eastAsia="宋体" w:cs="宋体"/>
                <w:b w:val="0"/>
                <w:bCs w:val="0"/>
                <w:color w:val="auto"/>
                <w:kern w:val="2"/>
                <w:sz w:val="22"/>
                <w:szCs w:val="22"/>
                <w:highlight w:val="none"/>
                <w:lang w:val="en-US" w:eastAsia="zh-CN" w:bidi="ar-SA"/>
              </w:rPr>
            </w:pPr>
            <w:bookmarkStart w:id="27" w:name="_GoBack"/>
            <w:r>
              <w:rPr>
                <w:rFonts w:hint="eastAsia" w:ascii="宋体" w:hAnsi="宋体" w:eastAsia="宋体" w:cs="宋体"/>
                <w:b w:val="0"/>
                <w:bCs w:val="0"/>
                <w:color w:val="auto"/>
                <w:kern w:val="2"/>
                <w:sz w:val="22"/>
                <w:szCs w:val="22"/>
                <w:highlight w:val="none"/>
                <w:lang w:val="zh-CN" w:eastAsia="zh-CN" w:bidi="ar-SA"/>
              </w:rPr>
              <w:t>根根据售后服务方案和技术服务支持力量、售后服务</w:t>
            </w:r>
            <w:r>
              <w:rPr>
                <w:rFonts w:hint="eastAsia" w:cs="宋体"/>
                <w:b w:val="0"/>
                <w:bCs w:val="0"/>
                <w:color w:val="auto"/>
                <w:kern w:val="2"/>
                <w:sz w:val="22"/>
                <w:szCs w:val="22"/>
                <w:highlight w:val="none"/>
                <w:lang w:val="en-US" w:eastAsia="zh-CN" w:bidi="ar-SA"/>
              </w:rPr>
              <w:t>响应</w:t>
            </w:r>
            <w:r>
              <w:rPr>
                <w:rFonts w:hint="eastAsia" w:ascii="宋体" w:hAnsi="宋体" w:eastAsia="宋体" w:cs="宋体"/>
                <w:b w:val="0"/>
                <w:bCs w:val="0"/>
                <w:color w:val="auto"/>
                <w:kern w:val="2"/>
                <w:sz w:val="22"/>
                <w:szCs w:val="22"/>
                <w:highlight w:val="none"/>
                <w:lang w:val="zh-CN" w:eastAsia="zh-CN" w:bidi="ar-SA"/>
              </w:rPr>
              <w:t>、售后服务承诺，</w:t>
            </w:r>
            <w:r>
              <w:rPr>
                <w:rFonts w:hint="eastAsia" w:ascii="宋体" w:hAnsi="宋体" w:eastAsia="宋体" w:cs="宋体"/>
                <w:b w:val="0"/>
                <w:bCs w:val="0"/>
                <w:color w:val="auto"/>
                <w:kern w:val="2"/>
                <w:sz w:val="22"/>
                <w:szCs w:val="22"/>
                <w:highlight w:val="none"/>
                <w:lang w:val="en-US" w:eastAsia="zh-CN" w:bidi="ar-SA"/>
              </w:rPr>
              <w:t>由专家打分。</w:t>
            </w:r>
          </w:p>
          <w:p w14:paraId="7032E271">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①评标委员会根据供应商提供服务方案和技术服务支持等方面合理性进行评分（评分范围3、2、1、0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p>
          <w:p w14:paraId="2477DDDD">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jc w:val="both"/>
              <w:textAlignment w:val="auto"/>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②评标委员会根据供应商售后服务响应、售后服务承诺等方面合理性进行评分（评分范围2、1、0</w:t>
            </w:r>
            <w:r>
              <w:rPr>
                <w:rFonts w:hint="eastAsia"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zh-CN" w:eastAsia="zh-CN" w:bidi="ar-SA"/>
              </w:rPr>
              <w:t>不提供</w:t>
            </w:r>
            <w:r>
              <w:rPr>
                <w:rFonts w:hint="eastAsia" w:ascii="宋体" w:hAnsi="宋体" w:eastAsia="宋体" w:cs="宋体"/>
                <w:b w:val="0"/>
                <w:bCs w:val="0"/>
                <w:color w:val="auto"/>
                <w:kern w:val="2"/>
                <w:sz w:val="22"/>
                <w:szCs w:val="22"/>
                <w:highlight w:val="none"/>
                <w:lang w:val="en-US" w:eastAsia="zh-CN" w:bidi="ar-SA"/>
              </w:rPr>
              <w:t>或不符合的</w:t>
            </w:r>
            <w:r>
              <w:rPr>
                <w:rFonts w:hint="eastAsia" w:ascii="宋体" w:hAnsi="宋体" w:eastAsia="宋体" w:cs="宋体"/>
                <w:b w:val="0"/>
                <w:bCs w:val="0"/>
                <w:color w:val="auto"/>
                <w:kern w:val="2"/>
                <w:sz w:val="22"/>
                <w:szCs w:val="22"/>
                <w:highlight w:val="none"/>
                <w:lang w:val="zh-CN" w:eastAsia="zh-CN" w:bidi="ar-SA"/>
              </w:rPr>
              <w:t>不得分。</w:t>
            </w:r>
            <w:r>
              <w:rPr>
                <w:rFonts w:hint="eastAsia" w:ascii="宋体" w:hAnsi="宋体" w:eastAsia="宋体" w:cs="宋体"/>
                <w:b w:val="0"/>
                <w:bCs w:val="0"/>
                <w:color w:val="auto"/>
                <w:kern w:val="2"/>
                <w:sz w:val="22"/>
                <w:szCs w:val="22"/>
                <w:highlight w:val="none"/>
                <w:lang w:val="en-US" w:eastAsia="zh-CN" w:bidi="ar-SA"/>
              </w:rPr>
              <w:t>）</w:t>
            </w:r>
            <w:bookmarkEnd w:id="27"/>
          </w:p>
        </w:tc>
      </w:tr>
    </w:tbl>
    <w:p w14:paraId="327FFD50">
      <w:pPr>
        <w:pStyle w:val="61"/>
        <w:widowControl w:val="0"/>
        <w:adjustRightInd w:val="0"/>
        <w:snapToGrid w:val="0"/>
        <w:spacing w:before="0" w:beforeAutospacing="0" w:after="0" w:afterAutospacing="0" w:line="360" w:lineRule="auto"/>
        <w:jc w:val="both"/>
        <w:rPr>
          <w:rFonts w:hint="eastAsia" w:ascii="宋体" w:hAnsi="宋体" w:cs="宋体"/>
          <w:color w:val="auto"/>
          <w:sz w:val="22"/>
          <w:szCs w:val="22"/>
          <w:highlight w:val="none"/>
        </w:rPr>
      </w:pPr>
      <w:r>
        <w:rPr>
          <w:rFonts w:hint="eastAsia" w:ascii="宋体" w:hAnsi="宋体" w:cs="宋体"/>
          <w:color w:val="auto"/>
          <w:sz w:val="22"/>
          <w:szCs w:val="22"/>
          <w:highlight w:val="none"/>
        </w:rPr>
        <w:t>三、说明</w:t>
      </w:r>
    </w:p>
    <w:p w14:paraId="2BC2261E">
      <w:pPr>
        <w:pStyle w:val="43"/>
        <w:widowControl w:val="0"/>
        <w:adjustRightInd w:val="0"/>
        <w:snapToGrid w:val="0"/>
        <w:spacing w:line="360" w:lineRule="auto"/>
        <w:ind w:firstLine="440" w:firstLineChars="200"/>
        <w:rPr>
          <w:rFonts w:hint="eastAsia" w:hAnsi="宋体" w:cs="宋体"/>
          <w:color w:val="auto"/>
          <w:sz w:val="22"/>
          <w:szCs w:val="22"/>
          <w:highlight w:val="none"/>
        </w:rPr>
      </w:pPr>
      <w:r>
        <w:rPr>
          <w:rFonts w:hint="eastAsia" w:hAnsi="宋体" w:cs="宋体"/>
          <w:color w:val="auto"/>
          <w:sz w:val="22"/>
          <w:szCs w:val="22"/>
          <w:highlight w:val="none"/>
        </w:rPr>
        <w:t>1、每个供应商最终得分=商务技术部分分值（所有评标委员会成员的算术平均值）＋报价部分分值。</w:t>
      </w:r>
    </w:p>
    <w:p w14:paraId="49E3ED08">
      <w:pPr>
        <w:adjustRightInd w:val="0"/>
        <w:snapToGrid w:val="0"/>
        <w:spacing w:line="360" w:lineRule="auto"/>
        <w:ind w:firstLine="420"/>
        <w:rPr>
          <w:rFonts w:hint="eastAsia"/>
          <w:color w:val="auto"/>
          <w:sz w:val="22"/>
          <w:szCs w:val="22"/>
          <w:highlight w:val="none"/>
        </w:rPr>
      </w:pPr>
      <w:r>
        <w:rPr>
          <w:rFonts w:hint="eastAsia"/>
          <w:color w:val="auto"/>
          <w:sz w:val="22"/>
          <w:szCs w:val="22"/>
          <w:highlight w:val="none"/>
        </w:rPr>
        <w:t>2、所有分值计算保留小数点后两位，小数点后三位四舍五入。</w:t>
      </w:r>
    </w:p>
    <w:p w14:paraId="17EA6BB1">
      <w:pPr>
        <w:adjustRightInd w:val="0"/>
        <w:snapToGrid w:val="0"/>
        <w:spacing w:line="360" w:lineRule="auto"/>
        <w:ind w:firstLine="420"/>
        <w:rPr>
          <w:rFonts w:hint="eastAsia"/>
          <w:color w:val="auto"/>
          <w:sz w:val="22"/>
          <w:szCs w:val="22"/>
          <w:highlight w:val="none"/>
        </w:rPr>
      </w:pPr>
      <w:r>
        <w:rPr>
          <w:rFonts w:hint="eastAsia"/>
          <w:color w:val="auto"/>
          <w:sz w:val="22"/>
          <w:szCs w:val="22"/>
          <w:highlight w:val="none"/>
        </w:rPr>
        <w:t>3、评标过程中遇到特殊情况，由评标委员会遵循公开、公正原则，采取投票方式按照少数服从多数原则决定。</w:t>
      </w:r>
    </w:p>
    <w:p w14:paraId="0E9AD8BD">
      <w:pPr>
        <w:pStyle w:val="37"/>
        <w:adjustRightInd w:val="0"/>
        <w:snapToGrid w:val="0"/>
        <w:spacing w:line="360" w:lineRule="auto"/>
        <w:jc w:val="center"/>
        <w:rPr>
          <w:rFonts w:hint="eastAsia" w:hAnsi="宋体" w:cs="宋体"/>
          <w:color w:val="auto"/>
          <w:sz w:val="22"/>
          <w:szCs w:val="22"/>
          <w:highlight w:val="none"/>
        </w:rPr>
      </w:pPr>
      <w:r>
        <w:rPr>
          <w:rFonts w:hint="eastAsia" w:hAnsi="宋体" w:cs="宋体"/>
          <w:color w:val="auto"/>
          <w:sz w:val="22"/>
          <w:szCs w:val="22"/>
          <w:highlight w:val="none"/>
        </w:rPr>
        <w:t>参见本招标文件第三部分：“供应商须知” 中的相关内容，未尽事宜按有关法律规定处理。</w:t>
      </w:r>
    </w:p>
    <w:p w14:paraId="7E1C6E74">
      <w:pPr>
        <w:rPr>
          <w:rFonts w:hint="eastAsia"/>
          <w:color w:val="auto"/>
          <w:sz w:val="21"/>
          <w:szCs w:val="21"/>
          <w:highlight w:val="none"/>
        </w:rPr>
      </w:pPr>
    </w:p>
    <w:p w14:paraId="774D94A7">
      <w:pPr>
        <w:pStyle w:val="37"/>
        <w:adjustRightInd w:val="0"/>
        <w:snapToGrid w:val="0"/>
        <w:spacing w:line="400" w:lineRule="exact"/>
        <w:jc w:val="center"/>
        <w:rPr>
          <w:rFonts w:hint="eastAsia" w:hAnsi="宋体" w:cs="宋体"/>
          <w:color w:val="auto"/>
          <w:sz w:val="22"/>
          <w:szCs w:val="22"/>
          <w:highlight w:val="none"/>
        </w:rPr>
        <w:sectPr>
          <w:pgSz w:w="11906" w:h="16838"/>
          <w:pgMar w:top="1134" w:right="1134" w:bottom="1134" w:left="1134" w:header="720" w:footer="720" w:gutter="0"/>
          <w:pgNumType w:fmt="decimal"/>
          <w:cols w:space="720" w:num="1"/>
          <w:docGrid w:linePitch="312" w:charSpace="0"/>
        </w:sectPr>
      </w:pPr>
    </w:p>
    <w:p w14:paraId="69353B40">
      <w:pPr>
        <w:pStyle w:val="944"/>
        <w:widowControl w:val="0"/>
        <w:snapToGrid w:val="0"/>
        <w:spacing w:line="480" w:lineRule="exact"/>
        <w:ind w:firstLine="2560" w:firstLineChars="800"/>
        <w:rPr>
          <w:rFonts w:hint="eastAsia" w:ascii="宋体" w:hAnsi="宋体" w:cs="宋体"/>
          <w:color w:val="auto"/>
          <w:sz w:val="32"/>
          <w:szCs w:val="32"/>
          <w:highlight w:val="none"/>
        </w:rPr>
      </w:pPr>
      <w:r>
        <w:rPr>
          <w:rFonts w:hint="eastAsia" w:ascii="宋体" w:hAnsi="宋体" w:cs="宋体"/>
          <w:color w:val="auto"/>
          <w:sz w:val="32"/>
          <w:szCs w:val="32"/>
          <w:highlight w:val="none"/>
        </w:rPr>
        <w:t>政府采购活动现场确认声明书</w:t>
      </w:r>
    </w:p>
    <w:p w14:paraId="749CD8A3">
      <w:pPr>
        <w:pStyle w:val="944"/>
        <w:widowControl w:val="0"/>
        <w:snapToGrid w:val="0"/>
        <w:spacing w:line="480" w:lineRule="exact"/>
        <w:jc w:val="both"/>
        <w:rPr>
          <w:rFonts w:hint="eastAsia" w:ascii="宋体" w:hAnsi="宋体" w:cs="宋体"/>
          <w:color w:val="auto"/>
          <w:sz w:val="22"/>
          <w:szCs w:val="22"/>
          <w:highlight w:val="none"/>
          <w:u w:val="single"/>
        </w:rPr>
      </w:pPr>
      <w:r>
        <w:rPr>
          <w:rFonts w:hint="eastAsia" w:ascii="宋体" w:hAnsi="宋体" w:cs="宋体"/>
          <w:color w:val="auto"/>
          <w:kern w:val="0"/>
          <w:sz w:val="22"/>
          <w:szCs w:val="22"/>
          <w:highlight w:val="none"/>
          <w:u w:val="single"/>
          <w:lang w:eastAsia="zh-CN"/>
        </w:rPr>
        <w:t>温州元信工程项目管理有限公司</w:t>
      </w:r>
      <w:r>
        <w:rPr>
          <w:rFonts w:hint="eastAsia" w:ascii="宋体" w:hAnsi="宋体" w:cs="宋体"/>
          <w:color w:val="auto"/>
          <w:kern w:val="0"/>
          <w:sz w:val="22"/>
          <w:szCs w:val="22"/>
          <w:highlight w:val="none"/>
          <w:u w:val="single"/>
        </w:rPr>
        <w:t>：</w:t>
      </w:r>
    </w:p>
    <w:p w14:paraId="20ACDE56">
      <w:pPr>
        <w:pStyle w:val="944"/>
        <w:widowControl w:val="0"/>
        <w:snapToGrid w:val="0"/>
        <w:spacing w:line="480" w:lineRule="exact"/>
        <w:ind w:firstLine="464" w:firstLineChars="200"/>
        <w:jc w:val="both"/>
        <w:rPr>
          <w:rFonts w:hint="eastAsia" w:ascii="宋体" w:hAnsi="宋体" w:cs="宋体"/>
          <w:color w:val="auto"/>
          <w:spacing w:val="6"/>
          <w:sz w:val="22"/>
          <w:szCs w:val="22"/>
          <w:highlight w:val="none"/>
        </w:rPr>
      </w:pPr>
      <w:r>
        <w:rPr>
          <w:rFonts w:hint="eastAsia" w:ascii="宋体" w:hAnsi="宋体" w:cs="宋体"/>
          <w:color w:val="auto"/>
          <w:spacing w:val="6"/>
          <w:sz w:val="22"/>
          <w:szCs w:val="22"/>
          <w:highlight w:val="none"/>
          <w:u w:val="single"/>
        </w:rPr>
        <w:t>本人经由                            （单位）负责人        （姓名）合法授权参加</w:t>
      </w:r>
      <w:r>
        <w:rPr>
          <w:rFonts w:hint="eastAsia" w:ascii="宋体" w:hAnsi="宋体" w:cs="宋体"/>
          <w:b/>
          <w:color w:val="auto"/>
          <w:sz w:val="22"/>
          <w:szCs w:val="22"/>
          <w:highlight w:val="none"/>
          <w:u w:val="single"/>
          <w:lang w:eastAsia="zh-CN"/>
        </w:rPr>
        <w:t>鳌江镇塘川高速互通路网交通安全设施项目</w:t>
      </w:r>
      <w:r>
        <w:rPr>
          <w:rFonts w:hint="eastAsia" w:ascii="宋体" w:hAnsi="宋体" w:cs="宋体"/>
          <w:b/>
          <w:color w:val="auto"/>
          <w:sz w:val="22"/>
          <w:szCs w:val="22"/>
          <w:highlight w:val="none"/>
          <w:u w:val="single"/>
        </w:rPr>
        <w:t xml:space="preserve"> （项目编号：</w:t>
      </w:r>
      <w:r>
        <w:rPr>
          <w:rFonts w:hint="eastAsia" w:ascii="宋体" w:hAnsi="宋体" w:cs="宋体"/>
          <w:b/>
          <w:color w:val="auto"/>
          <w:sz w:val="22"/>
          <w:szCs w:val="22"/>
          <w:highlight w:val="none"/>
          <w:u w:val="single"/>
          <w:lang w:val="en-US" w:eastAsia="zh-CN"/>
        </w:rPr>
        <w:t xml:space="preserve">         </w:t>
      </w:r>
      <w:r>
        <w:rPr>
          <w:rFonts w:hint="eastAsia" w:ascii="宋体" w:hAnsi="宋体" w:cs="宋体"/>
          <w:b/>
          <w:color w:val="auto"/>
          <w:sz w:val="22"/>
          <w:szCs w:val="22"/>
          <w:highlight w:val="none"/>
          <w:u w:val="single"/>
          <w:lang w:eastAsia="zh-CN"/>
        </w:rPr>
        <w:t xml:space="preserve">   </w:t>
      </w:r>
      <w:r>
        <w:rPr>
          <w:rFonts w:hint="eastAsia" w:ascii="宋体" w:hAnsi="宋体" w:cs="宋体"/>
          <w:b/>
          <w:color w:val="auto"/>
          <w:sz w:val="22"/>
          <w:szCs w:val="22"/>
          <w:highlight w:val="none"/>
          <w:u w:val="single"/>
        </w:rPr>
        <w:t>）</w:t>
      </w:r>
      <w:r>
        <w:rPr>
          <w:rFonts w:hint="eastAsia" w:ascii="宋体" w:hAnsi="宋体" w:cs="宋体"/>
          <w:color w:val="auto"/>
          <w:spacing w:val="6"/>
          <w:sz w:val="22"/>
          <w:szCs w:val="22"/>
          <w:highlight w:val="none"/>
        </w:rPr>
        <w:t xml:space="preserve">政府采购活动，经与本单位法人代表（负责人）联系确认，现就有关公平竞争事项郑重声明如下： </w:t>
      </w:r>
    </w:p>
    <w:p w14:paraId="35DF8FAC">
      <w:pPr>
        <w:pStyle w:val="705"/>
        <w:widowControl/>
        <w:numPr>
          <w:ilvl w:val="0"/>
          <w:numId w:val="21"/>
        </w:numPr>
        <w:snapToGrid w:val="0"/>
        <w:spacing w:line="480" w:lineRule="exact"/>
        <w:ind w:firstLine="415" w:firstLineChars="189"/>
        <w:rPr>
          <w:rFonts w:hint="eastAsia" w:hAnsi="宋体" w:cs="宋体"/>
          <w:color w:val="auto"/>
          <w:sz w:val="22"/>
          <w:szCs w:val="22"/>
          <w:highlight w:val="none"/>
        </w:rPr>
      </w:pPr>
      <w:r>
        <w:rPr>
          <w:rFonts w:hint="eastAsia" w:hAnsi="宋体" w:cs="宋体"/>
          <w:color w:val="auto"/>
          <w:sz w:val="22"/>
          <w:szCs w:val="22"/>
          <w:highlight w:val="none"/>
        </w:rPr>
        <w:t>本单位与采购人之间 □不存在利害关系 □存在下列利害关系：</w:t>
      </w:r>
    </w:p>
    <w:p w14:paraId="1515BF7F">
      <w:pPr>
        <w:pStyle w:val="705"/>
        <w:widowControl/>
        <w:snapToGrid w:val="0"/>
        <w:spacing w:line="480" w:lineRule="exact"/>
        <w:rPr>
          <w:rFonts w:hint="eastAsia" w:hAnsi="宋体" w:cs="宋体"/>
          <w:color w:val="auto"/>
          <w:sz w:val="22"/>
          <w:szCs w:val="22"/>
          <w:highlight w:val="none"/>
        </w:rPr>
      </w:pPr>
      <w:r>
        <w:rPr>
          <w:rFonts w:hint="eastAsia" w:hAnsi="宋体" w:cs="宋体"/>
          <w:color w:val="auto"/>
          <w:sz w:val="22"/>
          <w:szCs w:val="22"/>
          <w:highlight w:val="none"/>
        </w:rPr>
        <w:t xml:space="preserve">  A.投资关系    B.行政隶属关系    C.业务指导关系</w:t>
      </w:r>
    </w:p>
    <w:p w14:paraId="67FFBC94">
      <w:pPr>
        <w:pStyle w:val="705"/>
        <w:widowControl/>
        <w:snapToGrid w:val="0"/>
        <w:spacing w:line="480" w:lineRule="exact"/>
        <w:rPr>
          <w:rFonts w:hint="eastAsia" w:hAnsi="宋体" w:cs="宋体"/>
          <w:color w:val="auto"/>
          <w:sz w:val="22"/>
          <w:szCs w:val="22"/>
          <w:highlight w:val="none"/>
        </w:rPr>
      </w:pPr>
      <w:r>
        <w:rPr>
          <w:rFonts w:hint="eastAsia" w:hAnsi="宋体" w:cs="宋体"/>
          <w:color w:val="auto"/>
          <w:sz w:val="22"/>
          <w:szCs w:val="22"/>
          <w:highlight w:val="none"/>
        </w:rPr>
        <w:t xml:space="preserve">  D.其他可能影响采购公正的利害关系</w:t>
      </w:r>
      <w:r>
        <w:rPr>
          <w:rFonts w:hint="eastAsia" w:hAnsi="宋体" w:cs="宋体"/>
          <w:color w:val="auto"/>
          <w:sz w:val="22"/>
          <w:szCs w:val="22"/>
          <w:highlight w:val="none"/>
          <w:u w:val="single"/>
        </w:rPr>
        <w:t xml:space="preserve">（如有，请如实说明）                 </w:t>
      </w:r>
      <w:r>
        <w:rPr>
          <w:rFonts w:hint="eastAsia" w:hAnsi="宋体" w:cs="宋体"/>
          <w:color w:val="auto"/>
          <w:sz w:val="22"/>
          <w:szCs w:val="22"/>
          <w:highlight w:val="none"/>
        </w:rPr>
        <w:t>。</w:t>
      </w:r>
    </w:p>
    <w:p w14:paraId="7CE4B004">
      <w:pPr>
        <w:pStyle w:val="705"/>
        <w:widowControl/>
        <w:snapToGrid w:val="0"/>
        <w:spacing w:line="480" w:lineRule="exact"/>
        <w:rPr>
          <w:rFonts w:hint="eastAsia" w:hAnsi="宋体" w:cs="宋体"/>
          <w:color w:val="auto"/>
          <w:sz w:val="22"/>
          <w:szCs w:val="22"/>
          <w:highlight w:val="none"/>
        </w:rPr>
      </w:pPr>
      <w:r>
        <w:rPr>
          <w:rFonts w:hint="eastAsia" w:hAnsi="宋体" w:cs="宋体"/>
          <w:color w:val="auto"/>
          <w:spacing w:val="6"/>
          <w:sz w:val="22"/>
          <w:szCs w:val="22"/>
          <w:highlight w:val="none"/>
        </w:rPr>
        <w:t xml:space="preserve">  二、</w:t>
      </w:r>
      <w:r>
        <w:rPr>
          <w:rFonts w:hint="eastAsia" w:hAnsi="宋体" w:cs="宋体"/>
          <w:color w:val="auto"/>
          <w:sz w:val="22"/>
          <w:szCs w:val="22"/>
          <w:highlight w:val="none"/>
        </w:rPr>
        <w:t>现已清楚知道参加本项目采购活动的其他所有供应商名称，本单位 □与其他所有供应商之间均不存在利害关系 □与</w:t>
      </w:r>
      <w:r>
        <w:rPr>
          <w:rFonts w:hint="eastAsia" w:hAnsi="宋体" w:cs="宋体"/>
          <w:color w:val="auto"/>
          <w:sz w:val="22"/>
          <w:szCs w:val="22"/>
          <w:highlight w:val="none"/>
          <w:u w:val="single"/>
        </w:rPr>
        <w:t xml:space="preserve">           （供应商名称）</w:t>
      </w:r>
      <w:r>
        <w:rPr>
          <w:rFonts w:hint="eastAsia" w:hAnsi="宋体" w:cs="宋体"/>
          <w:color w:val="auto"/>
          <w:sz w:val="22"/>
          <w:szCs w:val="22"/>
          <w:highlight w:val="none"/>
        </w:rPr>
        <w:t>之间存在下列利害关系：</w:t>
      </w:r>
    </w:p>
    <w:p w14:paraId="36A926F9">
      <w:pPr>
        <w:pStyle w:val="944"/>
        <w:widowControl w:val="0"/>
        <w:snapToGrid w:val="0"/>
        <w:spacing w:line="480" w:lineRule="exact"/>
        <w:jc w:val="both"/>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A.法定代表人（负责人）或负责人或实际控制人是同一人</w:t>
      </w:r>
    </w:p>
    <w:p w14:paraId="26966160">
      <w:pPr>
        <w:pStyle w:val="944"/>
        <w:widowControl w:val="0"/>
        <w:snapToGrid w:val="0"/>
        <w:spacing w:line="480" w:lineRule="exact"/>
        <w:jc w:val="both"/>
        <w:rPr>
          <w:rFonts w:hint="eastAsia" w:ascii="宋体" w:hAnsi="宋体" w:cs="宋体"/>
          <w:color w:val="auto"/>
          <w:spacing w:val="6"/>
          <w:sz w:val="22"/>
          <w:szCs w:val="22"/>
          <w:highlight w:val="none"/>
        </w:rPr>
      </w:pPr>
      <w:r>
        <w:rPr>
          <w:rFonts w:hint="eastAsia" w:ascii="宋体" w:hAnsi="宋体" w:cs="宋体"/>
          <w:color w:val="auto"/>
          <w:kern w:val="0"/>
          <w:sz w:val="22"/>
          <w:szCs w:val="22"/>
          <w:highlight w:val="none"/>
        </w:rPr>
        <w:t xml:space="preserve">  B.法定代表人（负责人）或负责人或实际控制人是夫妻关系</w:t>
      </w:r>
    </w:p>
    <w:p w14:paraId="6D5B97A8">
      <w:pPr>
        <w:pStyle w:val="944"/>
        <w:widowControl w:val="0"/>
        <w:snapToGrid w:val="0"/>
        <w:spacing w:line="480" w:lineRule="exact"/>
        <w:jc w:val="both"/>
        <w:rPr>
          <w:rFonts w:hint="eastAsia" w:ascii="宋体" w:hAnsi="宋体" w:cs="宋体"/>
          <w:color w:val="auto"/>
          <w:spacing w:val="6"/>
          <w:sz w:val="22"/>
          <w:szCs w:val="22"/>
          <w:highlight w:val="none"/>
        </w:rPr>
      </w:pPr>
      <w:r>
        <w:rPr>
          <w:rFonts w:hint="eastAsia" w:ascii="宋体" w:hAnsi="宋体" w:cs="宋体"/>
          <w:color w:val="auto"/>
          <w:kern w:val="0"/>
          <w:sz w:val="22"/>
          <w:szCs w:val="22"/>
          <w:highlight w:val="none"/>
        </w:rPr>
        <w:t xml:space="preserve">  C.法定代表人（负责人）或负责人或实际控制人是直系血亲关系</w:t>
      </w:r>
    </w:p>
    <w:p w14:paraId="590DFDA7">
      <w:pPr>
        <w:pStyle w:val="944"/>
        <w:widowControl w:val="0"/>
        <w:snapToGrid w:val="0"/>
        <w:spacing w:line="480" w:lineRule="exact"/>
        <w:jc w:val="both"/>
        <w:rPr>
          <w:rFonts w:hint="eastAsia" w:ascii="宋体" w:hAnsi="宋体" w:cs="宋体"/>
          <w:color w:val="auto"/>
          <w:spacing w:val="6"/>
          <w:sz w:val="22"/>
          <w:szCs w:val="22"/>
          <w:highlight w:val="none"/>
        </w:rPr>
      </w:pPr>
      <w:r>
        <w:rPr>
          <w:rFonts w:hint="eastAsia" w:ascii="宋体" w:hAnsi="宋体" w:cs="宋体"/>
          <w:color w:val="auto"/>
          <w:kern w:val="0"/>
          <w:sz w:val="22"/>
          <w:szCs w:val="22"/>
          <w:highlight w:val="none"/>
        </w:rPr>
        <w:t xml:space="preserve">  D.法定代表人（负责人）或负责人或实际控制人存在三代以内旁系血亲关系</w:t>
      </w:r>
    </w:p>
    <w:p w14:paraId="69C0EC8B">
      <w:pPr>
        <w:pStyle w:val="944"/>
        <w:widowControl w:val="0"/>
        <w:snapToGrid w:val="0"/>
        <w:spacing w:line="480" w:lineRule="exact"/>
        <w:jc w:val="both"/>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E.法定代表人（负责人）或负责人或实际控制人存在近姻亲关系</w:t>
      </w:r>
    </w:p>
    <w:p w14:paraId="4AA5D85C">
      <w:pPr>
        <w:pStyle w:val="944"/>
        <w:widowControl w:val="0"/>
        <w:snapToGrid w:val="0"/>
        <w:spacing w:line="480" w:lineRule="exact"/>
        <w:jc w:val="both"/>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F.法定代表人（负责人）或负责人或实际控制人存在股份控制或实际控制关系</w:t>
      </w:r>
    </w:p>
    <w:p w14:paraId="580FB64B">
      <w:pPr>
        <w:pStyle w:val="944"/>
        <w:widowControl w:val="0"/>
        <w:snapToGrid w:val="0"/>
        <w:spacing w:line="480" w:lineRule="exact"/>
        <w:jc w:val="both"/>
        <w:outlineLvl w:val="0"/>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G.存在共同直接或间接投资设立子公司、联营企业和合营企业情况</w:t>
      </w:r>
    </w:p>
    <w:p w14:paraId="7F5D460D">
      <w:pPr>
        <w:pStyle w:val="944"/>
        <w:widowControl w:val="0"/>
        <w:snapToGrid w:val="0"/>
        <w:spacing w:line="480" w:lineRule="exact"/>
        <w:jc w:val="both"/>
        <w:rPr>
          <w:rFonts w:hint="eastAsia" w:ascii="宋体" w:hAnsi="宋体" w:cs="宋体"/>
          <w:color w:val="auto"/>
          <w:sz w:val="22"/>
          <w:szCs w:val="22"/>
          <w:highlight w:val="none"/>
        </w:rPr>
      </w:pPr>
      <w:r>
        <w:rPr>
          <w:rFonts w:hint="eastAsia" w:ascii="宋体" w:hAnsi="宋体" w:cs="宋体"/>
          <w:color w:val="auto"/>
          <w:kern w:val="0"/>
          <w:sz w:val="22"/>
          <w:szCs w:val="22"/>
          <w:highlight w:val="none"/>
        </w:rPr>
        <w:t xml:space="preserve">  H.存在分级代理或代销关系、同一生产制造商关系、</w:t>
      </w:r>
      <w:r>
        <w:rPr>
          <w:rFonts w:hint="eastAsia" w:ascii="宋体" w:hAnsi="宋体" w:cs="宋体"/>
          <w:color w:val="auto"/>
          <w:sz w:val="22"/>
          <w:szCs w:val="22"/>
          <w:highlight w:val="none"/>
        </w:rPr>
        <w:t>管理关系、重要业务（占主营业务收入50%以上）或重要财务往来关系（如融资）等其他实质性控制关系</w:t>
      </w:r>
    </w:p>
    <w:p w14:paraId="4B06C3D5">
      <w:pPr>
        <w:pStyle w:val="944"/>
        <w:widowControl w:val="0"/>
        <w:snapToGrid w:val="0"/>
        <w:spacing w:line="480" w:lineRule="exact"/>
        <w:jc w:val="both"/>
        <w:rPr>
          <w:rFonts w:hint="eastAsia" w:ascii="宋体" w:hAnsi="宋体" w:cs="宋体"/>
          <w:color w:val="auto"/>
          <w:spacing w:val="6"/>
          <w:sz w:val="22"/>
          <w:szCs w:val="22"/>
          <w:highlight w:val="none"/>
        </w:rPr>
      </w:pPr>
      <w:r>
        <w:rPr>
          <w:rFonts w:hint="eastAsia" w:ascii="宋体" w:hAnsi="宋体" w:cs="宋体"/>
          <w:color w:val="auto"/>
          <w:sz w:val="22"/>
          <w:szCs w:val="22"/>
          <w:highlight w:val="none"/>
        </w:rPr>
        <w:t xml:space="preserve">    I</w:t>
      </w:r>
      <w:r>
        <w:rPr>
          <w:rFonts w:hint="eastAsia" w:ascii="宋体" w:hAnsi="宋体" w:cs="宋体"/>
          <w:color w:val="auto"/>
          <w:kern w:val="0"/>
          <w:sz w:val="22"/>
          <w:szCs w:val="22"/>
          <w:highlight w:val="none"/>
        </w:rPr>
        <w:t>.</w:t>
      </w:r>
      <w:r>
        <w:rPr>
          <w:rFonts w:hint="eastAsia" w:ascii="宋体" w:hAnsi="宋体" w:cs="宋体"/>
          <w:color w:val="auto"/>
          <w:sz w:val="22"/>
          <w:szCs w:val="22"/>
          <w:highlight w:val="none"/>
        </w:rPr>
        <w:t>其他利害关系情况</w:t>
      </w:r>
      <w:r>
        <w:rPr>
          <w:rFonts w:hint="eastAsia" w:ascii="宋体" w:hAnsi="宋体" w:cs="宋体"/>
          <w:color w:val="auto"/>
          <w:kern w:val="0"/>
          <w:sz w:val="22"/>
          <w:szCs w:val="22"/>
          <w:highlight w:val="none"/>
        </w:rPr>
        <w:t>。</w:t>
      </w:r>
    </w:p>
    <w:p w14:paraId="02CC6043">
      <w:pPr>
        <w:pStyle w:val="705"/>
        <w:widowControl/>
        <w:numPr>
          <w:ilvl w:val="0"/>
          <w:numId w:val="22"/>
        </w:numPr>
        <w:snapToGrid w:val="0"/>
        <w:spacing w:line="480" w:lineRule="exact"/>
        <w:ind w:firstLine="415" w:firstLineChars="189"/>
        <w:rPr>
          <w:rFonts w:hint="eastAsia" w:hAnsi="宋体" w:cs="宋体"/>
          <w:color w:val="auto"/>
          <w:sz w:val="22"/>
          <w:szCs w:val="22"/>
          <w:highlight w:val="none"/>
        </w:rPr>
      </w:pPr>
      <w:r>
        <w:rPr>
          <w:rFonts w:hint="eastAsia" w:hAnsi="宋体" w:cs="宋体"/>
          <w:color w:val="auto"/>
          <w:sz w:val="22"/>
          <w:szCs w:val="22"/>
          <w:highlight w:val="none"/>
        </w:rPr>
        <w:t>现已清楚知道并严格遵守政府采购法律法规和现场纪律。</w:t>
      </w:r>
    </w:p>
    <w:p w14:paraId="568A769A">
      <w:pPr>
        <w:pStyle w:val="705"/>
        <w:widowControl/>
        <w:numPr>
          <w:ilvl w:val="0"/>
          <w:numId w:val="22"/>
        </w:numPr>
        <w:snapToGrid w:val="0"/>
        <w:spacing w:line="480" w:lineRule="exact"/>
        <w:ind w:firstLine="415" w:firstLineChars="189"/>
        <w:rPr>
          <w:rFonts w:hint="eastAsia" w:hAnsi="宋体" w:cs="宋体"/>
          <w:color w:val="auto"/>
          <w:sz w:val="22"/>
          <w:szCs w:val="22"/>
          <w:highlight w:val="none"/>
        </w:rPr>
      </w:pPr>
      <w:r>
        <w:rPr>
          <w:rFonts w:hint="eastAsia" w:hAnsi="宋体" w:cs="宋体"/>
          <w:color w:val="auto"/>
          <w:sz w:val="22"/>
          <w:szCs w:val="22"/>
          <w:highlight w:val="none"/>
        </w:rPr>
        <w:t>我发现供应商之间存 在或可能存在上述第二条第项利害关系</w:t>
      </w:r>
    </w:p>
    <w:p w14:paraId="266D03B1">
      <w:pPr>
        <w:pStyle w:val="944"/>
        <w:widowControl w:val="0"/>
        <w:snapToGrid w:val="0"/>
        <w:spacing w:line="480" w:lineRule="exact"/>
        <w:ind w:firstLine="5280" w:firstLineChars="2400"/>
        <w:jc w:val="both"/>
        <w:rPr>
          <w:rFonts w:hint="eastAsia" w:ascii="宋体" w:hAnsi="宋体" w:cs="宋体"/>
          <w:color w:val="auto"/>
          <w:sz w:val="22"/>
          <w:szCs w:val="22"/>
          <w:highlight w:val="none"/>
        </w:rPr>
      </w:pPr>
    </w:p>
    <w:p w14:paraId="5610ED57">
      <w:pPr>
        <w:pStyle w:val="944"/>
        <w:widowControl w:val="0"/>
        <w:snapToGrid w:val="0"/>
        <w:spacing w:line="480" w:lineRule="exact"/>
        <w:ind w:firstLine="5280" w:firstLineChars="2400"/>
        <w:jc w:val="both"/>
        <w:rPr>
          <w:rFonts w:hint="eastAsia" w:ascii="宋体" w:hAnsi="宋体" w:cs="宋体"/>
          <w:color w:val="auto"/>
          <w:sz w:val="22"/>
          <w:szCs w:val="22"/>
          <w:highlight w:val="none"/>
        </w:rPr>
      </w:pPr>
      <w:r>
        <w:rPr>
          <w:rFonts w:hint="eastAsia" w:ascii="宋体" w:hAnsi="宋体" w:cs="宋体"/>
          <w:color w:val="auto"/>
          <w:sz w:val="22"/>
          <w:szCs w:val="22"/>
          <w:highlight w:val="none"/>
        </w:rPr>
        <w:t>（供应商代表签名）</w:t>
      </w:r>
    </w:p>
    <w:p w14:paraId="2BB0D05C">
      <w:pPr>
        <w:pStyle w:val="944"/>
        <w:widowControl w:val="0"/>
        <w:snapToGrid w:val="0"/>
        <w:spacing w:line="480" w:lineRule="exact"/>
        <w:ind w:firstLine="440" w:firstLineChars="200"/>
        <w:jc w:val="both"/>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年  月   日</w:t>
      </w:r>
    </w:p>
    <w:p w14:paraId="5FC7BC83">
      <w:pPr>
        <w:snapToGrid w:val="0"/>
        <w:ind w:firstLine="442" w:firstLineChars="200"/>
        <w:rPr>
          <w:rFonts w:hint="eastAsia"/>
          <w:b/>
          <w:bCs/>
          <w:color w:val="auto"/>
          <w:sz w:val="22"/>
          <w:szCs w:val="22"/>
          <w:highlight w:val="none"/>
        </w:rPr>
      </w:pPr>
    </w:p>
    <w:p w14:paraId="7EA15672">
      <w:pPr>
        <w:snapToGrid w:val="0"/>
        <w:ind w:firstLine="442" w:firstLineChars="200"/>
        <w:rPr>
          <w:rFonts w:hint="eastAsia"/>
          <w:color w:val="auto"/>
          <w:sz w:val="22"/>
          <w:szCs w:val="22"/>
          <w:highlight w:val="none"/>
        </w:rPr>
      </w:pPr>
      <w:r>
        <w:rPr>
          <w:rFonts w:hint="eastAsia"/>
          <w:b/>
          <w:bCs/>
          <w:color w:val="auto"/>
          <w:sz w:val="22"/>
          <w:szCs w:val="22"/>
          <w:highlight w:val="none"/>
        </w:rPr>
        <w:t>注：投标文件解密结束后，各供应商签署《政府采购活动现场确认声明书》，并在30分钟内以扫描件方式发送至代理机构邮箱：</w:t>
      </w:r>
      <w:r>
        <w:rPr>
          <w:rFonts w:hint="eastAsia"/>
          <w:color w:val="auto"/>
          <w:sz w:val="22"/>
          <w:szCs w:val="22"/>
          <w:highlight w:val="none"/>
        </w:rPr>
        <w:fldChar w:fldCharType="begin"/>
      </w:r>
      <w:r>
        <w:rPr>
          <w:rFonts w:hint="eastAsia"/>
          <w:color w:val="auto"/>
          <w:sz w:val="22"/>
          <w:szCs w:val="22"/>
          <w:highlight w:val="none"/>
        </w:rPr>
        <w:instrText xml:space="preserve"> HYPERLINK "mailto:934192406@qq.com" </w:instrText>
      </w:r>
      <w:r>
        <w:rPr>
          <w:rFonts w:hint="eastAsia"/>
          <w:color w:val="auto"/>
          <w:sz w:val="22"/>
          <w:szCs w:val="22"/>
          <w:highlight w:val="none"/>
        </w:rPr>
        <w:fldChar w:fldCharType="separate"/>
      </w:r>
      <w:r>
        <w:rPr>
          <w:rStyle w:val="75"/>
          <w:rFonts w:hint="eastAsia"/>
          <w:color w:val="auto"/>
          <w:sz w:val="22"/>
          <w:szCs w:val="22"/>
          <w:highlight w:val="none"/>
          <w:lang w:eastAsia="zh-CN"/>
        </w:rPr>
        <w:t>359842647</w:t>
      </w:r>
      <w:r>
        <w:rPr>
          <w:rStyle w:val="75"/>
          <w:rFonts w:hint="eastAsia"/>
          <w:color w:val="auto"/>
          <w:sz w:val="22"/>
          <w:szCs w:val="22"/>
          <w:highlight w:val="none"/>
        </w:rPr>
        <w:t>@qq.com</w:t>
      </w:r>
      <w:r>
        <w:rPr>
          <w:rFonts w:hint="eastAsia"/>
          <w:color w:val="auto"/>
          <w:sz w:val="22"/>
          <w:szCs w:val="22"/>
          <w:highlight w:val="none"/>
        </w:rPr>
        <w:fldChar w:fldCharType="end"/>
      </w:r>
      <w:r>
        <w:rPr>
          <w:rFonts w:hint="eastAsia"/>
          <w:b/>
          <w:bCs/>
          <w:color w:val="auto"/>
          <w:sz w:val="22"/>
          <w:szCs w:val="22"/>
          <w:highlight w:val="none"/>
        </w:rPr>
        <w:t xml:space="preserve"> 。</w:t>
      </w:r>
    </w:p>
    <w:p w14:paraId="7B9F6C40">
      <w:pPr>
        <w:snapToGrid w:val="0"/>
        <w:spacing w:line="380" w:lineRule="exact"/>
        <w:ind w:firstLine="442" w:firstLineChars="200"/>
        <w:rPr>
          <w:rFonts w:hint="eastAsia" w:hAnsi="宋体" w:cs="宋体"/>
          <w:color w:val="auto"/>
          <w:sz w:val="22"/>
          <w:szCs w:val="22"/>
          <w:highlight w:val="none"/>
        </w:rPr>
      </w:pPr>
      <w:r>
        <w:rPr>
          <w:rFonts w:hint="eastAsia" w:ascii="宋体" w:hAnsi="宋体" w:cs="宋体"/>
          <w:b/>
          <w:bCs/>
          <w:color w:val="auto"/>
          <w:sz w:val="22"/>
          <w:highlight w:val="none"/>
        </w:rPr>
        <w:t>若未在规定的时间内填写并予以回复的，则视为该供应商与本项目的采购人及其他参与投标的供应商之间不存在利害关系，由此引起的相关责任由投标供应商自负。</w:t>
      </w:r>
    </w:p>
    <w:p w14:paraId="55ECAC82">
      <w:pPr>
        <w:pageBreakBefore/>
        <w:spacing w:line="360" w:lineRule="auto"/>
        <w:jc w:val="center"/>
        <w:rPr>
          <w:rFonts w:hint="eastAsia"/>
          <w:b/>
          <w:bCs/>
          <w:color w:val="auto"/>
          <w:sz w:val="32"/>
          <w:szCs w:val="32"/>
          <w:highlight w:val="none"/>
        </w:rPr>
      </w:pPr>
      <w:r>
        <w:rPr>
          <w:rFonts w:hint="eastAsia"/>
          <w:b/>
          <w:bCs/>
          <w:color w:val="auto"/>
          <w:sz w:val="32"/>
          <w:szCs w:val="32"/>
          <w:highlight w:val="none"/>
        </w:rPr>
        <w:t>质疑函范本</w:t>
      </w:r>
    </w:p>
    <w:p w14:paraId="5EF1B03F">
      <w:pPr>
        <w:adjustRightInd w:val="0"/>
        <w:snapToGrid w:val="0"/>
        <w:spacing w:before="240" w:beforeLines="100" w:line="360" w:lineRule="auto"/>
        <w:rPr>
          <w:rFonts w:hint="eastAsia"/>
          <w:bCs/>
          <w:color w:val="auto"/>
          <w:sz w:val="21"/>
          <w:szCs w:val="21"/>
          <w:highlight w:val="none"/>
        </w:rPr>
      </w:pPr>
      <w:r>
        <w:rPr>
          <w:rFonts w:hint="eastAsia"/>
          <w:bCs/>
          <w:color w:val="auto"/>
          <w:sz w:val="21"/>
          <w:szCs w:val="21"/>
          <w:highlight w:val="none"/>
        </w:rPr>
        <w:t>一、质疑供应商基本信息</w:t>
      </w:r>
    </w:p>
    <w:p w14:paraId="7C27A329">
      <w:pPr>
        <w:adjustRightInd w:val="0"/>
        <w:snapToGrid w:val="0"/>
        <w:spacing w:line="360" w:lineRule="auto"/>
        <w:rPr>
          <w:rFonts w:hint="eastAsia"/>
          <w:color w:val="auto"/>
          <w:sz w:val="21"/>
          <w:szCs w:val="21"/>
          <w:highlight w:val="none"/>
          <w:u w:val="dotted"/>
        </w:rPr>
      </w:pPr>
      <w:r>
        <w:rPr>
          <w:rFonts w:hint="eastAsia"/>
          <w:color w:val="auto"/>
          <w:sz w:val="21"/>
          <w:szCs w:val="21"/>
          <w:highlight w:val="none"/>
        </w:rPr>
        <w:t>质疑供应商：</w:t>
      </w:r>
      <w:r>
        <w:rPr>
          <w:rFonts w:hint="eastAsia"/>
          <w:color w:val="auto"/>
          <w:sz w:val="21"/>
          <w:szCs w:val="21"/>
          <w:highlight w:val="none"/>
          <w:u w:val="dotted"/>
        </w:rPr>
        <w:t xml:space="preserve">                                        </w:t>
      </w:r>
    </w:p>
    <w:p w14:paraId="7EA02089">
      <w:pPr>
        <w:adjustRightInd w:val="0"/>
        <w:snapToGrid w:val="0"/>
        <w:spacing w:line="360" w:lineRule="auto"/>
        <w:rPr>
          <w:rFonts w:hint="eastAsia"/>
          <w:color w:val="auto"/>
          <w:sz w:val="21"/>
          <w:szCs w:val="21"/>
          <w:highlight w:val="none"/>
        </w:rPr>
      </w:pPr>
      <w:r>
        <w:rPr>
          <w:rFonts w:hint="eastAsia"/>
          <w:color w:val="auto"/>
          <w:sz w:val="21"/>
          <w:szCs w:val="21"/>
          <w:highlight w:val="none"/>
        </w:rPr>
        <w:t>地址：</w:t>
      </w:r>
      <w:r>
        <w:rPr>
          <w:rFonts w:hint="eastAsia"/>
          <w:color w:val="auto"/>
          <w:sz w:val="21"/>
          <w:szCs w:val="21"/>
          <w:highlight w:val="none"/>
          <w:u w:val="dotted"/>
        </w:rPr>
        <w:t xml:space="preserve">                          </w:t>
      </w:r>
      <w:r>
        <w:rPr>
          <w:rFonts w:hint="eastAsia"/>
          <w:color w:val="auto"/>
          <w:sz w:val="21"/>
          <w:szCs w:val="21"/>
          <w:highlight w:val="none"/>
        </w:rPr>
        <w:t>邮编：</w:t>
      </w:r>
      <w:r>
        <w:rPr>
          <w:rFonts w:hint="eastAsia"/>
          <w:color w:val="auto"/>
          <w:sz w:val="21"/>
          <w:szCs w:val="21"/>
          <w:highlight w:val="none"/>
          <w:u w:val="dotted"/>
        </w:rPr>
        <w:t xml:space="preserve">                                                   </w:t>
      </w:r>
    </w:p>
    <w:p w14:paraId="5A041C03">
      <w:pPr>
        <w:adjustRightInd w:val="0"/>
        <w:snapToGrid w:val="0"/>
        <w:spacing w:line="360" w:lineRule="auto"/>
        <w:rPr>
          <w:rFonts w:hint="eastAsia"/>
          <w:color w:val="auto"/>
          <w:sz w:val="21"/>
          <w:szCs w:val="21"/>
          <w:highlight w:val="none"/>
        </w:rPr>
      </w:pPr>
      <w:r>
        <w:rPr>
          <w:rFonts w:hint="eastAsia"/>
          <w:color w:val="auto"/>
          <w:sz w:val="21"/>
          <w:szCs w:val="21"/>
          <w:highlight w:val="none"/>
        </w:rPr>
        <w:t>联系人：</w:t>
      </w:r>
      <w:r>
        <w:rPr>
          <w:rFonts w:hint="eastAsia"/>
          <w:color w:val="auto"/>
          <w:sz w:val="21"/>
          <w:szCs w:val="21"/>
          <w:highlight w:val="none"/>
          <w:u w:val="dotted"/>
        </w:rPr>
        <w:t xml:space="preserve">                      </w:t>
      </w:r>
      <w:r>
        <w:rPr>
          <w:rFonts w:hint="eastAsia"/>
          <w:color w:val="auto"/>
          <w:sz w:val="21"/>
          <w:szCs w:val="21"/>
          <w:highlight w:val="none"/>
        </w:rPr>
        <w:t>联系电话：</w:t>
      </w:r>
      <w:r>
        <w:rPr>
          <w:rFonts w:hint="eastAsia"/>
          <w:color w:val="auto"/>
          <w:sz w:val="21"/>
          <w:szCs w:val="21"/>
          <w:highlight w:val="none"/>
          <w:u w:val="dotted"/>
        </w:rPr>
        <w:t xml:space="preserve">                              </w:t>
      </w:r>
    </w:p>
    <w:p w14:paraId="15F8FEC0">
      <w:pPr>
        <w:adjustRightInd w:val="0"/>
        <w:snapToGrid w:val="0"/>
        <w:spacing w:line="360" w:lineRule="auto"/>
        <w:rPr>
          <w:rFonts w:hint="eastAsia"/>
          <w:color w:val="auto"/>
          <w:sz w:val="21"/>
          <w:szCs w:val="21"/>
          <w:highlight w:val="none"/>
          <w:u w:val="dotted"/>
        </w:rPr>
      </w:pPr>
      <w:r>
        <w:rPr>
          <w:rFonts w:hint="eastAsia"/>
          <w:color w:val="auto"/>
          <w:sz w:val="21"/>
          <w:szCs w:val="21"/>
          <w:highlight w:val="none"/>
        </w:rPr>
        <w:t>授权代表：</w:t>
      </w:r>
      <w:r>
        <w:rPr>
          <w:rFonts w:hint="eastAsia"/>
          <w:color w:val="auto"/>
          <w:sz w:val="21"/>
          <w:szCs w:val="21"/>
          <w:highlight w:val="none"/>
          <w:u w:val="dotted"/>
        </w:rPr>
        <w:t xml:space="preserve">                                          </w:t>
      </w:r>
    </w:p>
    <w:p w14:paraId="7AF16BFB">
      <w:pPr>
        <w:adjustRightInd w:val="0"/>
        <w:snapToGrid w:val="0"/>
        <w:spacing w:line="360" w:lineRule="auto"/>
        <w:rPr>
          <w:rFonts w:hint="eastAsia"/>
          <w:color w:val="auto"/>
          <w:sz w:val="21"/>
          <w:szCs w:val="21"/>
          <w:highlight w:val="none"/>
        </w:rPr>
      </w:pPr>
      <w:r>
        <w:rPr>
          <w:rFonts w:hint="eastAsia"/>
          <w:color w:val="auto"/>
          <w:sz w:val="21"/>
          <w:szCs w:val="21"/>
          <w:highlight w:val="none"/>
        </w:rPr>
        <w:t>联系电话：</w:t>
      </w:r>
      <w:r>
        <w:rPr>
          <w:rFonts w:hint="eastAsia"/>
          <w:color w:val="auto"/>
          <w:sz w:val="21"/>
          <w:szCs w:val="21"/>
          <w:highlight w:val="none"/>
          <w:u w:val="dotted"/>
        </w:rPr>
        <w:t xml:space="preserve">                                           </w:t>
      </w:r>
      <w:r>
        <w:rPr>
          <w:rFonts w:hint="eastAsia"/>
          <w:color w:val="auto"/>
          <w:sz w:val="21"/>
          <w:szCs w:val="21"/>
          <w:highlight w:val="none"/>
        </w:rPr>
        <w:t xml:space="preserve"> </w:t>
      </w:r>
    </w:p>
    <w:p w14:paraId="64FA0A9C">
      <w:pPr>
        <w:adjustRightInd w:val="0"/>
        <w:snapToGrid w:val="0"/>
        <w:spacing w:line="360" w:lineRule="auto"/>
        <w:rPr>
          <w:rFonts w:hint="eastAsia"/>
          <w:color w:val="auto"/>
          <w:sz w:val="21"/>
          <w:szCs w:val="21"/>
          <w:highlight w:val="none"/>
        </w:rPr>
      </w:pPr>
      <w:r>
        <w:rPr>
          <w:rFonts w:hint="eastAsia"/>
          <w:color w:val="auto"/>
          <w:sz w:val="21"/>
          <w:szCs w:val="21"/>
          <w:highlight w:val="none"/>
        </w:rPr>
        <w:t xml:space="preserve">地址： </w:t>
      </w:r>
      <w:r>
        <w:rPr>
          <w:rFonts w:hint="eastAsia"/>
          <w:color w:val="auto"/>
          <w:sz w:val="21"/>
          <w:szCs w:val="21"/>
          <w:highlight w:val="none"/>
          <w:u w:val="dotted"/>
        </w:rPr>
        <w:t xml:space="preserve">                        </w:t>
      </w:r>
      <w:r>
        <w:rPr>
          <w:rFonts w:hint="eastAsia"/>
          <w:color w:val="auto"/>
          <w:sz w:val="21"/>
          <w:szCs w:val="21"/>
          <w:highlight w:val="none"/>
        </w:rPr>
        <w:t>邮编：</w:t>
      </w:r>
      <w:r>
        <w:rPr>
          <w:rFonts w:hint="eastAsia"/>
          <w:color w:val="auto"/>
          <w:sz w:val="21"/>
          <w:szCs w:val="21"/>
          <w:highlight w:val="none"/>
          <w:u w:val="dotted"/>
        </w:rPr>
        <w:t xml:space="preserve">                                                </w:t>
      </w:r>
    </w:p>
    <w:p w14:paraId="5F01D250">
      <w:pPr>
        <w:adjustRightInd w:val="0"/>
        <w:snapToGrid w:val="0"/>
        <w:spacing w:line="360" w:lineRule="auto"/>
        <w:rPr>
          <w:rFonts w:hint="eastAsia"/>
          <w:bCs/>
          <w:color w:val="auto"/>
          <w:sz w:val="21"/>
          <w:szCs w:val="21"/>
          <w:highlight w:val="none"/>
        </w:rPr>
      </w:pPr>
      <w:r>
        <w:rPr>
          <w:rFonts w:hint="eastAsia"/>
          <w:bCs/>
          <w:color w:val="auto"/>
          <w:sz w:val="21"/>
          <w:szCs w:val="21"/>
          <w:highlight w:val="none"/>
        </w:rPr>
        <w:t>二、质疑项目基本情况</w:t>
      </w:r>
    </w:p>
    <w:p w14:paraId="1CC69D6E">
      <w:pPr>
        <w:adjustRightInd w:val="0"/>
        <w:snapToGrid w:val="0"/>
        <w:spacing w:line="360" w:lineRule="auto"/>
        <w:rPr>
          <w:rFonts w:hint="eastAsia"/>
          <w:color w:val="auto"/>
          <w:sz w:val="21"/>
          <w:szCs w:val="21"/>
          <w:highlight w:val="none"/>
        </w:rPr>
      </w:pPr>
      <w:r>
        <w:rPr>
          <w:rFonts w:hint="eastAsia"/>
          <w:color w:val="auto"/>
          <w:sz w:val="21"/>
          <w:szCs w:val="21"/>
          <w:highlight w:val="none"/>
        </w:rPr>
        <w:t>质疑项目的名称：</w:t>
      </w:r>
      <w:r>
        <w:rPr>
          <w:rFonts w:hint="eastAsia"/>
          <w:color w:val="auto"/>
          <w:sz w:val="21"/>
          <w:szCs w:val="21"/>
          <w:highlight w:val="none"/>
          <w:u w:val="dotted"/>
        </w:rPr>
        <w:t xml:space="preserve">                                      </w:t>
      </w:r>
    </w:p>
    <w:p w14:paraId="34DA5548">
      <w:pPr>
        <w:adjustRightInd w:val="0"/>
        <w:snapToGrid w:val="0"/>
        <w:spacing w:line="360" w:lineRule="auto"/>
        <w:rPr>
          <w:rFonts w:hint="eastAsia"/>
          <w:color w:val="auto"/>
          <w:sz w:val="21"/>
          <w:szCs w:val="21"/>
          <w:highlight w:val="none"/>
        </w:rPr>
      </w:pPr>
      <w:r>
        <w:rPr>
          <w:rFonts w:hint="eastAsia"/>
          <w:color w:val="auto"/>
          <w:sz w:val="21"/>
          <w:szCs w:val="21"/>
          <w:highlight w:val="none"/>
        </w:rPr>
        <w:t>质疑项目的编号：</w:t>
      </w:r>
      <w:r>
        <w:rPr>
          <w:rFonts w:hint="eastAsia"/>
          <w:color w:val="auto"/>
          <w:sz w:val="21"/>
          <w:szCs w:val="21"/>
          <w:highlight w:val="none"/>
          <w:u w:val="dotted"/>
        </w:rPr>
        <w:t xml:space="preserve">               </w:t>
      </w:r>
      <w:r>
        <w:rPr>
          <w:rFonts w:hint="eastAsia"/>
          <w:color w:val="auto"/>
          <w:sz w:val="21"/>
          <w:szCs w:val="21"/>
          <w:highlight w:val="none"/>
        </w:rPr>
        <w:t>包号：</w:t>
      </w:r>
      <w:r>
        <w:rPr>
          <w:rFonts w:hint="eastAsia"/>
          <w:color w:val="auto"/>
          <w:sz w:val="21"/>
          <w:szCs w:val="21"/>
          <w:highlight w:val="none"/>
          <w:u w:val="dotted"/>
        </w:rPr>
        <w:t xml:space="preserve">                 </w:t>
      </w:r>
    </w:p>
    <w:p w14:paraId="71E09846">
      <w:pPr>
        <w:adjustRightInd w:val="0"/>
        <w:snapToGrid w:val="0"/>
        <w:spacing w:line="360" w:lineRule="auto"/>
        <w:rPr>
          <w:rFonts w:hint="eastAsia"/>
          <w:color w:val="auto"/>
          <w:sz w:val="21"/>
          <w:szCs w:val="21"/>
          <w:highlight w:val="none"/>
          <w:u w:val="dotted"/>
        </w:rPr>
      </w:pPr>
      <w:r>
        <w:rPr>
          <w:rFonts w:hint="eastAsia"/>
          <w:color w:val="auto"/>
          <w:sz w:val="21"/>
          <w:szCs w:val="21"/>
          <w:highlight w:val="none"/>
        </w:rPr>
        <w:t>采购人名称：</w:t>
      </w:r>
      <w:r>
        <w:rPr>
          <w:rFonts w:hint="eastAsia"/>
          <w:color w:val="auto"/>
          <w:sz w:val="21"/>
          <w:szCs w:val="21"/>
          <w:highlight w:val="none"/>
          <w:u w:val="dotted"/>
        </w:rPr>
        <w:t xml:space="preserve">                                         </w:t>
      </w:r>
    </w:p>
    <w:p w14:paraId="1124B831">
      <w:pPr>
        <w:adjustRightInd w:val="0"/>
        <w:snapToGrid w:val="0"/>
        <w:spacing w:line="360" w:lineRule="auto"/>
        <w:rPr>
          <w:rFonts w:hint="eastAsia"/>
          <w:color w:val="auto"/>
          <w:sz w:val="21"/>
          <w:szCs w:val="21"/>
          <w:highlight w:val="none"/>
        </w:rPr>
      </w:pPr>
      <w:r>
        <w:rPr>
          <w:rFonts w:hint="eastAsia"/>
          <w:color w:val="auto"/>
          <w:sz w:val="21"/>
          <w:szCs w:val="21"/>
          <w:highlight w:val="none"/>
        </w:rPr>
        <w:t>采购文件获取日期：</w:t>
      </w:r>
      <w:r>
        <w:rPr>
          <w:rFonts w:hint="eastAsia"/>
          <w:color w:val="auto"/>
          <w:sz w:val="21"/>
          <w:szCs w:val="21"/>
          <w:highlight w:val="none"/>
          <w:u w:val="dotted"/>
        </w:rPr>
        <w:t xml:space="preserve">                                           </w:t>
      </w:r>
    </w:p>
    <w:p w14:paraId="37B99E78">
      <w:pPr>
        <w:adjustRightInd w:val="0"/>
        <w:snapToGrid w:val="0"/>
        <w:spacing w:line="360" w:lineRule="auto"/>
        <w:rPr>
          <w:rFonts w:hint="eastAsia"/>
          <w:bCs/>
          <w:color w:val="auto"/>
          <w:sz w:val="21"/>
          <w:szCs w:val="21"/>
          <w:highlight w:val="none"/>
        </w:rPr>
      </w:pPr>
      <w:r>
        <w:rPr>
          <w:rFonts w:hint="eastAsia"/>
          <w:bCs/>
          <w:color w:val="auto"/>
          <w:sz w:val="21"/>
          <w:szCs w:val="21"/>
          <w:highlight w:val="none"/>
        </w:rPr>
        <w:t>三、质疑事项具体内容</w:t>
      </w:r>
    </w:p>
    <w:p w14:paraId="25ACC470">
      <w:pPr>
        <w:adjustRightInd w:val="0"/>
        <w:snapToGrid w:val="0"/>
        <w:spacing w:line="360" w:lineRule="auto"/>
        <w:rPr>
          <w:rFonts w:hint="eastAsia"/>
          <w:color w:val="auto"/>
          <w:sz w:val="21"/>
          <w:szCs w:val="21"/>
          <w:highlight w:val="none"/>
          <w:u w:val="dotted"/>
        </w:rPr>
      </w:pPr>
      <w:r>
        <w:rPr>
          <w:rFonts w:hint="eastAsia"/>
          <w:color w:val="auto"/>
          <w:sz w:val="21"/>
          <w:szCs w:val="21"/>
          <w:highlight w:val="none"/>
        </w:rPr>
        <w:t>质疑事项1：</w:t>
      </w:r>
      <w:r>
        <w:rPr>
          <w:rFonts w:hint="eastAsia"/>
          <w:color w:val="auto"/>
          <w:sz w:val="21"/>
          <w:szCs w:val="21"/>
          <w:highlight w:val="none"/>
          <w:u w:val="dotted"/>
        </w:rPr>
        <w:t xml:space="preserve">                                         </w:t>
      </w:r>
    </w:p>
    <w:p w14:paraId="042A59DF">
      <w:pPr>
        <w:adjustRightInd w:val="0"/>
        <w:snapToGrid w:val="0"/>
        <w:spacing w:line="360" w:lineRule="auto"/>
        <w:rPr>
          <w:rFonts w:hint="eastAsia"/>
          <w:color w:val="auto"/>
          <w:sz w:val="21"/>
          <w:szCs w:val="21"/>
          <w:highlight w:val="none"/>
          <w:u w:val="dotted"/>
        </w:rPr>
      </w:pPr>
      <w:r>
        <w:rPr>
          <w:rFonts w:hint="eastAsia"/>
          <w:color w:val="auto"/>
          <w:sz w:val="21"/>
          <w:szCs w:val="21"/>
          <w:highlight w:val="none"/>
        </w:rPr>
        <w:t>事实依据：</w:t>
      </w:r>
      <w:r>
        <w:rPr>
          <w:rFonts w:hint="eastAsia"/>
          <w:color w:val="auto"/>
          <w:sz w:val="21"/>
          <w:szCs w:val="21"/>
          <w:highlight w:val="none"/>
          <w:u w:val="dotted"/>
        </w:rPr>
        <w:t xml:space="preserve">                                          </w:t>
      </w:r>
    </w:p>
    <w:p w14:paraId="709A4F3A">
      <w:pPr>
        <w:adjustRightInd w:val="0"/>
        <w:snapToGrid w:val="0"/>
        <w:spacing w:line="360" w:lineRule="auto"/>
        <w:rPr>
          <w:rFonts w:hint="eastAsia"/>
          <w:color w:val="auto"/>
          <w:sz w:val="21"/>
          <w:szCs w:val="21"/>
          <w:highlight w:val="none"/>
        </w:rPr>
      </w:pPr>
      <w:r>
        <w:rPr>
          <w:rFonts w:hint="eastAsia"/>
          <w:color w:val="auto"/>
          <w:sz w:val="21"/>
          <w:szCs w:val="21"/>
          <w:highlight w:val="none"/>
          <w:u w:val="dotted"/>
        </w:rPr>
        <w:t xml:space="preserve">                                                       </w:t>
      </w:r>
    </w:p>
    <w:p w14:paraId="2E0C6762">
      <w:pPr>
        <w:adjustRightInd w:val="0"/>
        <w:snapToGrid w:val="0"/>
        <w:spacing w:line="360" w:lineRule="auto"/>
        <w:rPr>
          <w:rFonts w:hint="eastAsia"/>
          <w:color w:val="auto"/>
          <w:sz w:val="21"/>
          <w:szCs w:val="21"/>
          <w:highlight w:val="none"/>
          <w:u w:val="dotted"/>
        </w:rPr>
      </w:pPr>
      <w:r>
        <w:rPr>
          <w:rFonts w:hint="eastAsia"/>
          <w:color w:val="auto"/>
          <w:sz w:val="21"/>
          <w:szCs w:val="21"/>
          <w:highlight w:val="none"/>
        </w:rPr>
        <w:t>法律依据：</w:t>
      </w:r>
      <w:r>
        <w:rPr>
          <w:rFonts w:hint="eastAsia"/>
          <w:color w:val="auto"/>
          <w:sz w:val="21"/>
          <w:szCs w:val="21"/>
          <w:highlight w:val="none"/>
          <w:u w:val="dotted"/>
        </w:rPr>
        <w:t xml:space="preserve">                                          </w:t>
      </w:r>
    </w:p>
    <w:p w14:paraId="0E54A836">
      <w:pPr>
        <w:adjustRightInd w:val="0"/>
        <w:snapToGrid w:val="0"/>
        <w:spacing w:line="360" w:lineRule="auto"/>
        <w:rPr>
          <w:rFonts w:hint="eastAsia"/>
          <w:color w:val="auto"/>
          <w:sz w:val="21"/>
          <w:szCs w:val="21"/>
          <w:highlight w:val="none"/>
          <w:u w:val="dotted"/>
        </w:rPr>
      </w:pPr>
      <w:r>
        <w:rPr>
          <w:rFonts w:hint="eastAsia"/>
          <w:color w:val="auto"/>
          <w:sz w:val="21"/>
          <w:szCs w:val="21"/>
          <w:highlight w:val="none"/>
          <w:u w:val="dotted"/>
        </w:rPr>
        <w:t xml:space="preserve">                                                     </w:t>
      </w:r>
    </w:p>
    <w:p w14:paraId="09BDBA21">
      <w:pPr>
        <w:adjustRightInd w:val="0"/>
        <w:snapToGrid w:val="0"/>
        <w:spacing w:line="360" w:lineRule="auto"/>
        <w:rPr>
          <w:rFonts w:hint="eastAsia"/>
          <w:color w:val="auto"/>
          <w:sz w:val="21"/>
          <w:szCs w:val="21"/>
          <w:highlight w:val="none"/>
          <w:u w:val="dotted"/>
        </w:rPr>
      </w:pPr>
      <w:r>
        <w:rPr>
          <w:rFonts w:hint="eastAsia"/>
          <w:color w:val="auto"/>
          <w:sz w:val="21"/>
          <w:szCs w:val="21"/>
          <w:highlight w:val="none"/>
        </w:rPr>
        <w:t>质疑事项2</w:t>
      </w:r>
    </w:p>
    <w:p w14:paraId="5809D387">
      <w:pPr>
        <w:adjustRightInd w:val="0"/>
        <w:snapToGrid w:val="0"/>
        <w:spacing w:line="360" w:lineRule="auto"/>
        <w:rPr>
          <w:rFonts w:hint="eastAsia"/>
          <w:color w:val="auto"/>
          <w:sz w:val="21"/>
          <w:szCs w:val="21"/>
          <w:highlight w:val="none"/>
        </w:rPr>
      </w:pPr>
      <w:r>
        <w:rPr>
          <w:rFonts w:hint="eastAsia"/>
          <w:color w:val="auto"/>
          <w:sz w:val="21"/>
          <w:szCs w:val="21"/>
          <w:highlight w:val="none"/>
        </w:rPr>
        <w:t>……</w:t>
      </w:r>
    </w:p>
    <w:p w14:paraId="69A85BC5">
      <w:pPr>
        <w:adjustRightInd w:val="0"/>
        <w:snapToGrid w:val="0"/>
        <w:spacing w:line="360" w:lineRule="auto"/>
        <w:rPr>
          <w:rFonts w:hint="eastAsia"/>
          <w:bCs/>
          <w:color w:val="auto"/>
          <w:sz w:val="21"/>
          <w:szCs w:val="21"/>
          <w:highlight w:val="none"/>
        </w:rPr>
      </w:pPr>
      <w:r>
        <w:rPr>
          <w:rFonts w:hint="eastAsia"/>
          <w:bCs/>
          <w:color w:val="auto"/>
          <w:sz w:val="21"/>
          <w:szCs w:val="21"/>
          <w:highlight w:val="none"/>
        </w:rPr>
        <w:t>四、与质疑事项相关的质疑请求</w:t>
      </w:r>
    </w:p>
    <w:p w14:paraId="3B8D5409">
      <w:pPr>
        <w:adjustRightInd w:val="0"/>
        <w:snapToGrid w:val="0"/>
        <w:spacing w:line="360" w:lineRule="auto"/>
        <w:rPr>
          <w:rFonts w:hint="eastAsia"/>
          <w:color w:val="auto"/>
          <w:sz w:val="21"/>
          <w:szCs w:val="21"/>
          <w:highlight w:val="none"/>
          <w:u w:val="dotted"/>
        </w:rPr>
      </w:pPr>
      <w:r>
        <w:rPr>
          <w:rFonts w:hint="eastAsia"/>
          <w:color w:val="auto"/>
          <w:sz w:val="21"/>
          <w:szCs w:val="21"/>
          <w:highlight w:val="none"/>
        </w:rPr>
        <w:t>请求：</w:t>
      </w:r>
      <w:r>
        <w:rPr>
          <w:rFonts w:hint="eastAsia"/>
          <w:color w:val="auto"/>
          <w:sz w:val="21"/>
          <w:szCs w:val="21"/>
          <w:highlight w:val="none"/>
          <w:u w:val="dotted"/>
        </w:rPr>
        <w:t xml:space="preserve">                                               </w:t>
      </w:r>
    </w:p>
    <w:p w14:paraId="11B177FF">
      <w:pPr>
        <w:rPr>
          <w:rFonts w:hint="eastAsia"/>
          <w:color w:val="auto"/>
          <w:sz w:val="21"/>
          <w:szCs w:val="21"/>
          <w:highlight w:val="none"/>
        </w:rPr>
      </w:pPr>
      <w:r>
        <w:rPr>
          <w:rFonts w:hint="eastAsia"/>
          <w:color w:val="auto"/>
          <w:sz w:val="21"/>
          <w:szCs w:val="21"/>
          <w:highlight w:val="none"/>
        </w:rPr>
        <w:t xml:space="preserve">签字(签章)：                   公章：                      </w:t>
      </w:r>
    </w:p>
    <w:p w14:paraId="20599B8A">
      <w:pPr>
        <w:rPr>
          <w:rFonts w:hint="eastAsia"/>
          <w:color w:val="auto"/>
          <w:sz w:val="21"/>
          <w:szCs w:val="21"/>
          <w:highlight w:val="none"/>
        </w:rPr>
      </w:pPr>
      <w:r>
        <w:rPr>
          <w:rFonts w:hint="eastAsia"/>
          <w:color w:val="auto"/>
          <w:sz w:val="21"/>
          <w:szCs w:val="21"/>
          <w:highlight w:val="none"/>
        </w:rPr>
        <w:t xml:space="preserve">日期：    </w:t>
      </w:r>
    </w:p>
    <w:p w14:paraId="53EC3D8D">
      <w:pPr>
        <w:jc w:val="center"/>
        <w:rPr>
          <w:rFonts w:hint="eastAsia"/>
          <w:b/>
          <w:bCs/>
          <w:color w:val="auto"/>
          <w:sz w:val="21"/>
          <w:szCs w:val="21"/>
          <w:highlight w:val="none"/>
        </w:rPr>
      </w:pPr>
    </w:p>
    <w:p w14:paraId="1516C7EB">
      <w:pPr>
        <w:rPr>
          <w:rFonts w:hint="eastAsia"/>
          <w:b/>
          <w:color w:val="auto"/>
          <w:sz w:val="21"/>
          <w:szCs w:val="21"/>
          <w:highlight w:val="none"/>
        </w:rPr>
      </w:pPr>
      <w:r>
        <w:rPr>
          <w:rFonts w:hint="eastAsia"/>
          <w:b/>
          <w:color w:val="auto"/>
          <w:sz w:val="21"/>
          <w:szCs w:val="21"/>
          <w:highlight w:val="none"/>
        </w:rPr>
        <w:t>质疑函制作说明：</w:t>
      </w:r>
    </w:p>
    <w:p w14:paraId="3EBEA41D">
      <w:pPr>
        <w:ind w:firstLine="420" w:firstLineChars="200"/>
        <w:rPr>
          <w:rFonts w:hint="eastAsia"/>
          <w:color w:val="auto"/>
          <w:sz w:val="21"/>
          <w:szCs w:val="21"/>
          <w:highlight w:val="none"/>
        </w:rPr>
      </w:pPr>
      <w:r>
        <w:rPr>
          <w:rFonts w:hint="eastAsia"/>
          <w:color w:val="auto"/>
          <w:sz w:val="21"/>
          <w:szCs w:val="21"/>
          <w:highlight w:val="none"/>
        </w:rPr>
        <w:t>1.供应商提出质疑时，应提交质疑函和必要的证明材料。</w:t>
      </w:r>
    </w:p>
    <w:p w14:paraId="7E3B8B29">
      <w:pPr>
        <w:ind w:firstLine="420" w:firstLineChars="200"/>
        <w:rPr>
          <w:rFonts w:hint="eastAsia"/>
          <w:color w:val="auto"/>
          <w:sz w:val="21"/>
          <w:szCs w:val="21"/>
          <w:highlight w:val="none"/>
        </w:rPr>
      </w:pPr>
      <w:r>
        <w:rPr>
          <w:rFonts w:hint="eastAsia"/>
          <w:color w:val="auto"/>
          <w:sz w:val="21"/>
          <w:szCs w:val="21"/>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3E1C7F0">
      <w:pPr>
        <w:ind w:firstLine="420" w:firstLineChars="200"/>
        <w:rPr>
          <w:rFonts w:hint="eastAsia"/>
          <w:color w:val="auto"/>
          <w:sz w:val="21"/>
          <w:szCs w:val="21"/>
          <w:highlight w:val="none"/>
        </w:rPr>
      </w:pPr>
      <w:r>
        <w:rPr>
          <w:rFonts w:hint="eastAsia"/>
          <w:color w:val="auto"/>
          <w:sz w:val="21"/>
          <w:szCs w:val="21"/>
          <w:highlight w:val="none"/>
        </w:rPr>
        <w:t>3.质疑供应商若对项目的某一分包进行质疑，质疑函中应列明具体分包号。</w:t>
      </w:r>
    </w:p>
    <w:p w14:paraId="171BA7E0">
      <w:pPr>
        <w:ind w:firstLine="420" w:firstLineChars="200"/>
        <w:rPr>
          <w:rFonts w:hint="eastAsia"/>
          <w:color w:val="auto"/>
          <w:sz w:val="21"/>
          <w:szCs w:val="21"/>
          <w:highlight w:val="none"/>
        </w:rPr>
      </w:pPr>
      <w:r>
        <w:rPr>
          <w:rFonts w:hint="eastAsia"/>
          <w:color w:val="auto"/>
          <w:sz w:val="21"/>
          <w:szCs w:val="21"/>
          <w:highlight w:val="none"/>
        </w:rPr>
        <w:t>4.质疑函的质疑事项应具体、明确，并有必要的事实依据和法律依据。</w:t>
      </w:r>
    </w:p>
    <w:p w14:paraId="44748F01">
      <w:pPr>
        <w:ind w:firstLine="420" w:firstLineChars="200"/>
        <w:rPr>
          <w:rFonts w:hint="eastAsia"/>
          <w:color w:val="auto"/>
          <w:sz w:val="21"/>
          <w:szCs w:val="21"/>
          <w:highlight w:val="none"/>
        </w:rPr>
      </w:pPr>
      <w:r>
        <w:rPr>
          <w:rFonts w:hint="eastAsia"/>
          <w:color w:val="auto"/>
          <w:sz w:val="21"/>
          <w:szCs w:val="21"/>
          <w:highlight w:val="none"/>
        </w:rPr>
        <w:t>5.质疑函的质疑请求应与质疑事项相关。</w:t>
      </w:r>
    </w:p>
    <w:p w14:paraId="4158F600">
      <w:pPr>
        <w:ind w:firstLine="420" w:firstLineChars="200"/>
        <w:rPr>
          <w:rFonts w:hint="eastAsia"/>
          <w:color w:val="auto"/>
          <w:sz w:val="21"/>
          <w:szCs w:val="21"/>
          <w:highlight w:val="none"/>
        </w:rPr>
      </w:pPr>
      <w:r>
        <w:rPr>
          <w:rFonts w:hint="eastAsia"/>
          <w:color w:val="auto"/>
          <w:sz w:val="21"/>
          <w:szCs w:val="21"/>
          <w:highlight w:val="none"/>
        </w:rPr>
        <w:t>6.质疑供应商为自然人的，质疑函应由本人签字；质疑供应商为法人或者其他组织的，质疑函应由法定代表人（负责人）、主要负责人，或者其授权代表签字或者盖章，并加盖公章。</w:t>
      </w:r>
    </w:p>
    <w:p w14:paraId="5D595EB4">
      <w:pPr>
        <w:pStyle w:val="37"/>
        <w:adjustRightInd w:val="0"/>
        <w:snapToGrid w:val="0"/>
        <w:spacing w:line="400" w:lineRule="exact"/>
        <w:jc w:val="center"/>
        <w:rPr>
          <w:rFonts w:hint="eastAsia" w:hAnsi="宋体" w:cs="宋体"/>
          <w:color w:val="auto"/>
          <w:highlight w:val="none"/>
        </w:rPr>
      </w:pPr>
    </w:p>
    <w:sectPr>
      <w:pgSz w:w="11906" w:h="16838"/>
      <w:pgMar w:top="1440" w:right="1361" w:bottom="1440" w:left="1361" w:header="720" w:footer="720" w:gutter="0"/>
      <w:pgNumType w:fmt="decimal"/>
      <w:cols w:space="720" w:num="1"/>
      <w:docGrid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Jim" w:date="2025-02-16T14:29:19Z" w:initials="">
    <w:p w14:paraId="71B64ECA">
      <w:pPr>
        <w:pStyle w:val="26"/>
        <w:rPr>
          <w:rFonts w:hint="default" w:eastAsiaTheme="minorEastAsia"/>
          <w:lang w:val="en-US" w:eastAsia="zh-CN"/>
        </w:rPr>
      </w:pPr>
      <w:r>
        <w:rPr>
          <w:rFonts w:hint="eastAsia"/>
          <w:lang w:val="en-US" w:eastAsia="zh-CN"/>
        </w:rPr>
        <w:t>建议明确具体标准</w:t>
      </w:r>
    </w:p>
  </w:comment>
  <w:comment w:id="1" w:author="Jim" w:date="2025-02-16T11:26:22Z" w:initials="">
    <w:p w14:paraId="7E87267A">
      <w:pPr>
        <w:pStyle w:val="26"/>
        <w:rPr>
          <w:rFonts w:hint="default" w:eastAsiaTheme="minorEastAsia"/>
          <w:lang w:val="en-US" w:eastAsia="zh-CN"/>
        </w:rPr>
      </w:pPr>
      <w:r>
        <w:rPr>
          <w:rFonts w:hint="eastAsia"/>
          <w:lang w:val="en-US" w:eastAsia="zh-CN"/>
        </w:rPr>
        <w:t>建议明确具体标准</w:t>
      </w:r>
    </w:p>
  </w:comment>
  <w:comment w:id="2" w:author="Jim" w:date="2025-02-14T16:38:49Z" w:initials="">
    <w:p w14:paraId="24A76681">
      <w:pPr>
        <w:rPr>
          <w:rFonts w:hint="default" w:eastAsia="宋体"/>
          <w:lang w:val="en-US" w:eastAsia="zh-CN"/>
        </w:rPr>
      </w:pPr>
      <w:r>
        <w:rPr>
          <w:rFonts w:hint="eastAsia"/>
          <w:lang w:val="en-US" w:eastAsia="zh-CN"/>
        </w:rPr>
        <w:t>什么情况下可以被认定为“具备实施条件”，建议明确。如，乙方书面提供“具备实施条件情况说明”</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71B64ECA" w15:done="0"/>
  <w15:commentEx w15:paraId="7E87267A" w15:done="0"/>
  <w15:commentEx w15:paraId="24A76681"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pple-system">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TimesNewRomanPSMT">
    <w:altName w:val="Times New Roman"/>
    <w:panose1 w:val="00000000000000000000"/>
    <w:charset w:val="00"/>
    <w:family w:val="auto"/>
    <w:pitch w:val="default"/>
    <w:sig w:usb0="00000000" w:usb1="00000000" w:usb2="00000009" w:usb3="00000000" w:csb0="000001FF" w:csb1="00000000"/>
  </w:font>
  <w:font w:name="华文中宋">
    <w:panose1 w:val="02010600040101010101"/>
    <w:charset w:val="86"/>
    <w:family w:val="auto"/>
    <w:pitch w:val="default"/>
    <w:sig w:usb0="00000287" w:usb1="080F0000" w:usb2="00000000" w:usb3="00000000" w:csb0="0004009F" w:csb1="DFD70000"/>
  </w:font>
  <w:font w:name="ˎ̥">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 w:name="Calibri Light">
    <w:panose1 w:val="020F03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Trebuchet MS">
    <w:panose1 w:val="020B0603020202020204"/>
    <w:charset w:val="00"/>
    <w:family w:val="swiss"/>
    <w:pitch w:val="default"/>
    <w:sig w:usb0="00000687" w:usb1="00000000" w:usb2="00000000" w:usb3="00000000" w:csb0="2000009F" w:csb1="00000000"/>
  </w:font>
  <w:font w:name="FuturaA Bk BT">
    <w:altName w:val="Arial"/>
    <w:panose1 w:val="00000000000000000000"/>
    <w:charset w:val="00"/>
    <w:family w:val="swiss"/>
    <w:pitch w:val="default"/>
    <w:sig w:usb0="00000000" w:usb1="00000000" w:usb2="00000000" w:usb3="00000000" w:csb0="00000001" w:csb1="00000000"/>
  </w:font>
  <w:font w:name="Microsoft YaHei UI">
    <w:panose1 w:val="020B0503020204020204"/>
    <w:charset w:val="86"/>
    <w:family w:val="swiss"/>
    <w:pitch w:val="default"/>
    <w:sig w:usb0="80000287" w:usb1="2ACF3C50" w:usb2="00000016" w:usb3="00000000" w:csb0="0004001F" w:csb1="00000000"/>
  </w:font>
  <w:font w:name="Arial Narrow">
    <w:panose1 w:val="020B0606020202030204"/>
    <w:charset w:val="00"/>
    <w:family w:val="swiss"/>
    <w:pitch w:val="default"/>
    <w:sig w:usb0="00000287" w:usb1="00000800" w:usb2="00000000" w:usb3="00000000" w:csb0="2000009F" w:csb1="DFD7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HPFutura Light">
    <w:altName w:val="Arial"/>
    <w:panose1 w:val="00000000000000000000"/>
    <w:charset w:val="00"/>
    <w:family w:val="modern"/>
    <w:pitch w:val="default"/>
    <w:sig w:usb0="00000000" w:usb1="00000000" w:usb2="00000000" w:usb3="00000000" w:csb0="00000001" w:csb1="00000000"/>
  </w:font>
  <w:font w:name="Helvetica">
    <w:altName w:val="Arial"/>
    <w:panose1 w:val="020B0504020202030204"/>
    <w:charset w:val="00"/>
    <w:family w:val="swiss"/>
    <w:pitch w:val="default"/>
    <w:sig w:usb0="00000000" w:usb1="00000000" w:usb2="00000000" w:usb3="00000000" w:csb0="00000093" w:csb1="00000000"/>
  </w:font>
  <w:font w:name="MS Gothic">
    <w:panose1 w:val="020B0609070205080204"/>
    <w:charset w:val="80"/>
    <w:family w:val="modern"/>
    <w:pitch w:val="default"/>
    <w:sig w:usb0="E00002FF" w:usb1="6AC7FDFB" w:usb2="08000012" w:usb3="00000000" w:csb0="4002009F" w:csb1="DFD70000"/>
  </w:font>
  <w:font w:name="TT-JTCウインS4P">
    <w:altName w:val="Yu Gothic"/>
    <w:panose1 w:val="00000000000000000000"/>
    <w:charset w:val="80"/>
    <w:family w:val="auto"/>
    <w:pitch w:val="default"/>
    <w:sig w:usb0="00000000" w:usb1="00000000" w:usb2="00000010" w:usb3="00000000" w:csb0="00020000" w:csb1="00000000"/>
  </w:font>
  <w:font w:name="Yu Gothic">
    <w:panose1 w:val="020B0400000000000000"/>
    <w:charset w:val="80"/>
    <w:family w:val="auto"/>
    <w:pitch w:val="default"/>
    <w:sig w:usb0="E00002FF" w:usb1="2AC7FDFF" w:usb2="00000016" w:usb3="00000000" w:csb0="2002009F" w:csb1="00000000"/>
  </w:font>
  <w:font w:name="Century Gothic">
    <w:panose1 w:val="020B0502020202020204"/>
    <w:charset w:val="00"/>
    <w:family w:val="swiss"/>
    <w:pitch w:val="default"/>
    <w:sig w:usb0="00000287" w:usb1="00000000" w:usb2="00000000" w:usb3="00000000" w:csb0="2000009F" w:csb1="DFD70000"/>
  </w:font>
  <w:font w:name="Century">
    <w:panose1 w:val="02040604050505020304"/>
    <w:charset w:val="00"/>
    <w:family w:val="roman"/>
    <w:pitch w:val="default"/>
    <w:sig w:usb0="00000287" w:usb1="00000000" w:usb2="00000000" w:usb3="00000000" w:csb0="2000009F" w:csb1="DFD70000"/>
  </w:font>
  <w:font w:name="新宋体">
    <w:panose1 w:val="02010609030101010101"/>
    <w:charset w:val="86"/>
    <w:family w:val="modern"/>
    <w:pitch w:val="default"/>
    <w:sig w:usb0="00000203" w:usb1="288F0000" w:usb2="00000006" w:usb3="00000000" w:csb0="00040001" w:csb1="00000000"/>
  </w:font>
  <w:font w:name="华文细黑">
    <w:panose1 w:val="02010600040101010101"/>
    <w:charset w:val="86"/>
    <w:family w:val="auto"/>
    <w:pitch w:val="default"/>
    <w:sig w:usb0="00000287" w:usb1="080F0000" w:usb2="00000000" w:usb3="00000000" w:csb0="0004009F" w:csb1="DFD70000"/>
  </w:font>
  <w:font w:name="Verdana">
    <w:panose1 w:val="020B0604030504040204"/>
    <w:charset w:val="00"/>
    <w:family w:val="swiss"/>
    <w:pitch w:val="default"/>
    <w:sig w:usb0="A00006FF" w:usb1="4000205B" w:usb2="00000010" w:usb3="00000000" w:csb0="2000019F" w:csb1="00000000"/>
  </w:font>
  <w:font w:name="MS PMincho">
    <w:altName w:val="MS UI Gothic"/>
    <w:panose1 w:val="02020600040205080304"/>
    <w:charset w:val="80"/>
    <w:family w:val="roman"/>
    <w:pitch w:val="default"/>
    <w:sig w:usb0="00000000" w:usb1="00000000" w:usb2="00000012" w:usb3="00000000" w:csb0="4002009F" w:csb1="DFD70000"/>
  </w:font>
  <w:font w:name="MS UI Gothic">
    <w:panose1 w:val="020B0600070205080204"/>
    <w:charset w:val="80"/>
    <w:family w:val="auto"/>
    <w:pitch w:val="default"/>
    <w:sig w:usb0="E00002FF" w:usb1="6AC7FDFB" w:usb2="08000012" w:usb3="00000000" w:csb0="4002009F" w:csb1="DFD70000"/>
  </w:font>
  <w:font w:name="MS Mincho">
    <w:altName w:val="MS UI Gothic"/>
    <w:panose1 w:val="02020609040205080304"/>
    <w:charset w:val="80"/>
    <w:family w:val="modern"/>
    <w:pitch w:val="default"/>
    <w:sig w:usb0="00000000" w:usb1="00000000" w:usb2="00000012" w:usb3="00000000" w:csb0="4002009F" w:csb1="DFD70000"/>
  </w:font>
  <w:font w:name="Times">
    <w:altName w:val="Times New Roman"/>
    <w:panose1 w:val="02020603050405020304"/>
    <w:charset w:val="00"/>
    <w:family w:val="roman"/>
    <w:pitch w:val="default"/>
    <w:sig w:usb0="00000000" w:usb1="00000000" w:usb2="00000009" w:usb3="00000000" w:csb0="000001FF"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High Tower Text">
    <w:panose1 w:val="02040502050506030303"/>
    <w:charset w:val="00"/>
    <w:family w:val="roman"/>
    <w:pitch w:val="default"/>
    <w:sig w:usb0="00000003" w:usb1="00000000" w:usb2="00000000" w:usb3="00000000" w:csb0="20000001" w:csb1="00000000"/>
  </w:font>
  <w:font w:name="华文楷体">
    <w:panose1 w:val="02010600040101010101"/>
    <w:charset w:val="86"/>
    <w:family w:val="auto"/>
    <w:pitch w:val="default"/>
    <w:sig w:usb0="00000287" w:usb1="080F0000" w:usb2="00000000" w:usb3="00000000" w:csb0="0004009F" w:csb1="DFD70000"/>
  </w:font>
  <w:font w:name="Arial (W1)">
    <w:altName w:val="Arial"/>
    <w:panose1 w:val="00000000000000000000"/>
    <w:charset w:val="00"/>
    <w:family w:val="auto"/>
    <w:pitch w:val="default"/>
    <w:sig w:usb0="00000000" w:usb1="0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D8EDE0">
    <w:pPr>
      <w:pStyle w:val="46"/>
      <w:jc w:val="right"/>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7340DB">
    <w:pPr>
      <w:pStyle w:val="4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2EE92">
    <w:pPr>
      <w:pStyle w:val="46"/>
      <w:jc w:val="right"/>
      <w:rPr>
        <w:sz w:val="2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0D29A">
    <w:pPr>
      <w:pStyle w:val="46"/>
      <w:jc w:val="right"/>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D3BDCE">
                          <w:pPr>
                            <w:pStyle w:val="4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1D3BDCE">
                    <w:pPr>
                      <w:pStyle w:val="4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9F66D1">
    <w:pPr>
      <w:pStyle w:val="46"/>
      <w:jc w:val="right"/>
      <w:rPr>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EF68A4">
                          <w:pPr>
                            <w:pStyle w:val="4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7EF68A4">
                    <w:pPr>
                      <w:pStyle w:val="4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CA787">
    <w:pPr>
      <w:pStyle w:val="4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B16BA8">
                          <w:pPr>
                            <w:pStyle w:val="4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AB16BA8">
                    <w:pPr>
                      <w:pStyle w:val="4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F6077">
    <w:pPr>
      <w:pStyle w:val="46"/>
      <w:jc w:val="right"/>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9DA095">
                          <w:pPr>
                            <w:pStyle w:val="46"/>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B9DA095">
                    <w:pPr>
                      <w:pStyle w:val="46"/>
                    </w:pPr>
                    <w:r>
                      <w:fldChar w:fldCharType="begin"/>
                    </w:r>
                    <w:r>
                      <w:instrText xml:space="preserve"> PAGE  \* MERGEFORMAT </w:instrText>
                    </w:r>
                    <w:r>
                      <w:fldChar w:fldCharType="separate"/>
                    </w:r>
                    <w:r>
                      <w:t>75</w:t>
                    </w:r>
                    <w:r>
                      <w:fldChar w:fldCharType="end"/>
                    </w:r>
                  </w:p>
                </w:txbxContent>
              </v:textbox>
            </v:shape>
          </w:pict>
        </mc:Fallback>
      </mc:AlternateContent>
    </w:r>
  </w:p>
  <w:p w14:paraId="13C6B24E">
    <w:pPr>
      <w:pStyle w:val="46"/>
      <w:jc w:val="right"/>
      <w:rPr>
        <w:rFonts w:hint="eastAsi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131771">
    <w:pPr>
      <w:pStyle w:val="46"/>
      <w:jc w:val="right"/>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E9F562">
                          <w:pPr>
                            <w:pStyle w:val="46"/>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3E9F562">
                    <w:pPr>
                      <w:pStyle w:val="46"/>
                    </w:pPr>
                    <w:r>
                      <w:fldChar w:fldCharType="begin"/>
                    </w:r>
                    <w:r>
                      <w:instrText xml:space="preserve"> PAGE  \* MERGEFORMAT </w:instrText>
                    </w:r>
                    <w:r>
                      <w:fldChar w:fldCharType="separate"/>
                    </w:r>
                    <w:r>
                      <w:t>81</w:t>
                    </w:r>
                    <w:r>
                      <w:fldChar w:fldCharType="end"/>
                    </w:r>
                  </w:p>
                </w:txbxContent>
              </v:textbox>
            </v:shape>
          </w:pict>
        </mc:Fallback>
      </mc:AlternateContent>
    </w:r>
  </w:p>
  <w:p w14:paraId="6E8B66C2">
    <w:pPr>
      <w:pStyle w:val="46"/>
      <w:jc w:val="right"/>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85414">
    <w:pPr>
      <w:pStyle w:val="47"/>
      <w:pBdr>
        <w:bottom w:val="none" w:color="auto" w:sz="0" w:space="1"/>
      </w:pBdr>
      <w:shd w:val="clear" w:color="auto" w:fill="FFFFFF"/>
      <w:jc w:val="both"/>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64AC4">
    <w:pPr>
      <w:pStyle w:val="4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CF163">
    <w:pPr>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CA1813">
    <w:pPr>
      <w:pStyle w:val="47"/>
      <w:pBdr>
        <w:bottom w:val="none" w:color="auto" w:sz="0" w:space="1"/>
      </w:pBdr>
      <w:shd w:val="clear" w:color="auto" w:fill="FFFFFF"/>
      <w:jc w:val="both"/>
      <w:rPr>
        <w:rFonts w:hint="eastAsia"/>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C35F9">
    <w:pPr>
      <w:pStyle w:val="47"/>
      <w:pBdr>
        <w:bottom w:val="none" w:color="auto" w:sz="0" w:space="1"/>
      </w:pBdr>
      <w:shd w:val="clear" w:color="auto" w:fill="FFFFFF"/>
      <w:jc w:val="both"/>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61696A"/>
    <w:multiLevelType w:val="singleLevel"/>
    <w:tmpl w:val="9F61696A"/>
    <w:lvl w:ilvl="0" w:tentative="0">
      <w:start w:val="1"/>
      <w:numFmt w:val="decimal"/>
      <w:lvlText w:val="(%1)"/>
      <w:lvlJc w:val="left"/>
      <w:pPr>
        <w:ind w:left="425" w:hanging="425"/>
      </w:pPr>
      <w:rPr>
        <w:rFonts w:hint="default"/>
      </w:rPr>
    </w:lvl>
  </w:abstractNum>
  <w:abstractNum w:abstractNumId="1">
    <w:nsid w:val="CBC0DC41"/>
    <w:multiLevelType w:val="singleLevel"/>
    <w:tmpl w:val="CBC0DC41"/>
    <w:lvl w:ilvl="0" w:tentative="0">
      <w:start w:val="1"/>
      <w:numFmt w:val="decimal"/>
      <w:lvlText w:val="%1."/>
      <w:lvlJc w:val="left"/>
      <w:pPr>
        <w:tabs>
          <w:tab w:val="left" w:pos="312"/>
        </w:tabs>
      </w:pPr>
    </w:lvl>
  </w:abstractNum>
  <w:abstractNum w:abstractNumId="2">
    <w:nsid w:val="CD7BDCFE"/>
    <w:multiLevelType w:val="singleLevel"/>
    <w:tmpl w:val="CD7BDCFE"/>
    <w:lvl w:ilvl="0" w:tentative="0">
      <w:start w:val="1"/>
      <w:numFmt w:val="decimal"/>
      <w:suff w:val="space"/>
      <w:lvlText w:val="%1."/>
      <w:lvlJc w:val="left"/>
    </w:lvl>
  </w:abstractNum>
  <w:abstractNum w:abstractNumId="3">
    <w:nsid w:val="DDD52AA1"/>
    <w:multiLevelType w:val="singleLevel"/>
    <w:tmpl w:val="DDD52AA1"/>
    <w:lvl w:ilvl="0" w:tentative="0">
      <w:start w:val="1"/>
      <w:numFmt w:val="decimal"/>
      <w:lvlText w:val="(%1)"/>
      <w:lvlJc w:val="left"/>
      <w:pPr>
        <w:ind w:left="425" w:hanging="425"/>
      </w:pPr>
      <w:rPr>
        <w:rFonts w:hint="default"/>
      </w:rPr>
    </w:lvl>
  </w:abstractNum>
  <w:abstractNum w:abstractNumId="4">
    <w:nsid w:val="00000001"/>
    <w:multiLevelType w:val="singleLevel"/>
    <w:tmpl w:val="00000001"/>
    <w:lvl w:ilvl="0" w:tentative="0">
      <w:start w:val="1"/>
      <w:numFmt w:val="bullet"/>
      <w:pStyle w:val="566"/>
      <w:lvlText w:val=""/>
      <w:lvlJc w:val="left"/>
      <w:pPr>
        <w:tabs>
          <w:tab w:val="left" w:pos="780"/>
        </w:tabs>
        <w:ind w:left="780" w:hanging="360"/>
      </w:pPr>
      <w:rPr>
        <w:rFonts w:hint="default" w:ascii="Wingdings" w:hAnsi="Wingdings"/>
      </w:rPr>
    </w:lvl>
  </w:abstractNum>
  <w:abstractNum w:abstractNumId="5">
    <w:nsid w:val="00000003"/>
    <w:multiLevelType w:val="multilevel"/>
    <w:tmpl w:val="00000003"/>
    <w:lvl w:ilvl="0" w:tentative="0">
      <w:start w:val="1"/>
      <w:numFmt w:val="decimal"/>
      <w:pStyle w:val="1041"/>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00000004"/>
    <w:multiLevelType w:val="multilevel"/>
    <w:tmpl w:val="00000004"/>
    <w:lvl w:ilvl="0" w:tentative="0">
      <w:start w:val="1"/>
      <w:numFmt w:val="bullet"/>
      <w:pStyle w:val="684"/>
      <w:lvlText w:val=""/>
      <w:lvlJc w:val="left"/>
      <w:pPr>
        <w:tabs>
          <w:tab w:val="left" w:pos="900"/>
        </w:tabs>
        <w:ind w:left="875" w:hanging="335"/>
      </w:pPr>
      <w:rPr>
        <w:rFonts w:hint="default" w:ascii="Symbol" w:hAnsi="Symbol"/>
      </w:rPr>
    </w:lvl>
    <w:lvl w:ilvl="1" w:tentative="0">
      <w:start w:val="1"/>
      <w:numFmt w:val="bullet"/>
      <w:lvlText w:val="o"/>
      <w:lvlJc w:val="left"/>
      <w:pPr>
        <w:tabs>
          <w:tab w:val="left" w:pos="1922"/>
        </w:tabs>
        <w:ind w:left="1922" w:hanging="360"/>
      </w:pPr>
      <w:rPr>
        <w:rFonts w:hint="default" w:ascii="Courier New" w:hAnsi="Courier New"/>
      </w:rPr>
    </w:lvl>
    <w:lvl w:ilvl="2" w:tentative="0">
      <w:start w:val="1"/>
      <w:numFmt w:val="bullet"/>
      <w:lvlText w:val=""/>
      <w:lvlJc w:val="left"/>
      <w:pPr>
        <w:tabs>
          <w:tab w:val="left" w:pos="2642"/>
        </w:tabs>
        <w:ind w:left="2642" w:hanging="360"/>
      </w:pPr>
      <w:rPr>
        <w:rFonts w:hint="default" w:ascii="Wingdings" w:hAnsi="Wingdings"/>
      </w:rPr>
    </w:lvl>
    <w:lvl w:ilvl="3" w:tentative="0">
      <w:start w:val="1"/>
      <w:numFmt w:val="bullet"/>
      <w:lvlText w:val=""/>
      <w:lvlJc w:val="left"/>
      <w:pPr>
        <w:tabs>
          <w:tab w:val="left" w:pos="3362"/>
        </w:tabs>
        <w:ind w:left="3362" w:hanging="360"/>
      </w:pPr>
      <w:rPr>
        <w:rFonts w:hint="default" w:ascii="Symbol" w:hAnsi="Symbol"/>
      </w:rPr>
    </w:lvl>
    <w:lvl w:ilvl="4" w:tentative="0">
      <w:start w:val="1"/>
      <w:numFmt w:val="bullet"/>
      <w:lvlText w:val="o"/>
      <w:lvlJc w:val="left"/>
      <w:pPr>
        <w:tabs>
          <w:tab w:val="left" w:pos="4082"/>
        </w:tabs>
        <w:ind w:left="4082" w:hanging="360"/>
      </w:pPr>
      <w:rPr>
        <w:rFonts w:hint="default" w:ascii="Courier New" w:hAnsi="Courier New"/>
      </w:rPr>
    </w:lvl>
    <w:lvl w:ilvl="5" w:tentative="0">
      <w:start w:val="1"/>
      <w:numFmt w:val="bullet"/>
      <w:lvlText w:val=""/>
      <w:lvlJc w:val="left"/>
      <w:pPr>
        <w:tabs>
          <w:tab w:val="left" w:pos="4802"/>
        </w:tabs>
        <w:ind w:left="4802" w:hanging="360"/>
      </w:pPr>
      <w:rPr>
        <w:rFonts w:hint="default" w:ascii="Wingdings" w:hAnsi="Wingdings"/>
      </w:rPr>
    </w:lvl>
    <w:lvl w:ilvl="6" w:tentative="0">
      <w:start w:val="1"/>
      <w:numFmt w:val="bullet"/>
      <w:lvlText w:val=""/>
      <w:lvlJc w:val="left"/>
      <w:pPr>
        <w:tabs>
          <w:tab w:val="left" w:pos="5522"/>
        </w:tabs>
        <w:ind w:left="5522" w:hanging="360"/>
      </w:pPr>
      <w:rPr>
        <w:rFonts w:hint="default" w:ascii="Symbol" w:hAnsi="Symbol"/>
      </w:rPr>
    </w:lvl>
    <w:lvl w:ilvl="7" w:tentative="0">
      <w:start w:val="1"/>
      <w:numFmt w:val="bullet"/>
      <w:lvlText w:val="o"/>
      <w:lvlJc w:val="left"/>
      <w:pPr>
        <w:tabs>
          <w:tab w:val="left" w:pos="6242"/>
        </w:tabs>
        <w:ind w:left="6242" w:hanging="360"/>
      </w:pPr>
      <w:rPr>
        <w:rFonts w:hint="default" w:ascii="Courier New" w:hAnsi="Courier New"/>
      </w:rPr>
    </w:lvl>
    <w:lvl w:ilvl="8" w:tentative="0">
      <w:start w:val="1"/>
      <w:numFmt w:val="bullet"/>
      <w:lvlText w:val=""/>
      <w:lvlJc w:val="left"/>
      <w:pPr>
        <w:tabs>
          <w:tab w:val="left" w:pos="6962"/>
        </w:tabs>
        <w:ind w:left="6962" w:hanging="360"/>
      </w:pPr>
      <w:rPr>
        <w:rFonts w:hint="default" w:ascii="Wingdings" w:hAnsi="Wingdings"/>
      </w:rPr>
    </w:lvl>
  </w:abstractNum>
  <w:abstractNum w:abstractNumId="7">
    <w:nsid w:val="00000005"/>
    <w:multiLevelType w:val="multilevel"/>
    <w:tmpl w:val="00000005"/>
    <w:lvl w:ilvl="0" w:tentative="0">
      <w:start w:val="1"/>
      <w:numFmt w:val="decimal"/>
      <w:pStyle w:val="716"/>
      <w:lvlText w:val="%1."/>
      <w:lvlJc w:val="left"/>
      <w:pPr>
        <w:tabs>
          <w:tab w:val="left" w:pos="567"/>
        </w:tabs>
        <w:ind w:left="567" w:hanging="567"/>
      </w:pPr>
      <w:rPr>
        <w:rFonts w:hint="default" w:ascii="Arial" w:hAnsi="Arial" w:eastAsia="宋体"/>
        <w:b/>
        <w:i w:val="0"/>
        <w:sz w:val="21"/>
      </w:rPr>
    </w:lvl>
    <w:lvl w:ilvl="1" w:tentative="0">
      <w:start w:val="1"/>
      <w:numFmt w:val="decimal"/>
      <w:pStyle w:val="551"/>
      <w:lvlText w:val="%1.%2"/>
      <w:lvlJc w:val="left"/>
      <w:pPr>
        <w:tabs>
          <w:tab w:val="left" w:pos="567"/>
        </w:tabs>
        <w:ind w:left="567" w:hanging="567"/>
      </w:pPr>
      <w:rPr>
        <w:rFonts w:hint="default" w:ascii="Arial" w:hAnsi="Arial" w:eastAsia="宋体"/>
        <w:b w:val="0"/>
        <w:i w:val="0"/>
        <w:sz w:val="21"/>
      </w:rPr>
    </w:lvl>
    <w:lvl w:ilvl="2" w:tentative="0">
      <w:start w:val="1"/>
      <w:numFmt w:val="decimal"/>
      <w:pStyle w:val="897"/>
      <w:lvlText w:val="%1.%2.%3"/>
      <w:lvlJc w:val="left"/>
      <w:pPr>
        <w:tabs>
          <w:tab w:val="left" w:pos="720"/>
        </w:tabs>
        <w:ind w:left="420" w:hanging="420"/>
      </w:pPr>
      <w:rPr>
        <w:rFonts w:hint="eastAsia"/>
      </w:rPr>
    </w:lvl>
    <w:lvl w:ilvl="3" w:tentative="0">
      <w:start w:val="1"/>
      <w:numFmt w:val="decimal"/>
      <w:lvlText w:val="%1.%2.%3.%4"/>
      <w:lvlJc w:val="left"/>
      <w:pPr>
        <w:tabs>
          <w:tab w:val="left" w:pos="420"/>
        </w:tabs>
        <w:ind w:left="420" w:hanging="420"/>
      </w:pPr>
      <w:rPr>
        <w:rFonts w:hint="eastAsia"/>
      </w:rPr>
    </w:lvl>
    <w:lvl w:ilvl="4" w:tentative="0">
      <w:start w:val="1"/>
      <w:numFmt w:val="decimal"/>
      <w:lvlText w:val="%1.%2.%3.%4.%5"/>
      <w:lvlJc w:val="left"/>
      <w:pPr>
        <w:tabs>
          <w:tab w:val="left" w:pos="420"/>
        </w:tabs>
        <w:ind w:left="420" w:hanging="420"/>
      </w:pPr>
      <w:rPr>
        <w:rFonts w:hint="eastAsia"/>
      </w:rPr>
    </w:lvl>
    <w:lvl w:ilvl="5" w:tentative="0">
      <w:start w:val="1"/>
      <w:numFmt w:val="decimal"/>
      <w:lvlText w:val="%1.%2.%3.%4.%5.%6"/>
      <w:lvlJc w:val="left"/>
      <w:pPr>
        <w:tabs>
          <w:tab w:val="left" w:pos="420"/>
        </w:tabs>
        <w:ind w:left="420" w:hanging="420"/>
      </w:pPr>
      <w:rPr>
        <w:rFonts w:hint="eastAsia"/>
      </w:rPr>
    </w:lvl>
    <w:lvl w:ilvl="6" w:tentative="0">
      <w:start w:val="1"/>
      <w:numFmt w:val="decimal"/>
      <w:lvlText w:val="%1.%2.%3.%4.%5.%6.%7"/>
      <w:lvlJc w:val="left"/>
      <w:pPr>
        <w:tabs>
          <w:tab w:val="left" w:pos="420"/>
        </w:tabs>
        <w:ind w:left="420" w:hanging="420"/>
      </w:pPr>
      <w:rPr>
        <w:rFonts w:hint="eastAsia"/>
      </w:rPr>
    </w:lvl>
    <w:lvl w:ilvl="7" w:tentative="0">
      <w:start w:val="1"/>
      <w:numFmt w:val="decimal"/>
      <w:lvlText w:val="%1.%2.%3.%4.%5.%6.%7.%8"/>
      <w:lvlJc w:val="left"/>
      <w:pPr>
        <w:tabs>
          <w:tab w:val="left" w:pos="420"/>
        </w:tabs>
        <w:ind w:left="420" w:hanging="420"/>
      </w:pPr>
      <w:rPr>
        <w:rFonts w:hint="eastAsia"/>
      </w:rPr>
    </w:lvl>
    <w:lvl w:ilvl="8" w:tentative="0">
      <w:start w:val="1"/>
      <w:numFmt w:val="decimal"/>
      <w:lvlText w:val="%1.%2.%3.%4.%5.%6.%7.%8.%9"/>
      <w:lvlJc w:val="left"/>
      <w:pPr>
        <w:tabs>
          <w:tab w:val="left" w:pos="420"/>
        </w:tabs>
        <w:ind w:left="420" w:hanging="420"/>
      </w:pPr>
      <w:rPr>
        <w:rFonts w:hint="eastAsia"/>
      </w:rPr>
    </w:lvl>
  </w:abstractNum>
  <w:abstractNum w:abstractNumId="8">
    <w:nsid w:val="00000007"/>
    <w:multiLevelType w:val="multilevel"/>
    <w:tmpl w:val="00000007"/>
    <w:lvl w:ilvl="0" w:tentative="0">
      <w:start w:val="1"/>
      <w:numFmt w:val="bullet"/>
      <w:pStyle w:val="809"/>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9">
    <w:nsid w:val="0000000A"/>
    <w:multiLevelType w:val="multilevel"/>
    <w:tmpl w:val="0000000A"/>
    <w:lvl w:ilvl="0" w:tentative="0">
      <w:start w:val="1"/>
      <w:numFmt w:val="bullet"/>
      <w:pStyle w:val="331"/>
      <w:lvlText w:val=""/>
      <w:lvlJc w:val="left"/>
      <w:pPr>
        <w:ind w:left="987" w:hanging="420"/>
      </w:pPr>
      <w:rPr>
        <w:rFonts w:hint="default" w:ascii="Wingdings" w:hAnsi="Wingdings"/>
      </w:rPr>
    </w:lvl>
    <w:lvl w:ilvl="1" w:tentative="0">
      <w:start w:val="1"/>
      <w:numFmt w:val="bullet"/>
      <w:lvlRestart w:val="0"/>
      <w:lvlText w:val=""/>
      <w:lvlJc w:val="left"/>
      <w:pPr>
        <w:tabs>
          <w:tab w:val="left" w:pos="840"/>
        </w:tabs>
        <w:ind w:left="840" w:hanging="420"/>
      </w:pPr>
      <w:rPr>
        <w:rFonts w:hint="default" w:ascii="Wingdings" w:hAnsi="Wingdings"/>
      </w:rPr>
    </w:lvl>
    <w:lvl w:ilvl="2" w:tentative="0">
      <w:start w:val="1"/>
      <w:numFmt w:val="bullet"/>
      <w:lvlRestart w:val="0"/>
      <w:lvlText w:val=""/>
      <w:lvlJc w:val="left"/>
      <w:pPr>
        <w:tabs>
          <w:tab w:val="left" w:pos="1260"/>
        </w:tabs>
        <w:ind w:left="1260" w:hanging="420"/>
      </w:pPr>
      <w:rPr>
        <w:rFonts w:hint="default" w:ascii="Wingdings" w:hAnsi="Wingdings"/>
      </w:rPr>
    </w:lvl>
    <w:lvl w:ilvl="3" w:tentative="0">
      <w:start w:val="1"/>
      <w:numFmt w:val="bullet"/>
      <w:lvlRestart w:val="0"/>
      <w:lvlText w:val=""/>
      <w:lvlJc w:val="left"/>
      <w:pPr>
        <w:tabs>
          <w:tab w:val="left" w:pos="1680"/>
        </w:tabs>
        <w:ind w:left="1680" w:hanging="420"/>
      </w:pPr>
      <w:rPr>
        <w:rFonts w:hint="default" w:ascii="Wingdings" w:hAnsi="Wingdings"/>
      </w:rPr>
    </w:lvl>
    <w:lvl w:ilvl="4" w:tentative="0">
      <w:start w:val="1"/>
      <w:numFmt w:val="bullet"/>
      <w:lvlRestart w:val="0"/>
      <w:lvlText w:val=""/>
      <w:lvlJc w:val="left"/>
      <w:pPr>
        <w:tabs>
          <w:tab w:val="left" w:pos="2100"/>
        </w:tabs>
        <w:ind w:left="2100" w:hanging="420"/>
      </w:pPr>
      <w:rPr>
        <w:rFonts w:hint="default" w:ascii="Wingdings" w:hAnsi="Wingdings"/>
      </w:rPr>
    </w:lvl>
    <w:lvl w:ilvl="5" w:tentative="0">
      <w:start w:val="1"/>
      <w:numFmt w:val="bullet"/>
      <w:lvlRestart w:val="0"/>
      <w:lvlText w:val=""/>
      <w:lvlJc w:val="left"/>
      <w:pPr>
        <w:tabs>
          <w:tab w:val="left" w:pos="2520"/>
        </w:tabs>
        <w:ind w:left="2520" w:hanging="420"/>
      </w:pPr>
      <w:rPr>
        <w:rFonts w:hint="default" w:ascii="Wingdings" w:hAnsi="Wingdings"/>
      </w:rPr>
    </w:lvl>
    <w:lvl w:ilvl="6" w:tentative="0">
      <w:start w:val="1"/>
      <w:numFmt w:val="bullet"/>
      <w:lvlRestart w:val="0"/>
      <w:lvlText w:val=""/>
      <w:lvlJc w:val="left"/>
      <w:pPr>
        <w:tabs>
          <w:tab w:val="left" w:pos="2940"/>
        </w:tabs>
        <w:ind w:left="2940" w:hanging="420"/>
      </w:pPr>
      <w:rPr>
        <w:rFonts w:hint="default" w:ascii="Wingdings" w:hAnsi="Wingdings"/>
      </w:rPr>
    </w:lvl>
    <w:lvl w:ilvl="7" w:tentative="0">
      <w:start w:val="1"/>
      <w:numFmt w:val="bullet"/>
      <w:lvlRestart w:val="0"/>
      <w:lvlText w:val=""/>
      <w:lvlJc w:val="left"/>
      <w:pPr>
        <w:tabs>
          <w:tab w:val="left" w:pos="3360"/>
        </w:tabs>
        <w:ind w:left="3360" w:hanging="420"/>
      </w:pPr>
      <w:rPr>
        <w:rFonts w:hint="default" w:ascii="Wingdings" w:hAnsi="Wingdings"/>
      </w:rPr>
    </w:lvl>
    <w:lvl w:ilvl="8" w:tentative="0">
      <w:start w:val="1"/>
      <w:numFmt w:val="bullet"/>
      <w:lvlRestart w:val="0"/>
      <w:lvlText w:val=""/>
      <w:lvlJc w:val="left"/>
      <w:pPr>
        <w:tabs>
          <w:tab w:val="left" w:pos="3780"/>
        </w:tabs>
        <w:ind w:left="3780" w:hanging="420"/>
      </w:pPr>
      <w:rPr>
        <w:rFonts w:hint="default" w:ascii="Wingdings" w:hAnsi="Wingdings"/>
      </w:rPr>
    </w:lvl>
  </w:abstractNum>
  <w:abstractNum w:abstractNumId="10">
    <w:nsid w:val="0000000B"/>
    <w:multiLevelType w:val="multilevel"/>
    <w:tmpl w:val="0000000B"/>
    <w:lvl w:ilvl="0" w:tentative="0">
      <w:start w:val="1"/>
      <w:numFmt w:val="bullet"/>
      <w:pStyle w:val="583"/>
      <w:lvlText w:val=""/>
      <w:lvlJc w:val="left"/>
      <w:pPr>
        <w:ind w:left="1696"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Restart w:val="0"/>
      <w:lvlText w:val=""/>
      <w:lvlJc w:val="left"/>
      <w:pPr>
        <w:tabs>
          <w:tab w:val="left" w:pos="1260"/>
        </w:tabs>
        <w:ind w:left="1260" w:hanging="420"/>
      </w:pPr>
      <w:rPr>
        <w:rFonts w:hint="default" w:ascii="Wingdings" w:hAnsi="Wingdings"/>
      </w:rPr>
    </w:lvl>
    <w:lvl w:ilvl="3" w:tentative="0">
      <w:start w:val="1"/>
      <w:numFmt w:val="bullet"/>
      <w:lvlRestart w:val="0"/>
      <w:lvlText w:val=""/>
      <w:lvlJc w:val="left"/>
      <w:pPr>
        <w:tabs>
          <w:tab w:val="left" w:pos="1680"/>
        </w:tabs>
        <w:ind w:left="1680" w:hanging="420"/>
      </w:pPr>
      <w:rPr>
        <w:rFonts w:hint="default" w:ascii="Wingdings" w:hAnsi="Wingdings"/>
      </w:rPr>
    </w:lvl>
    <w:lvl w:ilvl="4" w:tentative="0">
      <w:start w:val="1"/>
      <w:numFmt w:val="bullet"/>
      <w:lvlRestart w:val="0"/>
      <w:lvlText w:val=""/>
      <w:lvlJc w:val="left"/>
      <w:pPr>
        <w:tabs>
          <w:tab w:val="left" w:pos="2100"/>
        </w:tabs>
        <w:ind w:left="2100" w:hanging="420"/>
      </w:pPr>
      <w:rPr>
        <w:rFonts w:hint="default" w:ascii="Wingdings" w:hAnsi="Wingdings"/>
      </w:rPr>
    </w:lvl>
    <w:lvl w:ilvl="5" w:tentative="0">
      <w:start w:val="1"/>
      <w:numFmt w:val="bullet"/>
      <w:lvlRestart w:val="0"/>
      <w:lvlText w:val=""/>
      <w:lvlJc w:val="left"/>
      <w:pPr>
        <w:tabs>
          <w:tab w:val="left" w:pos="2520"/>
        </w:tabs>
        <w:ind w:left="2520" w:hanging="420"/>
      </w:pPr>
      <w:rPr>
        <w:rFonts w:hint="default" w:ascii="Wingdings" w:hAnsi="Wingdings"/>
      </w:rPr>
    </w:lvl>
    <w:lvl w:ilvl="6" w:tentative="0">
      <w:start w:val="1"/>
      <w:numFmt w:val="bullet"/>
      <w:lvlRestart w:val="0"/>
      <w:lvlText w:val=""/>
      <w:lvlJc w:val="left"/>
      <w:pPr>
        <w:tabs>
          <w:tab w:val="left" w:pos="2940"/>
        </w:tabs>
        <w:ind w:left="2940" w:hanging="420"/>
      </w:pPr>
      <w:rPr>
        <w:rFonts w:hint="default" w:ascii="Wingdings" w:hAnsi="Wingdings"/>
      </w:rPr>
    </w:lvl>
    <w:lvl w:ilvl="7" w:tentative="0">
      <w:start w:val="1"/>
      <w:numFmt w:val="bullet"/>
      <w:lvlRestart w:val="0"/>
      <w:lvlText w:val=""/>
      <w:lvlJc w:val="left"/>
      <w:pPr>
        <w:tabs>
          <w:tab w:val="left" w:pos="3360"/>
        </w:tabs>
        <w:ind w:left="3360" w:hanging="420"/>
      </w:pPr>
      <w:rPr>
        <w:rFonts w:hint="default" w:ascii="Wingdings" w:hAnsi="Wingdings"/>
      </w:rPr>
    </w:lvl>
    <w:lvl w:ilvl="8" w:tentative="0">
      <w:start w:val="1"/>
      <w:numFmt w:val="bullet"/>
      <w:lvlRestart w:val="0"/>
      <w:lvlText w:val=""/>
      <w:lvlJc w:val="left"/>
      <w:pPr>
        <w:tabs>
          <w:tab w:val="left" w:pos="3780"/>
        </w:tabs>
        <w:ind w:left="3780" w:hanging="420"/>
      </w:pPr>
      <w:rPr>
        <w:rFonts w:hint="default" w:ascii="Wingdings" w:hAnsi="Wingdings"/>
      </w:rPr>
    </w:lvl>
  </w:abstractNum>
  <w:abstractNum w:abstractNumId="11">
    <w:nsid w:val="0000000C"/>
    <w:multiLevelType w:val="multilevel"/>
    <w:tmpl w:val="0000000C"/>
    <w:lvl w:ilvl="0" w:tentative="0">
      <w:start w:val="1"/>
      <w:numFmt w:val="decimal"/>
      <w:lvlText w:val="%1."/>
      <w:lvlJc w:val="left"/>
      <w:pPr>
        <w:tabs>
          <w:tab w:val="left" w:pos="720"/>
        </w:tabs>
        <w:ind w:left="0" w:firstLine="0"/>
      </w:pPr>
      <w:rPr>
        <w:rFonts w:hint="eastAsia"/>
      </w:rPr>
    </w:lvl>
    <w:lvl w:ilvl="1" w:tentative="0">
      <w:start w:val="1"/>
      <w:numFmt w:val="decimal"/>
      <w:pStyle w:val="532"/>
      <w:lvlText w:val="%1.%2"/>
      <w:lvlJc w:val="left"/>
      <w:pPr>
        <w:tabs>
          <w:tab w:val="left" w:pos="720"/>
        </w:tabs>
        <w:ind w:left="0" w:firstLine="0"/>
      </w:pPr>
      <w:rPr>
        <w:rFonts w:hint="default" w:ascii="Arial" w:hAnsi="Arial" w:eastAsia="MS Gothic"/>
        <w:b w:val="0"/>
        <w:i w:val="0"/>
      </w:rPr>
    </w:lvl>
    <w:lvl w:ilvl="2" w:tentative="0">
      <w:start w:val="1"/>
      <w:numFmt w:val="decimal"/>
      <w:lvlText w:val="(%3)"/>
      <w:lvlJc w:val="left"/>
      <w:pPr>
        <w:tabs>
          <w:tab w:val="left" w:pos="948"/>
        </w:tabs>
        <w:ind w:left="948" w:hanging="720"/>
      </w:pPr>
      <w:rPr>
        <w:rFonts w:hint="default" w:ascii="Arial" w:hAnsi="Arial" w:eastAsia="MS Gothic"/>
        <w:b w:val="0"/>
        <w:i w:val="0"/>
        <w:sz w:val="28"/>
      </w:rPr>
    </w:lvl>
    <w:lvl w:ilvl="3" w:tentative="0">
      <w:start w:val="1"/>
      <w:numFmt w:val="lowerLetter"/>
      <w:suff w:val="space"/>
      <w:lvlText w:val="(%4)"/>
      <w:lvlJc w:val="left"/>
      <w:pPr>
        <w:ind w:left="720" w:hanging="663"/>
      </w:pPr>
      <w:rPr>
        <w:rFonts w:hint="default" w:ascii="Arial" w:hAnsi="Arial" w:eastAsia="MS Gothic"/>
        <w:b w:val="0"/>
        <w:i w:val="0"/>
      </w:rPr>
    </w:lvl>
    <w:lvl w:ilvl="4" w:tentative="0">
      <w:start w:val="1"/>
      <w:numFmt w:val="decimal"/>
      <w:lvlText w:val="（%5）"/>
      <w:lvlJc w:val="left"/>
      <w:pPr>
        <w:tabs>
          <w:tab w:val="left" w:pos="2187"/>
        </w:tabs>
        <w:ind w:left="2187" w:hanging="567"/>
      </w:pPr>
      <w:rPr>
        <w:rFonts w:hint="eastAsia" w:ascii="MS Gothic" w:eastAsia="MS Gothic"/>
        <w:b w:val="0"/>
        <w:i w:val="0"/>
        <w:sz w:val="20"/>
      </w:rPr>
    </w:lvl>
    <w:lvl w:ilvl="5" w:tentative="0">
      <w:start w:val="1"/>
      <w:numFmt w:val="lowerLetter"/>
      <w:lvlText w:val="（%6）"/>
      <w:lvlJc w:val="left"/>
      <w:pPr>
        <w:tabs>
          <w:tab w:val="left" w:pos="2126"/>
        </w:tabs>
        <w:ind w:left="2126" w:hanging="567"/>
      </w:pPr>
      <w:rPr>
        <w:rFonts w:hint="eastAsia" w:ascii="MS Gothic" w:eastAsia="MS Gothic"/>
        <w:b w:val="0"/>
        <w:i w:val="0"/>
        <w:sz w:val="20"/>
      </w:rPr>
    </w:lvl>
    <w:lvl w:ilvl="6" w:tentative="0">
      <w:start w:val="1"/>
      <w:numFmt w:val="bullet"/>
      <w:lvlText w:val=""/>
      <w:lvlJc w:val="left"/>
      <w:pPr>
        <w:tabs>
          <w:tab w:val="left" w:pos="2580"/>
        </w:tabs>
        <w:ind w:left="2580" w:hanging="454"/>
      </w:pPr>
      <w:rPr>
        <w:rFonts w:hint="default" w:ascii="Symbol" w:hAnsi="Symbol"/>
        <w:color w:val="auto"/>
      </w:rPr>
    </w:lvl>
    <w:lvl w:ilvl="7" w:tentative="0">
      <w:start w:val="1"/>
      <w:numFmt w:val="decimalEnclosedCircle"/>
      <w:lvlText w:val="%8"/>
      <w:lvlJc w:val="left"/>
      <w:pPr>
        <w:tabs>
          <w:tab w:val="left" w:pos="1984"/>
        </w:tabs>
        <w:ind w:left="1984" w:hanging="283"/>
      </w:pPr>
      <w:rPr>
        <w:rFonts w:hint="eastAsia" w:ascii="TT-JTCウインS4P" w:hAnsi="Century Gothic" w:eastAsia="TT-JTCウインS4P"/>
        <w:b/>
        <w:i w:val="0"/>
        <w:sz w:val="20"/>
        <w:szCs w:val="20"/>
        <w:lang w:val="en-US"/>
      </w:rPr>
    </w:lvl>
    <w:lvl w:ilvl="8" w:tentative="0">
      <w:start w:val="1"/>
      <w:numFmt w:val="none"/>
      <w:lvlText w:val=""/>
      <w:lvlJc w:val="left"/>
      <w:pPr>
        <w:tabs>
          <w:tab w:val="left" w:pos="3826"/>
        </w:tabs>
        <w:ind w:left="3826" w:hanging="1700"/>
      </w:pPr>
      <w:rPr>
        <w:rFonts w:hint="eastAsia"/>
      </w:rPr>
    </w:lvl>
  </w:abstractNum>
  <w:abstractNum w:abstractNumId="12">
    <w:nsid w:val="0000000E"/>
    <w:multiLevelType w:val="multilevel"/>
    <w:tmpl w:val="0000000E"/>
    <w:lvl w:ilvl="0" w:tentative="0">
      <w:start w:val="1"/>
      <w:numFmt w:val="decimal"/>
      <w:lvlText w:val="%1"/>
      <w:lvlJc w:val="left"/>
      <w:pPr>
        <w:tabs>
          <w:tab w:val="left" w:pos="432"/>
        </w:tabs>
        <w:ind w:left="432" w:hanging="432"/>
      </w:pPr>
    </w:lvl>
    <w:lvl w:ilvl="1" w:tentative="0">
      <w:start w:val="1"/>
      <w:numFmt w:val="decimal"/>
      <w:pStyle w:val="922"/>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pStyle w:val="13"/>
      <w:lvlText w:val="%1.%2.%3.%4.%5.%6"/>
      <w:lvlJc w:val="left"/>
      <w:pPr>
        <w:tabs>
          <w:tab w:val="left" w:pos="1152"/>
        </w:tabs>
        <w:ind w:left="1152" w:hanging="1152"/>
      </w:pPr>
    </w:lvl>
    <w:lvl w:ilvl="6" w:tentative="0">
      <w:start w:val="1"/>
      <w:numFmt w:val="decimal"/>
      <w:pStyle w:val="15"/>
      <w:lvlText w:val="%1.%2.%3.%4.%5.%6.%7"/>
      <w:lvlJc w:val="left"/>
      <w:pPr>
        <w:tabs>
          <w:tab w:val="left" w:pos="1296"/>
        </w:tabs>
        <w:ind w:left="1296" w:hanging="1296"/>
      </w:pPr>
    </w:lvl>
    <w:lvl w:ilvl="7" w:tentative="0">
      <w:start w:val="1"/>
      <w:numFmt w:val="decimal"/>
      <w:pStyle w:val="16"/>
      <w:lvlText w:val="%1.%2.%3.%4.%5.%6.%7.%8"/>
      <w:lvlJc w:val="left"/>
      <w:pPr>
        <w:tabs>
          <w:tab w:val="left" w:pos="1440"/>
        </w:tabs>
        <w:ind w:left="1440" w:hanging="1440"/>
      </w:pPr>
    </w:lvl>
    <w:lvl w:ilvl="8" w:tentative="0">
      <w:start w:val="1"/>
      <w:numFmt w:val="decimal"/>
      <w:pStyle w:val="17"/>
      <w:lvlText w:val="%1.%2.%3.%4.%5.%6.%7.%8.%9"/>
      <w:lvlJc w:val="left"/>
      <w:pPr>
        <w:tabs>
          <w:tab w:val="left" w:pos="1584"/>
        </w:tabs>
        <w:ind w:left="1584" w:hanging="1584"/>
      </w:pPr>
    </w:lvl>
  </w:abstractNum>
  <w:abstractNum w:abstractNumId="13">
    <w:nsid w:val="00000014"/>
    <w:multiLevelType w:val="multilevel"/>
    <w:tmpl w:val="00000014"/>
    <w:lvl w:ilvl="0" w:tentative="0">
      <w:start w:val="1"/>
      <w:numFmt w:val="bullet"/>
      <w:pStyle w:val="580"/>
      <w:lvlText w:val=""/>
      <w:lvlJc w:val="left"/>
      <w:pPr>
        <w:tabs>
          <w:tab w:val="left" w:pos="1540"/>
        </w:tabs>
        <w:ind w:left="1540" w:hanging="420"/>
      </w:pPr>
      <w:rPr>
        <w:rFonts w:hint="default" w:ascii="Wingdings" w:hAnsi="Wingdings"/>
      </w:rPr>
    </w:lvl>
    <w:lvl w:ilvl="1" w:tentative="0">
      <w:start w:val="1"/>
      <w:numFmt w:val="bullet"/>
      <w:lvlText w:val=""/>
      <w:lvlJc w:val="left"/>
      <w:pPr>
        <w:tabs>
          <w:tab w:val="left" w:pos="1960"/>
        </w:tabs>
        <w:ind w:left="1960" w:hanging="420"/>
      </w:pPr>
      <w:rPr>
        <w:rFonts w:hint="default" w:ascii="Wingdings" w:hAnsi="Wingdings"/>
      </w:rPr>
    </w:lvl>
    <w:lvl w:ilvl="2" w:tentative="0">
      <w:start w:val="1"/>
      <w:numFmt w:val="bullet"/>
      <w:lvlText w:val=""/>
      <w:lvlJc w:val="left"/>
      <w:pPr>
        <w:tabs>
          <w:tab w:val="left" w:pos="2380"/>
        </w:tabs>
        <w:ind w:left="2380" w:hanging="420"/>
      </w:pPr>
      <w:rPr>
        <w:rFonts w:hint="default" w:ascii="Wingdings" w:hAnsi="Wingdings"/>
      </w:rPr>
    </w:lvl>
    <w:lvl w:ilvl="3" w:tentative="0">
      <w:start w:val="1"/>
      <w:numFmt w:val="bullet"/>
      <w:lvlText w:val=""/>
      <w:lvlJc w:val="left"/>
      <w:pPr>
        <w:tabs>
          <w:tab w:val="left" w:pos="2800"/>
        </w:tabs>
        <w:ind w:left="2800" w:hanging="420"/>
      </w:pPr>
      <w:rPr>
        <w:rFonts w:hint="default" w:ascii="Wingdings" w:hAnsi="Wingdings"/>
      </w:rPr>
    </w:lvl>
    <w:lvl w:ilvl="4" w:tentative="0">
      <w:start w:val="1"/>
      <w:numFmt w:val="bullet"/>
      <w:lvlText w:val=""/>
      <w:lvlJc w:val="left"/>
      <w:pPr>
        <w:tabs>
          <w:tab w:val="left" w:pos="3220"/>
        </w:tabs>
        <w:ind w:left="3220" w:hanging="420"/>
      </w:pPr>
      <w:rPr>
        <w:rFonts w:hint="default" w:ascii="Wingdings" w:hAnsi="Wingdings"/>
      </w:rPr>
    </w:lvl>
    <w:lvl w:ilvl="5" w:tentative="0">
      <w:start w:val="1"/>
      <w:numFmt w:val="bullet"/>
      <w:lvlText w:val=""/>
      <w:lvlJc w:val="left"/>
      <w:pPr>
        <w:tabs>
          <w:tab w:val="left" w:pos="3640"/>
        </w:tabs>
        <w:ind w:left="3640" w:hanging="420"/>
      </w:pPr>
      <w:rPr>
        <w:rFonts w:hint="default" w:ascii="Wingdings" w:hAnsi="Wingdings"/>
      </w:rPr>
    </w:lvl>
    <w:lvl w:ilvl="6" w:tentative="0">
      <w:start w:val="1"/>
      <w:numFmt w:val="bullet"/>
      <w:lvlText w:val=""/>
      <w:lvlJc w:val="left"/>
      <w:pPr>
        <w:tabs>
          <w:tab w:val="left" w:pos="4060"/>
        </w:tabs>
        <w:ind w:left="4060" w:hanging="420"/>
      </w:pPr>
      <w:rPr>
        <w:rFonts w:hint="default" w:ascii="Wingdings" w:hAnsi="Wingdings"/>
      </w:rPr>
    </w:lvl>
    <w:lvl w:ilvl="7" w:tentative="0">
      <w:start w:val="1"/>
      <w:numFmt w:val="bullet"/>
      <w:lvlText w:val=""/>
      <w:lvlJc w:val="left"/>
      <w:pPr>
        <w:tabs>
          <w:tab w:val="left" w:pos="4480"/>
        </w:tabs>
        <w:ind w:left="4480" w:hanging="420"/>
      </w:pPr>
      <w:rPr>
        <w:rFonts w:hint="default" w:ascii="Wingdings" w:hAnsi="Wingdings"/>
      </w:rPr>
    </w:lvl>
    <w:lvl w:ilvl="8" w:tentative="0">
      <w:start w:val="1"/>
      <w:numFmt w:val="bullet"/>
      <w:lvlText w:val=""/>
      <w:lvlJc w:val="left"/>
      <w:pPr>
        <w:tabs>
          <w:tab w:val="left" w:pos="4900"/>
        </w:tabs>
        <w:ind w:left="4900" w:hanging="420"/>
      </w:pPr>
      <w:rPr>
        <w:rFonts w:hint="default" w:ascii="Wingdings" w:hAnsi="Wingdings"/>
      </w:rPr>
    </w:lvl>
  </w:abstractNum>
  <w:abstractNum w:abstractNumId="14">
    <w:nsid w:val="00000016"/>
    <w:multiLevelType w:val="multilevel"/>
    <w:tmpl w:val="00000016"/>
    <w:lvl w:ilvl="0" w:tentative="0">
      <w:start w:val="1"/>
      <w:numFmt w:val="decimal"/>
      <w:lvlText w:val="%1)"/>
      <w:lvlJc w:val="left"/>
      <w:pPr>
        <w:tabs>
          <w:tab w:val="left" w:pos="720"/>
        </w:tabs>
        <w:ind w:left="720" w:hanging="720"/>
      </w:pPr>
      <w:rPr>
        <w:rFonts w:hint="default"/>
      </w:rPr>
    </w:lvl>
    <w:lvl w:ilvl="1" w:tentative="0">
      <w:start w:val="1"/>
      <w:numFmt w:val="decimal"/>
      <w:lvlText w:val="%2."/>
      <w:lvlJc w:val="left"/>
      <w:pPr>
        <w:tabs>
          <w:tab w:val="left" w:pos="720"/>
        </w:tabs>
        <w:ind w:left="720" w:hanging="720"/>
      </w:pPr>
      <w:rPr>
        <w:rFonts w:hint="default" w:ascii="Arial (W1)" w:hAnsi="Arial (W1)"/>
        <w:b/>
        <w:i w:val="0"/>
        <w:sz w:val="28"/>
      </w:rPr>
    </w:lvl>
    <w:lvl w:ilvl="2" w:tentative="0">
      <w:start w:val="1"/>
      <w:numFmt w:val="decimal"/>
      <w:lvlText w:val="%1.%3."/>
      <w:lvlJc w:val="left"/>
      <w:pPr>
        <w:tabs>
          <w:tab w:val="left" w:pos="720"/>
        </w:tabs>
        <w:ind w:left="720" w:hanging="720"/>
      </w:pPr>
      <w:rPr>
        <w:rFonts w:hint="default"/>
      </w:rPr>
    </w:lvl>
    <w:lvl w:ilvl="3" w:tentative="0">
      <w:start w:val="1"/>
      <w:numFmt w:val="decimal"/>
      <w:lvlText w:val="%1.%3.%4."/>
      <w:lvlJc w:val="left"/>
      <w:pPr>
        <w:tabs>
          <w:tab w:val="left" w:pos="1728"/>
        </w:tabs>
        <w:ind w:left="1728" w:hanging="648"/>
      </w:pPr>
      <w:rPr>
        <w:rFonts w:hint="default"/>
      </w:rPr>
    </w:lvl>
    <w:lvl w:ilvl="4" w:tentative="0">
      <w:start w:val="1"/>
      <w:numFmt w:val="decimal"/>
      <w:lvlText w:val="%1.%2.%3.%4.%5."/>
      <w:lvlJc w:val="left"/>
      <w:pPr>
        <w:tabs>
          <w:tab w:val="left" w:pos="2520"/>
        </w:tabs>
        <w:ind w:left="2232" w:hanging="792"/>
      </w:pPr>
      <w:rPr>
        <w:rFonts w:hint="default"/>
      </w:rPr>
    </w:lvl>
    <w:lvl w:ilvl="5" w:tentative="0">
      <w:start w:val="1"/>
      <w:numFmt w:val="decimal"/>
      <w:lvlText w:val="%1.%2.%3.%4.%5.%6."/>
      <w:lvlJc w:val="left"/>
      <w:pPr>
        <w:tabs>
          <w:tab w:val="left" w:pos="3240"/>
        </w:tabs>
        <w:ind w:left="2736" w:hanging="936"/>
      </w:pPr>
      <w:rPr>
        <w:rFonts w:hint="default"/>
      </w:rPr>
    </w:lvl>
    <w:lvl w:ilvl="6" w:tentative="0">
      <w:start w:val="1"/>
      <w:numFmt w:val="decimal"/>
      <w:lvlText w:val="%1.%2.%3.%4.%5.%6.%7."/>
      <w:lvlJc w:val="left"/>
      <w:pPr>
        <w:tabs>
          <w:tab w:val="left" w:pos="3600"/>
        </w:tabs>
        <w:ind w:left="3240" w:hanging="1080"/>
      </w:pPr>
      <w:rPr>
        <w:rFonts w:hint="default"/>
      </w:rPr>
    </w:lvl>
    <w:lvl w:ilvl="7" w:tentative="0">
      <w:start w:val="1"/>
      <w:numFmt w:val="decimal"/>
      <w:lvlText w:val="%1.%2.%3.%4.%5.%6.%7.%8."/>
      <w:lvlJc w:val="left"/>
      <w:pPr>
        <w:tabs>
          <w:tab w:val="left" w:pos="4320"/>
        </w:tabs>
        <w:ind w:left="3744" w:hanging="1224"/>
      </w:pPr>
      <w:rPr>
        <w:rFonts w:hint="default"/>
      </w:rPr>
    </w:lvl>
    <w:lvl w:ilvl="8" w:tentative="0">
      <w:start w:val="1"/>
      <w:numFmt w:val="decimal"/>
      <w:lvlText w:val="%1.%2.%3.%4.%5.%6.%7.%8.%9."/>
      <w:lvlJc w:val="left"/>
      <w:pPr>
        <w:tabs>
          <w:tab w:val="left" w:pos="5040"/>
        </w:tabs>
        <w:ind w:left="4320" w:hanging="1440"/>
      </w:pPr>
      <w:rPr>
        <w:rFonts w:hint="default"/>
      </w:rPr>
    </w:lvl>
  </w:abstractNum>
  <w:abstractNum w:abstractNumId="15">
    <w:nsid w:val="08F25EA2"/>
    <w:multiLevelType w:val="multilevel"/>
    <w:tmpl w:val="08F25EA2"/>
    <w:lvl w:ilvl="0" w:tentative="0">
      <w:start w:val="1"/>
      <w:numFmt w:val="decimal"/>
      <w:lvlText w:val="%1）"/>
      <w:lvlJc w:val="left"/>
      <w:pPr>
        <w:ind w:left="720" w:hanging="720"/>
      </w:pPr>
      <w:rPr>
        <w:rFonts w:hint="default" w:hAnsi="宋体"/>
      </w:rPr>
    </w:lvl>
    <w:lvl w:ilvl="1" w:tentative="0">
      <w:start w:val="1"/>
      <w:numFmt w:val="lowerLetter"/>
      <w:pStyle w:val="411"/>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54F403B5"/>
    <w:multiLevelType w:val="singleLevel"/>
    <w:tmpl w:val="54F403B5"/>
    <w:lvl w:ilvl="0" w:tentative="0">
      <w:start w:val="1"/>
      <w:numFmt w:val="chineseCounting"/>
      <w:suff w:val="nothing"/>
      <w:lvlText w:val="%1、"/>
      <w:lvlJc w:val="left"/>
    </w:lvl>
  </w:abstractNum>
  <w:abstractNum w:abstractNumId="17">
    <w:nsid w:val="557FD3DA"/>
    <w:multiLevelType w:val="singleLevel"/>
    <w:tmpl w:val="557FD3DA"/>
    <w:lvl w:ilvl="0" w:tentative="0">
      <w:start w:val="3"/>
      <w:numFmt w:val="chineseCounting"/>
      <w:suff w:val="nothing"/>
      <w:lvlText w:val="%1、"/>
      <w:lvlJc w:val="left"/>
    </w:lvl>
  </w:abstractNum>
  <w:abstractNum w:abstractNumId="18">
    <w:nsid w:val="5AED8EC3"/>
    <w:multiLevelType w:val="singleLevel"/>
    <w:tmpl w:val="5AED8EC3"/>
    <w:lvl w:ilvl="0" w:tentative="0">
      <w:start w:val="2"/>
      <w:numFmt w:val="chineseCounting"/>
      <w:suff w:val="nothing"/>
      <w:lvlText w:val="%1、"/>
      <w:lvlJc w:val="left"/>
    </w:lvl>
  </w:abstractNum>
  <w:abstractNum w:abstractNumId="19">
    <w:nsid w:val="5DE508AA"/>
    <w:multiLevelType w:val="multilevel"/>
    <w:tmpl w:val="5DE508AA"/>
    <w:lvl w:ilvl="0" w:tentative="0">
      <w:start w:val="1"/>
      <w:numFmt w:val="decimal"/>
      <w:lvlText w:val="%1."/>
      <w:lvlJc w:val="left"/>
      <w:pPr>
        <w:tabs>
          <w:tab w:val="left" w:pos="425"/>
        </w:tabs>
        <w:ind w:left="425" w:hanging="425"/>
      </w:pPr>
    </w:lvl>
    <w:lvl w:ilvl="1" w:tentative="0">
      <w:start w:val="1"/>
      <w:numFmt w:val="decimal"/>
      <w:pStyle w:val="866"/>
      <w:isLgl/>
      <w:lvlText w:val="%1.%2."/>
      <w:lvlJc w:val="left"/>
      <w:pPr>
        <w:tabs>
          <w:tab w:val="left" w:pos="567"/>
        </w:tabs>
        <w:ind w:left="567" w:hanging="567"/>
      </w:pPr>
      <w:rPr>
        <w:b w:val="0"/>
        <w:bCs w:val="0"/>
        <w:i w:val="0"/>
        <w:iCs w:val="0"/>
        <w:caps w:val="0"/>
        <w:smallCaps w:val="0"/>
        <w:strike w:val="0"/>
        <w:dstrike w:val="0"/>
        <w:outline w:val="0"/>
        <w:shadow w:val="0"/>
        <w:emboss w:val="0"/>
        <w:imprint w:val="0"/>
        <w:spacing w:val="0"/>
        <w:position w:val="0"/>
        <w:u w:val="none"/>
        <w:vertAlign w:val="baseline"/>
      </w:rPr>
    </w:lvl>
    <w:lvl w:ilvl="2" w:tentative="0">
      <w:start w:val="1"/>
      <w:numFmt w:val="decimal"/>
      <w:lvlText w:val="%1.%2.%3."/>
      <w:lvlJc w:val="left"/>
      <w:pPr>
        <w:tabs>
          <w:tab w:val="left" w:pos="709"/>
        </w:tabs>
        <w:ind w:left="709" w:hanging="709"/>
      </w:pPr>
      <w:rPr>
        <w:b w:val="0"/>
        <w:bCs w:val="0"/>
        <w:i w:val="0"/>
        <w:iCs w:val="0"/>
        <w:caps w:val="0"/>
        <w:smallCaps w:val="0"/>
        <w:strike w:val="0"/>
        <w:dstrike w:val="0"/>
        <w:outline w:val="0"/>
        <w:shadow w:val="0"/>
        <w:emboss w:val="0"/>
        <w:imprint w:val="0"/>
        <w:spacing w:val="0"/>
        <w:position w:val="0"/>
        <w:u w:val="none"/>
        <w:vertAlign w:val="baseline"/>
      </w:rPr>
    </w:lvl>
    <w:lvl w:ilvl="3" w:tentative="0">
      <w:start w:val="1"/>
      <w:numFmt w:val="decimal"/>
      <w:lvlText w:val="%1.%2.%3.%4."/>
      <w:lvlJc w:val="left"/>
      <w:pPr>
        <w:tabs>
          <w:tab w:val="left" w:pos="851"/>
        </w:tabs>
        <w:ind w:left="851" w:hanging="851"/>
      </w:pPr>
      <w:rPr>
        <w:sz w:val="21"/>
        <w:szCs w:val="21"/>
      </w:rPr>
    </w:lvl>
    <w:lvl w:ilvl="4" w:tentative="0">
      <w:start w:val="1"/>
      <w:numFmt w:val="decimal"/>
      <w:lvlText w:val="%1.%2.%3.%4.%5."/>
      <w:lvlJc w:val="left"/>
      <w:pPr>
        <w:tabs>
          <w:tab w:val="left" w:pos="992"/>
        </w:tabs>
        <w:ind w:left="992" w:hanging="992"/>
      </w:pPr>
      <w:rPr>
        <w:b w:val="0"/>
        <w:bCs w:val="0"/>
        <w:i w:val="0"/>
        <w:iCs w:val="0"/>
        <w:caps w:val="0"/>
        <w:smallCaps w:val="0"/>
        <w:strike w:val="0"/>
        <w:dstrike w:val="0"/>
        <w:outline w:val="0"/>
        <w:shadow w:val="0"/>
        <w:emboss w:val="0"/>
        <w:imprint w:val="0"/>
        <w:spacing w:val="0"/>
        <w:position w:val="0"/>
        <w:u w:val="none"/>
        <w:vertAlign w:val="baseline"/>
      </w:r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20">
    <w:nsid w:val="5EDDB9CE"/>
    <w:multiLevelType w:val="singleLevel"/>
    <w:tmpl w:val="5EDDB9CE"/>
    <w:lvl w:ilvl="0" w:tentative="0">
      <w:start w:val="1"/>
      <w:numFmt w:val="decimal"/>
      <w:suff w:val="nothing"/>
      <w:lvlText w:val="（%1）"/>
      <w:lvlJc w:val="left"/>
    </w:lvl>
  </w:abstractNum>
  <w:abstractNum w:abstractNumId="21">
    <w:nsid w:val="6A8B2BB1"/>
    <w:multiLevelType w:val="multilevel"/>
    <w:tmpl w:val="6A8B2BB1"/>
    <w:lvl w:ilvl="0" w:tentative="0">
      <w:start w:val="1"/>
      <w:numFmt w:val="bullet"/>
      <w:pStyle w:val="678"/>
      <w:lvlText w:val=""/>
      <w:lvlJc w:val="left"/>
      <w:pPr>
        <w:ind w:left="840" w:hanging="420"/>
      </w:pPr>
      <w:rPr>
        <w:rFonts w:hint="default" w:ascii="Wingdings" w:hAnsi="Wingdings"/>
      </w:rPr>
    </w:lvl>
    <w:lvl w:ilvl="1" w:tentative="0">
      <w:start w:val="1"/>
      <w:numFmt w:val="bullet"/>
      <w:pStyle w:val="588"/>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num w:numId="1">
    <w:abstractNumId w:val="12"/>
  </w:num>
  <w:num w:numId="2">
    <w:abstractNumId w:val="9"/>
  </w:num>
  <w:num w:numId="3">
    <w:abstractNumId w:val="15"/>
  </w:num>
  <w:num w:numId="4">
    <w:abstractNumId w:val="21"/>
  </w:num>
  <w:num w:numId="5">
    <w:abstractNumId w:val="11"/>
  </w:num>
  <w:num w:numId="6">
    <w:abstractNumId w:val="7"/>
  </w:num>
  <w:num w:numId="7">
    <w:abstractNumId w:val="4"/>
  </w:num>
  <w:num w:numId="8">
    <w:abstractNumId w:val="13"/>
  </w:num>
  <w:num w:numId="9">
    <w:abstractNumId w:val="10"/>
  </w:num>
  <w:num w:numId="10">
    <w:abstractNumId w:val="6"/>
  </w:num>
  <w:num w:numId="11">
    <w:abstractNumId w:val="8"/>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20"/>
  </w:num>
  <w:num w:numId="16">
    <w:abstractNumId w:val="2"/>
  </w:num>
  <w:num w:numId="17">
    <w:abstractNumId w:val="0"/>
  </w:num>
  <w:num w:numId="18">
    <w:abstractNumId w:val="3"/>
  </w:num>
  <w:num w:numId="19">
    <w:abstractNumId w:val="1"/>
  </w:num>
  <w:num w:numId="20">
    <w:abstractNumId w:val="18"/>
  </w:num>
  <w:num w:numId="21">
    <w:abstractNumId w:val="16"/>
  </w:num>
  <w:num w:numId="22">
    <w:abstractNumId w:val="1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Jim">
    <w15:presenceInfo w15:providerId="WPS Office" w15:userId="341851519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cumentProtection w:enforcement="0"/>
  <w:defaultTabStop w:val="420"/>
  <w:hyphenationZone w:val="360"/>
  <w:drawingGridHorizontalSpacing w:val="221"/>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hhMzUwOGZhZjBjOTBkZTYyOGY5OTFjYTIwNWNhNzQifQ=="/>
  </w:docVars>
  <w:rsids>
    <w:rsidRoot w:val="00172A27"/>
    <w:rsid w:val="0000007B"/>
    <w:rsid w:val="000004ED"/>
    <w:rsid w:val="0000050A"/>
    <w:rsid w:val="000014F3"/>
    <w:rsid w:val="0000156B"/>
    <w:rsid w:val="000017CF"/>
    <w:rsid w:val="00001DDA"/>
    <w:rsid w:val="000029F6"/>
    <w:rsid w:val="0000311E"/>
    <w:rsid w:val="000033C5"/>
    <w:rsid w:val="000034D4"/>
    <w:rsid w:val="000036A4"/>
    <w:rsid w:val="00003A96"/>
    <w:rsid w:val="00003D5B"/>
    <w:rsid w:val="0000416C"/>
    <w:rsid w:val="00004D25"/>
    <w:rsid w:val="00004D38"/>
    <w:rsid w:val="00005159"/>
    <w:rsid w:val="00005BD8"/>
    <w:rsid w:val="00006D65"/>
    <w:rsid w:val="00007470"/>
    <w:rsid w:val="00010A5F"/>
    <w:rsid w:val="00010D4B"/>
    <w:rsid w:val="0001150A"/>
    <w:rsid w:val="000118BB"/>
    <w:rsid w:val="000149B6"/>
    <w:rsid w:val="000154DC"/>
    <w:rsid w:val="00016B11"/>
    <w:rsid w:val="00020642"/>
    <w:rsid w:val="00020AC2"/>
    <w:rsid w:val="00021685"/>
    <w:rsid w:val="00021A3D"/>
    <w:rsid w:val="00021F57"/>
    <w:rsid w:val="000226B5"/>
    <w:rsid w:val="00022DF7"/>
    <w:rsid w:val="0002376C"/>
    <w:rsid w:val="00023DA5"/>
    <w:rsid w:val="00025C59"/>
    <w:rsid w:val="00025E55"/>
    <w:rsid w:val="0002669A"/>
    <w:rsid w:val="00026CD3"/>
    <w:rsid w:val="00027025"/>
    <w:rsid w:val="00027440"/>
    <w:rsid w:val="00027CA5"/>
    <w:rsid w:val="000329F2"/>
    <w:rsid w:val="00032E3F"/>
    <w:rsid w:val="000332E2"/>
    <w:rsid w:val="0003371C"/>
    <w:rsid w:val="00033E3B"/>
    <w:rsid w:val="00033FD0"/>
    <w:rsid w:val="0003498F"/>
    <w:rsid w:val="00034EEB"/>
    <w:rsid w:val="000355AE"/>
    <w:rsid w:val="000357AF"/>
    <w:rsid w:val="00035814"/>
    <w:rsid w:val="00035E08"/>
    <w:rsid w:val="000360AF"/>
    <w:rsid w:val="000369C7"/>
    <w:rsid w:val="00040603"/>
    <w:rsid w:val="00040F15"/>
    <w:rsid w:val="00041BD2"/>
    <w:rsid w:val="00041F41"/>
    <w:rsid w:val="0004353D"/>
    <w:rsid w:val="000442C4"/>
    <w:rsid w:val="00044E44"/>
    <w:rsid w:val="00044FB4"/>
    <w:rsid w:val="000457C2"/>
    <w:rsid w:val="00045BD0"/>
    <w:rsid w:val="0004624E"/>
    <w:rsid w:val="00046FC2"/>
    <w:rsid w:val="00047958"/>
    <w:rsid w:val="00050733"/>
    <w:rsid w:val="0005145F"/>
    <w:rsid w:val="00051CC7"/>
    <w:rsid w:val="00051D7F"/>
    <w:rsid w:val="000558A6"/>
    <w:rsid w:val="00056284"/>
    <w:rsid w:val="00056BD7"/>
    <w:rsid w:val="00056E70"/>
    <w:rsid w:val="000577CC"/>
    <w:rsid w:val="00057ABA"/>
    <w:rsid w:val="0006007B"/>
    <w:rsid w:val="0006043A"/>
    <w:rsid w:val="00060B88"/>
    <w:rsid w:val="0006156F"/>
    <w:rsid w:val="00061AB8"/>
    <w:rsid w:val="0006258D"/>
    <w:rsid w:val="00063853"/>
    <w:rsid w:val="00063B32"/>
    <w:rsid w:val="00063BE1"/>
    <w:rsid w:val="0006481D"/>
    <w:rsid w:val="00064858"/>
    <w:rsid w:val="00064959"/>
    <w:rsid w:val="000651A3"/>
    <w:rsid w:val="0006558F"/>
    <w:rsid w:val="000658E8"/>
    <w:rsid w:val="000666B4"/>
    <w:rsid w:val="0006707E"/>
    <w:rsid w:val="00067659"/>
    <w:rsid w:val="00067745"/>
    <w:rsid w:val="000704A9"/>
    <w:rsid w:val="000705C3"/>
    <w:rsid w:val="000709E4"/>
    <w:rsid w:val="000712DC"/>
    <w:rsid w:val="00071DEC"/>
    <w:rsid w:val="00073444"/>
    <w:rsid w:val="000736A8"/>
    <w:rsid w:val="0007374E"/>
    <w:rsid w:val="00073B3E"/>
    <w:rsid w:val="00073D17"/>
    <w:rsid w:val="00073ED5"/>
    <w:rsid w:val="00074ACB"/>
    <w:rsid w:val="00075269"/>
    <w:rsid w:val="000758BE"/>
    <w:rsid w:val="000762F2"/>
    <w:rsid w:val="00076637"/>
    <w:rsid w:val="00077B94"/>
    <w:rsid w:val="000806C8"/>
    <w:rsid w:val="000810F1"/>
    <w:rsid w:val="00081589"/>
    <w:rsid w:val="00081B25"/>
    <w:rsid w:val="00082920"/>
    <w:rsid w:val="00083C74"/>
    <w:rsid w:val="0008504F"/>
    <w:rsid w:val="00087B0F"/>
    <w:rsid w:val="00090B8A"/>
    <w:rsid w:val="00090EC8"/>
    <w:rsid w:val="00091393"/>
    <w:rsid w:val="000917E8"/>
    <w:rsid w:val="00091CEC"/>
    <w:rsid w:val="00093174"/>
    <w:rsid w:val="00093674"/>
    <w:rsid w:val="000963D0"/>
    <w:rsid w:val="000969A6"/>
    <w:rsid w:val="00096FB5"/>
    <w:rsid w:val="00097360"/>
    <w:rsid w:val="00097400"/>
    <w:rsid w:val="000A0394"/>
    <w:rsid w:val="000A045C"/>
    <w:rsid w:val="000A0700"/>
    <w:rsid w:val="000A08BC"/>
    <w:rsid w:val="000A142F"/>
    <w:rsid w:val="000A19C2"/>
    <w:rsid w:val="000A2397"/>
    <w:rsid w:val="000A26FF"/>
    <w:rsid w:val="000A3957"/>
    <w:rsid w:val="000A3E42"/>
    <w:rsid w:val="000A495C"/>
    <w:rsid w:val="000A5F70"/>
    <w:rsid w:val="000A61BC"/>
    <w:rsid w:val="000A61FB"/>
    <w:rsid w:val="000A632B"/>
    <w:rsid w:val="000A746D"/>
    <w:rsid w:val="000A7ACE"/>
    <w:rsid w:val="000A7E30"/>
    <w:rsid w:val="000B0999"/>
    <w:rsid w:val="000B1651"/>
    <w:rsid w:val="000B30F1"/>
    <w:rsid w:val="000B3763"/>
    <w:rsid w:val="000B63F4"/>
    <w:rsid w:val="000B7B86"/>
    <w:rsid w:val="000C045E"/>
    <w:rsid w:val="000C06D3"/>
    <w:rsid w:val="000C094E"/>
    <w:rsid w:val="000C112C"/>
    <w:rsid w:val="000C26AF"/>
    <w:rsid w:val="000C3636"/>
    <w:rsid w:val="000C3AF4"/>
    <w:rsid w:val="000C45B0"/>
    <w:rsid w:val="000C46BB"/>
    <w:rsid w:val="000C4BB1"/>
    <w:rsid w:val="000C52A5"/>
    <w:rsid w:val="000C5D12"/>
    <w:rsid w:val="000C5D68"/>
    <w:rsid w:val="000C6502"/>
    <w:rsid w:val="000C7AEC"/>
    <w:rsid w:val="000D0687"/>
    <w:rsid w:val="000D1804"/>
    <w:rsid w:val="000D1968"/>
    <w:rsid w:val="000D1B65"/>
    <w:rsid w:val="000D1D2D"/>
    <w:rsid w:val="000D2DBF"/>
    <w:rsid w:val="000D3DE1"/>
    <w:rsid w:val="000D4065"/>
    <w:rsid w:val="000D674B"/>
    <w:rsid w:val="000D6EDD"/>
    <w:rsid w:val="000D6FB4"/>
    <w:rsid w:val="000D75EA"/>
    <w:rsid w:val="000D7651"/>
    <w:rsid w:val="000E0FA6"/>
    <w:rsid w:val="000E16A7"/>
    <w:rsid w:val="000E2A9B"/>
    <w:rsid w:val="000E3807"/>
    <w:rsid w:val="000E4384"/>
    <w:rsid w:val="000E53AA"/>
    <w:rsid w:val="000E5978"/>
    <w:rsid w:val="000E7200"/>
    <w:rsid w:val="000E747D"/>
    <w:rsid w:val="000F0708"/>
    <w:rsid w:val="000F1E66"/>
    <w:rsid w:val="000F3176"/>
    <w:rsid w:val="000F5A10"/>
    <w:rsid w:val="000F6461"/>
    <w:rsid w:val="000F7415"/>
    <w:rsid w:val="000F78BE"/>
    <w:rsid w:val="000F7BBF"/>
    <w:rsid w:val="000F7C3F"/>
    <w:rsid w:val="000F7CC6"/>
    <w:rsid w:val="000F7E58"/>
    <w:rsid w:val="00100536"/>
    <w:rsid w:val="001014D4"/>
    <w:rsid w:val="001023F3"/>
    <w:rsid w:val="001024EC"/>
    <w:rsid w:val="00103ABA"/>
    <w:rsid w:val="001043FD"/>
    <w:rsid w:val="001051EB"/>
    <w:rsid w:val="001054D2"/>
    <w:rsid w:val="0010551A"/>
    <w:rsid w:val="00106EA5"/>
    <w:rsid w:val="0010737A"/>
    <w:rsid w:val="00110F7D"/>
    <w:rsid w:val="001117E1"/>
    <w:rsid w:val="00111A6F"/>
    <w:rsid w:val="00113394"/>
    <w:rsid w:val="00113BCA"/>
    <w:rsid w:val="001150FA"/>
    <w:rsid w:val="001166ED"/>
    <w:rsid w:val="001175AC"/>
    <w:rsid w:val="00117945"/>
    <w:rsid w:val="00117A94"/>
    <w:rsid w:val="00117CFD"/>
    <w:rsid w:val="00120110"/>
    <w:rsid w:val="0012026E"/>
    <w:rsid w:val="00120344"/>
    <w:rsid w:val="001211E6"/>
    <w:rsid w:val="00121709"/>
    <w:rsid w:val="00122342"/>
    <w:rsid w:val="00122EBB"/>
    <w:rsid w:val="001233F3"/>
    <w:rsid w:val="001237CA"/>
    <w:rsid w:val="00125D25"/>
    <w:rsid w:val="001269FB"/>
    <w:rsid w:val="00126ADA"/>
    <w:rsid w:val="00127135"/>
    <w:rsid w:val="00130504"/>
    <w:rsid w:val="00130B40"/>
    <w:rsid w:val="001315E4"/>
    <w:rsid w:val="00131637"/>
    <w:rsid w:val="00131BD9"/>
    <w:rsid w:val="00134916"/>
    <w:rsid w:val="00135064"/>
    <w:rsid w:val="001362D7"/>
    <w:rsid w:val="00136471"/>
    <w:rsid w:val="00136705"/>
    <w:rsid w:val="001405B0"/>
    <w:rsid w:val="001405B7"/>
    <w:rsid w:val="0014063C"/>
    <w:rsid w:val="001432C5"/>
    <w:rsid w:val="00143728"/>
    <w:rsid w:val="00143A08"/>
    <w:rsid w:val="00144D76"/>
    <w:rsid w:val="00147437"/>
    <w:rsid w:val="001506A9"/>
    <w:rsid w:val="0015071E"/>
    <w:rsid w:val="00151292"/>
    <w:rsid w:val="001517E1"/>
    <w:rsid w:val="00153198"/>
    <w:rsid w:val="001535CC"/>
    <w:rsid w:val="00153FC5"/>
    <w:rsid w:val="001558AF"/>
    <w:rsid w:val="00155957"/>
    <w:rsid w:val="00156313"/>
    <w:rsid w:val="001564F2"/>
    <w:rsid w:val="001567C0"/>
    <w:rsid w:val="00156DC7"/>
    <w:rsid w:val="00157604"/>
    <w:rsid w:val="00157872"/>
    <w:rsid w:val="00160543"/>
    <w:rsid w:val="0016082A"/>
    <w:rsid w:val="00161451"/>
    <w:rsid w:val="00162D9C"/>
    <w:rsid w:val="00162E74"/>
    <w:rsid w:val="00164072"/>
    <w:rsid w:val="0016422C"/>
    <w:rsid w:val="00165902"/>
    <w:rsid w:val="00165FBB"/>
    <w:rsid w:val="00166B31"/>
    <w:rsid w:val="00167A1A"/>
    <w:rsid w:val="0017051D"/>
    <w:rsid w:val="0017135E"/>
    <w:rsid w:val="00172916"/>
    <w:rsid w:val="0017320B"/>
    <w:rsid w:val="0017358E"/>
    <w:rsid w:val="0017445C"/>
    <w:rsid w:val="001755D3"/>
    <w:rsid w:val="00175642"/>
    <w:rsid w:val="00175F3E"/>
    <w:rsid w:val="00176767"/>
    <w:rsid w:val="00177193"/>
    <w:rsid w:val="00180AD0"/>
    <w:rsid w:val="00180BCA"/>
    <w:rsid w:val="001816A5"/>
    <w:rsid w:val="00182040"/>
    <w:rsid w:val="0018263A"/>
    <w:rsid w:val="00182FC8"/>
    <w:rsid w:val="0018455D"/>
    <w:rsid w:val="00186372"/>
    <w:rsid w:val="00186E97"/>
    <w:rsid w:val="00190621"/>
    <w:rsid w:val="00190D54"/>
    <w:rsid w:val="0019111C"/>
    <w:rsid w:val="00191E7F"/>
    <w:rsid w:val="00192E86"/>
    <w:rsid w:val="00192EB7"/>
    <w:rsid w:val="00192FDE"/>
    <w:rsid w:val="00193F47"/>
    <w:rsid w:val="001945D5"/>
    <w:rsid w:val="001948D7"/>
    <w:rsid w:val="00194FCB"/>
    <w:rsid w:val="00195065"/>
    <w:rsid w:val="00195D3D"/>
    <w:rsid w:val="00196373"/>
    <w:rsid w:val="001A07AA"/>
    <w:rsid w:val="001A0F67"/>
    <w:rsid w:val="001A1174"/>
    <w:rsid w:val="001A29A1"/>
    <w:rsid w:val="001A3CD0"/>
    <w:rsid w:val="001A44D6"/>
    <w:rsid w:val="001A649F"/>
    <w:rsid w:val="001A6F76"/>
    <w:rsid w:val="001A7B86"/>
    <w:rsid w:val="001B1437"/>
    <w:rsid w:val="001B1A32"/>
    <w:rsid w:val="001B1B20"/>
    <w:rsid w:val="001B212E"/>
    <w:rsid w:val="001B2180"/>
    <w:rsid w:val="001B37FA"/>
    <w:rsid w:val="001B4F5A"/>
    <w:rsid w:val="001B5227"/>
    <w:rsid w:val="001B61EF"/>
    <w:rsid w:val="001B6C30"/>
    <w:rsid w:val="001B7052"/>
    <w:rsid w:val="001C08AB"/>
    <w:rsid w:val="001C09BB"/>
    <w:rsid w:val="001C0E30"/>
    <w:rsid w:val="001C23D2"/>
    <w:rsid w:val="001C273E"/>
    <w:rsid w:val="001C3AE0"/>
    <w:rsid w:val="001C4423"/>
    <w:rsid w:val="001C46F3"/>
    <w:rsid w:val="001C4CD4"/>
    <w:rsid w:val="001C6218"/>
    <w:rsid w:val="001C64F4"/>
    <w:rsid w:val="001C7834"/>
    <w:rsid w:val="001D0CCF"/>
    <w:rsid w:val="001D2544"/>
    <w:rsid w:val="001D2841"/>
    <w:rsid w:val="001D38EB"/>
    <w:rsid w:val="001D3A07"/>
    <w:rsid w:val="001D40A3"/>
    <w:rsid w:val="001D4624"/>
    <w:rsid w:val="001D50B9"/>
    <w:rsid w:val="001D5DB9"/>
    <w:rsid w:val="001D6B2F"/>
    <w:rsid w:val="001D735F"/>
    <w:rsid w:val="001D7DFD"/>
    <w:rsid w:val="001E051E"/>
    <w:rsid w:val="001E096E"/>
    <w:rsid w:val="001E3967"/>
    <w:rsid w:val="001E3A70"/>
    <w:rsid w:val="001E491B"/>
    <w:rsid w:val="001E4E13"/>
    <w:rsid w:val="001E6979"/>
    <w:rsid w:val="001E7078"/>
    <w:rsid w:val="001E70FF"/>
    <w:rsid w:val="001F0B08"/>
    <w:rsid w:val="001F114B"/>
    <w:rsid w:val="001F1A5C"/>
    <w:rsid w:val="001F33E3"/>
    <w:rsid w:val="001F5221"/>
    <w:rsid w:val="001F542A"/>
    <w:rsid w:val="001F5653"/>
    <w:rsid w:val="001F59A2"/>
    <w:rsid w:val="001F5B9F"/>
    <w:rsid w:val="001F6A98"/>
    <w:rsid w:val="001F7D0E"/>
    <w:rsid w:val="002008F3"/>
    <w:rsid w:val="002009AF"/>
    <w:rsid w:val="00201453"/>
    <w:rsid w:val="002014DB"/>
    <w:rsid w:val="002017D3"/>
    <w:rsid w:val="00201972"/>
    <w:rsid w:val="00202A5D"/>
    <w:rsid w:val="002034D5"/>
    <w:rsid w:val="002035CF"/>
    <w:rsid w:val="0020447F"/>
    <w:rsid w:val="00204480"/>
    <w:rsid w:val="00204AE4"/>
    <w:rsid w:val="002056B6"/>
    <w:rsid w:val="00205B9B"/>
    <w:rsid w:val="00206BF5"/>
    <w:rsid w:val="00206DA3"/>
    <w:rsid w:val="00207D6C"/>
    <w:rsid w:val="00210EB9"/>
    <w:rsid w:val="00211A9B"/>
    <w:rsid w:val="00212C62"/>
    <w:rsid w:val="00213FEF"/>
    <w:rsid w:val="00214018"/>
    <w:rsid w:val="00215F2E"/>
    <w:rsid w:val="002164D9"/>
    <w:rsid w:val="0021695E"/>
    <w:rsid w:val="00216FB4"/>
    <w:rsid w:val="00217800"/>
    <w:rsid w:val="00217A9A"/>
    <w:rsid w:val="00220626"/>
    <w:rsid w:val="002206AF"/>
    <w:rsid w:val="00220A3A"/>
    <w:rsid w:val="00220CF3"/>
    <w:rsid w:val="00221687"/>
    <w:rsid w:val="00221EAA"/>
    <w:rsid w:val="00222471"/>
    <w:rsid w:val="00222A0D"/>
    <w:rsid w:val="00224A0F"/>
    <w:rsid w:val="00226BCB"/>
    <w:rsid w:val="002271B2"/>
    <w:rsid w:val="00230E2B"/>
    <w:rsid w:val="00230E73"/>
    <w:rsid w:val="002311F1"/>
    <w:rsid w:val="00231443"/>
    <w:rsid w:val="002317B7"/>
    <w:rsid w:val="00231BF6"/>
    <w:rsid w:val="0023237D"/>
    <w:rsid w:val="002333C1"/>
    <w:rsid w:val="002333F3"/>
    <w:rsid w:val="002334A1"/>
    <w:rsid w:val="00233982"/>
    <w:rsid w:val="00234662"/>
    <w:rsid w:val="0023468D"/>
    <w:rsid w:val="002349B7"/>
    <w:rsid w:val="00234D71"/>
    <w:rsid w:val="00235787"/>
    <w:rsid w:val="002359D4"/>
    <w:rsid w:val="002367B0"/>
    <w:rsid w:val="00236ADA"/>
    <w:rsid w:val="0024112D"/>
    <w:rsid w:val="00241AB0"/>
    <w:rsid w:val="00241F02"/>
    <w:rsid w:val="002447E3"/>
    <w:rsid w:val="002464AE"/>
    <w:rsid w:val="00246FC3"/>
    <w:rsid w:val="00247295"/>
    <w:rsid w:val="002472FC"/>
    <w:rsid w:val="00250564"/>
    <w:rsid w:val="002515A6"/>
    <w:rsid w:val="00251F35"/>
    <w:rsid w:val="00252531"/>
    <w:rsid w:val="00252722"/>
    <w:rsid w:val="0025387B"/>
    <w:rsid w:val="002548E3"/>
    <w:rsid w:val="00254BCD"/>
    <w:rsid w:val="002560D6"/>
    <w:rsid w:val="002563BC"/>
    <w:rsid w:val="00257E16"/>
    <w:rsid w:val="0026020D"/>
    <w:rsid w:val="0026174A"/>
    <w:rsid w:val="00261951"/>
    <w:rsid w:val="00262C15"/>
    <w:rsid w:val="00263D39"/>
    <w:rsid w:val="00264C3B"/>
    <w:rsid w:val="00265E3E"/>
    <w:rsid w:val="00266417"/>
    <w:rsid w:val="00267EA7"/>
    <w:rsid w:val="002711E9"/>
    <w:rsid w:val="00273B67"/>
    <w:rsid w:val="00273F23"/>
    <w:rsid w:val="00275599"/>
    <w:rsid w:val="002758ED"/>
    <w:rsid w:val="00275CF9"/>
    <w:rsid w:val="00276027"/>
    <w:rsid w:val="002766E7"/>
    <w:rsid w:val="00276B25"/>
    <w:rsid w:val="0027768D"/>
    <w:rsid w:val="00277B15"/>
    <w:rsid w:val="00277B27"/>
    <w:rsid w:val="00280E31"/>
    <w:rsid w:val="00281A66"/>
    <w:rsid w:val="002829C1"/>
    <w:rsid w:val="0028354B"/>
    <w:rsid w:val="00283B0A"/>
    <w:rsid w:val="00284497"/>
    <w:rsid w:val="00285514"/>
    <w:rsid w:val="00285619"/>
    <w:rsid w:val="00286A1D"/>
    <w:rsid w:val="002870E5"/>
    <w:rsid w:val="0028777B"/>
    <w:rsid w:val="002879B9"/>
    <w:rsid w:val="00291E15"/>
    <w:rsid w:val="00293CA1"/>
    <w:rsid w:val="00293F70"/>
    <w:rsid w:val="0029595C"/>
    <w:rsid w:val="00295A75"/>
    <w:rsid w:val="00297C26"/>
    <w:rsid w:val="002A034C"/>
    <w:rsid w:val="002A30D1"/>
    <w:rsid w:val="002A3D44"/>
    <w:rsid w:val="002A43F6"/>
    <w:rsid w:val="002A4825"/>
    <w:rsid w:val="002A5847"/>
    <w:rsid w:val="002A5E46"/>
    <w:rsid w:val="002A604D"/>
    <w:rsid w:val="002A617F"/>
    <w:rsid w:val="002A6764"/>
    <w:rsid w:val="002A6835"/>
    <w:rsid w:val="002A69A1"/>
    <w:rsid w:val="002A6BA9"/>
    <w:rsid w:val="002A783B"/>
    <w:rsid w:val="002A7D1F"/>
    <w:rsid w:val="002B0C9A"/>
    <w:rsid w:val="002B120E"/>
    <w:rsid w:val="002B3711"/>
    <w:rsid w:val="002B3B5B"/>
    <w:rsid w:val="002B4ED8"/>
    <w:rsid w:val="002B5225"/>
    <w:rsid w:val="002B56F3"/>
    <w:rsid w:val="002B587C"/>
    <w:rsid w:val="002B6E5F"/>
    <w:rsid w:val="002C0287"/>
    <w:rsid w:val="002C06DA"/>
    <w:rsid w:val="002C1AC4"/>
    <w:rsid w:val="002C2498"/>
    <w:rsid w:val="002C290A"/>
    <w:rsid w:val="002C2EC9"/>
    <w:rsid w:val="002C2F88"/>
    <w:rsid w:val="002C3642"/>
    <w:rsid w:val="002C3A38"/>
    <w:rsid w:val="002C51E3"/>
    <w:rsid w:val="002C54FD"/>
    <w:rsid w:val="002C5673"/>
    <w:rsid w:val="002C5A6B"/>
    <w:rsid w:val="002C7383"/>
    <w:rsid w:val="002C749B"/>
    <w:rsid w:val="002C7AD2"/>
    <w:rsid w:val="002C7D14"/>
    <w:rsid w:val="002D0084"/>
    <w:rsid w:val="002D0543"/>
    <w:rsid w:val="002D0BD3"/>
    <w:rsid w:val="002D1D1F"/>
    <w:rsid w:val="002D28EA"/>
    <w:rsid w:val="002D3335"/>
    <w:rsid w:val="002D3B3D"/>
    <w:rsid w:val="002D3CD4"/>
    <w:rsid w:val="002D3E0E"/>
    <w:rsid w:val="002D4228"/>
    <w:rsid w:val="002D448C"/>
    <w:rsid w:val="002D6253"/>
    <w:rsid w:val="002D6A39"/>
    <w:rsid w:val="002D6DA0"/>
    <w:rsid w:val="002D6DED"/>
    <w:rsid w:val="002D771C"/>
    <w:rsid w:val="002D7E9C"/>
    <w:rsid w:val="002E0853"/>
    <w:rsid w:val="002E0AA1"/>
    <w:rsid w:val="002E0DC6"/>
    <w:rsid w:val="002E10B5"/>
    <w:rsid w:val="002E17A2"/>
    <w:rsid w:val="002E1803"/>
    <w:rsid w:val="002E2109"/>
    <w:rsid w:val="002E3C4E"/>
    <w:rsid w:val="002E5634"/>
    <w:rsid w:val="002E5750"/>
    <w:rsid w:val="002E5CB0"/>
    <w:rsid w:val="002E6248"/>
    <w:rsid w:val="002E6B91"/>
    <w:rsid w:val="002E6BE9"/>
    <w:rsid w:val="002E7F78"/>
    <w:rsid w:val="002F05C7"/>
    <w:rsid w:val="002F45D5"/>
    <w:rsid w:val="002F545B"/>
    <w:rsid w:val="002F5B00"/>
    <w:rsid w:val="002F6975"/>
    <w:rsid w:val="002F69F8"/>
    <w:rsid w:val="00300661"/>
    <w:rsid w:val="0030089B"/>
    <w:rsid w:val="0030193D"/>
    <w:rsid w:val="00301F8F"/>
    <w:rsid w:val="00302FF7"/>
    <w:rsid w:val="00303658"/>
    <w:rsid w:val="00304435"/>
    <w:rsid w:val="003046D2"/>
    <w:rsid w:val="00305277"/>
    <w:rsid w:val="0030549E"/>
    <w:rsid w:val="00305E83"/>
    <w:rsid w:val="00306F6F"/>
    <w:rsid w:val="00307519"/>
    <w:rsid w:val="003076B8"/>
    <w:rsid w:val="0031023D"/>
    <w:rsid w:val="003104D3"/>
    <w:rsid w:val="00311103"/>
    <w:rsid w:val="00312701"/>
    <w:rsid w:val="003129CC"/>
    <w:rsid w:val="00313488"/>
    <w:rsid w:val="00313D55"/>
    <w:rsid w:val="0031465D"/>
    <w:rsid w:val="003147F5"/>
    <w:rsid w:val="00314EDB"/>
    <w:rsid w:val="0031564D"/>
    <w:rsid w:val="00315E1A"/>
    <w:rsid w:val="00316C8E"/>
    <w:rsid w:val="003176DD"/>
    <w:rsid w:val="003207CF"/>
    <w:rsid w:val="00320DBD"/>
    <w:rsid w:val="00321D8E"/>
    <w:rsid w:val="00321DAC"/>
    <w:rsid w:val="00321F02"/>
    <w:rsid w:val="00323923"/>
    <w:rsid w:val="003241E6"/>
    <w:rsid w:val="00324686"/>
    <w:rsid w:val="0032576B"/>
    <w:rsid w:val="00325F68"/>
    <w:rsid w:val="003263D9"/>
    <w:rsid w:val="003265BD"/>
    <w:rsid w:val="00327509"/>
    <w:rsid w:val="00327B17"/>
    <w:rsid w:val="003302E0"/>
    <w:rsid w:val="00330366"/>
    <w:rsid w:val="00331155"/>
    <w:rsid w:val="00331D75"/>
    <w:rsid w:val="003328C2"/>
    <w:rsid w:val="00332DD7"/>
    <w:rsid w:val="003341C6"/>
    <w:rsid w:val="00334272"/>
    <w:rsid w:val="0033456F"/>
    <w:rsid w:val="00335386"/>
    <w:rsid w:val="003405C4"/>
    <w:rsid w:val="003406F2"/>
    <w:rsid w:val="00340837"/>
    <w:rsid w:val="00340D76"/>
    <w:rsid w:val="00341685"/>
    <w:rsid w:val="0034225A"/>
    <w:rsid w:val="003426DB"/>
    <w:rsid w:val="00342CCA"/>
    <w:rsid w:val="00344C77"/>
    <w:rsid w:val="00345364"/>
    <w:rsid w:val="00345A24"/>
    <w:rsid w:val="003460F9"/>
    <w:rsid w:val="003463D6"/>
    <w:rsid w:val="003467E5"/>
    <w:rsid w:val="00346C47"/>
    <w:rsid w:val="00346EA0"/>
    <w:rsid w:val="003478E0"/>
    <w:rsid w:val="00347C77"/>
    <w:rsid w:val="00347E37"/>
    <w:rsid w:val="003511A2"/>
    <w:rsid w:val="00351B51"/>
    <w:rsid w:val="003522E3"/>
    <w:rsid w:val="003526D3"/>
    <w:rsid w:val="00352B6C"/>
    <w:rsid w:val="003536E5"/>
    <w:rsid w:val="00353703"/>
    <w:rsid w:val="00354119"/>
    <w:rsid w:val="00356227"/>
    <w:rsid w:val="00356783"/>
    <w:rsid w:val="003568D0"/>
    <w:rsid w:val="003569C8"/>
    <w:rsid w:val="00357141"/>
    <w:rsid w:val="00357188"/>
    <w:rsid w:val="0036002C"/>
    <w:rsid w:val="00361B66"/>
    <w:rsid w:val="00363530"/>
    <w:rsid w:val="003636F7"/>
    <w:rsid w:val="00363929"/>
    <w:rsid w:val="00363C40"/>
    <w:rsid w:val="00365A84"/>
    <w:rsid w:val="003660A0"/>
    <w:rsid w:val="003661FF"/>
    <w:rsid w:val="0036676A"/>
    <w:rsid w:val="003669E3"/>
    <w:rsid w:val="00367F0F"/>
    <w:rsid w:val="00370B5B"/>
    <w:rsid w:val="00370CCF"/>
    <w:rsid w:val="003720AF"/>
    <w:rsid w:val="00372346"/>
    <w:rsid w:val="00372376"/>
    <w:rsid w:val="0037436D"/>
    <w:rsid w:val="00375048"/>
    <w:rsid w:val="00376E2B"/>
    <w:rsid w:val="00380350"/>
    <w:rsid w:val="0038150D"/>
    <w:rsid w:val="00381AC4"/>
    <w:rsid w:val="003841FE"/>
    <w:rsid w:val="00386B9E"/>
    <w:rsid w:val="00390106"/>
    <w:rsid w:val="00390581"/>
    <w:rsid w:val="00390E9D"/>
    <w:rsid w:val="00391544"/>
    <w:rsid w:val="0039198B"/>
    <w:rsid w:val="00391CB9"/>
    <w:rsid w:val="00391DDC"/>
    <w:rsid w:val="00392035"/>
    <w:rsid w:val="003941F8"/>
    <w:rsid w:val="003956CC"/>
    <w:rsid w:val="00395827"/>
    <w:rsid w:val="00396590"/>
    <w:rsid w:val="003968B8"/>
    <w:rsid w:val="00396999"/>
    <w:rsid w:val="00396AA2"/>
    <w:rsid w:val="00396BAF"/>
    <w:rsid w:val="00396FF7"/>
    <w:rsid w:val="00397128"/>
    <w:rsid w:val="003A13EC"/>
    <w:rsid w:val="003A17F3"/>
    <w:rsid w:val="003A1E97"/>
    <w:rsid w:val="003A2025"/>
    <w:rsid w:val="003A251D"/>
    <w:rsid w:val="003A287C"/>
    <w:rsid w:val="003A2F4A"/>
    <w:rsid w:val="003A3118"/>
    <w:rsid w:val="003A335B"/>
    <w:rsid w:val="003A3AE1"/>
    <w:rsid w:val="003A497B"/>
    <w:rsid w:val="003A4B8B"/>
    <w:rsid w:val="003A4CE6"/>
    <w:rsid w:val="003A52CB"/>
    <w:rsid w:val="003A649D"/>
    <w:rsid w:val="003A69B7"/>
    <w:rsid w:val="003A7450"/>
    <w:rsid w:val="003A7462"/>
    <w:rsid w:val="003B1F8C"/>
    <w:rsid w:val="003B2028"/>
    <w:rsid w:val="003B210F"/>
    <w:rsid w:val="003B280F"/>
    <w:rsid w:val="003B283A"/>
    <w:rsid w:val="003B2D52"/>
    <w:rsid w:val="003B35EA"/>
    <w:rsid w:val="003B373E"/>
    <w:rsid w:val="003B394D"/>
    <w:rsid w:val="003B40C6"/>
    <w:rsid w:val="003B4675"/>
    <w:rsid w:val="003B47A4"/>
    <w:rsid w:val="003B4A22"/>
    <w:rsid w:val="003B6331"/>
    <w:rsid w:val="003B7429"/>
    <w:rsid w:val="003B77EC"/>
    <w:rsid w:val="003B78A0"/>
    <w:rsid w:val="003C000A"/>
    <w:rsid w:val="003C052B"/>
    <w:rsid w:val="003C09F7"/>
    <w:rsid w:val="003C142E"/>
    <w:rsid w:val="003C1C98"/>
    <w:rsid w:val="003C33A2"/>
    <w:rsid w:val="003C46B1"/>
    <w:rsid w:val="003C50E5"/>
    <w:rsid w:val="003C5530"/>
    <w:rsid w:val="003C592F"/>
    <w:rsid w:val="003C5C79"/>
    <w:rsid w:val="003C7C25"/>
    <w:rsid w:val="003D09C7"/>
    <w:rsid w:val="003D1366"/>
    <w:rsid w:val="003D17A3"/>
    <w:rsid w:val="003D25F7"/>
    <w:rsid w:val="003D344F"/>
    <w:rsid w:val="003D47D7"/>
    <w:rsid w:val="003D5F57"/>
    <w:rsid w:val="003D611E"/>
    <w:rsid w:val="003D6907"/>
    <w:rsid w:val="003D74FB"/>
    <w:rsid w:val="003D7558"/>
    <w:rsid w:val="003D7639"/>
    <w:rsid w:val="003D76E0"/>
    <w:rsid w:val="003D79A1"/>
    <w:rsid w:val="003D7AAF"/>
    <w:rsid w:val="003D7D0B"/>
    <w:rsid w:val="003D7FFE"/>
    <w:rsid w:val="003E022B"/>
    <w:rsid w:val="003E0583"/>
    <w:rsid w:val="003E0636"/>
    <w:rsid w:val="003E0B58"/>
    <w:rsid w:val="003E15F6"/>
    <w:rsid w:val="003E1D89"/>
    <w:rsid w:val="003E233F"/>
    <w:rsid w:val="003E2A17"/>
    <w:rsid w:val="003E42C9"/>
    <w:rsid w:val="003E4C86"/>
    <w:rsid w:val="003E6846"/>
    <w:rsid w:val="003E6BE6"/>
    <w:rsid w:val="003E73C7"/>
    <w:rsid w:val="003F18AB"/>
    <w:rsid w:val="003F3BBB"/>
    <w:rsid w:val="003F4C70"/>
    <w:rsid w:val="003F5E8A"/>
    <w:rsid w:val="003F6254"/>
    <w:rsid w:val="003F6843"/>
    <w:rsid w:val="003F6AE0"/>
    <w:rsid w:val="003F704E"/>
    <w:rsid w:val="00400144"/>
    <w:rsid w:val="0040088E"/>
    <w:rsid w:val="00402AA5"/>
    <w:rsid w:val="00402B3F"/>
    <w:rsid w:val="004040DC"/>
    <w:rsid w:val="004051B2"/>
    <w:rsid w:val="004065EE"/>
    <w:rsid w:val="00407991"/>
    <w:rsid w:val="00410191"/>
    <w:rsid w:val="00410FEE"/>
    <w:rsid w:val="00412C8C"/>
    <w:rsid w:val="00412CBE"/>
    <w:rsid w:val="00413769"/>
    <w:rsid w:val="004140F7"/>
    <w:rsid w:val="00415E49"/>
    <w:rsid w:val="00415EC2"/>
    <w:rsid w:val="00416BBD"/>
    <w:rsid w:val="00417FEB"/>
    <w:rsid w:val="0042018B"/>
    <w:rsid w:val="00421345"/>
    <w:rsid w:val="00421431"/>
    <w:rsid w:val="00421D90"/>
    <w:rsid w:val="004223C1"/>
    <w:rsid w:val="004238ED"/>
    <w:rsid w:val="00424672"/>
    <w:rsid w:val="0042604E"/>
    <w:rsid w:val="004260AC"/>
    <w:rsid w:val="004260ED"/>
    <w:rsid w:val="0042666A"/>
    <w:rsid w:val="00427A51"/>
    <w:rsid w:val="004311A3"/>
    <w:rsid w:val="004315C2"/>
    <w:rsid w:val="00431807"/>
    <w:rsid w:val="00433D5E"/>
    <w:rsid w:val="00435111"/>
    <w:rsid w:val="00435A24"/>
    <w:rsid w:val="00435B8E"/>
    <w:rsid w:val="00436335"/>
    <w:rsid w:val="00436FDC"/>
    <w:rsid w:val="00437756"/>
    <w:rsid w:val="00440517"/>
    <w:rsid w:val="0044064A"/>
    <w:rsid w:val="00441572"/>
    <w:rsid w:val="00441655"/>
    <w:rsid w:val="0044263F"/>
    <w:rsid w:val="0044286D"/>
    <w:rsid w:val="004428C8"/>
    <w:rsid w:val="00442F1B"/>
    <w:rsid w:val="00443564"/>
    <w:rsid w:val="00443AA1"/>
    <w:rsid w:val="00444822"/>
    <w:rsid w:val="0044484F"/>
    <w:rsid w:val="00444F29"/>
    <w:rsid w:val="00445765"/>
    <w:rsid w:val="004457AD"/>
    <w:rsid w:val="00447DAB"/>
    <w:rsid w:val="00447F6E"/>
    <w:rsid w:val="004506CA"/>
    <w:rsid w:val="00450802"/>
    <w:rsid w:val="00450D1F"/>
    <w:rsid w:val="00452207"/>
    <w:rsid w:val="004531C0"/>
    <w:rsid w:val="00454581"/>
    <w:rsid w:val="00454B9F"/>
    <w:rsid w:val="00455657"/>
    <w:rsid w:val="004567DF"/>
    <w:rsid w:val="00456C47"/>
    <w:rsid w:val="0045734E"/>
    <w:rsid w:val="004602FD"/>
    <w:rsid w:val="00462799"/>
    <w:rsid w:val="00462C08"/>
    <w:rsid w:val="00463A36"/>
    <w:rsid w:val="00463DE3"/>
    <w:rsid w:val="004667A3"/>
    <w:rsid w:val="00466F42"/>
    <w:rsid w:val="00470374"/>
    <w:rsid w:val="00470A5A"/>
    <w:rsid w:val="00470D27"/>
    <w:rsid w:val="00470E7D"/>
    <w:rsid w:val="00471BBE"/>
    <w:rsid w:val="00472655"/>
    <w:rsid w:val="00473022"/>
    <w:rsid w:val="00473C45"/>
    <w:rsid w:val="00474055"/>
    <w:rsid w:val="004746C0"/>
    <w:rsid w:val="004748D5"/>
    <w:rsid w:val="004760E1"/>
    <w:rsid w:val="004773D9"/>
    <w:rsid w:val="00480034"/>
    <w:rsid w:val="004806EC"/>
    <w:rsid w:val="0048143D"/>
    <w:rsid w:val="0048183E"/>
    <w:rsid w:val="0048185E"/>
    <w:rsid w:val="0048470C"/>
    <w:rsid w:val="0048479E"/>
    <w:rsid w:val="004859A9"/>
    <w:rsid w:val="004859D1"/>
    <w:rsid w:val="0048631D"/>
    <w:rsid w:val="00486B05"/>
    <w:rsid w:val="00487ABB"/>
    <w:rsid w:val="00491AF4"/>
    <w:rsid w:val="00492BA6"/>
    <w:rsid w:val="00492D97"/>
    <w:rsid w:val="004933A0"/>
    <w:rsid w:val="00493F0C"/>
    <w:rsid w:val="00494046"/>
    <w:rsid w:val="0049468D"/>
    <w:rsid w:val="00494861"/>
    <w:rsid w:val="00494EC5"/>
    <w:rsid w:val="004963E4"/>
    <w:rsid w:val="004972D2"/>
    <w:rsid w:val="00497609"/>
    <w:rsid w:val="004A1522"/>
    <w:rsid w:val="004A34A8"/>
    <w:rsid w:val="004A370D"/>
    <w:rsid w:val="004A3A7C"/>
    <w:rsid w:val="004A4DDE"/>
    <w:rsid w:val="004A57C1"/>
    <w:rsid w:val="004A6D6F"/>
    <w:rsid w:val="004A7D97"/>
    <w:rsid w:val="004B0537"/>
    <w:rsid w:val="004B12DD"/>
    <w:rsid w:val="004B2CF9"/>
    <w:rsid w:val="004B318E"/>
    <w:rsid w:val="004B3CD3"/>
    <w:rsid w:val="004B403E"/>
    <w:rsid w:val="004B47BA"/>
    <w:rsid w:val="004B49FC"/>
    <w:rsid w:val="004B4E0D"/>
    <w:rsid w:val="004B548B"/>
    <w:rsid w:val="004B573A"/>
    <w:rsid w:val="004B5BDB"/>
    <w:rsid w:val="004B6946"/>
    <w:rsid w:val="004B6AE5"/>
    <w:rsid w:val="004B6D7B"/>
    <w:rsid w:val="004B71C9"/>
    <w:rsid w:val="004B733C"/>
    <w:rsid w:val="004B786E"/>
    <w:rsid w:val="004B7BFD"/>
    <w:rsid w:val="004C02D0"/>
    <w:rsid w:val="004C0C54"/>
    <w:rsid w:val="004C1BC3"/>
    <w:rsid w:val="004C2825"/>
    <w:rsid w:val="004C38BE"/>
    <w:rsid w:val="004C40CF"/>
    <w:rsid w:val="004C5563"/>
    <w:rsid w:val="004C6CD0"/>
    <w:rsid w:val="004C77D1"/>
    <w:rsid w:val="004C7D28"/>
    <w:rsid w:val="004C7D67"/>
    <w:rsid w:val="004D076F"/>
    <w:rsid w:val="004D0B35"/>
    <w:rsid w:val="004D0CFF"/>
    <w:rsid w:val="004D1010"/>
    <w:rsid w:val="004D15B7"/>
    <w:rsid w:val="004D2CC3"/>
    <w:rsid w:val="004D2E41"/>
    <w:rsid w:val="004D30C5"/>
    <w:rsid w:val="004D3670"/>
    <w:rsid w:val="004D3E6C"/>
    <w:rsid w:val="004D4680"/>
    <w:rsid w:val="004D4B1D"/>
    <w:rsid w:val="004D4FF8"/>
    <w:rsid w:val="004D56A1"/>
    <w:rsid w:val="004D5E52"/>
    <w:rsid w:val="004D5E99"/>
    <w:rsid w:val="004D6142"/>
    <w:rsid w:val="004D630D"/>
    <w:rsid w:val="004D63C4"/>
    <w:rsid w:val="004D736A"/>
    <w:rsid w:val="004D73A9"/>
    <w:rsid w:val="004D78F3"/>
    <w:rsid w:val="004E0AB0"/>
    <w:rsid w:val="004E17A6"/>
    <w:rsid w:val="004E1942"/>
    <w:rsid w:val="004E2984"/>
    <w:rsid w:val="004E2BB8"/>
    <w:rsid w:val="004E2C00"/>
    <w:rsid w:val="004E3D07"/>
    <w:rsid w:val="004E4145"/>
    <w:rsid w:val="004E4422"/>
    <w:rsid w:val="004E4A29"/>
    <w:rsid w:val="004E61FB"/>
    <w:rsid w:val="004E6BC7"/>
    <w:rsid w:val="004E6F4E"/>
    <w:rsid w:val="004E799C"/>
    <w:rsid w:val="004E7E17"/>
    <w:rsid w:val="004F0068"/>
    <w:rsid w:val="004F05EA"/>
    <w:rsid w:val="004F1CB9"/>
    <w:rsid w:val="004F246B"/>
    <w:rsid w:val="004F38F2"/>
    <w:rsid w:val="004F39B6"/>
    <w:rsid w:val="004F3BC0"/>
    <w:rsid w:val="004F6C30"/>
    <w:rsid w:val="004F6CA3"/>
    <w:rsid w:val="004F71A2"/>
    <w:rsid w:val="005000D2"/>
    <w:rsid w:val="00500EA1"/>
    <w:rsid w:val="005019BF"/>
    <w:rsid w:val="005023EA"/>
    <w:rsid w:val="005028BC"/>
    <w:rsid w:val="00502FA6"/>
    <w:rsid w:val="00503CDF"/>
    <w:rsid w:val="0050430E"/>
    <w:rsid w:val="005045A5"/>
    <w:rsid w:val="00504638"/>
    <w:rsid w:val="00504D86"/>
    <w:rsid w:val="00505013"/>
    <w:rsid w:val="005051F7"/>
    <w:rsid w:val="00505CCC"/>
    <w:rsid w:val="00506C84"/>
    <w:rsid w:val="00512065"/>
    <w:rsid w:val="0051235E"/>
    <w:rsid w:val="005126ED"/>
    <w:rsid w:val="0051335B"/>
    <w:rsid w:val="00513695"/>
    <w:rsid w:val="0051376F"/>
    <w:rsid w:val="00513776"/>
    <w:rsid w:val="00514D64"/>
    <w:rsid w:val="00515EBB"/>
    <w:rsid w:val="005174FE"/>
    <w:rsid w:val="00517888"/>
    <w:rsid w:val="00520EC3"/>
    <w:rsid w:val="00522385"/>
    <w:rsid w:val="005223E6"/>
    <w:rsid w:val="00522E91"/>
    <w:rsid w:val="00524AC1"/>
    <w:rsid w:val="00526ED3"/>
    <w:rsid w:val="00527573"/>
    <w:rsid w:val="00527CA4"/>
    <w:rsid w:val="00527CBC"/>
    <w:rsid w:val="00527DEF"/>
    <w:rsid w:val="005301FE"/>
    <w:rsid w:val="005316D8"/>
    <w:rsid w:val="005362D1"/>
    <w:rsid w:val="00536668"/>
    <w:rsid w:val="00537B25"/>
    <w:rsid w:val="00537D8F"/>
    <w:rsid w:val="0054025C"/>
    <w:rsid w:val="005405E1"/>
    <w:rsid w:val="0054132E"/>
    <w:rsid w:val="0054173E"/>
    <w:rsid w:val="0054332D"/>
    <w:rsid w:val="00545F81"/>
    <w:rsid w:val="00550494"/>
    <w:rsid w:val="005505B1"/>
    <w:rsid w:val="0055061F"/>
    <w:rsid w:val="00550B9F"/>
    <w:rsid w:val="0055223E"/>
    <w:rsid w:val="00552248"/>
    <w:rsid w:val="00552EF0"/>
    <w:rsid w:val="005532A3"/>
    <w:rsid w:val="00553C0E"/>
    <w:rsid w:val="00553ED1"/>
    <w:rsid w:val="005550CB"/>
    <w:rsid w:val="00555436"/>
    <w:rsid w:val="00556384"/>
    <w:rsid w:val="00556B2C"/>
    <w:rsid w:val="0055710D"/>
    <w:rsid w:val="00560A0A"/>
    <w:rsid w:val="00562E9B"/>
    <w:rsid w:val="00562FDD"/>
    <w:rsid w:val="00563ED1"/>
    <w:rsid w:val="00564174"/>
    <w:rsid w:val="0056607C"/>
    <w:rsid w:val="0056650A"/>
    <w:rsid w:val="00566C53"/>
    <w:rsid w:val="00566CAA"/>
    <w:rsid w:val="00567DEA"/>
    <w:rsid w:val="00570078"/>
    <w:rsid w:val="00571516"/>
    <w:rsid w:val="00571545"/>
    <w:rsid w:val="00571DEA"/>
    <w:rsid w:val="00572456"/>
    <w:rsid w:val="00572A72"/>
    <w:rsid w:val="00573B7B"/>
    <w:rsid w:val="00573D1E"/>
    <w:rsid w:val="00574223"/>
    <w:rsid w:val="00574CF1"/>
    <w:rsid w:val="0057525E"/>
    <w:rsid w:val="00576119"/>
    <w:rsid w:val="005763B0"/>
    <w:rsid w:val="00576A45"/>
    <w:rsid w:val="00576B9A"/>
    <w:rsid w:val="0057701F"/>
    <w:rsid w:val="005779D8"/>
    <w:rsid w:val="00580528"/>
    <w:rsid w:val="00580809"/>
    <w:rsid w:val="00580968"/>
    <w:rsid w:val="00581A93"/>
    <w:rsid w:val="0058272B"/>
    <w:rsid w:val="005829C9"/>
    <w:rsid w:val="00584B3E"/>
    <w:rsid w:val="00585694"/>
    <w:rsid w:val="00585BAE"/>
    <w:rsid w:val="00586B35"/>
    <w:rsid w:val="00586D74"/>
    <w:rsid w:val="005876AE"/>
    <w:rsid w:val="00587980"/>
    <w:rsid w:val="005904EC"/>
    <w:rsid w:val="00591D7E"/>
    <w:rsid w:val="00591D81"/>
    <w:rsid w:val="005929E7"/>
    <w:rsid w:val="005944FD"/>
    <w:rsid w:val="00594E10"/>
    <w:rsid w:val="00595BF4"/>
    <w:rsid w:val="00595D87"/>
    <w:rsid w:val="00596894"/>
    <w:rsid w:val="00597143"/>
    <w:rsid w:val="005974C8"/>
    <w:rsid w:val="005A0544"/>
    <w:rsid w:val="005A0B4A"/>
    <w:rsid w:val="005A0E17"/>
    <w:rsid w:val="005A1289"/>
    <w:rsid w:val="005A23D5"/>
    <w:rsid w:val="005A3AF6"/>
    <w:rsid w:val="005A3EA2"/>
    <w:rsid w:val="005A47D3"/>
    <w:rsid w:val="005A765B"/>
    <w:rsid w:val="005A788C"/>
    <w:rsid w:val="005B0472"/>
    <w:rsid w:val="005B0CCB"/>
    <w:rsid w:val="005B0EF1"/>
    <w:rsid w:val="005B261A"/>
    <w:rsid w:val="005B2C70"/>
    <w:rsid w:val="005B32A4"/>
    <w:rsid w:val="005B3AD6"/>
    <w:rsid w:val="005B3D79"/>
    <w:rsid w:val="005B3FD3"/>
    <w:rsid w:val="005B4591"/>
    <w:rsid w:val="005B4FC5"/>
    <w:rsid w:val="005B52BC"/>
    <w:rsid w:val="005B58EE"/>
    <w:rsid w:val="005B6B2F"/>
    <w:rsid w:val="005B73B3"/>
    <w:rsid w:val="005C0A07"/>
    <w:rsid w:val="005C0D5D"/>
    <w:rsid w:val="005C18E5"/>
    <w:rsid w:val="005C3F34"/>
    <w:rsid w:val="005C4048"/>
    <w:rsid w:val="005C5348"/>
    <w:rsid w:val="005C5436"/>
    <w:rsid w:val="005C582B"/>
    <w:rsid w:val="005C5BC7"/>
    <w:rsid w:val="005C5E16"/>
    <w:rsid w:val="005C60AE"/>
    <w:rsid w:val="005C6D6A"/>
    <w:rsid w:val="005C6E01"/>
    <w:rsid w:val="005C6F96"/>
    <w:rsid w:val="005C7C87"/>
    <w:rsid w:val="005C7D6A"/>
    <w:rsid w:val="005D0965"/>
    <w:rsid w:val="005D0F1C"/>
    <w:rsid w:val="005D21D3"/>
    <w:rsid w:val="005D2552"/>
    <w:rsid w:val="005D3823"/>
    <w:rsid w:val="005D4187"/>
    <w:rsid w:val="005D4A65"/>
    <w:rsid w:val="005D5455"/>
    <w:rsid w:val="005D5546"/>
    <w:rsid w:val="005D565F"/>
    <w:rsid w:val="005D5927"/>
    <w:rsid w:val="005D5937"/>
    <w:rsid w:val="005D6772"/>
    <w:rsid w:val="005D6F4B"/>
    <w:rsid w:val="005D790B"/>
    <w:rsid w:val="005D7D09"/>
    <w:rsid w:val="005E05C2"/>
    <w:rsid w:val="005E0830"/>
    <w:rsid w:val="005E0B63"/>
    <w:rsid w:val="005E0F98"/>
    <w:rsid w:val="005E1798"/>
    <w:rsid w:val="005E260C"/>
    <w:rsid w:val="005E290D"/>
    <w:rsid w:val="005E389F"/>
    <w:rsid w:val="005E454F"/>
    <w:rsid w:val="005E489F"/>
    <w:rsid w:val="005E4CA5"/>
    <w:rsid w:val="005E52B8"/>
    <w:rsid w:val="005E53DA"/>
    <w:rsid w:val="005E7096"/>
    <w:rsid w:val="005E7647"/>
    <w:rsid w:val="005E7BA9"/>
    <w:rsid w:val="005F1208"/>
    <w:rsid w:val="005F16DD"/>
    <w:rsid w:val="005F1ACD"/>
    <w:rsid w:val="005F2674"/>
    <w:rsid w:val="005F2F5F"/>
    <w:rsid w:val="005F38A6"/>
    <w:rsid w:val="005F4094"/>
    <w:rsid w:val="005F4835"/>
    <w:rsid w:val="005F4F02"/>
    <w:rsid w:val="005F5216"/>
    <w:rsid w:val="005F53CF"/>
    <w:rsid w:val="005F5A47"/>
    <w:rsid w:val="005F5B60"/>
    <w:rsid w:val="005F5EEA"/>
    <w:rsid w:val="005F68AD"/>
    <w:rsid w:val="005F725D"/>
    <w:rsid w:val="005F78F4"/>
    <w:rsid w:val="00602252"/>
    <w:rsid w:val="0060244F"/>
    <w:rsid w:val="006029B6"/>
    <w:rsid w:val="00602A02"/>
    <w:rsid w:val="00603107"/>
    <w:rsid w:val="00603412"/>
    <w:rsid w:val="00606762"/>
    <w:rsid w:val="00606964"/>
    <w:rsid w:val="00607054"/>
    <w:rsid w:val="0060746D"/>
    <w:rsid w:val="00607AE9"/>
    <w:rsid w:val="006105E6"/>
    <w:rsid w:val="00611079"/>
    <w:rsid w:val="006128D0"/>
    <w:rsid w:val="006131D6"/>
    <w:rsid w:val="006132C3"/>
    <w:rsid w:val="006136E1"/>
    <w:rsid w:val="006139E3"/>
    <w:rsid w:val="006146C7"/>
    <w:rsid w:val="00616000"/>
    <w:rsid w:val="00620EED"/>
    <w:rsid w:val="00621228"/>
    <w:rsid w:val="0062216D"/>
    <w:rsid w:val="00622AEA"/>
    <w:rsid w:val="00623A29"/>
    <w:rsid w:val="00624B58"/>
    <w:rsid w:val="00625F16"/>
    <w:rsid w:val="006265D6"/>
    <w:rsid w:val="0062760C"/>
    <w:rsid w:val="006278FE"/>
    <w:rsid w:val="00627E48"/>
    <w:rsid w:val="00627F53"/>
    <w:rsid w:val="006302BD"/>
    <w:rsid w:val="00630988"/>
    <w:rsid w:val="00630BD9"/>
    <w:rsid w:val="0063243E"/>
    <w:rsid w:val="00632C8E"/>
    <w:rsid w:val="00633AA4"/>
    <w:rsid w:val="00633E2F"/>
    <w:rsid w:val="00634EAA"/>
    <w:rsid w:val="00636963"/>
    <w:rsid w:val="006369D6"/>
    <w:rsid w:val="00636A8B"/>
    <w:rsid w:val="0063705E"/>
    <w:rsid w:val="0063757B"/>
    <w:rsid w:val="006375DF"/>
    <w:rsid w:val="00637923"/>
    <w:rsid w:val="00637D19"/>
    <w:rsid w:val="00637D7F"/>
    <w:rsid w:val="0064049E"/>
    <w:rsid w:val="006410D2"/>
    <w:rsid w:val="00641B9E"/>
    <w:rsid w:val="0064273C"/>
    <w:rsid w:val="00643309"/>
    <w:rsid w:val="00644D8E"/>
    <w:rsid w:val="00645E5D"/>
    <w:rsid w:val="00647018"/>
    <w:rsid w:val="0064738B"/>
    <w:rsid w:val="0065027F"/>
    <w:rsid w:val="0065028B"/>
    <w:rsid w:val="006524B7"/>
    <w:rsid w:val="00652799"/>
    <w:rsid w:val="006527D6"/>
    <w:rsid w:val="00652A5B"/>
    <w:rsid w:val="006535C4"/>
    <w:rsid w:val="00653A15"/>
    <w:rsid w:val="00653B4D"/>
    <w:rsid w:val="00654613"/>
    <w:rsid w:val="00655513"/>
    <w:rsid w:val="00655549"/>
    <w:rsid w:val="00655AFA"/>
    <w:rsid w:val="006561AC"/>
    <w:rsid w:val="0065655D"/>
    <w:rsid w:val="006568C7"/>
    <w:rsid w:val="0065732A"/>
    <w:rsid w:val="006600AF"/>
    <w:rsid w:val="00660C31"/>
    <w:rsid w:val="006622BB"/>
    <w:rsid w:val="00662789"/>
    <w:rsid w:val="00664702"/>
    <w:rsid w:val="00665013"/>
    <w:rsid w:val="0066505B"/>
    <w:rsid w:val="00666CDD"/>
    <w:rsid w:val="00667639"/>
    <w:rsid w:val="006677BF"/>
    <w:rsid w:val="0067063E"/>
    <w:rsid w:val="00670882"/>
    <w:rsid w:val="00670ADF"/>
    <w:rsid w:val="00670BA8"/>
    <w:rsid w:val="00670BDB"/>
    <w:rsid w:val="0067135E"/>
    <w:rsid w:val="0067143A"/>
    <w:rsid w:val="00672501"/>
    <w:rsid w:val="00674126"/>
    <w:rsid w:val="006747EB"/>
    <w:rsid w:val="00675F04"/>
    <w:rsid w:val="00676FB6"/>
    <w:rsid w:val="00677F3C"/>
    <w:rsid w:val="006801FF"/>
    <w:rsid w:val="00680AF1"/>
    <w:rsid w:val="00680DBA"/>
    <w:rsid w:val="006817DF"/>
    <w:rsid w:val="00681D70"/>
    <w:rsid w:val="00681FC0"/>
    <w:rsid w:val="00682704"/>
    <w:rsid w:val="00682B95"/>
    <w:rsid w:val="006837FE"/>
    <w:rsid w:val="00683D55"/>
    <w:rsid w:val="00684090"/>
    <w:rsid w:val="00684CE0"/>
    <w:rsid w:val="00685DD7"/>
    <w:rsid w:val="00685F90"/>
    <w:rsid w:val="00686700"/>
    <w:rsid w:val="00687A74"/>
    <w:rsid w:val="006901A1"/>
    <w:rsid w:val="0069039F"/>
    <w:rsid w:val="00691819"/>
    <w:rsid w:val="00692A38"/>
    <w:rsid w:val="006930D8"/>
    <w:rsid w:val="00693279"/>
    <w:rsid w:val="00694AEC"/>
    <w:rsid w:val="0069518F"/>
    <w:rsid w:val="00696284"/>
    <w:rsid w:val="0069637C"/>
    <w:rsid w:val="006968C3"/>
    <w:rsid w:val="0069792D"/>
    <w:rsid w:val="006A00CC"/>
    <w:rsid w:val="006A296F"/>
    <w:rsid w:val="006A33D5"/>
    <w:rsid w:val="006A4349"/>
    <w:rsid w:val="006A4980"/>
    <w:rsid w:val="006A5A63"/>
    <w:rsid w:val="006A6705"/>
    <w:rsid w:val="006A6E54"/>
    <w:rsid w:val="006B0D50"/>
    <w:rsid w:val="006B1860"/>
    <w:rsid w:val="006B23E6"/>
    <w:rsid w:val="006B2E56"/>
    <w:rsid w:val="006B30C4"/>
    <w:rsid w:val="006B3A3A"/>
    <w:rsid w:val="006B4485"/>
    <w:rsid w:val="006B5253"/>
    <w:rsid w:val="006B5732"/>
    <w:rsid w:val="006B5E67"/>
    <w:rsid w:val="006B6352"/>
    <w:rsid w:val="006B64EA"/>
    <w:rsid w:val="006B6BD1"/>
    <w:rsid w:val="006B702C"/>
    <w:rsid w:val="006B778C"/>
    <w:rsid w:val="006C04FF"/>
    <w:rsid w:val="006C0BC6"/>
    <w:rsid w:val="006C12C9"/>
    <w:rsid w:val="006C1BFD"/>
    <w:rsid w:val="006C1FC7"/>
    <w:rsid w:val="006C20BF"/>
    <w:rsid w:val="006C2EDC"/>
    <w:rsid w:val="006C3A84"/>
    <w:rsid w:val="006C4C19"/>
    <w:rsid w:val="006C4D49"/>
    <w:rsid w:val="006C661A"/>
    <w:rsid w:val="006C75D4"/>
    <w:rsid w:val="006D0C6D"/>
    <w:rsid w:val="006D0F58"/>
    <w:rsid w:val="006D105B"/>
    <w:rsid w:val="006D2B3F"/>
    <w:rsid w:val="006D4787"/>
    <w:rsid w:val="006D4B1A"/>
    <w:rsid w:val="006D5B38"/>
    <w:rsid w:val="006D5D5C"/>
    <w:rsid w:val="006D78F5"/>
    <w:rsid w:val="006D79C1"/>
    <w:rsid w:val="006D79F5"/>
    <w:rsid w:val="006D7B2D"/>
    <w:rsid w:val="006D7F4E"/>
    <w:rsid w:val="006E01B2"/>
    <w:rsid w:val="006E0F06"/>
    <w:rsid w:val="006E1C95"/>
    <w:rsid w:val="006E1DD2"/>
    <w:rsid w:val="006E2BED"/>
    <w:rsid w:val="006E7429"/>
    <w:rsid w:val="006F0722"/>
    <w:rsid w:val="006F0A66"/>
    <w:rsid w:val="006F2077"/>
    <w:rsid w:val="006F222E"/>
    <w:rsid w:val="006F2497"/>
    <w:rsid w:val="006F2957"/>
    <w:rsid w:val="006F3435"/>
    <w:rsid w:val="006F354D"/>
    <w:rsid w:val="006F3F63"/>
    <w:rsid w:val="006F4A23"/>
    <w:rsid w:val="006F4A4D"/>
    <w:rsid w:val="006F60D5"/>
    <w:rsid w:val="006F7BDC"/>
    <w:rsid w:val="00700198"/>
    <w:rsid w:val="00700A0C"/>
    <w:rsid w:val="00701142"/>
    <w:rsid w:val="0070144A"/>
    <w:rsid w:val="00701C22"/>
    <w:rsid w:val="00701F56"/>
    <w:rsid w:val="00702D80"/>
    <w:rsid w:val="00702E11"/>
    <w:rsid w:val="00705221"/>
    <w:rsid w:val="00705CDC"/>
    <w:rsid w:val="00706673"/>
    <w:rsid w:val="00707493"/>
    <w:rsid w:val="00707A3C"/>
    <w:rsid w:val="00710E75"/>
    <w:rsid w:val="007113D7"/>
    <w:rsid w:val="007123BF"/>
    <w:rsid w:val="00712693"/>
    <w:rsid w:val="00712732"/>
    <w:rsid w:val="00713DB8"/>
    <w:rsid w:val="00717553"/>
    <w:rsid w:val="00717879"/>
    <w:rsid w:val="0072051F"/>
    <w:rsid w:val="0072056D"/>
    <w:rsid w:val="00720ACF"/>
    <w:rsid w:val="007216DA"/>
    <w:rsid w:val="00722003"/>
    <w:rsid w:val="007224D8"/>
    <w:rsid w:val="007224DB"/>
    <w:rsid w:val="00722757"/>
    <w:rsid w:val="007227E9"/>
    <w:rsid w:val="00722C08"/>
    <w:rsid w:val="00723296"/>
    <w:rsid w:val="00723B7A"/>
    <w:rsid w:val="007249D8"/>
    <w:rsid w:val="00726A7C"/>
    <w:rsid w:val="007272E9"/>
    <w:rsid w:val="007302F5"/>
    <w:rsid w:val="007306CE"/>
    <w:rsid w:val="00731103"/>
    <w:rsid w:val="0073250B"/>
    <w:rsid w:val="00733A56"/>
    <w:rsid w:val="00734461"/>
    <w:rsid w:val="007353A4"/>
    <w:rsid w:val="00735B0D"/>
    <w:rsid w:val="00735D2F"/>
    <w:rsid w:val="00735D4C"/>
    <w:rsid w:val="007361A7"/>
    <w:rsid w:val="00736569"/>
    <w:rsid w:val="0073678D"/>
    <w:rsid w:val="00736E36"/>
    <w:rsid w:val="007402F8"/>
    <w:rsid w:val="00740C3F"/>
    <w:rsid w:val="00740CE0"/>
    <w:rsid w:val="00741F60"/>
    <w:rsid w:val="007424DB"/>
    <w:rsid w:val="007436C4"/>
    <w:rsid w:val="0074656E"/>
    <w:rsid w:val="00746939"/>
    <w:rsid w:val="00746F7B"/>
    <w:rsid w:val="0074704D"/>
    <w:rsid w:val="00750153"/>
    <w:rsid w:val="00750332"/>
    <w:rsid w:val="00752C07"/>
    <w:rsid w:val="007543FA"/>
    <w:rsid w:val="00754DE7"/>
    <w:rsid w:val="007551D4"/>
    <w:rsid w:val="007558C1"/>
    <w:rsid w:val="00760253"/>
    <w:rsid w:val="0076078B"/>
    <w:rsid w:val="00761D8C"/>
    <w:rsid w:val="007638F1"/>
    <w:rsid w:val="00763E20"/>
    <w:rsid w:val="007641F6"/>
    <w:rsid w:val="0076437F"/>
    <w:rsid w:val="00764B63"/>
    <w:rsid w:val="00765CB0"/>
    <w:rsid w:val="007679A6"/>
    <w:rsid w:val="00767D72"/>
    <w:rsid w:val="00770E79"/>
    <w:rsid w:val="00771707"/>
    <w:rsid w:val="00772312"/>
    <w:rsid w:val="0077314A"/>
    <w:rsid w:val="007734E7"/>
    <w:rsid w:val="00773668"/>
    <w:rsid w:val="0077415A"/>
    <w:rsid w:val="007745FF"/>
    <w:rsid w:val="00774D93"/>
    <w:rsid w:val="00774DBF"/>
    <w:rsid w:val="0077542C"/>
    <w:rsid w:val="00775F19"/>
    <w:rsid w:val="00775F83"/>
    <w:rsid w:val="00776C53"/>
    <w:rsid w:val="00777010"/>
    <w:rsid w:val="00780365"/>
    <w:rsid w:val="007804BE"/>
    <w:rsid w:val="00780A36"/>
    <w:rsid w:val="00780FC6"/>
    <w:rsid w:val="007810D5"/>
    <w:rsid w:val="00781648"/>
    <w:rsid w:val="00781667"/>
    <w:rsid w:val="0078178A"/>
    <w:rsid w:val="00781B79"/>
    <w:rsid w:val="00781EDE"/>
    <w:rsid w:val="00781FBA"/>
    <w:rsid w:val="0078279B"/>
    <w:rsid w:val="0078284D"/>
    <w:rsid w:val="0078288D"/>
    <w:rsid w:val="007829F8"/>
    <w:rsid w:val="00782DA3"/>
    <w:rsid w:val="00783CDD"/>
    <w:rsid w:val="00783E22"/>
    <w:rsid w:val="007842F2"/>
    <w:rsid w:val="007849BE"/>
    <w:rsid w:val="007861BB"/>
    <w:rsid w:val="0078720D"/>
    <w:rsid w:val="007876AD"/>
    <w:rsid w:val="0078790F"/>
    <w:rsid w:val="007905A1"/>
    <w:rsid w:val="007907D2"/>
    <w:rsid w:val="00791141"/>
    <w:rsid w:val="007912BA"/>
    <w:rsid w:val="00791360"/>
    <w:rsid w:val="00792394"/>
    <w:rsid w:val="0079258A"/>
    <w:rsid w:val="0079272C"/>
    <w:rsid w:val="00793005"/>
    <w:rsid w:val="00793668"/>
    <w:rsid w:val="00793ADC"/>
    <w:rsid w:val="00794659"/>
    <w:rsid w:val="0079468A"/>
    <w:rsid w:val="0079778B"/>
    <w:rsid w:val="00797841"/>
    <w:rsid w:val="007A1F29"/>
    <w:rsid w:val="007A27EC"/>
    <w:rsid w:val="007A2BA1"/>
    <w:rsid w:val="007A3437"/>
    <w:rsid w:val="007A34E3"/>
    <w:rsid w:val="007A3F7F"/>
    <w:rsid w:val="007A7134"/>
    <w:rsid w:val="007A7676"/>
    <w:rsid w:val="007A7E32"/>
    <w:rsid w:val="007A7E6C"/>
    <w:rsid w:val="007A7EE4"/>
    <w:rsid w:val="007B023B"/>
    <w:rsid w:val="007B0E18"/>
    <w:rsid w:val="007B13A2"/>
    <w:rsid w:val="007B2BBE"/>
    <w:rsid w:val="007B3607"/>
    <w:rsid w:val="007B3944"/>
    <w:rsid w:val="007B3E95"/>
    <w:rsid w:val="007B4948"/>
    <w:rsid w:val="007B5639"/>
    <w:rsid w:val="007B5688"/>
    <w:rsid w:val="007B5CDC"/>
    <w:rsid w:val="007B5DDE"/>
    <w:rsid w:val="007B67DD"/>
    <w:rsid w:val="007B6954"/>
    <w:rsid w:val="007B76CC"/>
    <w:rsid w:val="007B7E19"/>
    <w:rsid w:val="007B7F31"/>
    <w:rsid w:val="007C13F0"/>
    <w:rsid w:val="007C1B95"/>
    <w:rsid w:val="007C1C3D"/>
    <w:rsid w:val="007C1FE5"/>
    <w:rsid w:val="007C3088"/>
    <w:rsid w:val="007C3238"/>
    <w:rsid w:val="007C3829"/>
    <w:rsid w:val="007C44D6"/>
    <w:rsid w:val="007C45DE"/>
    <w:rsid w:val="007C5BF3"/>
    <w:rsid w:val="007C61B4"/>
    <w:rsid w:val="007C6EDA"/>
    <w:rsid w:val="007C7CBD"/>
    <w:rsid w:val="007D048C"/>
    <w:rsid w:val="007D0C03"/>
    <w:rsid w:val="007D122E"/>
    <w:rsid w:val="007D184D"/>
    <w:rsid w:val="007D1EB8"/>
    <w:rsid w:val="007D21A6"/>
    <w:rsid w:val="007D2708"/>
    <w:rsid w:val="007D2B2A"/>
    <w:rsid w:val="007D2ECF"/>
    <w:rsid w:val="007D3419"/>
    <w:rsid w:val="007D37B5"/>
    <w:rsid w:val="007D4281"/>
    <w:rsid w:val="007D4C0E"/>
    <w:rsid w:val="007D4C19"/>
    <w:rsid w:val="007D4EC1"/>
    <w:rsid w:val="007D5016"/>
    <w:rsid w:val="007D520C"/>
    <w:rsid w:val="007D5E12"/>
    <w:rsid w:val="007D5E8B"/>
    <w:rsid w:val="007D624C"/>
    <w:rsid w:val="007D64F4"/>
    <w:rsid w:val="007D7F1C"/>
    <w:rsid w:val="007D7FD9"/>
    <w:rsid w:val="007E0361"/>
    <w:rsid w:val="007E08FD"/>
    <w:rsid w:val="007E1DA4"/>
    <w:rsid w:val="007E2D07"/>
    <w:rsid w:val="007E33E4"/>
    <w:rsid w:val="007E3F5C"/>
    <w:rsid w:val="007E45D9"/>
    <w:rsid w:val="007E4F82"/>
    <w:rsid w:val="007E58A7"/>
    <w:rsid w:val="007E5AA4"/>
    <w:rsid w:val="007E68B2"/>
    <w:rsid w:val="007E6C60"/>
    <w:rsid w:val="007E6FFC"/>
    <w:rsid w:val="007E7E71"/>
    <w:rsid w:val="007F327A"/>
    <w:rsid w:val="007F3511"/>
    <w:rsid w:val="007F357B"/>
    <w:rsid w:val="007F3AF8"/>
    <w:rsid w:val="007F4715"/>
    <w:rsid w:val="007F4863"/>
    <w:rsid w:val="007F4C99"/>
    <w:rsid w:val="007F5270"/>
    <w:rsid w:val="007F53CB"/>
    <w:rsid w:val="007F5BA1"/>
    <w:rsid w:val="007F5CAF"/>
    <w:rsid w:val="007F60F8"/>
    <w:rsid w:val="007F7A96"/>
    <w:rsid w:val="0080244A"/>
    <w:rsid w:val="008033AA"/>
    <w:rsid w:val="00803772"/>
    <w:rsid w:val="00803A22"/>
    <w:rsid w:val="00803B75"/>
    <w:rsid w:val="0080577B"/>
    <w:rsid w:val="00805A2D"/>
    <w:rsid w:val="008065DD"/>
    <w:rsid w:val="0080677D"/>
    <w:rsid w:val="008067B1"/>
    <w:rsid w:val="008071C2"/>
    <w:rsid w:val="008075F1"/>
    <w:rsid w:val="008103BD"/>
    <w:rsid w:val="00812552"/>
    <w:rsid w:val="0081341E"/>
    <w:rsid w:val="00813911"/>
    <w:rsid w:val="00816039"/>
    <w:rsid w:val="008161C0"/>
    <w:rsid w:val="00816796"/>
    <w:rsid w:val="00816B53"/>
    <w:rsid w:val="008175A1"/>
    <w:rsid w:val="00817736"/>
    <w:rsid w:val="00817B33"/>
    <w:rsid w:val="00820E05"/>
    <w:rsid w:val="008219B9"/>
    <w:rsid w:val="008219F6"/>
    <w:rsid w:val="00821A21"/>
    <w:rsid w:val="008224BD"/>
    <w:rsid w:val="008230B4"/>
    <w:rsid w:val="00823C27"/>
    <w:rsid w:val="0082460C"/>
    <w:rsid w:val="008263A9"/>
    <w:rsid w:val="00826C43"/>
    <w:rsid w:val="00826DCD"/>
    <w:rsid w:val="00826F1D"/>
    <w:rsid w:val="008303B2"/>
    <w:rsid w:val="00830C5C"/>
    <w:rsid w:val="008311A1"/>
    <w:rsid w:val="00832D94"/>
    <w:rsid w:val="00832F2E"/>
    <w:rsid w:val="00835436"/>
    <w:rsid w:val="00835E28"/>
    <w:rsid w:val="00835E5E"/>
    <w:rsid w:val="0083627D"/>
    <w:rsid w:val="0083705C"/>
    <w:rsid w:val="00837071"/>
    <w:rsid w:val="00837292"/>
    <w:rsid w:val="008379A8"/>
    <w:rsid w:val="00840372"/>
    <w:rsid w:val="00840ECE"/>
    <w:rsid w:val="00841D2E"/>
    <w:rsid w:val="00842E45"/>
    <w:rsid w:val="00842FC6"/>
    <w:rsid w:val="00844529"/>
    <w:rsid w:val="00844668"/>
    <w:rsid w:val="00845620"/>
    <w:rsid w:val="0084752D"/>
    <w:rsid w:val="00847C51"/>
    <w:rsid w:val="00850AC2"/>
    <w:rsid w:val="008520E3"/>
    <w:rsid w:val="00852586"/>
    <w:rsid w:val="008525CC"/>
    <w:rsid w:val="008526B5"/>
    <w:rsid w:val="00852AF5"/>
    <w:rsid w:val="00853CFD"/>
    <w:rsid w:val="0085424B"/>
    <w:rsid w:val="00854D00"/>
    <w:rsid w:val="00857A90"/>
    <w:rsid w:val="0086018D"/>
    <w:rsid w:val="008635FC"/>
    <w:rsid w:val="00863886"/>
    <w:rsid w:val="008638E2"/>
    <w:rsid w:val="008647AC"/>
    <w:rsid w:val="00864C02"/>
    <w:rsid w:val="008655AC"/>
    <w:rsid w:val="008672D5"/>
    <w:rsid w:val="0086737B"/>
    <w:rsid w:val="008706E6"/>
    <w:rsid w:val="0087132C"/>
    <w:rsid w:val="00871BE4"/>
    <w:rsid w:val="00871E01"/>
    <w:rsid w:val="00872DD5"/>
    <w:rsid w:val="00874E19"/>
    <w:rsid w:val="00875134"/>
    <w:rsid w:val="00875A0E"/>
    <w:rsid w:val="00876477"/>
    <w:rsid w:val="008774C8"/>
    <w:rsid w:val="008775BF"/>
    <w:rsid w:val="00877907"/>
    <w:rsid w:val="00880112"/>
    <w:rsid w:val="0088049E"/>
    <w:rsid w:val="00880E16"/>
    <w:rsid w:val="00880F05"/>
    <w:rsid w:val="00883B09"/>
    <w:rsid w:val="00884324"/>
    <w:rsid w:val="00885215"/>
    <w:rsid w:val="00885566"/>
    <w:rsid w:val="00886ECB"/>
    <w:rsid w:val="00887E9D"/>
    <w:rsid w:val="00890B20"/>
    <w:rsid w:val="00890D7A"/>
    <w:rsid w:val="0089157C"/>
    <w:rsid w:val="00894135"/>
    <w:rsid w:val="00894197"/>
    <w:rsid w:val="0089419B"/>
    <w:rsid w:val="0089440A"/>
    <w:rsid w:val="00894AF1"/>
    <w:rsid w:val="0089630E"/>
    <w:rsid w:val="0089647A"/>
    <w:rsid w:val="0089692C"/>
    <w:rsid w:val="0089768A"/>
    <w:rsid w:val="00897AEF"/>
    <w:rsid w:val="008A0499"/>
    <w:rsid w:val="008A0741"/>
    <w:rsid w:val="008A0D37"/>
    <w:rsid w:val="008A0E29"/>
    <w:rsid w:val="008A262E"/>
    <w:rsid w:val="008A3D01"/>
    <w:rsid w:val="008A48C2"/>
    <w:rsid w:val="008A512E"/>
    <w:rsid w:val="008A5DF4"/>
    <w:rsid w:val="008A64DA"/>
    <w:rsid w:val="008A64EB"/>
    <w:rsid w:val="008A64EC"/>
    <w:rsid w:val="008A7244"/>
    <w:rsid w:val="008A7E92"/>
    <w:rsid w:val="008B0320"/>
    <w:rsid w:val="008B110D"/>
    <w:rsid w:val="008B157E"/>
    <w:rsid w:val="008B2056"/>
    <w:rsid w:val="008B2BA2"/>
    <w:rsid w:val="008B336F"/>
    <w:rsid w:val="008B3626"/>
    <w:rsid w:val="008B4173"/>
    <w:rsid w:val="008B44F0"/>
    <w:rsid w:val="008B4795"/>
    <w:rsid w:val="008B50FA"/>
    <w:rsid w:val="008B6635"/>
    <w:rsid w:val="008C01E1"/>
    <w:rsid w:val="008C111E"/>
    <w:rsid w:val="008C420B"/>
    <w:rsid w:val="008C531E"/>
    <w:rsid w:val="008C7011"/>
    <w:rsid w:val="008C73C5"/>
    <w:rsid w:val="008C7725"/>
    <w:rsid w:val="008C7BA9"/>
    <w:rsid w:val="008D0A6D"/>
    <w:rsid w:val="008D0F50"/>
    <w:rsid w:val="008D1417"/>
    <w:rsid w:val="008D1717"/>
    <w:rsid w:val="008D190B"/>
    <w:rsid w:val="008D2377"/>
    <w:rsid w:val="008D3CAA"/>
    <w:rsid w:val="008D48D8"/>
    <w:rsid w:val="008D4E38"/>
    <w:rsid w:val="008D4FDC"/>
    <w:rsid w:val="008D54AA"/>
    <w:rsid w:val="008D58EF"/>
    <w:rsid w:val="008D5D6C"/>
    <w:rsid w:val="008D64D2"/>
    <w:rsid w:val="008D67BC"/>
    <w:rsid w:val="008E016A"/>
    <w:rsid w:val="008E0EF1"/>
    <w:rsid w:val="008E2ECA"/>
    <w:rsid w:val="008E3650"/>
    <w:rsid w:val="008E3B7F"/>
    <w:rsid w:val="008E46E6"/>
    <w:rsid w:val="008E4DA5"/>
    <w:rsid w:val="008E5AE9"/>
    <w:rsid w:val="008E65E0"/>
    <w:rsid w:val="008E732D"/>
    <w:rsid w:val="008E7FC6"/>
    <w:rsid w:val="008F0BEE"/>
    <w:rsid w:val="008F10F4"/>
    <w:rsid w:val="008F11CB"/>
    <w:rsid w:val="008F12B4"/>
    <w:rsid w:val="008F179C"/>
    <w:rsid w:val="008F1C0A"/>
    <w:rsid w:val="008F52D4"/>
    <w:rsid w:val="008F65CD"/>
    <w:rsid w:val="00900230"/>
    <w:rsid w:val="009005F4"/>
    <w:rsid w:val="0090146D"/>
    <w:rsid w:val="009023C1"/>
    <w:rsid w:val="00902618"/>
    <w:rsid w:val="00903245"/>
    <w:rsid w:val="00904196"/>
    <w:rsid w:val="00904F05"/>
    <w:rsid w:val="00907BD0"/>
    <w:rsid w:val="0091096C"/>
    <w:rsid w:val="00911A0C"/>
    <w:rsid w:val="00911D35"/>
    <w:rsid w:val="00911EC8"/>
    <w:rsid w:val="00911EE7"/>
    <w:rsid w:val="00913CC7"/>
    <w:rsid w:val="009140C1"/>
    <w:rsid w:val="009141B7"/>
    <w:rsid w:val="00914875"/>
    <w:rsid w:val="0091524B"/>
    <w:rsid w:val="00915912"/>
    <w:rsid w:val="00916FCE"/>
    <w:rsid w:val="009172FA"/>
    <w:rsid w:val="0091785A"/>
    <w:rsid w:val="00917BC5"/>
    <w:rsid w:val="00925256"/>
    <w:rsid w:val="00925D47"/>
    <w:rsid w:val="00926334"/>
    <w:rsid w:val="00926C65"/>
    <w:rsid w:val="0093001D"/>
    <w:rsid w:val="00930634"/>
    <w:rsid w:val="00932D57"/>
    <w:rsid w:val="00933BB7"/>
    <w:rsid w:val="0093404F"/>
    <w:rsid w:val="00934687"/>
    <w:rsid w:val="00935DA2"/>
    <w:rsid w:val="00936CD4"/>
    <w:rsid w:val="00941573"/>
    <w:rsid w:val="00941F10"/>
    <w:rsid w:val="0094257B"/>
    <w:rsid w:val="00942A07"/>
    <w:rsid w:val="0094348F"/>
    <w:rsid w:val="00943CD6"/>
    <w:rsid w:val="00944D08"/>
    <w:rsid w:val="00946291"/>
    <w:rsid w:val="00947154"/>
    <w:rsid w:val="009474F2"/>
    <w:rsid w:val="0094753C"/>
    <w:rsid w:val="009476DF"/>
    <w:rsid w:val="00947F6C"/>
    <w:rsid w:val="00951189"/>
    <w:rsid w:val="0095129E"/>
    <w:rsid w:val="00951E91"/>
    <w:rsid w:val="00952805"/>
    <w:rsid w:val="00953247"/>
    <w:rsid w:val="009533DC"/>
    <w:rsid w:val="00953CE2"/>
    <w:rsid w:val="009540E9"/>
    <w:rsid w:val="00954B26"/>
    <w:rsid w:val="00954DD0"/>
    <w:rsid w:val="00955F52"/>
    <w:rsid w:val="00956414"/>
    <w:rsid w:val="009566BB"/>
    <w:rsid w:val="0095693B"/>
    <w:rsid w:val="00956BCA"/>
    <w:rsid w:val="00957648"/>
    <w:rsid w:val="009609B2"/>
    <w:rsid w:val="0096139D"/>
    <w:rsid w:val="00961F4D"/>
    <w:rsid w:val="00961FB5"/>
    <w:rsid w:val="00962185"/>
    <w:rsid w:val="009624D7"/>
    <w:rsid w:val="009628EA"/>
    <w:rsid w:val="009633B9"/>
    <w:rsid w:val="0096367D"/>
    <w:rsid w:val="00964785"/>
    <w:rsid w:val="00965329"/>
    <w:rsid w:val="009659C3"/>
    <w:rsid w:val="009660C3"/>
    <w:rsid w:val="009665E0"/>
    <w:rsid w:val="00970B46"/>
    <w:rsid w:val="00971C02"/>
    <w:rsid w:val="00972086"/>
    <w:rsid w:val="00972960"/>
    <w:rsid w:val="00972972"/>
    <w:rsid w:val="00974725"/>
    <w:rsid w:val="009751AD"/>
    <w:rsid w:val="00975803"/>
    <w:rsid w:val="009761E4"/>
    <w:rsid w:val="0097680B"/>
    <w:rsid w:val="00977376"/>
    <w:rsid w:val="00980A54"/>
    <w:rsid w:val="00981EB5"/>
    <w:rsid w:val="00981F88"/>
    <w:rsid w:val="00983156"/>
    <w:rsid w:val="009838DB"/>
    <w:rsid w:val="00983979"/>
    <w:rsid w:val="009842C5"/>
    <w:rsid w:val="00984857"/>
    <w:rsid w:val="00985427"/>
    <w:rsid w:val="00985952"/>
    <w:rsid w:val="00986042"/>
    <w:rsid w:val="00986603"/>
    <w:rsid w:val="00986DA4"/>
    <w:rsid w:val="00987B86"/>
    <w:rsid w:val="00990255"/>
    <w:rsid w:val="00990534"/>
    <w:rsid w:val="0099078B"/>
    <w:rsid w:val="00991886"/>
    <w:rsid w:val="0099191A"/>
    <w:rsid w:val="00991F2D"/>
    <w:rsid w:val="00993068"/>
    <w:rsid w:val="009931C9"/>
    <w:rsid w:val="00993227"/>
    <w:rsid w:val="00993430"/>
    <w:rsid w:val="009947A4"/>
    <w:rsid w:val="00995864"/>
    <w:rsid w:val="009958DE"/>
    <w:rsid w:val="00995E85"/>
    <w:rsid w:val="009968D0"/>
    <w:rsid w:val="0099697A"/>
    <w:rsid w:val="00997BCD"/>
    <w:rsid w:val="009A0B80"/>
    <w:rsid w:val="009A20E5"/>
    <w:rsid w:val="009A3617"/>
    <w:rsid w:val="009A516C"/>
    <w:rsid w:val="009A5798"/>
    <w:rsid w:val="009A588A"/>
    <w:rsid w:val="009A6FAE"/>
    <w:rsid w:val="009A75DA"/>
    <w:rsid w:val="009A781C"/>
    <w:rsid w:val="009A7F5A"/>
    <w:rsid w:val="009B02EE"/>
    <w:rsid w:val="009B0365"/>
    <w:rsid w:val="009B056B"/>
    <w:rsid w:val="009B063D"/>
    <w:rsid w:val="009B1496"/>
    <w:rsid w:val="009B1B43"/>
    <w:rsid w:val="009B2D4C"/>
    <w:rsid w:val="009B3B2D"/>
    <w:rsid w:val="009B42DC"/>
    <w:rsid w:val="009B4479"/>
    <w:rsid w:val="009B5F1B"/>
    <w:rsid w:val="009B5F8F"/>
    <w:rsid w:val="009B67BE"/>
    <w:rsid w:val="009B6C22"/>
    <w:rsid w:val="009B7172"/>
    <w:rsid w:val="009B72A1"/>
    <w:rsid w:val="009B7311"/>
    <w:rsid w:val="009B7FA9"/>
    <w:rsid w:val="009C1F60"/>
    <w:rsid w:val="009C21F7"/>
    <w:rsid w:val="009C22FA"/>
    <w:rsid w:val="009C2358"/>
    <w:rsid w:val="009C29BD"/>
    <w:rsid w:val="009C2CDF"/>
    <w:rsid w:val="009C2F1A"/>
    <w:rsid w:val="009C55D6"/>
    <w:rsid w:val="009C5FC6"/>
    <w:rsid w:val="009C629F"/>
    <w:rsid w:val="009C6856"/>
    <w:rsid w:val="009C6971"/>
    <w:rsid w:val="009C6C8E"/>
    <w:rsid w:val="009C6F0B"/>
    <w:rsid w:val="009C7308"/>
    <w:rsid w:val="009C7C78"/>
    <w:rsid w:val="009D0E9B"/>
    <w:rsid w:val="009D15C2"/>
    <w:rsid w:val="009D249B"/>
    <w:rsid w:val="009D312E"/>
    <w:rsid w:val="009D3BD0"/>
    <w:rsid w:val="009D3FC3"/>
    <w:rsid w:val="009D7324"/>
    <w:rsid w:val="009D7D47"/>
    <w:rsid w:val="009D7D55"/>
    <w:rsid w:val="009D7EDA"/>
    <w:rsid w:val="009E0157"/>
    <w:rsid w:val="009E02F6"/>
    <w:rsid w:val="009E0F88"/>
    <w:rsid w:val="009E10C3"/>
    <w:rsid w:val="009E12DB"/>
    <w:rsid w:val="009E1D66"/>
    <w:rsid w:val="009E1DD6"/>
    <w:rsid w:val="009E2118"/>
    <w:rsid w:val="009E250B"/>
    <w:rsid w:val="009E3485"/>
    <w:rsid w:val="009E3775"/>
    <w:rsid w:val="009E3ABB"/>
    <w:rsid w:val="009E555C"/>
    <w:rsid w:val="009E5DA3"/>
    <w:rsid w:val="009E66A6"/>
    <w:rsid w:val="009E75DA"/>
    <w:rsid w:val="009F04BD"/>
    <w:rsid w:val="009F0828"/>
    <w:rsid w:val="009F0CC4"/>
    <w:rsid w:val="009F0DDD"/>
    <w:rsid w:val="009F0FB1"/>
    <w:rsid w:val="009F15B3"/>
    <w:rsid w:val="009F23BE"/>
    <w:rsid w:val="009F23C8"/>
    <w:rsid w:val="009F2515"/>
    <w:rsid w:val="009F2C56"/>
    <w:rsid w:val="009F2CAD"/>
    <w:rsid w:val="009F3A8F"/>
    <w:rsid w:val="009F4510"/>
    <w:rsid w:val="009F48B3"/>
    <w:rsid w:val="009F55BD"/>
    <w:rsid w:val="009F5884"/>
    <w:rsid w:val="009F6D33"/>
    <w:rsid w:val="009F789A"/>
    <w:rsid w:val="009F7D33"/>
    <w:rsid w:val="00A014F3"/>
    <w:rsid w:val="00A02420"/>
    <w:rsid w:val="00A02B1C"/>
    <w:rsid w:val="00A044CE"/>
    <w:rsid w:val="00A05B01"/>
    <w:rsid w:val="00A06214"/>
    <w:rsid w:val="00A073F5"/>
    <w:rsid w:val="00A0769D"/>
    <w:rsid w:val="00A07EA3"/>
    <w:rsid w:val="00A1045A"/>
    <w:rsid w:val="00A104E5"/>
    <w:rsid w:val="00A10BDF"/>
    <w:rsid w:val="00A10DAD"/>
    <w:rsid w:val="00A10F3B"/>
    <w:rsid w:val="00A11359"/>
    <w:rsid w:val="00A11A25"/>
    <w:rsid w:val="00A12A3B"/>
    <w:rsid w:val="00A13284"/>
    <w:rsid w:val="00A132F7"/>
    <w:rsid w:val="00A14B91"/>
    <w:rsid w:val="00A157AB"/>
    <w:rsid w:val="00A159C9"/>
    <w:rsid w:val="00A15CAB"/>
    <w:rsid w:val="00A16B59"/>
    <w:rsid w:val="00A173EA"/>
    <w:rsid w:val="00A203B7"/>
    <w:rsid w:val="00A20423"/>
    <w:rsid w:val="00A20E9C"/>
    <w:rsid w:val="00A21024"/>
    <w:rsid w:val="00A218B3"/>
    <w:rsid w:val="00A21A6D"/>
    <w:rsid w:val="00A21E6A"/>
    <w:rsid w:val="00A23223"/>
    <w:rsid w:val="00A23642"/>
    <w:rsid w:val="00A23F64"/>
    <w:rsid w:val="00A24731"/>
    <w:rsid w:val="00A24A1B"/>
    <w:rsid w:val="00A25810"/>
    <w:rsid w:val="00A25C3A"/>
    <w:rsid w:val="00A2667D"/>
    <w:rsid w:val="00A26A51"/>
    <w:rsid w:val="00A26EC3"/>
    <w:rsid w:val="00A27691"/>
    <w:rsid w:val="00A3108C"/>
    <w:rsid w:val="00A316DF"/>
    <w:rsid w:val="00A31E17"/>
    <w:rsid w:val="00A31E42"/>
    <w:rsid w:val="00A32142"/>
    <w:rsid w:val="00A32726"/>
    <w:rsid w:val="00A32C5B"/>
    <w:rsid w:val="00A33287"/>
    <w:rsid w:val="00A334EE"/>
    <w:rsid w:val="00A33DAD"/>
    <w:rsid w:val="00A353D0"/>
    <w:rsid w:val="00A3576E"/>
    <w:rsid w:val="00A357CF"/>
    <w:rsid w:val="00A36211"/>
    <w:rsid w:val="00A373DC"/>
    <w:rsid w:val="00A3740E"/>
    <w:rsid w:val="00A378B4"/>
    <w:rsid w:val="00A400F8"/>
    <w:rsid w:val="00A402AF"/>
    <w:rsid w:val="00A405DD"/>
    <w:rsid w:val="00A40E02"/>
    <w:rsid w:val="00A413ED"/>
    <w:rsid w:val="00A418A9"/>
    <w:rsid w:val="00A4251A"/>
    <w:rsid w:val="00A42BC0"/>
    <w:rsid w:val="00A42F41"/>
    <w:rsid w:val="00A43377"/>
    <w:rsid w:val="00A4386F"/>
    <w:rsid w:val="00A468FB"/>
    <w:rsid w:val="00A477B7"/>
    <w:rsid w:val="00A502E0"/>
    <w:rsid w:val="00A504C0"/>
    <w:rsid w:val="00A50A6C"/>
    <w:rsid w:val="00A51008"/>
    <w:rsid w:val="00A515E5"/>
    <w:rsid w:val="00A52442"/>
    <w:rsid w:val="00A5289D"/>
    <w:rsid w:val="00A52AD6"/>
    <w:rsid w:val="00A537D2"/>
    <w:rsid w:val="00A53884"/>
    <w:rsid w:val="00A538A9"/>
    <w:rsid w:val="00A53A7C"/>
    <w:rsid w:val="00A54B7D"/>
    <w:rsid w:val="00A566AA"/>
    <w:rsid w:val="00A571D6"/>
    <w:rsid w:val="00A61587"/>
    <w:rsid w:val="00A62082"/>
    <w:rsid w:val="00A62197"/>
    <w:rsid w:val="00A623FB"/>
    <w:rsid w:val="00A62A16"/>
    <w:rsid w:val="00A63DCE"/>
    <w:rsid w:val="00A63EC5"/>
    <w:rsid w:val="00A64312"/>
    <w:rsid w:val="00A64B3F"/>
    <w:rsid w:val="00A64D2B"/>
    <w:rsid w:val="00A65848"/>
    <w:rsid w:val="00A65E6E"/>
    <w:rsid w:val="00A661C3"/>
    <w:rsid w:val="00A66476"/>
    <w:rsid w:val="00A66DAC"/>
    <w:rsid w:val="00A66EBC"/>
    <w:rsid w:val="00A678FE"/>
    <w:rsid w:val="00A67F43"/>
    <w:rsid w:val="00A70872"/>
    <w:rsid w:val="00A70FD6"/>
    <w:rsid w:val="00A70FFE"/>
    <w:rsid w:val="00A71153"/>
    <w:rsid w:val="00A72B06"/>
    <w:rsid w:val="00A72E0C"/>
    <w:rsid w:val="00A73F3F"/>
    <w:rsid w:val="00A742C4"/>
    <w:rsid w:val="00A753D4"/>
    <w:rsid w:val="00A754DF"/>
    <w:rsid w:val="00A77D68"/>
    <w:rsid w:val="00A77EA1"/>
    <w:rsid w:val="00A80348"/>
    <w:rsid w:val="00A8057F"/>
    <w:rsid w:val="00A807B8"/>
    <w:rsid w:val="00A81345"/>
    <w:rsid w:val="00A814A1"/>
    <w:rsid w:val="00A81DA9"/>
    <w:rsid w:val="00A81DD5"/>
    <w:rsid w:val="00A8227D"/>
    <w:rsid w:val="00A826AD"/>
    <w:rsid w:val="00A82E51"/>
    <w:rsid w:val="00A83335"/>
    <w:rsid w:val="00A837EF"/>
    <w:rsid w:val="00A83B2A"/>
    <w:rsid w:val="00A83DA8"/>
    <w:rsid w:val="00A850A9"/>
    <w:rsid w:val="00A869C5"/>
    <w:rsid w:val="00A86D94"/>
    <w:rsid w:val="00A86F33"/>
    <w:rsid w:val="00A8737D"/>
    <w:rsid w:val="00A904CE"/>
    <w:rsid w:val="00A90502"/>
    <w:rsid w:val="00A915D4"/>
    <w:rsid w:val="00A9413B"/>
    <w:rsid w:val="00A95162"/>
    <w:rsid w:val="00A95A83"/>
    <w:rsid w:val="00A95D59"/>
    <w:rsid w:val="00A965A9"/>
    <w:rsid w:val="00A96801"/>
    <w:rsid w:val="00A96D78"/>
    <w:rsid w:val="00AA1BB8"/>
    <w:rsid w:val="00AA29A1"/>
    <w:rsid w:val="00AA3D2F"/>
    <w:rsid w:val="00AA4B72"/>
    <w:rsid w:val="00AA5A9F"/>
    <w:rsid w:val="00AA62F9"/>
    <w:rsid w:val="00AA6900"/>
    <w:rsid w:val="00AB100A"/>
    <w:rsid w:val="00AB134F"/>
    <w:rsid w:val="00AB2832"/>
    <w:rsid w:val="00AB2B46"/>
    <w:rsid w:val="00AB35C8"/>
    <w:rsid w:val="00AB56A9"/>
    <w:rsid w:val="00AB575D"/>
    <w:rsid w:val="00AB57B3"/>
    <w:rsid w:val="00AB5A31"/>
    <w:rsid w:val="00AB5C70"/>
    <w:rsid w:val="00AB5E52"/>
    <w:rsid w:val="00AB6EF9"/>
    <w:rsid w:val="00AC099A"/>
    <w:rsid w:val="00AC0C93"/>
    <w:rsid w:val="00AC19C4"/>
    <w:rsid w:val="00AC332F"/>
    <w:rsid w:val="00AC3840"/>
    <w:rsid w:val="00AC3DAE"/>
    <w:rsid w:val="00AC4167"/>
    <w:rsid w:val="00AC4889"/>
    <w:rsid w:val="00AC6768"/>
    <w:rsid w:val="00AC7465"/>
    <w:rsid w:val="00AC7A8A"/>
    <w:rsid w:val="00AD1DC0"/>
    <w:rsid w:val="00AD24C7"/>
    <w:rsid w:val="00AD31B1"/>
    <w:rsid w:val="00AD3566"/>
    <w:rsid w:val="00AD37A7"/>
    <w:rsid w:val="00AD4DA6"/>
    <w:rsid w:val="00AD6C8F"/>
    <w:rsid w:val="00AD7B7B"/>
    <w:rsid w:val="00AE00C2"/>
    <w:rsid w:val="00AE0D7E"/>
    <w:rsid w:val="00AE0FB2"/>
    <w:rsid w:val="00AE202A"/>
    <w:rsid w:val="00AE205E"/>
    <w:rsid w:val="00AE211C"/>
    <w:rsid w:val="00AE3DCF"/>
    <w:rsid w:val="00AE738A"/>
    <w:rsid w:val="00AF040D"/>
    <w:rsid w:val="00AF0B85"/>
    <w:rsid w:val="00AF12F9"/>
    <w:rsid w:val="00AF17E2"/>
    <w:rsid w:val="00AF24FC"/>
    <w:rsid w:val="00AF28C2"/>
    <w:rsid w:val="00AF6BF1"/>
    <w:rsid w:val="00B03FF9"/>
    <w:rsid w:val="00B04703"/>
    <w:rsid w:val="00B04D6A"/>
    <w:rsid w:val="00B0501D"/>
    <w:rsid w:val="00B05945"/>
    <w:rsid w:val="00B05B4E"/>
    <w:rsid w:val="00B06999"/>
    <w:rsid w:val="00B06C6F"/>
    <w:rsid w:val="00B07221"/>
    <w:rsid w:val="00B10060"/>
    <w:rsid w:val="00B11CAD"/>
    <w:rsid w:val="00B12FB8"/>
    <w:rsid w:val="00B13189"/>
    <w:rsid w:val="00B13446"/>
    <w:rsid w:val="00B14DD9"/>
    <w:rsid w:val="00B15834"/>
    <w:rsid w:val="00B15CAB"/>
    <w:rsid w:val="00B1652B"/>
    <w:rsid w:val="00B16FC5"/>
    <w:rsid w:val="00B175D0"/>
    <w:rsid w:val="00B20B02"/>
    <w:rsid w:val="00B22812"/>
    <w:rsid w:val="00B22FC9"/>
    <w:rsid w:val="00B241D3"/>
    <w:rsid w:val="00B25BC7"/>
    <w:rsid w:val="00B25DE4"/>
    <w:rsid w:val="00B25DF8"/>
    <w:rsid w:val="00B25E4B"/>
    <w:rsid w:val="00B25FC1"/>
    <w:rsid w:val="00B263A4"/>
    <w:rsid w:val="00B2647B"/>
    <w:rsid w:val="00B274B8"/>
    <w:rsid w:val="00B27E73"/>
    <w:rsid w:val="00B304F8"/>
    <w:rsid w:val="00B30C09"/>
    <w:rsid w:val="00B33513"/>
    <w:rsid w:val="00B339B2"/>
    <w:rsid w:val="00B33FA4"/>
    <w:rsid w:val="00B35F66"/>
    <w:rsid w:val="00B36D31"/>
    <w:rsid w:val="00B374AB"/>
    <w:rsid w:val="00B4013F"/>
    <w:rsid w:val="00B426A5"/>
    <w:rsid w:val="00B45238"/>
    <w:rsid w:val="00B470E6"/>
    <w:rsid w:val="00B473BE"/>
    <w:rsid w:val="00B4775E"/>
    <w:rsid w:val="00B50469"/>
    <w:rsid w:val="00B50D0F"/>
    <w:rsid w:val="00B50E08"/>
    <w:rsid w:val="00B5163C"/>
    <w:rsid w:val="00B51DA9"/>
    <w:rsid w:val="00B51F13"/>
    <w:rsid w:val="00B521B2"/>
    <w:rsid w:val="00B52CFA"/>
    <w:rsid w:val="00B5351D"/>
    <w:rsid w:val="00B5463A"/>
    <w:rsid w:val="00B54711"/>
    <w:rsid w:val="00B559D5"/>
    <w:rsid w:val="00B56359"/>
    <w:rsid w:val="00B61898"/>
    <w:rsid w:val="00B62CCF"/>
    <w:rsid w:val="00B63C72"/>
    <w:rsid w:val="00B63D3E"/>
    <w:rsid w:val="00B6512B"/>
    <w:rsid w:val="00B6575D"/>
    <w:rsid w:val="00B6781A"/>
    <w:rsid w:val="00B67A00"/>
    <w:rsid w:val="00B67EEE"/>
    <w:rsid w:val="00B70151"/>
    <w:rsid w:val="00B701B6"/>
    <w:rsid w:val="00B71A9A"/>
    <w:rsid w:val="00B72541"/>
    <w:rsid w:val="00B72CC7"/>
    <w:rsid w:val="00B72E1E"/>
    <w:rsid w:val="00B7553B"/>
    <w:rsid w:val="00B75544"/>
    <w:rsid w:val="00B770E1"/>
    <w:rsid w:val="00B80AC2"/>
    <w:rsid w:val="00B80BE2"/>
    <w:rsid w:val="00B826BD"/>
    <w:rsid w:val="00B82C6F"/>
    <w:rsid w:val="00B83282"/>
    <w:rsid w:val="00B8432F"/>
    <w:rsid w:val="00B84406"/>
    <w:rsid w:val="00B84A7F"/>
    <w:rsid w:val="00B8512C"/>
    <w:rsid w:val="00B85938"/>
    <w:rsid w:val="00B85F34"/>
    <w:rsid w:val="00B867E4"/>
    <w:rsid w:val="00B86B70"/>
    <w:rsid w:val="00B8750F"/>
    <w:rsid w:val="00B90123"/>
    <w:rsid w:val="00B90410"/>
    <w:rsid w:val="00B904B0"/>
    <w:rsid w:val="00B9179B"/>
    <w:rsid w:val="00B91F03"/>
    <w:rsid w:val="00B92DD0"/>
    <w:rsid w:val="00B93251"/>
    <w:rsid w:val="00B9345D"/>
    <w:rsid w:val="00B93999"/>
    <w:rsid w:val="00B93C6B"/>
    <w:rsid w:val="00B9492F"/>
    <w:rsid w:val="00B94A7A"/>
    <w:rsid w:val="00B94F71"/>
    <w:rsid w:val="00B953B7"/>
    <w:rsid w:val="00B95F32"/>
    <w:rsid w:val="00B96616"/>
    <w:rsid w:val="00B96F60"/>
    <w:rsid w:val="00B96F6F"/>
    <w:rsid w:val="00BA1AAD"/>
    <w:rsid w:val="00BA1D2A"/>
    <w:rsid w:val="00BA266B"/>
    <w:rsid w:val="00BA275D"/>
    <w:rsid w:val="00BA27CD"/>
    <w:rsid w:val="00BA2860"/>
    <w:rsid w:val="00BA3280"/>
    <w:rsid w:val="00BA3680"/>
    <w:rsid w:val="00BA4831"/>
    <w:rsid w:val="00BA59FF"/>
    <w:rsid w:val="00BA5C42"/>
    <w:rsid w:val="00BA64F4"/>
    <w:rsid w:val="00BA67C2"/>
    <w:rsid w:val="00BA6840"/>
    <w:rsid w:val="00BA6B4D"/>
    <w:rsid w:val="00BA7552"/>
    <w:rsid w:val="00BA765F"/>
    <w:rsid w:val="00BB178F"/>
    <w:rsid w:val="00BB1825"/>
    <w:rsid w:val="00BB1F0A"/>
    <w:rsid w:val="00BB1F89"/>
    <w:rsid w:val="00BB26DB"/>
    <w:rsid w:val="00BB30E4"/>
    <w:rsid w:val="00BB50C3"/>
    <w:rsid w:val="00BB5252"/>
    <w:rsid w:val="00BB55A7"/>
    <w:rsid w:val="00BB579F"/>
    <w:rsid w:val="00BB68CB"/>
    <w:rsid w:val="00BB6FC6"/>
    <w:rsid w:val="00BB772C"/>
    <w:rsid w:val="00BB7733"/>
    <w:rsid w:val="00BB7E85"/>
    <w:rsid w:val="00BC0244"/>
    <w:rsid w:val="00BC081F"/>
    <w:rsid w:val="00BC2341"/>
    <w:rsid w:val="00BC301D"/>
    <w:rsid w:val="00BC361C"/>
    <w:rsid w:val="00BC3CE0"/>
    <w:rsid w:val="00BC40CA"/>
    <w:rsid w:val="00BC4184"/>
    <w:rsid w:val="00BC48A5"/>
    <w:rsid w:val="00BC6A11"/>
    <w:rsid w:val="00BC6AD3"/>
    <w:rsid w:val="00BC7184"/>
    <w:rsid w:val="00BC72AF"/>
    <w:rsid w:val="00BC7F5C"/>
    <w:rsid w:val="00BD0007"/>
    <w:rsid w:val="00BD023C"/>
    <w:rsid w:val="00BD051A"/>
    <w:rsid w:val="00BD146E"/>
    <w:rsid w:val="00BD302A"/>
    <w:rsid w:val="00BD327F"/>
    <w:rsid w:val="00BD369F"/>
    <w:rsid w:val="00BD3C29"/>
    <w:rsid w:val="00BD3CA4"/>
    <w:rsid w:val="00BD4695"/>
    <w:rsid w:val="00BD5113"/>
    <w:rsid w:val="00BD51A3"/>
    <w:rsid w:val="00BD6742"/>
    <w:rsid w:val="00BD68D6"/>
    <w:rsid w:val="00BD6A43"/>
    <w:rsid w:val="00BD777B"/>
    <w:rsid w:val="00BE0867"/>
    <w:rsid w:val="00BE145D"/>
    <w:rsid w:val="00BE3B8F"/>
    <w:rsid w:val="00BE3E2F"/>
    <w:rsid w:val="00BE49A5"/>
    <w:rsid w:val="00BE4D84"/>
    <w:rsid w:val="00BE4E33"/>
    <w:rsid w:val="00BE55FD"/>
    <w:rsid w:val="00BE6DD9"/>
    <w:rsid w:val="00BE6F2F"/>
    <w:rsid w:val="00BE7671"/>
    <w:rsid w:val="00BF1417"/>
    <w:rsid w:val="00BF1580"/>
    <w:rsid w:val="00BF2ECF"/>
    <w:rsid w:val="00BF2EF4"/>
    <w:rsid w:val="00BF35AB"/>
    <w:rsid w:val="00BF398C"/>
    <w:rsid w:val="00BF3A26"/>
    <w:rsid w:val="00BF3F1D"/>
    <w:rsid w:val="00BF4777"/>
    <w:rsid w:val="00BF4ACD"/>
    <w:rsid w:val="00BF5054"/>
    <w:rsid w:val="00BF50D8"/>
    <w:rsid w:val="00C00EDA"/>
    <w:rsid w:val="00C0282B"/>
    <w:rsid w:val="00C029E5"/>
    <w:rsid w:val="00C02CCA"/>
    <w:rsid w:val="00C02E5E"/>
    <w:rsid w:val="00C03157"/>
    <w:rsid w:val="00C04145"/>
    <w:rsid w:val="00C05113"/>
    <w:rsid w:val="00C063EE"/>
    <w:rsid w:val="00C07511"/>
    <w:rsid w:val="00C107F1"/>
    <w:rsid w:val="00C13231"/>
    <w:rsid w:val="00C13AC0"/>
    <w:rsid w:val="00C140B0"/>
    <w:rsid w:val="00C140B4"/>
    <w:rsid w:val="00C14F1F"/>
    <w:rsid w:val="00C15680"/>
    <w:rsid w:val="00C16B5D"/>
    <w:rsid w:val="00C17052"/>
    <w:rsid w:val="00C1727E"/>
    <w:rsid w:val="00C20B18"/>
    <w:rsid w:val="00C21388"/>
    <w:rsid w:val="00C21DAD"/>
    <w:rsid w:val="00C22133"/>
    <w:rsid w:val="00C227E8"/>
    <w:rsid w:val="00C22983"/>
    <w:rsid w:val="00C22B57"/>
    <w:rsid w:val="00C23BF5"/>
    <w:rsid w:val="00C24261"/>
    <w:rsid w:val="00C2505A"/>
    <w:rsid w:val="00C268CE"/>
    <w:rsid w:val="00C27230"/>
    <w:rsid w:val="00C27AFF"/>
    <w:rsid w:val="00C3028D"/>
    <w:rsid w:val="00C31087"/>
    <w:rsid w:val="00C3231A"/>
    <w:rsid w:val="00C33428"/>
    <w:rsid w:val="00C35C47"/>
    <w:rsid w:val="00C35E0B"/>
    <w:rsid w:val="00C366FA"/>
    <w:rsid w:val="00C37099"/>
    <w:rsid w:val="00C373AD"/>
    <w:rsid w:val="00C37A43"/>
    <w:rsid w:val="00C418BB"/>
    <w:rsid w:val="00C42668"/>
    <w:rsid w:val="00C4278D"/>
    <w:rsid w:val="00C43126"/>
    <w:rsid w:val="00C45440"/>
    <w:rsid w:val="00C45E51"/>
    <w:rsid w:val="00C46504"/>
    <w:rsid w:val="00C4661D"/>
    <w:rsid w:val="00C47246"/>
    <w:rsid w:val="00C54406"/>
    <w:rsid w:val="00C55016"/>
    <w:rsid w:val="00C551D8"/>
    <w:rsid w:val="00C55453"/>
    <w:rsid w:val="00C55665"/>
    <w:rsid w:val="00C556C1"/>
    <w:rsid w:val="00C56711"/>
    <w:rsid w:val="00C56FE2"/>
    <w:rsid w:val="00C57DBB"/>
    <w:rsid w:val="00C608AC"/>
    <w:rsid w:val="00C610BD"/>
    <w:rsid w:val="00C612EE"/>
    <w:rsid w:val="00C619AE"/>
    <w:rsid w:val="00C61BA1"/>
    <w:rsid w:val="00C61CC6"/>
    <w:rsid w:val="00C61EC7"/>
    <w:rsid w:val="00C6252A"/>
    <w:rsid w:val="00C62B64"/>
    <w:rsid w:val="00C63431"/>
    <w:rsid w:val="00C63817"/>
    <w:rsid w:val="00C64070"/>
    <w:rsid w:val="00C64CB1"/>
    <w:rsid w:val="00C652F4"/>
    <w:rsid w:val="00C667C3"/>
    <w:rsid w:val="00C66DFB"/>
    <w:rsid w:val="00C67B0D"/>
    <w:rsid w:val="00C7009A"/>
    <w:rsid w:val="00C716A9"/>
    <w:rsid w:val="00C71D50"/>
    <w:rsid w:val="00C71E80"/>
    <w:rsid w:val="00C72711"/>
    <w:rsid w:val="00C72842"/>
    <w:rsid w:val="00C731E9"/>
    <w:rsid w:val="00C7359E"/>
    <w:rsid w:val="00C73722"/>
    <w:rsid w:val="00C747A8"/>
    <w:rsid w:val="00C7740F"/>
    <w:rsid w:val="00C77421"/>
    <w:rsid w:val="00C77760"/>
    <w:rsid w:val="00C800E2"/>
    <w:rsid w:val="00C80542"/>
    <w:rsid w:val="00C818D2"/>
    <w:rsid w:val="00C8237C"/>
    <w:rsid w:val="00C82664"/>
    <w:rsid w:val="00C832CC"/>
    <w:rsid w:val="00C83973"/>
    <w:rsid w:val="00C83A9F"/>
    <w:rsid w:val="00C845F3"/>
    <w:rsid w:val="00C851EA"/>
    <w:rsid w:val="00C8526F"/>
    <w:rsid w:val="00C85B3F"/>
    <w:rsid w:val="00C861B9"/>
    <w:rsid w:val="00C864D0"/>
    <w:rsid w:val="00C8762A"/>
    <w:rsid w:val="00C907FD"/>
    <w:rsid w:val="00C90EBC"/>
    <w:rsid w:val="00C9193C"/>
    <w:rsid w:val="00C91B1B"/>
    <w:rsid w:val="00C91B1E"/>
    <w:rsid w:val="00C91B56"/>
    <w:rsid w:val="00C91DC2"/>
    <w:rsid w:val="00C92FB1"/>
    <w:rsid w:val="00C93201"/>
    <w:rsid w:val="00C93786"/>
    <w:rsid w:val="00C9460F"/>
    <w:rsid w:val="00C94648"/>
    <w:rsid w:val="00C949E7"/>
    <w:rsid w:val="00C9540D"/>
    <w:rsid w:val="00C96445"/>
    <w:rsid w:val="00C966B0"/>
    <w:rsid w:val="00C9710F"/>
    <w:rsid w:val="00C97D59"/>
    <w:rsid w:val="00CA0333"/>
    <w:rsid w:val="00CA0CD9"/>
    <w:rsid w:val="00CA1427"/>
    <w:rsid w:val="00CA1530"/>
    <w:rsid w:val="00CA1763"/>
    <w:rsid w:val="00CA17B2"/>
    <w:rsid w:val="00CA2F07"/>
    <w:rsid w:val="00CA3EA7"/>
    <w:rsid w:val="00CA44EE"/>
    <w:rsid w:val="00CA51A4"/>
    <w:rsid w:val="00CA55C5"/>
    <w:rsid w:val="00CA5B1A"/>
    <w:rsid w:val="00CA681E"/>
    <w:rsid w:val="00CA7E75"/>
    <w:rsid w:val="00CB0D88"/>
    <w:rsid w:val="00CB1040"/>
    <w:rsid w:val="00CB1679"/>
    <w:rsid w:val="00CB3DDB"/>
    <w:rsid w:val="00CB4502"/>
    <w:rsid w:val="00CB4B8B"/>
    <w:rsid w:val="00CB58E2"/>
    <w:rsid w:val="00CB5E96"/>
    <w:rsid w:val="00CB6CEA"/>
    <w:rsid w:val="00CB7371"/>
    <w:rsid w:val="00CB73F9"/>
    <w:rsid w:val="00CB7527"/>
    <w:rsid w:val="00CC02F6"/>
    <w:rsid w:val="00CC0A92"/>
    <w:rsid w:val="00CC2BDC"/>
    <w:rsid w:val="00CC2F9F"/>
    <w:rsid w:val="00CC3387"/>
    <w:rsid w:val="00CC4709"/>
    <w:rsid w:val="00CC5501"/>
    <w:rsid w:val="00CC569C"/>
    <w:rsid w:val="00CC663A"/>
    <w:rsid w:val="00CC6735"/>
    <w:rsid w:val="00CC7AC2"/>
    <w:rsid w:val="00CC7C2C"/>
    <w:rsid w:val="00CD0915"/>
    <w:rsid w:val="00CD10E4"/>
    <w:rsid w:val="00CD1A67"/>
    <w:rsid w:val="00CD1CDA"/>
    <w:rsid w:val="00CD22A5"/>
    <w:rsid w:val="00CD2B21"/>
    <w:rsid w:val="00CD2C1D"/>
    <w:rsid w:val="00CD49F8"/>
    <w:rsid w:val="00CD6F17"/>
    <w:rsid w:val="00CD75BE"/>
    <w:rsid w:val="00CE0637"/>
    <w:rsid w:val="00CE0D1E"/>
    <w:rsid w:val="00CE1205"/>
    <w:rsid w:val="00CE133C"/>
    <w:rsid w:val="00CE1A47"/>
    <w:rsid w:val="00CE2BF0"/>
    <w:rsid w:val="00CE4440"/>
    <w:rsid w:val="00CE44F3"/>
    <w:rsid w:val="00CE4D6C"/>
    <w:rsid w:val="00CE5D92"/>
    <w:rsid w:val="00CE6820"/>
    <w:rsid w:val="00CE704B"/>
    <w:rsid w:val="00CF032A"/>
    <w:rsid w:val="00CF07A6"/>
    <w:rsid w:val="00CF1E67"/>
    <w:rsid w:val="00CF25F8"/>
    <w:rsid w:val="00CF293D"/>
    <w:rsid w:val="00CF2C09"/>
    <w:rsid w:val="00CF3FDF"/>
    <w:rsid w:val="00CF51BA"/>
    <w:rsid w:val="00CF5933"/>
    <w:rsid w:val="00CF6813"/>
    <w:rsid w:val="00CF6DAA"/>
    <w:rsid w:val="00CF7AB6"/>
    <w:rsid w:val="00D00A76"/>
    <w:rsid w:val="00D0110F"/>
    <w:rsid w:val="00D0201E"/>
    <w:rsid w:val="00D021FE"/>
    <w:rsid w:val="00D0339C"/>
    <w:rsid w:val="00D035E2"/>
    <w:rsid w:val="00D04043"/>
    <w:rsid w:val="00D05F7E"/>
    <w:rsid w:val="00D065A6"/>
    <w:rsid w:val="00D070CF"/>
    <w:rsid w:val="00D071E9"/>
    <w:rsid w:val="00D07F09"/>
    <w:rsid w:val="00D10D23"/>
    <w:rsid w:val="00D10F69"/>
    <w:rsid w:val="00D11077"/>
    <w:rsid w:val="00D117AD"/>
    <w:rsid w:val="00D13407"/>
    <w:rsid w:val="00D13540"/>
    <w:rsid w:val="00D13676"/>
    <w:rsid w:val="00D152CF"/>
    <w:rsid w:val="00D1538E"/>
    <w:rsid w:val="00D15A66"/>
    <w:rsid w:val="00D15D1D"/>
    <w:rsid w:val="00D219A2"/>
    <w:rsid w:val="00D219CD"/>
    <w:rsid w:val="00D222AE"/>
    <w:rsid w:val="00D224DA"/>
    <w:rsid w:val="00D2264C"/>
    <w:rsid w:val="00D22760"/>
    <w:rsid w:val="00D241F3"/>
    <w:rsid w:val="00D24536"/>
    <w:rsid w:val="00D24D0F"/>
    <w:rsid w:val="00D24DDD"/>
    <w:rsid w:val="00D25A01"/>
    <w:rsid w:val="00D2799D"/>
    <w:rsid w:val="00D30232"/>
    <w:rsid w:val="00D3133C"/>
    <w:rsid w:val="00D31A1F"/>
    <w:rsid w:val="00D329C8"/>
    <w:rsid w:val="00D32A37"/>
    <w:rsid w:val="00D3330A"/>
    <w:rsid w:val="00D3385F"/>
    <w:rsid w:val="00D33F8D"/>
    <w:rsid w:val="00D344F2"/>
    <w:rsid w:val="00D35C32"/>
    <w:rsid w:val="00D35F27"/>
    <w:rsid w:val="00D3653F"/>
    <w:rsid w:val="00D40710"/>
    <w:rsid w:val="00D4164C"/>
    <w:rsid w:val="00D42941"/>
    <w:rsid w:val="00D42BC0"/>
    <w:rsid w:val="00D43670"/>
    <w:rsid w:val="00D43954"/>
    <w:rsid w:val="00D43DA7"/>
    <w:rsid w:val="00D44586"/>
    <w:rsid w:val="00D45E15"/>
    <w:rsid w:val="00D463BC"/>
    <w:rsid w:val="00D4648A"/>
    <w:rsid w:val="00D46F67"/>
    <w:rsid w:val="00D4710F"/>
    <w:rsid w:val="00D476C6"/>
    <w:rsid w:val="00D50418"/>
    <w:rsid w:val="00D50826"/>
    <w:rsid w:val="00D51636"/>
    <w:rsid w:val="00D517A6"/>
    <w:rsid w:val="00D51C74"/>
    <w:rsid w:val="00D522A4"/>
    <w:rsid w:val="00D539ED"/>
    <w:rsid w:val="00D541CA"/>
    <w:rsid w:val="00D54538"/>
    <w:rsid w:val="00D54AA8"/>
    <w:rsid w:val="00D54B7F"/>
    <w:rsid w:val="00D54C0A"/>
    <w:rsid w:val="00D54C52"/>
    <w:rsid w:val="00D557B2"/>
    <w:rsid w:val="00D5698E"/>
    <w:rsid w:val="00D56D0F"/>
    <w:rsid w:val="00D56E27"/>
    <w:rsid w:val="00D56FAF"/>
    <w:rsid w:val="00D57E31"/>
    <w:rsid w:val="00D57F44"/>
    <w:rsid w:val="00D60039"/>
    <w:rsid w:val="00D605F0"/>
    <w:rsid w:val="00D618B2"/>
    <w:rsid w:val="00D61CC6"/>
    <w:rsid w:val="00D62070"/>
    <w:rsid w:val="00D62570"/>
    <w:rsid w:val="00D62868"/>
    <w:rsid w:val="00D62EC5"/>
    <w:rsid w:val="00D63B92"/>
    <w:rsid w:val="00D649D1"/>
    <w:rsid w:val="00D65B7D"/>
    <w:rsid w:val="00D65F76"/>
    <w:rsid w:val="00D67EA3"/>
    <w:rsid w:val="00D705A0"/>
    <w:rsid w:val="00D70A92"/>
    <w:rsid w:val="00D71373"/>
    <w:rsid w:val="00D71458"/>
    <w:rsid w:val="00D726D7"/>
    <w:rsid w:val="00D73194"/>
    <w:rsid w:val="00D73D07"/>
    <w:rsid w:val="00D7413D"/>
    <w:rsid w:val="00D74240"/>
    <w:rsid w:val="00D74397"/>
    <w:rsid w:val="00D74A30"/>
    <w:rsid w:val="00D750ED"/>
    <w:rsid w:val="00D75AC8"/>
    <w:rsid w:val="00D761D8"/>
    <w:rsid w:val="00D76F85"/>
    <w:rsid w:val="00D77942"/>
    <w:rsid w:val="00D77F62"/>
    <w:rsid w:val="00D80425"/>
    <w:rsid w:val="00D8046D"/>
    <w:rsid w:val="00D8150B"/>
    <w:rsid w:val="00D81B9A"/>
    <w:rsid w:val="00D82092"/>
    <w:rsid w:val="00D82515"/>
    <w:rsid w:val="00D82665"/>
    <w:rsid w:val="00D83439"/>
    <w:rsid w:val="00D8386C"/>
    <w:rsid w:val="00D84A38"/>
    <w:rsid w:val="00D84E1F"/>
    <w:rsid w:val="00D852AD"/>
    <w:rsid w:val="00D877FD"/>
    <w:rsid w:val="00D87C9C"/>
    <w:rsid w:val="00D91DFD"/>
    <w:rsid w:val="00D920E9"/>
    <w:rsid w:val="00D928A6"/>
    <w:rsid w:val="00D93673"/>
    <w:rsid w:val="00D9379D"/>
    <w:rsid w:val="00D938AA"/>
    <w:rsid w:val="00D94C1D"/>
    <w:rsid w:val="00D95427"/>
    <w:rsid w:val="00D95658"/>
    <w:rsid w:val="00D95F51"/>
    <w:rsid w:val="00D964FB"/>
    <w:rsid w:val="00D96AA3"/>
    <w:rsid w:val="00D97389"/>
    <w:rsid w:val="00DA0201"/>
    <w:rsid w:val="00DA1F37"/>
    <w:rsid w:val="00DA200A"/>
    <w:rsid w:val="00DA2E3D"/>
    <w:rsid w:val="00DA32D8"/>
    <w:rsid w:val="00DA3A75"/>
    <w:rsid w:val="00DA3C4B"/>
    <w:rsid w:val="00DA47D4"/>
    <w:rsid w:val="00DA4C69"/>
    <w:rsid w:val="00DA4E92"/>
    <w:rsid w:val="00DA5004"/>
    <w:rsid w:val="00DA5E8E"/>
    <w:rsid w:val="00DA61BD"/>
    <w:rsid w:val="00DA6B28"/>
    <w:rsid w:val="00DB0716"/>
    <w:rsid w:val="00DB280E"/>
    <w:rsid w:val="00DB310F"/>
    <w:rsid w:val="00DB4A8E"/>
    <w:rsid w:val="00DB69DE"/>
    <w:rsid w:val="00DB6C20"/>
    <w:rsid w:val="00DC006E"/>
    <w:rsid w:val="00DC00DC"/>
    <w:rsid w:val="00DC0340"/>
    <w:rsid w:val="00DC0530"/>
    <w:rsid w:val="00DC0E8E"/>
    <w:rsid w:val="00DC1933"/>
    <w:rsid w:val="00DC1AED"/>
    <w:rsid w:val="00DC2173"/>
    <w:rsid w:val="00DC25A8"/>
    <w:rsid w:val="00DC2C7A"/>
    <w:rsid w:val="00DC2EA8"/>
    <w:rsid w:val="00DC4157"/>
    <w:rsid w:val="00DC477D"/>
    <w:rsid w:val="00DC632D"/>
    <w:rsid w:val="00DC65FA"/>
    <w:rsid w:val="00DC697D"/>
    <w:rsid w:val="00DC738D"/>
    <w:rsid w:val="00DC7D2D"/>
    <w:rsid w:val="00DC7DF3"/>
    <w:rsid w:val="00DD08FF"/>
    <w:rsid w:val="00DD0C82"/>
    <w:rsid w:val="00DD1D33"/>
    <w:rsid w:val="00DD1DAB"/>
    <w:rsid w:val="00DD2443"/>
    <w:rsid w:val="00DD27AA"/>
    <w:rsid w:val="00DD2A0F"/>
    <w:rsid w:val="00DD35DE"/>
    <w:rsid w:val="00DD40D4"/>
    <w:rsid w:val="00DD430B"/>
    <w:rsid w:val="00DD626D"/>
    <w:rsid w:val="00DD72AC"/>
    <w:rsid w:val="00DD73BB"/>
    <w:rsid w:val="00DE0627"/>
    <w:rsid w:val="00DE10A5"/>
    <w:rsid w:val="00DE1276"/>
    <w:rsid w:val="00DE1C45"/>
    <w:rsid w:val="00DE3BAB"/>
    <w:rsid w:val="00DE4729"/>
    <w:rsid w:val="00DE489B"/>
    <w:rsid w:val="00DE4B82"/>
    <w:rsid w:val="00DE4E99"/>
    <w:rsid w:val="00DE690A"/>
    <w:rsid w:val="00DE711E"/>
    <w:rsid w:val="00DE73A6"/>
    <w:rsid w:val="00DE7FE2"/>
    <w:rsid w:val="00DF12A0"/>
    <w:rsid w:val="00DF16C5"/>
    <w:rsid w:val="00DF1983"/>
    <w:rsid w:val="00DF2E9F"/>
    <w:rsid w:val="00DF3113"/>
    <w:rsid w:val="00DF3480"/>
    <w:rsid w:val="00DF3F45"/>
    <w:rsid w:val="00DF3FE4"/>
    <w:rsid w:val="00DF65E6"/>
    <w:rsid w:val="00DF669D"/>
    <w:rsid w:val="00DF729A"/>
    <w:rsid w:val="00DF7402"/>
    <w:rsid w:val="00DF77BD"/>
    <w:rsid w:val="00E0091F"/>
    <w:rsid w:val="00E02767"/>
    <w:rsid w:val="00E02B1A"/>
    <w:rsid w:val="00E036DE"/>
    <w:rsid w:val="00E03896"/>
    <w:rsid w:val="00E0457E"/>
    <w:rsid w:val="00E049E8"/>
    <w:rsid w:val="00E0514B"/>
    <w:rsid w:val="00E05EBF"/>
    <w:rsid w:val="00E067ED"/>
    <w:rsid w:val="00E06942"/>
    <w:rsid w:val="00E077D6"/>
    <w:rsid w:val="00E11224"/>
    <w:rsid w:val="00E118D1"/>
    <w:rsid w:val="00E1238D"/>
    <w:rsid w:val="00E124C1"/>
    <w:rsid w:val="00E13095"/>
    <w:rsid w:val="00E14370"/>
    <w:rsid w:val="00E149FE"/>
    <w:rsid w:val="00E14C2A"/>
    <w:rsid w:val="00E1569D"/>
    <w:rsid w:val="00E159C5"/>
    <w:rsid w:val="00E16067"/>
    <w:rsid w:val="00E16638"/>
    <w:rsid w:val="00E16CCC"/>
    <w:rsid w:val="00E171CF"/>
    <w:rsid w:val="00E17A8C"/>
    <w:rsid w:val="00E20061"/>
    <w:rsid w:val="00E20B3D"/>
    <w:rsid w:val="00E20C69"/>
    <w:rsid w:val="00E210A4"/>
    <w:rsid w:val="00E23361"/>
    <w:rsid w:val="00E23A7E"/>
    <w:rsid w:val="00E24348"/>
    <w:rsid w:val="00E25D73"/>
    <w:rsid w:val="00E266E0"/>
    <w:rsid w:val="00E27DF2"/>
    <w:rsid w:val="00E309DC"/>
    <w:rsid w:val="00E309E2"/>
    <w:rsid w:val="00E30A85"/>
    <w:rsid w:val="00E30C72"/>
    <w:rsid w:val="00E313D3"/>
    <w:rsid w:val="00E316E9"/>
    <w:rsid w:val="00E31E18"/>
    <w:rsid w:val="00E321B4"/>
    <w:rsid w:val="00E32E3A"/>
    <w:rsid w:val="00E33A69"/>
    <w:rsid w:val="00E340C3"/>
    <w:rsid w:val="00E35388"/>
    <w:rsid w:val="00E40405"/>
    <w:rsid w:val="00E40A43"/>
    <w:rsid w:val="00E40CB0"/>
    <w:rsid w:val="00E41A78"/>
    <w:rsid w:val="00E420F4"/>
    <w:rsid w:val="00E42350"/>
    <w:rsid w:val="00E429F2"/>
    <w:rsid w:val="00E4329C"/>
    <w:rsid w:val="00E432DD"/>
    <w:rsid w:val="00E469FF"/>
    <w:rsid w:val="00E46B1B"/>
    <w:rsid w:val="00E46B1F"/>
    <w:rsid w:val="00E46CA6"/>
    <w:rsid w:val="00E47CB1"/>
    <w:rsid w:val="00E500B5"/>
    <w:rsid w:val="00E50F85"/>
    <w:rsid w:val="00E514DF"/>
    <w:rsid w:val="00E516E6"/>
    <w:rsid w:val="00E51B0B"/>
    <w:rsid w:val="00E51C0A"/>
    <w:rsid w:val="00E52184"/>
    <w:rsid w:val="00E53808"/>
    <w:rsid w:val="00E555AA"/>
    <w:rsid w:val="00E56046"/>
    <w:rsid w:val="00E56C03"/>
    <w:rsid w:val="00E57128"/>
    <w:rsid w:val="00E572F9"/>
    <w:rsid w:val="00E5780D"/>
    <w:rsid w:val="00E57E56"/>
    <w:rsid w:val="00E60E7D"/>
    <w:rsid w:val="00E61830"/>
    <w:rsid w:val="00E61F93"/>
    <w:rsid w:val="00E6229E"/>
    <w:rsid w:val="00E639FC"/>
    <w:rsid w:val="00E6519D"/>
    <w:rsid w:val="00E6604D"/>
    <w:rsid w:val="00E661B8"/>
    <w:rsid w:val="00E6706B"/>
    <w:rsid w:val="00E67683"/>
    <w:rsid w:val="00E6775C"/>
    <w:rsid w:val="00E67A43"/>
    <w:rsid w:val="00E67E1A"/>
    <w:rsid w:val="00E70A16"/>
    <w:rsid w:val="00E7109D"/>
    <w:rsid w:val="00E71B9B"/>
    <w:rsid w:val="00E72309"/>
    <w:rsid w:val="00E7283F"/>
    <w:rsid w:val="00E72885"/>
    <w:rsid w:val="00E72A6C"/>
    <w:rsid w:val="00E7345B"/>
    <w:rsid w:val="00E74247"/>
    <w:rsid w:val="00E746D5"/>
    <w:rsid w:val="00E74938"/>
    <w:rsid w:val="00E760A5"/>
    <w:rsid w:val="00E76AA9"/>
    <w:rsid w:val="00E77098"/>
    <w:rsid w:val="00E77ADF"/>
    <w:rsid w:val="00E77BBE"/>
    <w:rsid w:val="00E81147"/>
    <w:rsid w:val="00E82914"/>
    <w:rsid w:val="00E82B01"/>
    <w:rsid w:val="00E8303E"/>
    <w:rsid w:val="00E840F0"/>
    <w:rsid w:val="00E85B04"/>
    <w:rsid w:val="00E8669B"/>
    <w:rsid w:val="00E86745"/>
    <w:rsid w:val="00E87FA1"/>
    <w:rsid w:val="00E90B04"/>
    <w:rsid w:val="00E919BE"/>
    <w:rsid w:val="00E923A3"/>
    <w:rsid w:val="00E92B2E"/>
    <w:rsid w:val="00E9306D"/>
    <w:rsid w:val="00E93250"/>
    <w:rsid w:val="00E93811"/>
    <w:rsid w:val="00E93AA4"/>
    <w:rsid w:val="00E94B49"/>
    <w:rsid w:val="00E95386"/>
    <w:rsid w:val="00E95B7E"/>
    <w:rsid w:val="00E95CCA"/>
    <w:rsid w:val="00E95D28"/>
    <w:rsid w:val="00E96E42"/>
    <w:rsid w:val="00E96F50"/>
    <w:rsid w:val="00E974CE"/>
    <w:rsid w:val="00E97880"/>
    <w:rsid w:val="00EA0697"/>
    <w:rsid w:val="00EA0980"/>
    <w:rsid w:val="00EA10C1"/>
    <w:rsid w:val="00EA10D7"/>
    <w:rsid w:val="00EA3A3E"/>
    <w:rsid w:val="00EA3DA6"/>
    <w:rsid w:val="00EA4C3B"/>
    <w:rsid w:val="00EA5B22"/>
    <w:rsid w:val="00EA7465"/>
    <w:rsid w:val="00EA74DF"/>
    <w:rsid w:val="00EB0135"/>
    <w:rsid w:val="00EB01C9"/>
    <w:rsid w:val="00EB0283"/>
    <w:rsid w:val="00EB1666"/>
    <w:rsid w:val="00EB17E0"/>
    <w:rsid w:val="00EB3A6D"/>
    <w:rsid w:val="00EB6EBF"/>
    <w:rsid w:val="00EB78C2"/>
    <w:rsid w:val="00EB7DD9"/>
    <w:rsid w:val="00EC04C1"/>
    <w:rsid w:val="00EC1FC5"/>
    <w:rsid w:val="00EC247B"/>
    <w:rsid w:val="00EC26FA"/>
    <w:rsid w:val="00EC3B7A"/>
    <w:rsid w:val="00EC4582"/>
    <w:rsid w:val="00EC4FEC"/>
    <w:rsid w:val="00EC5412"/>
    <w:rsid w:val="00EC56C1"/>
    <w:rsid w:val="00EC6B7C"/>
    <w:rsid w:val="00EC7431"/>
    <w:rsid w:val="00EC799C"/>
    <w:rsid w:val="00ED032C"/>
    <w:rsid w:val="00ED1083"/>
    <w:rsid w:val="00ED160D"/>
    <w:rsid w:val="00ED1728"/>
    <w:rsid w:val="00ED1884"/>
    <w:rsid w:val="00ED1A09"/>
    <w:rsid w:val="00ED1C5B"/>
    <w:rsid w:val="00ED2384"/>
    <w:rsid w:val="00ED2F5B"/>
    <w:rsid w:val="00ED311D"/>
    <w:rsid w:val="00ED384F"/>
    <w:rsid w:val="00ED39E2"/>
    <w:rsid w:val="00ED3FA1"/>
    <w:rsid w:val="00ED405A"/>
    <w:rsid w:val="00ED4936"/>
    <w:rsid w:val="00ED50EF"/>
    <w:rsid w:val="00ED5869"/>
    <w:rsid w:val="00ED69A2"/>
    <w:rsid w:val="00ED7C9E"/>
    <w:rsid w:val="00EE0520"/>
    <w:rsid w:val="00EE0BFA"/>
    <w:rsid w:val="00EE1222"/>
    <w:rsid w:val="00EE28BB"/>
    <w:rsid w:val="00EE2A20"/>
    <w:rsid w:val="00EE40B8"/>
    <w:rsid w:val="00EE52C2"/>
    <w:rsid w:val="00EE6734"/>
    <w:rsid w:val="00EE695B"/>
    <w:rsid w:val="00EE6CDB"/>
    <w:rsid w:val="00EE6E07"/>
    <w:rsid w:val="00EE6EB5"/>
    <w:rsid w:val="00EF043F"/>
    <w:rsid w:val="00EF2901"/>
    <w:rsid w:val="00EF3163"/>
    <w:rsid w:val="00EF3847"/>
    <w:rsid w:val="00EF3F5B"/>
    <w:rsid w:val="00EF41F9"/>
    <w:rsid w:val="00EF5405"/>
    <w:rsid w:val="00EF5BEF"/>
    <w:rsid w:val="00EF606C"/>
    <w:rsid w:val="00EF6763"/>
    <w:rsid w:val="00EF6997"/>
    <w:rsid w:val="00EF768D"/>
    <w:rsid w:val="00F00E8C"/>
    <w:rsid w:val="00F01185"/>
    <w:rsid w:val="00F01ABB"/>
    <w:rsid w:val="00F02EB9"/>
    <w:rsid w:val="00F02F28"/>
    <w:rsid w:val="00F03649"/>
    <w:rsid w:val="00F040B0"/>
    <w:rsid w:val="00F060E6"/>
    <w:rsid w:val="00F119AF"/>
    <w:rsid w:val="00F119DF"/>
    <w:rsid w:val="00F11CFE"/>
    <w:rsid w:val="00F11D8E"/>
    <w:rsid w:val="00F12879"/>
    <w:rsid w:val="00F15C04"/>
    <w:rsid w:val="00F171AD"/>
    <w:rsid w:val="00F172A7"/>
    <w:rsid w:val="00F177F3"/>
    <w:rsid w:val="00F20AD6"/>
    <w:rsid w:val="00F21700"/>
    <w:rsid w:val="00F21904"/>
    <w:rsid w:val="00F2362A"/>
    <w:rsid w:val="00F242FD"/>
    <w:rsid w:val="00F253CA"/>
    <w:rsid w:val="00F25C30"/>
    <w:rsid w:val="00F26B74"/>
    <w:rsid w:val="00F27288"/>
    <w:rsid w:val="00F27679"/>
    <w:rsid w:val="00F300D9"/>
    <w:rsid w:val="00F317CA"/>
    <w:rsid w:val="00F31F71"/>
    <w:rsid w:val="00F323BA"/>
    <w:rsid w:val="00F327C6"/>
    <w:rsid w:val="00F330F8"/>
    <w:rsid w:val="00F33A64"/>
    <w:rsid w:val="00F33D05"/>
    <w:rsid w:val="00F3470D"/>
    <w:rsid w:val="00F3488A"/>
    <w:rsid w:val="00F35118"/>
    <w:rsid w:val="00F35802"/>
    <w:rsid w:val="00F374FE"/>
    <w:rsid w:val="00F37E95"/>
    <w:rsid w:val="00F37F6C"/>
    <w:rsid w:val="00F40B89"/>
    <w:rsid w:val="00F41658"/>
    <w:rsid w:val="00F4229E"/>
    <w:rsid w:val="00F4261C"/>
    <w:rsid w:val="00F437C7"/>
    <w:rsid w:val="00F44AC8"/>
    <w:rsid w:val="00F44DB2"/>
    <w:rsid w:val="00F45513"/>
    <w:rsid w:val="00F45781"/>
    <w:rsid w:val="00F463FA"/>
    <w:rsid w:val="00F4677C"/>
    <w:rsid w:val="00F4696C"/>
    <w:rsid w:val="00F500BD"/>
    <w:rsid w:val="00F5049A"/>
    <w:rsid w:val="00F52A50"/>
    <w:rsid w:val="00F52D3A"/>
    <w:rsid w:val="00F53A31"/>
    <w:rsid w:val="00F53A75"/>
    <w:rsid w:val="00F54656"/>
    <w:rsid w:val="00F55377"/>
    <w:rsid w:val="00F55525"/>
    <w:rsid w:val="00F555F9"/>
    <w:rsid w:val="00F563EC"/>
    <w:rsid w:val="00F568F6"/>
    <w:rsid w:val="00F56D48"/>
    <w:rsid w:val="00F57478"/>
    <w:rsid w:val="00F575C3"/>
    <w:rsid w:val="00F57F98"/>
    <w:rsid w:val="00F61CE7"/>
    <w:rsid w:val="00F622EB"/>
    <w:rsid w:val="00F62F44"/>
    <w:rsid w:val="00F63AC8"/>
    <w:rsid w:val="00F65794"/>
    <w:rsid w:val="00F66336"/>
    <w:rsid w:val="00F66BFA"/>
    <w:rsid w:val="00F66D9E"/>
    <w:rsid w:val="00F671F0"/>
    <w:rsid w:val="00F67973"/>
    <w:rsid w:val="00F71992"/>
    <w:rsid w:val="00F727F7"/>
    <w:rsid w:val="00F73ADF"/>
    <w:rsid w:val="00F756B8"/>
    <w:rsid w:val="00F7576D"/>
    <w:rsid w:val="00F76EC5"/>
    <w:rsid w:val="00F77843"/>
    <w:rsid w:val="00F81640"/>
    <w:rsid w:val="00F816A0"/>
    <w:rsid w:val="00F82918"/>
    <w:rsid w:val="00F82ED4"/>
    <w:rsid w:val="00F84628"/>
    <w:rsid w:val="00F84675"/>
    <w:rsid w:val="00F84EDC"/>
    <w:rsid w:val="00F8509C"/>
    <w:rsid w:val="00F85797"/>
    <w:rsid w:val="00F857FB"/>
    <w:rsid w:val="00F85A43"/>
    <w:rsid w:val="00F87136"/>
    <w:rsid w:val="00F8726C"/>
    <w:rsid w:val="00F90414"/>
    <w:rsid w:val="00F905CE"/>
    <w:rsid w:val="00F91223"/>
    <w:rsid w:val="00F93060"/>
    <w:rsid w:val="00F93A8C"/>
    <w:rsid w:val="00F94022"/>
    <w:rsid w:val="00F962B1"/>
    <w:rsid w:val="00FA2FB1"/>
    <w:rsid w:val="00FA34E2"/>
    <w:rsid w:val="00FA36AB"/>
    <w:rsid w:val="00FA4CD0"/>
    <w:rsid w:val="00FA580E"/>
    <w:rsid w:val="00FA5BB9"/>
    <w:rsid w:val="00FA6DDB"/>
    <w:rsid w:val="00FB10EF"/>
    <w:rsid w:val="00FB19EB"/>
    <w:rsid w:val="00FB4EA2"/>
    <w:rsid w:val="00FB51C1"/>
    <w:rsid w:val="00FB5A9B"/>
    <w:rsid w:val="00FB5DD2"/>
    <w:rsid w:val="00FB6F9B"/>
    <w:rsid w:val="00FB7654"/>
    <w:rsid w:val="00FB7C76"/>
    <w:rsid w:val="00FC00B5"/>
    <w:rsid w:val="00FC14AB"/>
    <w:rsid w:val="00FC1DA3"/>
    <w:rsid w:val="00FC22B5"/>
    <w:rsid w:val="00FC25FA"/>
    <w:rsid w:val="00FC267B"/>
    <w:rsid w:val="00FC2C71"/>
    <w:rsid w:val="00FC2D10"/>
    <w:rsid w:val="00FC3314"/>
    <w:rsid w:val="00FC3A84"/>
    <w:rsid w:val="00FC43E8"/>
    <w:rsid w:val="00FC4580"/>
    <w:rsid w:val="00FC489C"/>
    <w:rsid w:val="00FC490E"/>
    <w:rsid w:val="00FC6417"/>
    <w:rsid w:val="00FC725E"/>
    <w:rsid w:val="00FD013F"/>
    <w:rsid w:val="00FD0266"/>
    <w:rsid w:val="00FD0FBE"/>
    <w:rsid w:val="00FD1936"/>
    <w:rsid w:val="00FD2206"/>
    <w:rsid w:val="00FD396A"/>
    <w:rsid w:val="00FD45C4"/>
    <w:rsid w:val="00FD5208"/>
    <w:rsid w:val="00FD5702"/>
    <w:rsid w:val="00FD59C8"/>
    <w:rsid w:val="00FD66AA"/>
    <w:rsid w:val="00FD67FE"/>
    <w:rsid w:val="00FD7022"/>
    <w:rsid w:val="00FD7879"/>
    <w:rsid w:val="00FE0A8D"/>
    <w:rsid w:val="00FE2352"/>
    <w:rsid w:val="00FE254A"/>
    <w:rsid w:val="00FE2E13"/>
    <w:rsid w:val="00FE3745"/>
    <w:rsid w:val="00FE456D"/>
    <w:rsid w:val="00FE45C5"/>
    <w:rsid w:val="00FE47F4"/>
    <w:rsid w:val="00FE4E0C"/>
    <w:rsid w:val="00FE4E52"/>
    <w:rsid w:val="00FE5026"/>
    <w:rsid w:val="00FE6050"/>
    <w:rsid w:val="00FE618E"/>
    <w:rsid w:val="00FE70BA"/>
    <w:rsid w:val="00FE76EA"/>
    <w:rsid w:val="00FF0721"/>
    <w:rsid w:val="00FF0D3F"/>
    <w:rsid w:val="00FF0EE7"/>
    <w:rsid w:val="00FF12E3"/>
    <w:rsid w:val="00FF20CF"/>
    <w:rsid w:val="00FF2EE0"/>
    <w:rsid w:val="00FF3264"/>
    <w:rsid w:val="00FF510E"/>
    <w:rsid w:val="00FF5489"/>
    <w:rsid w:val="00FF612C"/>
    <w:rsid w:val="00FF6294"/>
    <w:rsid w:val="00FF62C5"/>
    <w:rsid w:val="00FF7815"/>
    <w:rsid w:val="01106086"/>
    <w:rsid w:val="01305E50"/>
    <w:rsid w:val="013107CD"/>
    <w:rsid w:val="018375D4"/>
    <w:rsid w:val="01D37C78"/>
    <w:rsid w:val="01F13E83"/>
    <w:rsid w:val="020F0F91"/>
    <w:rsid w:val="02914FC1"/>
    <w:rsid w:val="02B9728F"/>
    <w:rsid w:val="02BF26CE"/>
    <w:rsid w:val="02CD2410"/>
    <w:rsid w:val="02ED10F0"/>
    <w:rsid w:val="03036C21"/>
    <w:rsid w:val="033D4E25"/>
    <w:rsid w:val="03425F6D"/>
    <w:rsid w:val="0384463D"/>
    <w:rsid w:val="03962DFC"/>
    <w:rsid w:val="03DE4ECF"/>
    <w:rsid w:val="03F936D1"/>
    <w:rsid w:val="03FC4685"/>
    <w:rsid w:val="04035DED"/>
    <w:rsid w:val="040A51C6"/>
    <w:rsid w:val="040F6641"/>
    <w:rsid w:val="045C1D31"/>
    <w:rsid w:val="04872016"/>
    <w:rsid w:val="04986085"/>
    <w:rsid w:val="04A30008"/>
    <w:rsid w:val="04C1489D"/>
    <w:rsid w:val="04C41302"/>
    <w:rsid w:val="04F24259"/>
    <w:rsid w:val="05247189"/>
    <w:rsid w:val="0552711D"/>
    <w:rsid w:val="05540239"/>
    <w:rsid w:val="059D37B1"/>
    <w:rsid w:val="05AC2631"/>
    <w:rsid w:val="05C534DE"/>
    <w:rsid w:val="05CA0166"/>
    <w:rsid w:val="0606310F"/>
    <w:rsid w:val="06B1491B"/>
    <w:rsid w:val="06B90F6A"/>
    <w:rsid w:val="06CC727D"/>
    <w:rsid w:val="06DB04D1"/>
    <w:rsid w:val="06E9748C"/>
    <w:rsid w:val="06F572D7"/>
    <w:rsid w:val="06FD7B23"/>
    <w:rsid w:val="07292076"/>
    <w:rsid w:val="074623E3"/>
    <w:rsid w:val="074E7A4D"/>
    <w:rsid w:val="075961C1"/>
    <w:rsid w:val="07955320"/>
    <w:rsid w:val="079F7DB2"/>
    <w:rsid w:val="07E53B9A"/>
    <w:rsid w:val="07FFA2D5"/>
    <w:rsid w:val="080A38F4"/>
    <w:rsid w:val="0832607C"/>
    <w:rsid w:val="08327AD1"/>
    <w:rsid w:val="084E2FA9"/>
    <w:rsid w:val="086A5FB9"/>
    <w:rsid w:val="08DF1803"/>
    <w:rsid w:val="08E077C2"/>
    <w:rsid w:val="091E712C"/>
    <w:rsid w:val="09280ABC"/>
    <w:rsid w:val="093B626B"/>
    <w:rsid w:val="09596801"/>
    <w:rsid w:val="096A739A"/>
    <w:rsid w:val="09775AC5"/>
    <w:rsid w:val="09AC6444"/>
    <w:rsid w:val="09B91ADE"/>
    <w:rsid w:val="09C2447A"/>
    <w:rsid w:val="09EA4E3A"/>
    <w:rsid w:val="0A58557C"/>
    <w:rsid w:val="0A8402EE"/>
    <w:rsid w:val="0ABA1F8F"/>
    <w:rsid w:val="0AC05940"/>
    <w:rsid w:val="0AC52D64"/>
    <w:rsid w:val="0AD619B5"/>
    <w:rsid w:val="0B3A0E7C"/>
    <w:rsid w:val="0BBA1C90"/>
    <w:rsid w:val="0BBB18FD"/>
    <w:rsid w:val="0BFA0AE1"/>
    <w:rsid w:val="0C09183C"/>
    <w:rsid w:val="0C19045E"/>
    <w:rsid w:val="0C2358C9"/>
    <w:rsid w:val="0C54412B"/>
    <w:rsid w:val="0C6965B0"/>
    <w:rsid w:val="0C76125E"/>
    <w:rsid w:val="0C7C4B43"/>
    <w:rsid w:val="0CA6303E"/>
    <w:rsid w:val="0CBF4061"/>
    <w:rsid w:val="0CD35971"/>
    <w:rsid w:val="0CFB3B1F"/>
    <w:rsid w:val="0CFE65E0"/>
    <w:rsid w:val="0D1535B4"/>
    <w:rsid w:val="0D43455E"/>
    <w:rsid w:val="0D7B547A"/>
    <w:rsid w:val="0DCC61FC"/>
    <w:rsid w:val="0DD10085"/>
    <w:rsid w:val="0E02709B"/>
    <w:rsid w:val="0E1A4730"/>
    <w:rsid w:val="0E4D673B"/>
    <w:rsid w:val="0E72690C"/>
    <w:rsid w:val="0E816B83"/>
    <w:rsid w:val="0E9D5112"/>
    <w:rsid w:val="0EB511B5"/>
    <w:rsid w:val="0F1B0414"/>
    <w:rsid w:val="0F2F40CA"/>
    <w:rsid w:val="0F473078"/>
    <w:rsid w:val="0F476842"/>
    <w:rsid w:val="0F5618F2"/>
    <w:rsid w:val="0F6569C4"/>
    <w:rsid w:val="0F8430A3"/>
    <w:rsid w:val="0FC85C52"/>
    <w:rsid w:val="0FC95577"/>
    <w:rsid w:val="0FEA28E7"/>
    <w:rsid w:val="101950E4"/>
    <w:rsid w:val="105950EE"/>
    <w:rsid w:val="10904028"/>
    <w:rsid w:val="10B55455"/>
    <w:rsid w:val="10B971EC"/>
    <w:rsid w:val="10CE58FA"/>
    <w:rsid w:val="10F1362D"/>
    <w:rsid w:val="10FB6242"/>
    <w:rsid w:val="11313D99"/>
    <w:rsid w:val="1137446D"/>
    <w:rsid w:val="114521F8"/>
    <w:rsid w:val="116141CA"/>
    <w:rsid w:val="116D5A8E"/>
    <w:rsid w:val="11B5557C"/>
    <w:rsid w:val="11EA4749"/>
    <w:rsid w:val="11F17838"/>
    <w:rsid w:val="11F34591"/>
    <w:rsid w:val="11F974B9"/>
    <w:rsid w:val="11FD176A"/>
    <w:rsid w:val="121C0DA4"/>
    <w:rsid w:val="12572DD5"/>
    <w:rsid w:val="126577AA"/>
    <w:rsid w:val="12B375A1"/>
    <w:rsid w:val="12B86F64"/>
    <w:rsid w:val="12D469A6"/>
    <w:rsid w:val="12DD2931"/>
    <w:rsid w:val="132C25D0"/>
    <w:rsid w:val="13352F1C"/>
    <w:rsid w:val="133541BB"/>
    <w:rsid w:val="133E27DC"/>
    <w:rsid w:val="135003A6"/>
    <w:rsid w:val="136B22B7"/>
    <w:rsid w:val="139D7A1D"/>
    <w:rsid w:val="13DF675B"/>
    <w:rsid w:val="13FB0DA1"/>
    <w:rsid w:val="144F4B48"/>
    <w:rsid w:val="14556280"/>
    <w:rsid w:val="1477740E"/>
    <w:rsid w:val="14992838"/>
    <w:rsid w:val="14A90668"/>
    <w:rsid w:val="15113B24"/>
    <w:rsid w:val="152575D4"/>
    <w:rsid w:val="1548564A"/>
    <w:rsid w:val="15670451"/>
    <w:rsid w:val="1575638A"/>
    <w:rsid w:val="15B10C06"/>
    <w:rsid w:val="16172814"/>
    <w:rsid w:val="16606619"/>
    <w:rsid w:val="166E4B8A"/>
    <w:rsid w:val="16762112"/>
    <w:rsid w:val="16922D8E"/>
    <w:rsid w:val="16A17B73"/>
    <w:rsid w:val="16C51FFA"/>
    <w:rsid w:val="16E31BF5"/>
    <w:rsid w:val="170C52AC"/>
    <w:rsid w:val="17140145"/>
    <w:rsid w:val="171D0573"/>
    <w:rsid w:val="171F26C5"/>
    <w:rsid w:val="17206187"/>
    <w:rsid w:val="17250301"/>
    <w:rsid w:val="1757561B"/>
    <w:rsid w:val="175D7F61"/>
    <w:rsid w:val="179A7D57"/>
    <w:rsid w:val="17B5190C"/>
    <w:rsid w:val="18693FBB"/>
    <w:rsid w:val="186E55A0"/>
    <w:rsid w:val="18B355AA"/>
    <w:rsid w:val="18F578A6"/>
    <w:rsid w:val="19324167"/>
    <w:rsid w:val="19801BCC"/>
    <w:rsid w:val="19A92289"/>
    <w:rsid w:val="19DE6EE5"/>
    <w:rsid w:val="1A0E29CE"/>
    <w:rsid w:val="1A4B55E6"/>
    <w:rsid w:val="1A730F61"/>
    <w:rsid w:val="1A883817"/>
    <w:rsid w:val="1A8A4735"/>
    <w:rsid w:val="1A914BD9"/>
    <w:rsid w:val="1B1D17AD"/>
    <w:rsid w:val="1B21313F"/>
    <w:rsid w:val="1B5342B9"/>
    <w:rsid w:val="1B5B0841"/>
    <w:rsid w:val="1B7E6DC2"/>
    <w:rsid w:val="1B811A03"/>
    <w:rsid w:val="1B8D0F7C"/>
    <w:rsid w:val="1B907227"/>
    <w:rsid w:val="1B9171D6"/>
    <w:rsid w:val="1C086361"/>
    <w:rsid w:val="1C210E79"/>
    <w:rsid w:val="1C3075BD"/>
    <w:rsid w:val="1C4B035A"/>
    <w:rsid w:val="1C8B33ED"/>
    <w:rsid w:val="1CA47036"/>
    <w:rsid w:val="1CCF2A0E"/>
    <w:rsid w:val="1D155BA3"/>
    <w:rsid w:val="1D626B97"/>
    <w:rsid w:val="1DB34448"/>
    <w:rsid w:val="1DC37370"/>
    <w:rsid w:val="1DE53047"/>
    <w:rsid w:val="1DF017B6"/>
    <w:rsid w:val="1E573F86"/>
    <w:rsid w:val="1E6A5FCC"/>
    <w:rsid w:val="1EB5774F"/>
    <w:rsid w:val="1EEE04AB"/>
    <w:rsid w:val="1EF5631B"/>
    <w:rsid w:val="1F030D52"/>
    <w:rsid w:val="1F0A5BB6"/>
    <w:rsid w:val="1F153DC8"/>
    <w:rsid w:val="1F3F2CD9"/>
    <w:rsid w:val="1F786E89"/>
    <w:rsid w:val="1F915A4D"/>
    <w:rsid w:val="1FA2FE43"/>
    <w:rsid w:val="1FE64D7A"/>
    <w:rsid w:val="1FED9E6E"/>
    <w:rsid w:val="1FF17B6F"/>
    <w:rsid w:val="1FF8391D"/>
    <w:rsid w:val="200001BD"/>
    <w:rsid w:val="2041735A"/>
    <w:rsid w:val="206E7A73"/>
    <w:rsid w:val="20882499"/>
    <w:rsid w:val="20A4650C"/>
    <w:rsid w:val="20BE271F"/>
    <w:rsid w:val="20FA2D7D"/>
    <w:rsid w:val="20FD30AD"/>
    <w:rsid w:val="213A231E"/>
    <w:rsid w:val="21810576"/>
    <w:rsid w:val="219828C5"/>
    <w:rsid w:val="21BA233C"/>
    <w:rsid w:val="21BD6082"/>
    <w:rsid w:val="21E75DD3"/>
    <w:rsid w:val="21ED1689"/>
    <w:rsid w:val="21FD25EE"/>
    <w:rsid w:val="221117AA"/>
    <w:rsid w:val="2211698F"/>
    <w:rsid w:val="222C4872"/>
    <w:rsid w:val="22301FEA"/>
    <w:rsid w:val="22443A52"/>
    <w:rsid w:val="22481D2C"/>
    <w:rsid w:val="2281150C"/>
    <w:rsid w:val="230A554F"/>
    <w:rsid w:val="236A4626"/>
    <w:rsid w:val="238A4C83"/>
    <w:rsid w:val="242B1D0B"/>
    <w:rsid w:val="24311CDF"/>
    <w:rsid w:val="248B094A"/>
    <w:rsid w:val="24927DF2"/>
    <w:rsid w:val="24D566A2"/>
    <w:rsid w:val="24E81561"/>
    <w:rsid w:val="251C1719"/>
    <w:rsid w:val="2521207A"/>
    <w:rsid w:val="25433BD4"/>
    <w:rsid w:val="254E4AC0"/>
    <w:rsid w:val="255E5610"/>
    <w:rsid w:val="257147ED"/>
    <w:rsid w:val="2584494D"/>
    <w:rsid w:val="25851F85"/>
    <w:rsid w:val="25A4564E"/>
    <w:rsid w:val="25BB169B"/>
    <w:rsid w:val="25C86725"/>
    <w:rsid w:val="2622712D"/>
    <w:rsid w:val="263F15FE"/>
    <w:rsid w:val="26571F37"/>
    <w:rsid w:val="269551A0"/>
    <w:rsid w:val="26DE4796"/>
    <w:rsid w:val="26E35B2E"/>
    <w:rsid w:val="275337D3"/>
    <w:rsid w:val="279252E5"/>
    <w:rsid w:val="279458B3"/>
    <w:rsid w:val="27DD077A"/>
    <w:rsid w:val="27DF4BA0"/>
    <w:rsid w:val="27E109EE"/>
    <w:rsid w:val="27E41DD2"/>
    <w:rsid w:val="28436B32"/>
    <w:rsid w:val="28CC7C62"/>
    <w:rsid w:val="28CE5FD9"/>
    <w:rsid w:val="28D86946"/>
    <w:rsid w:val="28FD6D09"/>
    <w:rsid w:val="29430770"/>
    <w:rsid w:val="29726367"/>
    <w:rsid w:val="29A06E29"/>
    <w:rsid w:val="29A06F72"/>
    <w:rsid w:val="29A86573"/>
    <w:rsid w:val="29BB5458"/>
    <w:rsid w:val="29FD1226"/>
    <w:rsid w:val="2A5308A8"/>
    <w:rsid w:val="2A57024C"/>
    <w:rsid w:val="2A6B1212"/>
    <w:rsid w:val="2A7C52D1"/>
    <w:rsid w:val="2A8F229E"/>
    <w:rsid w:val="2A951443"/>
    <w:rsid w:val="2A9A1E2C"/>
    <w:rsid w:val="2AA84BD7"/>
    <w:rsid w:val="2AEEEFD7"/>
    <w:rsid w:val="2B017A4D"/>
    <w:rsid w:val="2B181F26"/>
    <w:rsid w:val="2B1C6CE5"/>
    <w:rsid w:val="2B1E1310"/>
    <w:rsid w:val="2B2A286B"/>
    <w:rsid w:val="2B7F66E6"/>
    <w:rsid w:val="2B863F9D"/>
    <w:rsid w:val="2B87517C"/>
    <w:rsid w:val="2B93768E"/>
    <w:rsid w:val="2BD53DFD"/>
    <w:rsid w:val="2BE2661A"/>
    <w:rsid w:val="2C1A1906"/>
    <w:rsid w:val="2C3011BF"/>
    <w:rsid w:val="2C36320F"/>
    <w:rsid w:val="2C4D659C"/>
    <w:rsid w:val="2C726705"/>
    <w:rsid w:val="2C7824C7"/>
    <w:rsid w:val="2C7C0731"/>
    <w:rsid w:val="2C8A295A"/>
    <w:rsid w:val="2CD80423"/>
    <w:rsid w:val="2CF61554"/>
    <w:rsid w:val="2D4D30CA"/>
    <w:rsid w:val="2D687FBF"/>
    <w:rsid w:val="2D850B71"/>
    <w:rsid w:val="2D8F2E5B"/>
    <w:rsid w:val="2DC448F3"/>
    <w:rsid w:val="2DD31230"/>
    <w:rsid w:val="2E071E2B"/>
    <w:rsid w:val="2EA53CC6"/>
    <w:rsid w:val="2ECF81C6"/>
    <w:rsid w:val="2EE92B88"/>
    <w:rsid w:val="2EEF4ED8"/>
    <w:rsid w:val="2F1E3467"/>
    <w:rsid w:val="2F35023A"/>
    <w:rsid w:val="2F542DC7"/>
    <w:rsid w:val="2F560262"/>
    <w:rsid w:val="2F61551F"/>
    <w:rsid w:val="2F7C4243"/>
    <w:rsid w:val="2F8C4439"/>
    <w:rsid w:val="2F8E2B16"/>
    <w:rsid w:val="2FD618AA"/>
    <w:rsid w:val="300117C3"/>
    <w:rsid w:val="30305677"/>
    <w:rsid w:val="303C2A4F"/>
    <w:rsid w:val="304562D6"/>
    <w:rsid w:val="304A4AA9"/>
    <w:rsid w:val="308439E8"/>
    <w:rsid w:val="30C53A3B"/>
    <w:rsid w:val="30C64968"/>
    <w:rsid w:val="30CE6832"/>
    <w:rsid w:val="317D3783"/>
    <w:rsid w:val="318E0484"/>
    <w:rsid w:val="31AD0934"/>
    <w:rsid w:val="31B45FD2"/>
    <w:rsid w:val="31C0347B"/>
    <w:rsid w:val="31DE6BE6"/>
    <w:rsid w:val="31E46CE3"/>
    <w:rsid w:val="31F25437"/>
    <w:rsid w:val="32100EC2"/>
    <w:rsid w:val="3231384C"/>
    <w:rsid w:val="32793006"/>
    <w:rsid w:val="327F7C80"/>
    <w:rsid w:val="32C81EAB"/>
    <w:rsid w:val="3316226B"/>
    <w:rsid w:val="338D1503"/>
    <w:rsid w:val="33987B89"/>
    <w:rsid w:val="33B535A0"/>
    <w:rsid w:val="33C365BE"/>
    <w:rsid w:val="33DC10D4"/>
    <w:rsid w:val="3429229A"/>
    <w:rsid w:val="343A1E0D"/>
    <w:rsid w:val="34440F04"/>
    <w:rsid w:val="3470017E"/>
    <w:rsid w:val="34750E92"/>
    <w:rsid w:val="349657CB"/>
    <w:rsid w:val="34B700E4"/>
    <w:rsid w:val="35047873"/>
    <w:rsid w:val="35202E8D"/>
    <w:rsid w:val="355C7F83"/>
    <w:rsid w:val="35605494"/>
    <w:rsid w:val="359B044B"/>
    <w:rsid w:val="359B1CC5"/>
    <w:rsid w:val="35FF581D"/>
    <w:rsid w:val="362C6EAF"/>
    <w:rsid w:val="36436F85"/>
    <w:rsid w:val="3647104C"/>
    <w:rsid w:val="364F6288"/>
    <w:rsid w:val="36604066"/>
    <w:rsid w:val="366A7550"/>
    <w:rsid w:val="36822372"/>
    <w:rsid w:val="36831015"/>
    <w:rsid w:val="36B24ABC"/>
    <w:rsid w:val="36E6382E"/>
    <w:rsid w:val="37676413"/>
    <w:rsid w:val="3779704D"/>
    <w:rsid w:val="377B4EF9"/>
    <w:rsid w:val="37910936"/>
    <w:rsid w:val="37D55817"/>
    <w:rsid w:val="37FE3DBE"/>
    <w:rsid w:val="382F2482"/>
    <w:rsid w:val="383B638A"/>
    <w:rsid w:val="383F7BF5"/>
    <w:rsid w:val="3846618B"/>
    <w:rsid w:val="384C6873"/>
    <w:rsid w:val="384F5553"/>
    <w:rsid w:val="385F48D6"/>
    <w:rsid w:val="38725B59"/>
    <w:rsid w:val="388E5175"/>
    <w:rsid w:val="38DF039E"/>
    <w:rsid w:val="38E9401C"/>
    <w:rsid w:val="38F622B9"/>
    <w:rsid w:val="39011AA7"/>
    <w:rsid w:val="39105A0B"/>
    <w:rsid w:val="391D6D93"/>
    <w:rsid w:val="3960005A"/>
    <w:rsid w:val="39BB5731"/>
    <w:rsid w:val="39DC0E57"/>
    <w:rsid w:val="39F47749"/>
    <w:rsid w:val="3A02496D"/>
    <w:rsid w:val="3AA129BD"/>
    <w:rsid w:val="3AA26752"/>
    <w:rsid w:val="3AAF7206"/>
    <w:rsid w:val="3ADF7C48"/>
    <w:rsid w:val="3AEA46E4"/>
    <w:rsid w:val="3AFF008A"/>
    <w:rsid w:val="3B594C8E"/>
    <w:rsid w:val="3BC85AEC"/>
    <w:rsid w:val="3BD245EF"/>
    <w:rsid w:val="3C3F4DCE"/>
    <w:rsid w:val="3CB01E05"/>
    <w:rsid w:val="3CD70388"/>
    <w:rsid w:val="3CF05B6A"/>
    <w:rsid w:val="3D1F083F"/>
    <w:rsid w:val="3D4773D7"/>
    <w:rsid w:val="3D4E61EA"/>
    <w:rsid w:val="3D99513A"/>
    <w:rsid w:val="3DB73EA9"/>
    <w:rsid w:val="3DC62E87"/>
    <w:rsid w:val="3DD60F4C"/>
    <w:rsid w:val="3DE171B2"/>
    <w:rsid w:val="3DFE11C9"/>
    <w:rsid w:val="3E0706EE"/>
    <w:rsid w:val="3E27622E"/>
    <w:rsid w:val="3E516CFD"/>
    <w:rsid w:val="3EB21D49"/>
    <w:rsid w:val="3EC8115F"/>
    <w:rsid w:val="3EE55590"/>
    <w:rsid w:val="3F0EDA4D"/>
    <w:rsid w:val="3F392573"/>
    <w:rsid w:val="3F5A6D61"/>
    <w:rsid w:val="3F870339"/>
    <w:rsid w:val="3FA163C9"/>
    <w:rsid w:val="3FCC1900"/>
    <w:rsid w:val="3FD63B79"/>
    <w:rsid w:val="3FFB9E1A"/>
    <w:rsid w:val="402B37E9"/>
    <w:rsid w:val="408D5252"/>
    <w:rsid w:val="408E7083"/>
    <w:rsid w:val="40974129"/>
    <w:rsid w:val="40C052B5"/>
    <w:rsid w:val="40DC607F"/>
    <w:rsid w:val="412D134C"/>
    <w:rsid w:val="412F3981"/>
    <w:rsid w:val="41532E44"/>
    <w:rsid w:val="41943B22"/>
    <w:rsid w:val="41B359D0"/>
    <w:rsid w:val="41F00D80"/>
    <w:rsid w:val="41FE5B7A"/>
    <w:rsid w:val="420D2A76"/>
    <w:rsid w:val="420F5ECE"/>
    <w:rsid w:val="42115558"/>
    <w:rsid w:val="42434B4C"/>
    <w:rsid w:val="4245656A"/>
    <w:rsid w:val="42B70C1A"/>
    <w:rsid w:val="42CE79A5"/>
    <w:rsid w:val="42D3276C"/>
    <w:rsid w:val="43B81C3C"/>
    <w:rsid w:val="43CB58AD"/>
    <w:rsid w:val="44322578"/>
    <w:rsid w:val="443915F0"/>
    <w:rsid w:val="443F2E40"/>
    <w:rsid w:val="44D32011"/>
    <w:rsid w:val="44EA6DBA"/>
    <w:rsid w:val="453F32B8"/>
    <w:rsid w:val="455372F9"/>
    <w:rsid w:val="455A34C7"/>
    <w:rsid w:val="457E3731"/>
    <w:rsid w:val="45C863CE"/>
    <w:rsid w:val="45E617A2"/>
    <w:rsid w:val="469C10D9"/>
    <w:rsid w:val="46E12883"/>
    <w:rsid w:val="471373F4"/>
    <w:rsid w:val="471B0371"/>
    <w:rsid w:val="47342575"/>
    <w:rsid w:val="47430FF6"/>
    <w:rsid w:val="475810E3"/>
    <w:rsid w:val="47777520"/>
    <w:rsid w:val="47C0241F"/>
    <w:rsid w:val="47C56320"/>
    <w:rsid w:val="47E22794"/>
    <w:rsid w:val="47FE3506"/>
    <w:rsid w:val="48880E5F"/>
    <w:rsid w:val="48B91013"/>
    <w:rsid w:val="48BB1CC6"/>
    <w:rsid w:val="48C8782B"/>
    <w:rsid w:val="48F11823"/>
    <w:rsid w:val="48F86BE5"/>
    <w:rsid w:val="490B6ACD"/>
    <w:rsid w:val="491B7531"/>
    <w:rsid w:val="494F7C5B"/>
    <w:rsid w:val="49635483"/>
    <w:rsid w:val="498875C7"/>
    <w:rsid w:val="49D858F3"/>
    <w:rsid w:val="49DA6C24"/>
    <w:rsid w:val="49FE1240"/>
    <w:rsid w:val="4A170331"/>
    <w:rsid w:val="4A2A5135"/>
    <w:rsid w:val="4A2F47C5"/>
    <w:rsid w:val="4A312B03"/>
    <w:rsid w:val="4A4A68D3"/>
    <w:rsid w:val="4A6025DC"/>
    <w:rsid w:val="4A9A3072"/>
    <w:rsid w:val="4AFE50D7"/>
    <w:rsid w:val="4B965E6E"/>
    <w:rsid w:val="4BBB5F7A"/>
    <w:rsid w:val="4BDF4233"/>
    <w:rsid w:val="4BF130BF"/>
    <w:rsid w:val="4C1F4471"/>
    <w:rsid w:val="4C2A26B3"/>
    <w:rsid w:val="4C2A55F7"/>
    <w:rsid w:val="4C347692"/>
    <w:rsid w:val="4C7F1AF8"/>
    <w:rsid w:val="4C9E06AA"/>
    <w:rsid w:val="4CB858B0"/>
    <w:rsid w:val="4CCA4FA6"/>
    <w:rsid w:val="4CE04CBA"/>
    <w:rsid w:val="4CE92E4A"/>
    <w:rsid w:val="4D2F41F1"/>
    <w:rsid w:val="4D4F4A78"/>
    <w:rsid w:val="4D863C84"/>
    <w:rsid w:val="4DA939E7"/>
    <w:rsid w:val="4DB35624"/>
    <w:rsid w:val="4DD04885"/>
    <w:rsid w:val="4DD91993"/>
    <w:rsid w:val="4E110E15"/>
    <w:rsid w:val="4E126B6C"/>
    <w:rsid w:val="4E42415C"/>
    <w:rsid w:val="4E552693"/>
    <w:rsid w:val="4E772CF1"/>
    <w:rsid w:val="4EA06CCA"/>
    <w:rsid w:val="4EA63A32"/>
    <w:rsid w:val="4EAA6197"/>
    <w:rsid w:val="4EB548C1"/>
    <w:rsid w:val="4EBE2139"/>
    <w:rsid w:val="4ECE562C"/>
    <w:rsid w:val="4EE022D7"/>
    <w:rsid w:val="4F0523E5"/>
    <w:rsid w:val="4F09529A"/>
    <w:rsid w:val="4F1F7FBD"/>
    <w:rsid w:val="4F37548B"/>
    <w:rsid w:val="4F4A264F"/>
    <w:rsid w:val="4F637520"/>
    <w:rsid w:val="4F976146"/>
    <w:rsid w:val="4FD70511"/>
    <w:rsid w:val="4FFC459C"/>
    <w:rsid w:val="50102E4D"/>
    <w:rsid w:val="50172010"/>
    <w:rsid w:val="502B13F3"/>
    <w:rsid w:val="504604FF"/>
    <w:rsid w:val="5058225A"/>
    <w:rsid w:val="50715DAA"/>
    <w:rsid w:val="509613A4"/>
    <w:rsid w:val="5132162C"/>
    <w:rsid w:val="51B43660"/>
    <w:rsid w:val="51BC348B"/>
    <w:rsid w:val="51FF4BFC"/>
    <w:rsid w:val="523A2FDC"/>
    <w:rsid w:val="5282540C"/>
    <w:rsid w:val="5322044D"/>
    <w:rsid w:val="53233084"/>
    <w:rsid w:val="53296BFE"/>
    <w:rsid w:val="532A1EEC"/>
    <w:rsid w:val="535C7B83"/>
    <w:rsid w:val="535F6A0B"/>
    <w:rsid w:val="53AD28F5"/>
    <w:rsid w:val="53C72F70"/>
    <w:rsid w:val="53D97F89"/>
    <w:rsid w:val="53F5419F"/>
    <w:rsid w:val="545F7F08"/>
    <w:rsid w:val="546469A3"/>
    <w:rsid w:val="547C7579"/>
    <w:rsid w:val="54992B01"/>
    <w:rsid w:val="54FB2DF7"/>
    <w:rsid w:val="54FD575D"/>
    <w:rsid w:val="550971B7"/>
    <w:rsid w:val="552E0026"/>
    <w:rsid w:val="556A0EA8"/>
    <w:rsid w:val="557F6A95"/>
    <w:rsid w:val="55AB0A3D"/>
    <w:rsid w:val="55B43F02"/>
    <w:rsid w:val="55D008A2"/>
    <w:rsid w:val="55FF013E"/>
    <w:rsid w:val="560E131D"/>
    <w:rsid w:val="560F7B44"/>
    <w:rsid w:val="56590F16"/>
    <w:rsid w:val="56B65064"/>
    <w:rsid w:val="56F2038C"/>
    <w:rsid w:val="57120E18"/>
    <w:rsid w:val="571F0BD9"/>
    <w:rsid w:val="573FAD44"/>
    <w:rsid w:val="575D1A32"/>
    <w:rsid w:val="579635E6"/>
    <w:rsid w:val="57BC7EBF"/>
    <w:rsid w:val="57F13D22"/>
    <w:rsid w:val="5855004F"/>
    <w:rsid w:val="587F4F9D"/>
    <w:rsid w:val="58807F79"/>
    <w:rsid w:val="58F07037"/>
    <w:rsid w:val="594133C7"/>
    <w:rsid w:val="595354BE"/>
    <w:rsid w:val="597F22BE"/>
    <w:rsid w:val="5985281F"/>
    <w:rsid w:val="59990C9E"/>
    <w:rsid w:val="59A36876"/>
    <w:rsid w:val="59AA6DED"/>
    <w:rsid w:val="59C33730"/>
    <w:rsid w:val="59FF29E8"/>
    <w:rsid w:val="5A6D34F7"/>
    <w:rsid w:val="5AC07AF5"/>
    <w:rsid w:val="5AC96437"/>
    <w:rsid w:val="5ADF26A5"/>
    <w:rsid w:val="5B55524B"/>
    <w:rsid w:val="5B7F1CCC"/>
    <w:rsid w:val="5B8212AE"/>
    <w:rsid w:val="5B8E16BE"/>
    <w:rsid w:val="5BA709B8"/>
    <w:rsid w:val="5C1B498C"/>
    <w:rsid w:val="5C334DAB"/>
    <w:rsid w:val="5C370F37"/>
    <w:rsid w:val="5C4C4A25"/>
    <w:rsid w:val="5C6130E6"/>
    <w:rsid w:val="5C615953"/>
    <w:rsid w:val="5C791B87"/>
    <w:rsid w:val="5C9872D1"/>
    <w:rsid w:val="5CBC7FF7"/>
    <w:rsid w:val="5CC23F21"/>
    <w:rsid w:val="5CC87FEE"/>
    <w:rsid w:val="5CDB3F23"/>
    <w:rsid w:val="5CDC367A"/>
    <w:rsid w:val="5CE32EC5"/>
    <w:rsid w:val="5D2927D9"/>
    <w:rsid w:val="5D3830B2"/>
    <w:rsid w:val="5D5245E1"/>
    <w:rsid w:val="5D6313F0"/>
    <w:rsid w:val="5DA80C27"/>
    <w:rsid w:val="5DE516D8"/>
    <w:rsid w:val="5DF830ED"/>
    <w:rsid w:val="5E322179"/>
    <w:rsid w:val="5E372DAF"/>
    <w:rsid w:val="5E451D1C"/>
    <w:rsid w:val="5E5030F2"/>
    <w:rsid w:val="5E5D77A6"/>
    <w:rsid w:val="5EBB328D"/>
    <w:rsid w:val="5ECF5055"/>
    <w:rsid w:val="5EE76FD5"/>
    <w:rsid w:val="5EFB003A"/>
    <w:rsid w:val="5F0D1746"/>
    <w:rsid w:val="5F0F7F7C"/>
    <w:rsid w:val="5F1023AF"/>
    <w:rsid w:val="5F230066"/>
    <w:rsid w:val="5F2C0893"/>
    <w:rsid w:val="5F77BD97"/>
    <w:rsid w:val="5F8875A9"/>
    <w:rsid w:val="5F9D92B2"/>
    <w:rsid w:val="5FEB39B4"/>
    <w:rsid w:val="5FEF0046"/>
    <w:rsid w:val="5FFE5C2E"/>
    <w:rsid w:val="601A34E4"/>
    <w:rsid w:val="60A700F0"/>
    <w:rsid w:val="60C42297"/>
    <w:rsid w:val="60CD2498"/>
    <w:rsid w:val="610276CA"/>
    <w:rsid w:val="610620F5"/>
    <w:rsid w:val="61A10990"/>
    <w:rsid w:val="61A32DCA"/>
    <w:rsid w:val="61A34EB2"/>
    <w:rsid w:val="61AB5AD0"/>
    <w:rsid w:val="61C575E4"/>
    <w:rsid w:val="61FD3C9A"/>
    <w:rsid w:val="620220D3"/>
    <w:rsid w:val="620852F1"/>
    <w:rsid w:val="62354F9F"/>
    <w:rsid w:val="625A4E8F"/>
    <w:rsid w:val="625F2239"/>
    <w:rsid w:val="62693CA4"/>
    <w:rsid w:val="62A94A50"/>
    <w:rsid w:val="62AE2B10"/>
    <w:rsid w:val="62B32C29"/>
    <w:rsid w:val="63765C24"/>
    <w:rsid w:val="638F750E"/>
    <w:rsid w:val="639C07F8"/>
    <w:rsid w:val="63BF04FC"/>
    <w:rsid w:val="63E45C59"/>
    <w:rsid w:val="63E51574"/>
    <w:rsid w:val="63F03671"/>
    <w:rsid w:val="64084E06"/>
    <w:rsid w:val="64462C6E"/>
    <w:rsid w:val="64807DF2"/>
    <w:rsid w:val="64A65E22"/>
    <w:rsid w:val="64CC61F6"/>
    <w:rsid w:val="64EC3AFF"/>
    <w:rsid w:val="64F153AB"/>
    <w:rsid w:val="650D17E0"/>
    <w:rsid w:val="6510193B"/>
    <w:rsid w:val="657E0FA5"/>
    <w:rsid w:val="65A94F13"/>
    <w:rsid w:val="65CC488D"/>
    <w:rsid w:val="65EB46CB"/>
    <w:rsid w:val="661D4C25"/>
    <w:rsid w:val="66537466"/>
    <w:rsid w:val="667B444F"/>
    <w:rsid w:val="668301E1"/>
    <w:rsid w:val="668C4F2D"/>
    <w:rsid w:val="669A0970"/>
    <w:rsid w:val="66A20923"/>
    <w:rsid w:val="66CF5E9A"/>
    <w:rsid w:val="66DB4F9F"/>
    <w:rsid w:val="6706322D"/>
    <w:rsid w:val="671C2CDD"/>
    <w:rsid w:val="67281F92"/>
    <w:rsid w:val="67482DF0"/>
    <w:rsid w:val="676846C2"/>
    <w:rsid w:val="6777054D"/>
    <w:rsid w:val="677D177C"/>
    <w:rsid w:val="678E12DA"/>
    <w:rsid w:val="67B172AE"/>
    <w:rsid w:val="67FD7F6C"/>
    <w:rsid w:val="68564ED0"/>
    <w:rsid w:val="68C64279"/>
    <w:rsid w:val="68ED3F80"/>
    <w:rsid w:val="69032F75"/>
    <w:rsid w:val="69252A02"/>
    <w:rsid w:val="69403126"/>
    <w:rsid w:val="697F598D"/>
    <w:rsid w:val="69993DCE"/>
    <w:rsid w:val="69C32E6B"/>
    <w:rsid w:val="69DB29DE"/>
    <w:rsid w:val="6A0321EF"/>
    <w:rsid w:val="6A60003D"/>
    <w:rsid w:val="6A652F75"/>
    <w:rsid w:val="6A820F1B"/>
    <w:rsid w:val="6A857E12"/>
    <w:rsid w:val="6A972467"/>
    <w:rsid w:val="6AD76E05"/>
    <w:rsid w:val="6AE0186F"/>
    <w:rsid w:val="6AFC0D0B"/>
    <w:rsid w:val="6B0D67BB"/>
    <w:rsid w:val="6B103973"/>
    <w:rsid w:val="6B164E7E"/>
    <w:rsid w:val="6B2944ED"/>
    <w:rsid w:val="6B2C3CC7"/>
    <w:rsid w:val="6B34732D"/>
    <w:rsid w:val="6B53169D"/>
    <w:rsid w:val="6B5E73CD"/>
    <w:rsid w:val="6B6E0735"/>
    <w:rsid w:val="6BDE313B"/>
    <w:rsid w:val="6BF73CEC"/>
    <w:rsid w:val="6C282FFD"/>
    <w:rsid w:val="6C2A1A9D"/>
    <w:rsid w:val="6CC077E1"/>
    <w:rsid w:val="6D371226"/>
    <w:rsid w:val="6D4351F9"/>
    <w:rsid w:val="6D5A7BAF"/>
    <w:rsid w:val="6D69507F"/>
    <w:rsid w:val="6D8E2AD7"/>
    <w:rsid w:val="6DB131CF"/>
    <w:rsid w:val="6DCA4C6D"/>
    <w:rsid w:val="6DD72C90"/>
    <w:rsid w:val="6E2B23E0"/>
    <w:rsid w:val="6E335E3B"/>
    <w:rsid w:val="6E801EC2"/>
    <w:rsid w:val="6E803871"/>
    <w:rsid w:val="6E9B381A"/>
    <w:rsid w:val="6E9D0652"/>
    <w:rsid w:val="6ECB5519"/>
    <w:rsid w:val="6F385CDC"/>
    <w:rsid w:val="6F620D5F"/>
    <w:rsid w:val="6F6F27D4"/>
    <w:rsid w:val="6F753DC3"/>
    <w:rsid w:val="6F8D0707"/>
    <w:rsid w:val="6FAB585D"/>
    <w:rsid w:val="6FE13D67"/>
    <w:rsid w:val="6FF132D5"/>
    <w:rsid w:val="6FF78D06"/>
    <w:rsid w:val="701541B8"/>
    <w:rsid w:val="70191F6A"/>
    <w:rsid w:val="701E2FAA"/>
    <w:rsid w:val="70241073"/>
    <w:rsid w:val="702B6370"/>
    <w:rsid w:val="705E10BF"/>
    <w:rsid w:val="70CE72F2"/>
    <w:rsid w:val="70F831E4"/>
    <w:rsid w:val="7109386B"/>
    <w:rsid w:val="71191A55"/>
    <w:rsid w:val="71467014"/>
    <w:rsid w:val="715323FB"/>
    <w:rsid w:val="71A67DBF"/>
    <w:rsid w:val="71B02ADF"/>
    <w:rsid w:val="71E90A12"/>
    <w:rsid w:val="71F135F1"/>
    <w:rsid w:val="720A1ED7"/>
    <w:rsid w:val="721D1EB9"/>
    <w:rsid w:val="725A7DF9"/>
    <w:rsid w:val="725B351D"/>
    <w:rsid w:val="727F0E4C"/>
    <w:rsid w:val="728945F0"/>
    <w:rsid w:val="72971C95"/>
    <w:rsid w:val="72A80C15"/>
    <w:rsid w:val="72D40D8E"/>
    <w:rsid w:val="7306153B"/>
    <w:rsid w:val="731E5ACA"/>
    <w:rsid w:val="7332099E"/>
    <w:rsid w:val="73597B1B"/>
    <w:rsid w:val="739400A3"/>
    <w:rsid w:val="73C52F77"/>
    <w:rsid w:val="73E63262"/>
    <w:rsid w:val="73E75D18"/>
    <w:rsid w:val="73F8186A"/>
    <w:rsid w:val="741F73B5"/>
    <w:rsid w:val="74240221"/>
    <w:rsid w:val="742B1523"/>
    <w:rsid w:val="742F2F43"/>
    <w:rsid w:val="746E7DF0"/>
    <w:rsid w:val="747A6409"/>
    <w:rsid w:val="74A3315E"/>
    <w:rsid w:val="74D21961"/>
    <w:rsid w:val="750433B2"/>
    <w:rsid w:val="75135BFC"/>
    <w:rsid w:val="75302929"/>
    <w:rsid w:val="7562184E"/>
    <w:rsid w:val="756C4C72"/>
    <w:rsid w:val="758164D2"/>
    <w:rsid w:val="75A6455D"/>
    <w:rsid w:val="760C255E"/>
    <w:rsid w:val="762A2C20"/>
    <w:rsid w:val="76ED5B96"/>
    <w:rsid w:val="76FA2A16"/>
    <w:rsid w:val="77020109"/>
    <w:rsid w:val="771255A3"/>
    <w:rsid w:val="77506A66"/>
    <w:rsid w:val="775B6196"/>
    <w:rsid w:val="77715E04"/>
    <w:rsid w:val="77B10BEA"/>
    <w:rsid w:val="77B53606"/>
    <w:rsid w:val="77BE50BF"/>
    <w:rsid w:val="77CE6438"/>
    <w:rsid w:val="77D26A0D"/>
    <w:rsid w:val="77D51429"/>
    <w:rsid w:val="77F11070"/>
    <w:rsid w:val="78115FC5"/>
    <w:rsid w:val="781324CC"/>
    <w:rsid w:val="784C5204"/>
    <w:rsid w:val="784C77A3"/>
    <w:rsid w:val="785FECF3"/>
    <w:rsid w:val="78775A88"/>
    <w:rsid w:val="787A045D"/>
    <w:rsid w:val="78A56D08"/>
    <w:rsid w:val="78DC5078"/>
    <w:rsid w:val="78F10304"/>
    <w:rsid w:val="79142915"/>
    <w:rsid w:val="79190E9B"/>
    <w:rsid w:val="791E6C56"/>
    <w:rsid w:val="794253F4"/>
    <w:rsid w:val="794A0E27"/>
    <w:rsid w:val="797C4521"/>
    <w:rsid w:val="79992F62"/>
    <w:rsid w:val="79A81A4F"/>
    <w:rsid w:val="79D60C00"/>
    <w:rsid w:val="79D7E47D"/>
    <w:rsid w:val="7A0A7341"/>
    <w:rsid w:val="7A4E5E29"/>
    <w:rsid w:val="7AB22B9F"/>
    <w:rsid w:val="7AC25724"/>
    <w:rsid w:val="7AC3163F"/>
    <w:rsid w:val="7BBF855D"/>
    <w:rsid w:val="7BDA584C"/>
    <w:rsid w:val="7BFFE22C"/>
    <w:rsid w:val="7C1E7978"/>
    <w:rsid w:val="7C3C28C9"/>
    <w:rsid w:val="7C3E65DC"/>
    <w:rsid w:val="7C5831C3"/>
    <w:rsid w:val="7CF06EAD"/>
    <w:rsid w:val="7D127078"/>
    <w:rsid w:val="7D2B12ED"/>
    <w:rsid w:val="7D696582"/>
    <w:rsid w:val="7D741D45"/>
    <w:rsid w:val="7D7E529E"/>
    <w:rsid w:val="7DBA41D7"/>
    <w:rsid w:val="7E2F7CAE"/>
    <w:rsid w:val="7E764562"/>
    <w:rsid w:val="7E811049"/>
    <w:rsid w:val="7E9A49AC"/>
    <w:rsid w:val="7EC10E17"/>
    <w:rsid w:val="7F0C0AE7"/>
    <w:rsid w:val="7F1457F0"/>
    <w:rsid w:val="7F236745"/>
    <w:rsid w:val="7F365A02"/>
    <w:rsid w:val="7F751142"/>
    <w:rsid w:val="7F7C2835"/>
    <w:rsid w:val="7F7DC98F"/>
    <w:rsid w:val="7F90495A"/>
    <w:rsid w:val="7FC84395"/>
    <w:rsid w:val="7FD31088"/>
    <w:rsid w:val="7FE31F5B"/>
    <w:rsid w:val="7FECE43D"/>
    <w:rsid w:val="7FEDD459"/>
    <w:rsid w:val="7FEE7E86"/>
    <w:rsid w:val="7FEF7698"/>
    <w:rsid w:val="7FFFEEED"/>
    <w:rsid w:val="96E78C28"/>
    <w:rsid w:val="9EA52CCC"/>
    <w:rsid w:val="AF27D04D"/>
    <w:rsid w:val="B6FDDA2B"/>
    <w:rsid w:val="BAEF0323"/>
    <w:rsid w:val="BBEF48D2"/>
    <w:rsid w:val="BFFB28DE"/>
    <w:rsid w:val="C7B9621C"/>
    <w:rsid w:val="DEF6A4E5"/>
    <w:rsid w:val="EBBD0840"/>
    <w:rsid w:val="EECFA717"/>
    <w:rsid w:val="EF2FF94B"/>
    <w:rsid w:val="F3FA4D2C"/>
    <w:rsid w:val="F74BE6A2"/>
    <w:rsid w:val="F7D75469"/>
    <w:rsid w:val="F7EFEA77"/>
    <w:rsid w:val="FAF7ACD7"/>
    <w:rsid w:val="FBF3E785"/>
    <w:rsid w:val="FDDF14F9"/>
    <w:rsid w:val="FDFDC349"/>
    <w:rsid w:val="FFAE4487"/>
    <w:rsid w:val="FFFB120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iPriority="99" w:name="endnote reference"/>
    <w:lsdException w:qFormat="1" w:unhideWhenUsed="0" w:uiPriority="0" w:semiHidden="0" w:name="endnote text"/>
    <w:lsdException w:uiPriority="99"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qFormat="1"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iPriority="99" w:name="List Continue"/>
    <w:lsdException w:qFormat="1" w:unhideWhenUsed="0" w:uiPriority="0"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99" w:name="HTML Typewriter"/>
    <w:lsdException w:uiPriority="99" w:name="HTML Variable"/>
    <w:lsdException w:qFormat="1" w:unhideWhenUsed="0" w:uiPriority="0"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宋体" w:hAnsi="宋体" w:eastAsia="宋体" w:cs="宋体"/>
      <w:sz w:val="24"/>
      <w:szCs w:val="24"/>
      <w:lang w:val="en-US" w:eastAsia="zh-CN" w:bidi="ar-SA"/>
    </w:rPr>
  </w:style>
  <w:style w:type="paragraph" w:styleId="8">
    <w:name w:val="heading 1"/>
    <w:basedOn w:val="1"/>
    <w:next w:val="1"/>
    <w:link w:val="85"/>
    <w:qFormat/>
    <w:uiPriority w:val="0"/>
    <w:pPr>
      <w:keepNext/>
      <w:jc w:val="center"/>
      <w:outlineLvl w:val="0"/>
    </w:pPr>
    <w:rPr>
      <w:rFonts w:ascii="Times New Roman" w:hAnsi="Times New Roman" w:cs="Times New Roman"/>
      <w:kern w:val="2"/>
      <w:sz w:val="28"/>
    </w:rPr>
  </w:style>
  <w:style w:type="paragraph" w:styleId="9">
    <w:name w:val="heading 2"/>
    <w:basedOn w:val="1"/>
    <w:next w:val="1"/>
    <w:link w:val="86"/>
    <w:qFormat/>
    <w:uiPriority w:val="0"/>
    <w:pPr>
      <w:keepNext/>
      <w:keepLines/>
      <w:spacing w:before="260" w:after="260" w:line="416" w:lineRule="auto"/>
      <w:outlineLvl w:val="1"/>
    </w:pPr>
    <w:rPr>
      <w:rFonts w:ascii="Arial" w:hAnsi="Arial" w:eastAsia="黑体" w:cs="Times New Roman"/>
      <w:b/>
      <w:bCs/>
      <w:kern w:val="2"/>
      <w:sz w:val="32"/>
      <w:szCs w:val="32"/>
    </w:rPr>
  </w:style>
  <w:style w:type="paragraph" w:styleId="10">
    <w:name w:val="heading 3"/>
    <w:basedOn w:val="1"/>
    <w:next w:val="1"/>
    <w:link w:val="87"/>
    <w:qFormat/>
    <w:uiPriority w:val="0"/>
    <w:pPr>
      <w:keepNext/>
      <w:keepLines/>
      <w:spacing w:before="260" w:after="260" w:line="416" w:lineRule="auto"/>
      <w:outlineLvl w:val="2"/>
    </w:pPr>
    <w:rPr>
      <w:rFonts w:ascii="Calibri" w:hAnsi="Calibri" w:cs="Times New Roman"/>
      <w:b/>
      <w:bCs/>
      <w:kern w:val="2"/>
      <w:sz w:val="32"/>
      <w:szCs w:val="32"/>
    </w:rPr>
  </w:style>
  <w:style w:type="paragraph" w:styleId="11">
    <w:name w:val="heading 4"/>
    <w:basedOn w:val="1"/>
    <w:next w:val="1"/>
    <w:link w:val="88"/>
    <w:qFormat/>
    <w:uiPriority w:val="0"/>
    <w:pPr>
      <w:keepNext/>
      <w:keepLines/>
      <w:spacing w:before="280" w:after="290" w:line="376" w:lineRule="auto"/>
      <w:outlineLvl w:val="3"/>
    </w:pPr>
    <w:rPr>
      <w:rFonts w:ascii="Cambria" w:hAnsi="Cambria" w:cs="Times New Roman"/>
      <w:b/>
      <w:bCs/>
      <w:kern w:val="2"/>
      <w:sz w:val="28"/>
      <w:szCs w:val="28"/>
    </w:rPr>
  </w:style>
  <w:style w:type="paragraph" w:styleId="12">
    <w:name w:val="heading 5"/>
    <w:basedOn w:val="1"/>
    <w:next w:val="1"/>
    <w:link w:val="89"/>
    <w:qFormat/>
    <w:uiPriority w:val="0"/>
    <w:pPr>
      <w:keepNext/>
      <w:keepLines/>
      <w:spacing w:before="280" w:after="290" w:line="376" w:lineRule="auto"/>
      <w:outlineLvl w:val="4"/>
    </w:pPr>
    <w:rPr>
      <w:rFonts w:cs="Times New Roman"/>
      <w:b/>
      <w:bCs/>
      <w:sz w:val="28"/>
      <w:szCs w:val="28"/>
    </w:rPr>
  </w:style>
  <w:style w:type="paragraph" w:styleId="13">
    <w:name w:val="heading 6"/>
    <w:basedOn w:val="1"/>
    <w:next w:val="14"/>
    <w:link w:val="90"/>
    <w:qFormat/>
    <w:uiPriority w:val="0"/>
    <w:pPr>
      <w:keepNext/>
      <w:keepLines/>
      <w:numPr>
        <w:ilvl w:val="5"/>
        <w:numId w:val="1"/>
      </w:numPr>
      <w:spacing w:before="240" w:after="64" w:line="320" w:lineRule="auto"/>
      <w:outlineLvl w:val="5"/>
    </w:pPr>
    <w:rPr>
      <w:rFonts w:ascii="Arial" w:hAnsi="Arial" w:eastAsia="黑体" w:cs="Times New Roman"/>
      <w:b/>
      <w:bCs/>
      <w:spacing w:val="6"/>
    </w:rPr>
  </w:style>
  <w:style w:type="paragraph" w:styleId="15">
    <w:name w:val="heading 7"/>
    <w:basedOn w:val="1"/>
    <w:next w:val="14"/>
    <w:link w:val="92"/>
    <w:qFormat/>
    <w:uiPriority w:val="0"/>
    <w:pPr>
      <w:keepNext/>
      <w:keepLines/>
      <w:numPr>
        <w:ilvl w:val="6"/>
        <w:numId w:val="1"/>
      </w:numPr>
      <w:spacing w:before="240" w:after="64" w:line="320" w:lineRule="auto"/>
      <w:outlineLvl w:val="6"/>
    </w:pPr>
    <w:rPr>
      <w:rFonts w:cs="Times New Roman"/>
      <w:b/>
      <w:bCs/>
      <w:spacing w:val="6"/>
    </w:rPr>
  </w:style>
  <w:style w:type="paragraph" w:styleId="16">
    <w:name w:val="heading 8"/>
    <w:basedOn w:val="1"/>
    <w:next w:val="14"/>
    <w:link w:val="93"/>
    <w:qFormat/>
    <w:uiPriority w:val="0"/>
    <w:pPr>
      <w:keepNext/>
      <w:keepLines/>
      <w:numPr>
        <w:ilvl w:val="7"/>
        <w:numId w:val="1"/>
      </w:numPr>
      <w:spacing w:before="240" w:after="64" w:line="320" w:lineRule="auto"/>
      <w:outlineLvl w:val="7"/>
    </w:pPr>
    <w:rPr>
      <w:rFonts w:ascii="Arial" w:hAnsi="Arial" w:eastAsia="黑体" w:cs="Times New Roman"/>
      <w:spacing w:val="6"/>
    </w:rPr>
  </w:style>
  <w:style w:type="paragraph" w:styleId="17">
    <w:name w:val="heading 9"/>
    <w:basedOn w:val="1"/>
    <w:next w:val="14"/>
    <w:link w:val="94"/>
    <w:qFormat/>
    <w:uiPriority w:val="0"/>
    <w:pPr>
      <w:keepNext/>
      <w:keepLines/>
      <w:numPr>
        <w:ilvl w:val="8"/>
        <w:numId w:val="1"/>
      </w:numPr>
      <w:spacing w:before="240" w:after="64" w:line="320" w:lineRule="auto"/>
      <w:outlineLvl w:val="8"/>
    </w:pPr>
    <w:rPr>
      <w:rFonts w:ascii="Arial" w:hAnsi="Arial" w:eastAsia="黑体" w:cs="Times New Roman"/>
      <w:spacing w:val="6"/>
    </w:rPr>
  </w:style>
  <w:style w:type="character" w:default="1" w:styleId="68">
    <w:name w:val="Default Paragraph Font"/>
    <w:qFormat/>
    <w:uiPriority w:val="0"/>
  </w:style>
  <w:style w:type="table" w:default="1" w:styleId="66">
    <w:name w:val="Normal Table"/>
    <w:qFormat/>
    <w:uiPriority w:val="0"/>
    <w:tblPr>
      <w:tblCellMar>
        <w:top w:w="0" w:type="dxa"/>
        <w:left w:w="108" w:type="dxa"/>
        <w:bottom w:w="0" w:type="dxa"/>
        <w:right w:w="108" w:type="dxa"/>
      </w:tblCellMar>
    </w:tblPr>
  </w:style>
  <w:style w:type="paragraph" w:customStyle="1" w:styleId="2">
    <w:name w:val="表格文字"/>
    <w:basedOn w:val="3"/>
    <w:next w:val="4"/>
    <w:qFormat/>
    <w:uiPriority w:val="0"/>
  </w:style>
  <w:style w:type="paragraph" w:customStyle="1" w:styleId="3">
    <w:name w:val="表格文字（两侧对齐）"/>
    <w:basedOn w:val="1"/>
    <w:link w:val="217"/>
    <w:qFormat/>
    <w:uiPriority w:val="0"/>
    <w:pPr>
      <w:widowControl w:val="0"/>
      <w:snapToGrid w:val="0"/>
    </w:pPr>
    <w:rPr>
      <w:rFonts w:ascii="Times New Roman" w:hAnsi="Times New Roman" w:cs="Times New Roman"/>
      <w:sz w:val="20"/>
      <w:szCs w:val="20"/>
    </w:rPr>
  </w:style>
  <w:style w:type="paragraph" w:styleId="4">
    <w:name w:val="Body Text"/>
    <w:basedOn w:val="1"/>
    <w:next w:val="5"/>
    <w:link w:val="83"/>
    <w:qFormat/>
    <w:uiPriority w:val="0"/>
    <w:rPr>
      <w:rFonts w:ascii="Arial" w:hAnsi="Arial" w:cs="Times New Roman"/>
      <w:bCs/>
      <w:kern w:val="2"/>
    </w:rPr>
  </w:style>
  <w:style w:type="paragraph" w:styleId="5">
    <w:name w:val="Body Text First Indent"/>
    <w:basedOn w:val="4"/>
    <w:next w:val="6"/>
    <w:link w:val="84"/>
    <w:qFormat/>
    <w:uiPriority w:val="0"/>
    <w:pPr>
      <w:spacing w:after="120"/>
      <w:ind w:firstLine="420" w:firstLineChars="100"/>
    </w:pPr>
    <w:rPr>
      <w:rFonts w:ascii="Calibri" w:hAnsi="Calibri"/>
      <w:sz w:val="21"/>
      <w:szCs w:val="22"/>
    </w:rPr>
  </w:style>
  <w:style w:type="paragraph" w:styleId="6">
    <w:name w:val="toc 6"/>
    <w:basedOn w:val="1"/>
    <w:next w:val="1"/>
    <w:qFormat/>
    <w:uiPriority w:val="0"/>
    <w:pPr>
      <w:widowControl w:val="0"/>
      <w:ind w:left="840"/>
    </w:pPr>
    <w:rPr>
      <w:rFonts w:ascii="Calibri" w:hAnsi="Calibri" w:cs="Calibri"/>
      <w:kern w:val="2"/>
      <w:sz w:val="20"/>
      <w:szCs w:val="20"/>
    </w:rPr>
  </w:style>
  <w:style w:type="paragraph" w:styleId="7">
    <w:name w:val="macro"/>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Times New Roman"/>
      <w:kern w:val="2"/>
      <w:sz w:val="24"/>
      <w:szCs w:val="24"/>
      <w:lang w:val="en-US" w:eastAsia="zh-CN" w:bidi="ar-SA"/>
    </w:rPr>
  </w:style>
  <w:style w:type="paragraph" w:styleId="14">
    <w:name w:val="Normal Indent"/>
    <w:basedOn w:val="1"/>
    <w:link w:val="91"/>
    <w:qFormat/>
    <w:uiPriority w:val="0"/>
    <w:pPr>
      <w:ind w:firstLine="420" w:firstLineChars="200"/>
    </w:pPr>
    <w:rPr>
      <w:rFonts w:ascii="Times New Roman" w:hAnsi="Times New Roman" w:cs="Times New Roman"/>
      <w:kern w:val="2"/>
      <w:sz w:val="21"/>
    </w:rPr>
  </w:style>
  <w:style w:type="paragraph" w:styleId="18">
    <w:name w:val="toc 7"/>
    <w:basedOn w:val="1"/>
    <w:next w:val="1"/>
    <w:qFormat/>
    <w:uiPriority w:val="0"/>
    <w:pPr>
      <w:widowControl w:val="0"/>
      <w:ind w:left="1050"/>
    </w:pPr>
    <w:rPr>
      <w:rFonts w:ascii="Calibri" w:hAnsi="Calibri" w:cs="Calibri"/>
      <w:kern w:val="2"/>
      <w:sz w:val="20"/>
      <w:szCs w:val="20"/>
    </w:rPr>
  </w:style>
  <w:style w:type="paragraph" w:styleId="19">
    <w:name w:val="List Number 2"/>
    <w:basedOn w:val="1"/>
    <w:qFormat/>
    <w:uiPriority w:val="0"/>
    <w:pPr>
      <w:tabs>
        <w:tab w:val="left" w:pos="1697"/>
      </w:tabs>
      <w:spacing w:afterLines="50"/>
      <w:ind w:left="1697" w:hanging="420"/>
    </w:pPr>
    <w:rPr>
      <w:rFonts w:ascii="Times New Roman" w:hAnsi="Times New Roman" w:cs="Times New Roman"/>
      <w:szCs w:val="20"/>
    </w:rPr>
  </w:style>
  <w:style w:type="paragraph" w:styleId="20">
    <w:name w:val="List Bullet 4"/>
    <w:basedOn w:val="1"/>
    <w:qFormat/>
    <w:uiPriority w:val="0"/>
    <w:pPr>
      <w:widowControl w:val="0"/>
      <w:tabs>
        <w:tab w:val="left" w:pos="1620"/>
      </w:tabs>
      <w:snapToGrid w:val="0"/>
      <w:spacing w:line="360" w:lineRule="auto"/>
      <w:ind w:left="1620" w:leftChars="600" w:hanging="420"/>
    </w:pPr>
    <w:rPr>
      <w:rFonts w:ascii="Calibri" w:hAnsi="Calibri" w:cs="Times New Roman"/>
      <w:b/>
      <w:kern w:val="2"/>
      <w:sz w:val="32"/>
      <w:szCs w:val="20"/>
    </w:rPr>
  </w:style>
  <w:style w:type="paragraph" w:styleId="21">
    <w:name w:val="List Number"/>
    <w:basedOn w:val="1"/>
    <w:qFormat/>
    <w:uiPriority w:val="0"/>
    <w:pPr>
      <w:tabs>
        <w:tab w:val="left" w:pos="454"/>
        <w:tab w:val="left" w:pos="720"/>
        <w:tab w:val="left" w:pos="840"/>
      </w:tabs>
      <w:spacing w:afterLines="50"/>
      <w:ind w:left="454" w:hanging="284"/>
    </w:pPr>
    <w:rPr>
      <w:rFonts w:ascii="Times New Roman" w:hAnsi="Times New Roman" w:cs="Times New Roman"/>
      <w:sz w:val="21"/>
      <w:szCs w:val="20"/>
    </w:rPr>
  </w:style>
  <w:style w:type="paragraph" w:styleId="22">
    <w:name w:val="caption"/>
    <w:basedOn w:val="1"/>
    <w:next w:val="1"/>
    <w:link w:val="95"/>
    <w:qFormat/>
    <w:uiPriority w:val="0"/>
    <w:pPr>
      <w:widowControl w:val="0"/>
      <w:jc w:val="both"/>
    </w:pPr>
    <w:rPr>
      <w:rFonts w:ascii="Arial" w:hAnsi="Arial" w:eastAsia="黑体" w:cs="Times New Roman"/>
      <w:kern w:val="2"/>
    </w:rPr>
  </w:style>
  <w:style w:type="paragraph" w:styleId="23">
    <w:name w:val="List Bullet"/>
    <w:basedOn w:val="1"/>
    <w:qFormat/>
    <w:uiPriority w:val="0"/>
    <w:pPr>
      <w:widowControl w:val="0"/>
      <w:spacing w:line="360" w:lineRule="auto"/>
      <w:jc w:val="both"/>
    </w:pPr>
    <w:rPr>
      <w:rFonts w:hAnsi="Times New Roman" w:cs="Times New Roman"/>
      <w:kern w:val="2"/>
      <w:sz w:val="20"/>
      <w:szCs w:val="20"/>
    </w:rPr>
  </w:style>
  <w:style w:type="paragraph" w:styleId="24">
    <w:name w:val="Document Map"/>
    <w:basedOn w:val="1"/>
    <w:link w:val="96"/>
    <w:qFormat/>
    <w:uiPriority w:val="0"/>
    <w:rPr>
      <w:rFonts w:hAnsi="Calibri" w:cs="Times New Roman"/>
      <w:kern w:val="2"/>
      <w:sz w:val="18"/>
      <w:szCs w:val="18"/>
    </w:rPr>
  </w:style>
  <w:style w:type="paragraph" w:styleId="25">
    <w:name w:val="toa heading"/>
    <w:basedOn w:val="1"/>
    <w:next w:val="1"/>
    <w:qFormat/>
    <w:uiPriority w:val="0"/>
    <w:pPr>
      <w:spacing w:before="120"/>
    </w:pPr>
    <w:rPr>
      <w:rFonts w:ascii="Arial" w:hAnsi="Arial" w:cs="Arial"/>
      <w:sz w:val="24"/>
    </w:rPr>
  </w:style>
  <w:style w:type="paragraph" w:styleId="26">
    <w:name w:val="annotation text"/>
    <w:basedOn w:val="1"/>
    <w:link w:val="97"/>
    <w:qFormat/>
    <w:uiPriority w:val="99"/>
    <w:pPr>
      <w:jc w:val="left"/>
    </w:pPr>
    <w:rPr>
      <w:rFonts w:ascii="Calibri" w:hAnsi="Calibri" w:cs="Times New Roman"/>
      <w:kern w:val="2"/>
      <w:sz w:val="21"/>
      <w:szCs w:val="22"/>
    </w:rPr>
  </w:style>
  <w:style w:type="paragraph" w:styleId="27">
    <w:name w:val="Salutation"/>
    <w:basedOn w:val="1"/>
    <w:next w:val="1"/>
    <w:link w:val="98"/>
    <w:qFormat/>
    <w:uiPriority w:val="0"/>
    <w:pPr>
      <w:widowControl w:val="0"/>
      <w:tabs>
        <w:tab w:val="left" w:pos="840"/>
      </w:tabs>
      <w:autoSpaceDE w:val="0"/>
      <w:autoSpaceDN w:val="0"/>
      <w:adjustRightInd w:val="0"/>
    </w:pPr>
    <w:rPr>
      <w:rFonts w:ascii="Times New Roman" w:hAnsi="Times New Roman" w:cs="Times New Roman"/>
      <w:szCs w:val="20"/>
    </w:rPr>
  </w:style>
  <w:style w:type="paragraph" w:styleId="28">
    <w:name w:val="Body Text 3"/>
    <w:basedOn w:val="1"/>
    <w:link w:val="99"/>
    <w:qFormat/>
    <w:uiPriority w:val="0"/>
    <w:pPr>
      <w:spacing w:line="400" w:lineRule="atLeast"/>
    </w:pPr>
    <w:rPr>
      <w:rFonts w:ascii="楷体_GB2312" w:eastAsia="楷体_GB2312" w:cs="Times New Roman"/>
      <w:i/>
      <w:iCs/>
      <w:szCs w:val="20"/>
    </w:rPr>
  </w:style>
  <w:style w:type="paragraph" w:styleId="29">
    <w:name w:val="List Bullet 3"/>
    <w:basedOn w:val="1"/>
    <w:qFormat/>
    <w:uiPriority w:val="0"/>
    <w:pPr>
      <w:widowControl w:val="0"/>
      <w:tabs>
        <w:tab w:val="left" w:pos="900"/>
      </w:tabs>
      <w:snapToGrid w:val="0"/>
      <w:spacing w:line="360" w:lineRule="auto"/>
      <w:ind w:left="900" w:hanging="420"/>
    </w:pPr>
    <w:rPr>
      <w:rFonts w:ascii="Calibri" w:hAnsi="Calibri" w:cs="Times New Roman"/>
      <w:b/>
      <w:kern w:val="2"/>
      <w:sz w:val="32"/>
      <w:szCs w:val="20"/>
    </w:rPr>
  </w:style>
  <w:style w:type="paragraph" w:styleId="30">
    <w:name w:val="Body Text Indent"/>
    <w:basedOn w:val="1"/>
    <w:link w:val="100"/>
    <w:qFormat/>
    <w:uiPriority w:val="0"/>
    <w:pPr>
      <w:spacing w:after="120"/>
      <w:ind w:left="420" w:leftChars="200"/>
    </w:pPr>
    <w:rPr>
      <w:rFonts w:ascii="Times New Roman" w:hAnsi="Times New Roman" w:cs="Times New Roman"/>
      <w:kern w:val="2"/>
      <w:sz w:val="21"/>
    </w:rPr>
  </w:style>
  <w:style w:type="paragraph" w:styleId="31">
    <w:name w:val="List Number 3"/>
    <w:basedOn w:val="1"/>
    <w:qFormat/>
    <w:uiPriority w:val="0"/>
    <w:pPr>
      <w:tabs>
        <w:tab w:val="left" w:pos="2260"/>
      </w:tabs>
      <w:spacing w:after="156" w:afterLines="50"/>
      <w:ind w:left="2260" w:hanging="340"/>
    </w:pPr>
    <w:rPr>
      <w:rFonts w:ascii="Times New Roman" w:hAnsi="Times New Roman" w:cs="Times New Roman"/>
      <w:szCs w:val="20"/>
    </w:rPr>
  </w:style>
  <w:style w:type="paragraph" w:styleId="32">
    <w:name w:val="List 2"/>
    <w:basedOn w:val="1"/>
    <w:qFormat/>
    <w:uiPriority w:val="0"/>
    <w:pPr>
      <w:ind w:left="100" w:leftChars="200" w:hanging="200" w:hangingChars="200"/>
    </w:pPr>
  </w:style>
  <w:style w:type="paragraph" w:styleId="33">
    <w:name w:val="Block Text"/>
    <w:basedOn w:val="1"/>
    <w:qFormat/>
    <w:uiPriority w:val="99"/>
    <w:pPr>
      <w:spacing w:before="156" w:beforeLines="50" w:after="156" w:afterLines="50"/>
      <w:ind w:left="426" w:right="-11" w:hanging="426" w:hangingChars="203"/>
    </w:pPr>
    <w:rPr>
      <w:rFonts w:eastAsia="楷体_GB2312"/>
    </w:rPr>
  </w:style>
  <w:style w:type="paragraph" w:styleId="34">
    <w:name w:val="List Bullet 2"/>
    <w:basedOn w:val="1"/>
    <w:qFormat/>
    <w:uiPriority w:val="0"/>
    <w:pPr>
      <w:widowControl w:val="0"/>
      <w:tabs>
        <w:tab w:val="left" w:pos="900"/>
      </w:tabs>
      <w:snapToGrid w:val="0"/>
      <w:spacing w:line="360" w:lineRule="auto"/>
      <w:ind w:left="900" w:hanging="420"/>
    </w:pPr>
    <w:rPr>
      <w:rFonts w:ascii="Calibri" w:hAnsi="Calibri" w:cs="Times New Roman"/>
      <w:b/>
      <w:kern w:val="2"/>
      <w:sz w:val="32"/>
      <w:szCs w:val="20"/>
    </w:rPr>
  </w:style>
  <w:style w:type="paragraph" w:styleId="35">
    <w:name w:val="toc 5"/>
    <w:basedOn w:val="1"/>
    <w:next w:val="1"/>
    <w:qFormat/>
    <w:uiPriority w:val="0"/>
    <w:pPr>
      <w:widowControl w:val="0"/>
      <w:ind w:left="630"/>
    </w:pPr>
    <w:rPr>
      <w:rFonts w:ascii="Calibri" w:hAnsi="Calibri" w:cs="Calibri"/>
      <w:kern w:val="2"/>
      <w:sz w:val="20"/>
      <w:szCs w:val="20"/>
    </w:rPr>
  </w:style>
  <w:style w:type="paragraph" w:styleId="36">
    <w:name w:val="toc 3"/>
    <w:basedOn w:val="1"/>
    <w:next w:val="1"/>
    <w:qFormat/>
    <w:uiPriority w:val="39"/>
    <w:pPr>
      <w:ind w:left="840" w:leftChars="400"/>
    </w:pPr>
    <w:rPr>
      <w:szCs w:val="20"/>
    </w:rPr>
  </w:style>
  <w:style w:type="paragraph" w:styleId="37">
    <w:name w:val="Plain Text"/>
    <w:basedOn w:val="1"/>
    <w:next w:val="38"/>
    <w:link w:val="82"/>
    <w:qFormat/>
    <w:uiPriority w:val="0"/>
    <w:rPr>
      <w:rFonts w:hAnsi="Courier New" w:cs="Times New Roman"/>
      <w:kern w:val="2"/>
      <w:sz w:val="21"/>
      <w:szCs w:val="20"/>
    </w:rPr>
  </w:style>
  <w:style w:type="paragraph" w:styleId="38">
    <w:name w:val="toc 2"/>
    <w:basedOn w:val="1"/>
    <w:next w:val="1"/>
    <w:qFormat/>
    <w:uiPriority w:val="39"/>
    <w:pPr>
      <w:ind w:left="420" w:leftChars="200"/>
    </w:pPr>
    <w:rPr>
      <w:szCs w:val="20"/>
    </w:rPr>
  </w:style>
  <w:style w:type="paragraph" w:styleId="39">
    <w:name w:val="List Bullet 5"/>
    <w:basedOn w:val="1"/>
    <w:qFormat/>
    <w:uiPriority w:val="0"/>
    <w:pPr>
      <w:widowControl w:val="0"/>
      <w:tabs>
        <w:tab w:val="left" w:pos="2040"/>
      </w:tabs>
      <w:snapToGrid w:val="0"/>
      <w:spacing w:line="360" w:lineRule="auto"/>
      <w:ind w:left="2040" w:leftChars="800"/>
    </w:pPr>
    <w:rPr>
      <w:rFonts w:ascii="Calibri" w:hAnsi="Calibri" w:cs="Times New Roman"/>
      <w:b/>
      <w:kern w:val="2"/>
      <w:sz w:val="32"/>
      <w:szCs w:val="20"/>
    </w:rPr>
  </w:style>
  <w:style w:type="paragraph" w:styleId="40">
    <w:name w:val="List Number 4"/>
    <w:basedOn w:val="1"/>
    <w:qFormat/>
    <w:uiPriority w:val="0"/>
    <w:pPr>
      <w:widowControl w:val="0"/>
      <w:tabs>
        <w:tab w:val="left" w:pos="840"/>
      </w:tabs>
      <w:autoSpaceDE w:val="0"/>
      <w:autoSpaceDN w:val="0"/>
      <w:adjustRightInd w:val="0"/>
      <w:spacing w:line="360" w:lineRule="atLeast"/>
      <w:ind w:left="840" w:hanging="420"/>
    </w:pPr>
    <w:rPr>
      <w:rFonts w:ascii="Times New Roman" w:hAnsi="Times New Roman" w:cs="Times New Roman"/>
      <w:szCs w:val="20"/>
    </w:rPr>
  </w:style>
  <w:style w:type="paragraph" w:styleId="41">
    <w:name w:val="toc 8"/>
    <w:basedOn w:val="1"/>
    <w:next w:val="1"/>
    <w:qFormat/>
    <w:uiPriority w:val="0"/>
    <w:pPr>
      <w:widowControl w:val="0"/>
      <w:ind w:left="1260"/>
    </w:pPr>
    <w:rPr>
      <w:rFonts w:ascii="Calibri" w:hAnsi="Calibri" w:cs="Calibri"/>
      <w:kern w:val="2"/>
      <w:sz w:val="20"/>
      <w:szCs w:val="20"/>
    </w:rPr>
  </w:style>
  <w:style w:type="paragraph" w:styleId="42">
    <w:name w:val="Date"/>
    <w:basedOn w:val="1"/>
    <w:next w:val="1"/>
    <w:link w:val="101"/>
    <w:qFormat/>
    <w:uiPriority w:val="0"/>
    <w:pPr>
      <w:ind w:left="100" w:leftChars="2500"/>
    </w:pPr>
    <w:rPr>
      <w:rFonts w:cs="Times New Roman"/>
      <w:color w:val="000000"/>
    </w:rPr>
  </w:style>
  <w:style w:type="paragraph" w:styleId="43">
    <w:name w:val="Body Text Indent 2"/>
    <w:basedOn w:val="1"/>
    <w:link w:val="102"/>
    <w:qFormat/>
    <w:uiPriority w:val="0"/>
    <w:pPr>
      <w:widowControl/>
      <w:spacing w:line="480" w:lineRule="atLeast"/>
      <w:ind w:firstLine="480"/>
    </w:pPr>
    <w:rPr>
      <w:rFonts w:hAnsi="Times New Roman" w:cs="Times New Roman"/>
      <w:szCs w:val="20"/>
    </w:rPr>
  </w:style>
  <w:style w:type="paragraph" w:styleId="44">
    <w:name w:val="endnote text"/>
    <w:basedOn w:val="1"/>
    <w:link w:val="103"/>
    <w:qFormat/>
    <w:uiPriority w:val="0"/>
    <w:pPr>
      <w:widowControl w:val="0"/>
      <w:snapToGrid w:val="0"/>
      <w:spacing w:line="360" w:lineRule="auto"/>
    </w:pPr>
    <w:rPr>
      <w:rFonts w:ascii="Times New Roman" w:hAnsi="Times New Roman" w:cs="Times New Roman"/>
      <w:kern w:val="2"/>
      <w:sz w:val="21"/>
      <w:szCs w:val="21"/>
    </w:rPr>
  </w:style>
  <w:style w:type="paragraph" w:styleId="45">
    <w:name w:val="Balloon Text"/>
    <w:basedOn w:val="1"/>
    <w:link w:val="104"/>
    <w:qFormat/>
    <w:uiPriority w:val="0"/>
    <w:rPr>
      <w:rFonts w:cs="Times New Roman"/>
      <w:sz w:val="18"/>
      <w:szCs w:val="18"/>
    </w:rPr>
  </w:style>
  <w:style w:type="paragraph" w:styleId="46">
    <w:name w:val="footer"/>
    <w:basedOn w:val="1"/>
    <w:link w:val="105"/>
    <w:qFormat/>
    <w:uiPriority w:val="0"/>
    <w:pPr>
      <w:tabs>
        <w:tab w:val="center" w:pos="4153"/>
        <w:tab w:val="right" w:pos="8306"/>
      </w:tabs>
      <w:snapToGrid w:val="0"/>
      <w:jc w:val="left"/>
    </w:pPr>
    <w:rPr>
      <w:rFonts w:ascii="Times New Roman" w:hAnsi="Times New Roman" w:cs="Times New Roman"/>
      <w:kern w:val="2"/>
      <w:sz w:val="18"/>
      <w:szCs w:val="18"/>
    </w:rPr>
  </w:style>
  <w:style w:type="paragraph" w:styleId="47">
    <w:name w:val="header"/>
    <w:basedOn w:val="1"/>
    <w:link w:val="106"/>
    <w:qFormat/>
    <w:uiPriority w:val="99"/>
    <w:pPr>
      <w:pBdr>
        <w:bottom w:val="single" w:color="auto" w:sz="6" w:space="1"/>
      </w:pBdr>
      <w:tabs>
        <w:tab w:val="center" w:pos="4153"/>
        <w:tab w:val="right" w:pos="8306"/>
      </w:tabs>
      <w:snapToGrid w:val="0"/>
      <w:jc w:val="center"/>
    </w:pPr>
    <w:rPr>
      <w:rFonts w:ascii="Times New Roman" w:hAnsi="Times New Roman" w:cs="Times New Roman"/>
      <w:kern w:val="2"/>
      <w:sz w:val="18"/>
      <w:szCs w:val="18"/>
    </w:rPr>
  </w:style>
  <w:style w:type="paragraph" w:styleId="48">
    <w:name w:val="Signature"/>
    <w:basedOn w:val="1"/>
    <w:link w:val="107"/>
    <w:qFormat/>
    <w:uiPriority w:val="0"/>
    <w:pPr>
      <w:widowControl w:val="0"/>
      <w:autoSpaceDE w:val="0"/>
      <w:autoSpaceDN w:val="0"/>
      <w:adjustRightInd w:val="0"/>
      <w:spacing w:after="600" w:line="312" w:lineRule="atLeast"/>
      <w:jc w:val="center"/>
      <w:textAlignment w:val="baseline"/>
    </w:pPr>
    <w:rPr>
      <w:rFonts w:ascii="Times New Roman" w:hAnsi="Times New Roman" w:eastAsia="仿宋_GB2312" w:cs="Times New Roman"/>
      <w:szCs w:val="20"/>
    </w:rPr>
  </w:style>
  <w:style w:type="paragraph" w:styleId="49">
    <w:name w:val="toc 1"/>
    <w:basedOn w:val="1"/>
    <w:next w:val="1"/>
    <w:qFormat/>
    <w:uiPriority w:val="0"/>
    <w:rPr>
      <w:szCs w:val="20"/>
    </w:rPr>
  </w:style>
  <w:style w:type="paragraph" w:styleId="50">
    <w:name w:val="toc 4"/>
    <w:basedOn w:val="1"/>
    <w:next w:val="1"/>
    <w:qFormat/>
    <w:uiPriority w:val="0"/>
    <w:pPr>
      <w:widowControl w:val="0"/>
      <w:ind w:left="420"/>
    </w:pPr>
    <w:rPr>
      <w:rFonts w:ascii="Calibri" w:hAnsi="Calibri" w:cs="Calibri"/>
      <w:kern w:val="2"/>
      <w:sz w:val="20"/>
      <w:szCs w:val="20"/>
    </w:rPr>
  </w:style>
  <w:style w:type="paragraph" w:styleId="51">
    <w:name w:val="Subtitle"/>
    <w:basedOn w:val="1"/>
    <w:next w:val="1"/>
    <w:link w:val="108"/>
    <w:qFormat/>
    <w:uiPriority w:val="0"/>
    <w:pPr>
      <w:widowControl w:val="0"/>
      <w:spacing w:before="240" w:after="60" w:line="312" w:lineRule="auto"/>
      <w:jc w:val="center"/>
      <w:outlineLvl w:val="1"/>
    </w:pPr>
    <w:rPr>
      <w:rFonts w:ascii="Cambria" w:hAnsi="Cambria" w:cs="Times New Roman"/>
      <w:b/>
      <w:bCs/>
      <w:kern w:val="28"/>
      <w:sz w:val="32"/>
      <w:szCs w:val="32"/>
    </w:rPr>
  </w:style>
  <w:style w:type="paragraph" w:styleId="52">
    <w:name w:val="List Number 5"/>
    <w:basedOn w:val="1"/>
    <w:qFormat/>
    <w:uiPriority w:val="0"/>
    <w:pPr>
      <w:widowControl w:val="0"/>
      <w:tabs>
        <w:tab w:val="left" w:pos="2040"/>
      </w:tabs>
      <w:autoSpaceDE w:val="0"/>
      <w:autoSpaceDN w:val="0"/>
      <w:adjustRightInd w:val="0"/>
      <w:spacing w:line="400" w:lineRule="exact"/>
      <w:ind w:left="2040" w:hanging="360"/>
    </w:pPr>
    <w:rPr>
      <w:rFonts w:ascii="Times New Roman" w:hAnsi="Times New Roman" w:cs="Times New Roman"/>
      <w:szCs w:val="20"/>
    </w:rPr>
  </w:style>
  <w:style w:type="paragraph" w:styleId="53">
    <w:name w:val="List"/>
    <w:basedOn w:val="1"/>
    <w:qFormat/>
    <w:uiPriority w:val="0"/>
    <w:pPr>
      <w:widowControl w:val="0"/>
      <w:ind w:left="420" w:hanging="420"/>
      <w:jc w:val="both"/>
    </w:pPr>
    <w:rPr>
      <w:rFonts w:ascii="Times New Roman" w:hAnsi="Times New Roman" w:cs="Times New Roman"/>
      <w:kern w:val="2"/>
      <w:sz w:val="21"/>
      <w:szCs w:val="20"/>
    </w:rPr>
  </w:style>
  <w:style w:type="paragraph" w:styleId="54">
    <w:name w:val="footnote text"/>
    <w:basedOn w:val="1"/>
    <w:link w:val="109"/>
    <w:qFormat/>
    <w:uiPriority w:val="0"/>
    <w:pPr>
      <w:widowControl w:val="0"/>
      <w:snapToGrid w:val="0"/>
      <w:spacing w:line="360" w:lineRule="auto"/>
    </w:pPr>
    <w:rPr>
      <w:rFonts w:ascii="Times New Roman" w:hAnsi="Times New Roman" w:cs="Times New Roman"/>
      <w:kern w:val="2"/>
      <w:sz w:val="18"/>
      <w:szCs w:val="18"/>
    </w:rPr>
  </w:style>
  <w:style w:type="paragraph" w:styleId="55">
    <w:name w:val="List 5"/>
    <w:basedOn w:val="1"/>
    <w:qFormat/>
    <w:uiPriority w:val="0"/>
    <w:pPr>
      <w:widowControl w:val="0"/>
      <w:ind w:left="2100" w:hanging="420"/>
      <w:jc w:val="both"/>
    </w:pPr>
    <w:rPr>
      <w:rFonts w:ascii="Times New Roman" w:hAnsi="Times New Roman" w:cs="Times New Roman"/>
      <w:kern w:val="2"/>
      <w:sz w:val="21"/>
      <w:szCs w:val="20"/>
    </w:rPr>
  </w:style>
  <w:style w:type="paragraph" w:styleId="56">
    <w:name w:val="Body Text Indent 3"/>
    <w:basedOn w:val="1"/>
    <w:link w:val="110"/>
    <w:qFormat/>
    <w:uiPriority w:val="0"/>
    <w:pPr>
      <w:autoSpaceDE w:val="0"/>
      <w:autoSpaceDN w:val="0"/>
      <w:spacing w:line="400" w:lineRule="atLeast"/>
      <w:ind w:firstLine="443" w:firstLineChars="200"/>
      <w:textAlignment w:val="bottom"/>
    </w:pPr>
    <w:rPr>
      <w:rFonts w:ascii="Times New Roman" w:hAnsi="Times New Roman" w:eastAsia="黑体" w:cs="Times New Roman"/>
      <w:color w:val="000000"/>
      <w:kern w:val="2"/>
    </w:rPr>
  </w:style>
  <w:style w:type="paragraph" w:styleId="57">
    <w:name w:val="toc 9"/>
    <w:basedOn w:val="1"/>
    <w:next w:val="1"/>
    <w:qFormat/>
    <w:uiPriority w:val="0"/>
    <w:pPr>
      <w:widowControl w:val="0"/>
      <w:ind w:left="1470"/>
    </w:pPr>
    <w:rPr>
      <w:rFonts w:ascii="Calibri" w:hAnsi="Calibri" w:cs="Calibri"/>
      <w:kern w:val="2"/>
      <w:sz w:val="20"/>
      <w:szCs w:val="20"/>
    </w:rPr>
  </w:style>
  <w:style w:type="paragraph" w:styleId="58">
    <w:name w:val="Body Text 2"/>
    <w:basedOn w:val="1"/>
    <w:link w:val="111"/>
    <w:qFormat/>
    <w:uiPriority w:val="0"/>
    <w:pPr>
      <w:framePr w:hSpace="180" w:wrap="notBeside" w:vAnchor="text" w:hAnchor="page" w:x="1917" w:y="230"/>
    </w:pPr>
    <w:rPr>
      <w:rFonts w:cs="Times New Roman"/>
      <w:szCs w:val="20"/>
    </w:rPr>
  </w:style>
  <w:style w:type="paragraph" w:styleId="59">
    <w:name w:val="List Continue 2"/>
    <w:basedOn w:val="1"/>
    <w:qFormat/>
    <w:uiPriority w:val="0"/>
    <w:pPr>
      <w:widowControl w:val="0"/>
      <w:spacing w:after="120"/>
      <w:ind w:left="840" w:leftChars="400"/>
      <w:jc w:val="both"/>
    </w:pPr>
    <w:rPr>
      <w:rFonts w:ascii="Times New Roman" w:hAnsi="Times New Roman" w:cs="Times New Roman"/>
      <w:kern w:val="2"/>
      <w:sz w:val="21"/>
    </w:rPr>
  </w:style>
  <w:style w:type="paragraph" w:styleId="60">
    <w:name w:val="HTML Preformatted"/>
    <w:basedOn w:val="1"/>
    <w:link w:val="112"/>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Times New Roman"/>
      <w:kern w:val="2"/>
    </w:rPr>
  </w:style>
  <w:style w:type="paragraph" w:styleId="61">
    <w:name w:val="Normal (Web)"/>
    <w:basedOn w:val="1"/>
    <w:qFormat/>
    <w:uiPriority w:val="99"/>
    <w:pPr>
      <w:widowControl/>
      <w:spacing w:before="100" w:beforeAutospacing="1" w:after="100" w:afterAutospacing="1"/>
      <w:jc w:val="left"/>
    </w:pPr>
    <w:rPr>
      <w:rFonts w:ascii="Arial" w:hAnsi="Arial" w:cs="Arial"/>
      <w:color w:val="000000"/>
      <w:kern w:val="0"/>
      <w:sz w:val="18"/>
      <w:szCs w:val="18"/>
    </w:rPr>
  </w:style>
  <w:style w:type="paragraph" w:styleId="62">
    <w:name w:val="index 1"/>
    <w:basedOn w:val="1"/>
    <w:next w:val="1"/>
    <w:qFormat/>
    <w:uiPriority w:val="0"/>
    <w:pPr>
      <w:widowControl w:val="0"/>
      <w:jc w:val="both"/>
    </w:pPr>
    <w:rPr>
      <w:rFonts w:ascii="Times New Roman" w:hAnsi="Times New Roman" w:cs="Times New Roman"/>
      <w:kern w:val="2"/>
      <w:sz w:val="21"/>
      <w:szCs w:val="20"/>
    </w:rPr>
  </w:style>
  <w:style w:type="paragraph" w:styleId="63">
    <w:name w:val="Title"/>
    <w:basedOn w:val="1"/>
    <w:next w:val="1"/>
    <w:link w:val="113"/>
    <w:qFormat/>
    <w:uiPriority w:val="0"/>
    <w:pPr>
      <w:spacing w:before="240" w:after="60" w:line="460" w:lineRule="exact"/>
      <w:jc w:val="center"/>
      <w:outlineLvl w:val="0"/>
    </w:pPr>
    <w:rPr>
      <w:rFonts w:ascii="Arial" w:hAnsi="Arial" w:cs="Times New Roman"/>
      <w:b/>
      <w:spacing w:val="14"/>
      <w:kern w:val="24"/>
      <w:sz w:val="32"/>
      <w:szCs w:val="20"/>
    </w:rPr>
  </w:style>
  <w:style w:type="paragraph" w:styleId="64">
    <w:name w:val="annotation subject"/>
    <w:basedOn w:val="26"/>
    <w:next w:val="26"/>
    <w:link w:val="114"/>
    <w:qFormat/>
    <w:uiPriority w:val="0"/>
    <w:rPr>
      <w:b/>
      <w:bCs/>
    </w:rPr>
  </w:style>
  <w:style w:type="paragraph" w:styleId="65">
    <w:name w:val="Body Text First Indent 2"/>
    <w:basedOn w:val="30"/>
    <w:link w:val="115"/>
    <w:qFormat/>
    <w:uiPriority w:val="0"/>
    <w:pPr>
      <w:widowControl w:val="0"/>
      <w:ind w:firstLine="420" w:firstLineChars="200"/>
      <w:jc w:val="both"/>
    </w:pPr>
    <w:rPr>
      <w:rFonts w:ascii="仿宋_GB2312" w:hAnsi="宋体" w:eastAsia="仿宋_GB2312"/>
      <w:b/>
      <w:bCs/>
      <w:color w:val="000000"/>
      <w:szCs w:val="21"/>
    </w:rPr>
  </w:style>
  <w:style w:type="table" w:styleId="67">
    <w:name w:val="Table Grid"/>
    <w:basedOn w:val="6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9">
    <w:name w:val="Strong"/>
    <w:qFormat/>
    <w:uiPriority w:val="22"/>
    <w:rPr>
      <w:b/>
      <w:bCs/>
    </w:rPr>
  </w:style>
  <w:style w:type="character" w:styleId="70">
    <w:name w:val="page number"/>
    <w:qFormat/>
    <w:uiPriority w:val="0"/>
  </w:style>
  <w:style w:type="character" w:styleId="71">
    <w:name w:val="FollowedHyperlink"/>
    <w:qFormat/>
    <w:uiPriority w:val="99"/>
    <w:rPr>
      <w:color w:val="800080"/>
      <w:u w:val="single"/>
    </w:rPr>
  </w:style>
  <w:style w:type="character" w:styleId="72">
    <w:name w:val="Emphasis"/>
    <w:qFormat/>
    <w:uiPriority w:val="20"/>
    <w:rPr>
      <w:rFonts w:ascii="Times New Roman" w:hAnsi="Times New Roman" w:eastAsia="宋体" w:cs="Times New Roman"/>
      <w:i/>
      <w:iCs/>
    </w:rPr>
  </w:style>
  <w:style w:type="character" w:styleId="73">
    <w:name w:val="line number"/>
    <w:qFormat/>
    <w:uiPriority w:val="0"/>
  </w:style>
  <w:style w:type="character" w:styleId="74">
    <w:name w:val="HTML Definition"/>
    <w:qFormat/>
    <w:uiPriority w:val="0"/>
    <w:rPr>
      <w:i/>
    </w:rPr>
  </w:style>
  <w:style w:type="character" w:styleId="75">
    <w:name w:val="Hyperlink"/>
    <w:qFormat/>
    <w:uiPriority w:val="99"/>
    <w:rPr>
      <w:color w:val="0000FF"/>
      <w:u w:val="single"/>
    </w:rPr>
  </w:style>
  <w:style w:type="character" w:styleId="76">
    <w:name w:val="HTML Code"/>
    <w:qFormat/>
    <w:uiPriority w:val="0"/>
    <w:rPr>
      <w:rFonts w:ascii="-apple-system" w:hAnsi="-apple-system" w:eastAsia="-apple-system" w:cs="-apple-system"/>
      <w:sz w:val="21"/>
      <w:szCs w:val="21"/>
    </w:rPr>
  </w:style>
  <w:style w:type="character" w:styleId="77">
    <w:name w:val="annotation reference"/>
    <w:qFormat/>
    <w:uiPriority w:val="99"/>
    <w:rPr>
      <w:sz w:val="21"/>
      <w:szCs w:val="21"/>
    </w:rPr>
  </w:style>
  <w:style w:type="character" w:styleId="78">
    <w:name w:val="HTML Cite"/>
    <w:qFormat/>
    <w:uiPriority w:val="0"/>
    <w:rPr>
      <w:color w:val="008000"/>
    </w:rPr>
  </w:style>
  <w:style w:type="character" w:styleId="79">
    <w:name w:val="HTML Keyboard"/>
    <w:qFormat/>
    <w:uiPriority w:val="0"/>
    <w:rPr>
      <w:rFonts w:hint="default" w:ascii="-apple-system" w:hAnsi="-apple-system" w:eastAsia="-apple-system" w:cs="-apple-system"/>
      <w:sz w:val="21"/>
      <w:szCs w:val="21"/>
    </w:rPr>
  </w:style>
  <w:style w:type="character" w:styleId="80">
    <w:name w:val="HTML Sample"/>
    <w:qFormat/>
    <w:uiPriority w:val="0"/>
    <w:rPr>
      <w:rFonts w:hint="default" w:ascii="-apple-system" w:hAnsi="-apple-system" w:eastAsia="-apple-system" w:cs="-apple-system"/>
      <w:sz w:val="21"/>
      <w:szCs w:val="21"/>
    </w:rPr>
  </w:style>
  <w:style w:type="paragraph" w:customStyle="1" w:styleId="81">
    <w:name w:val="_Style 3"/>
    <w:qFormat/>
    <w:uiPriority w:val="34"/>
    <w:pPr>
      <w:widowControl w:val="0"/>
      <w:jc w:val="both"/>
    </w:pPr>
    <w:rPr>
      <w:rFonts w:ascii="Times New Roman" w:hAnsi="Times New Roman" w:eastAsia="宋体" w:cs="Times New Roman"/>
      <w:kern w:val="2"/>
      <w:sz w:val="21"/>
      <w:szCs w:val="24"/>
      <w:lang w:val="en-US" w:eastAsia="zh-CN" w:bidi="ar-SA"/>
    </w:rPr>
  </w:style>
  <w:style w:type="character" w:customStyle="1" w:styleId="82">
    <w:name w:val="纯文本 Char"/>
    <w:link w:val="37"/>
    <w:qFormat/>
    <w:uiPriority w:val="0"/>
    <w:rPr>
      <w:rFonts w:ascii="宋体" w:hAnsi="Courier New" w:eastAsia="宋体"/>
      <w:kern w:val="2"/>
      <w:sz w:val="21"/>
      <w:lang w:val="en-US" w:eastAsia="zh-CN" w:bidi="ar-SA"/>
    </w:rPr>
  </w:style>
  <w:style w:type="character" w:customStyle="1" w:styleId="83">
    <w:name w:val="正文文本 Char"/>
    <w:link w:val="4"/>
    <w:qFormat/>
    <w:uiPriority w:val="0"/>
    <w:rPr>
      <w:rFonts w:ascii="Arial" w:hAnsi="Arial" w:eastAsia="宋体"/>
      <w:bCs/>
      <w:kern w:val="2"/>
      <w:sz w:val="24"/>
      <w:szCs w:val="24"/>
      <w:lang w:val="en-US" w:eastAsia="zh-CN" w:bidi="ar-SA"/>
    </w:rPr>
  </w:style>
  <w:style w:type="character" w:customStyle="1" w:styleId="84">
    <w:name w:val="正文首行缩进 Char"/>
    <w:link w:val="5"/>
    <w:qFormat/>
    <w:uiPriority w:val="0"/>
    <w:rPr>
      <w:rFonts w:ascii="Calibri" w:hAnsi="Calibri" w:eastAsia="宋体"/>
      <w:bCs/>
      <w:kern w:val="2"/>
      <w:sz w:val="21"/>
      <w:szCs w:val="22"/>
      <w:lang w:val="en-US" w:eastAsia="zh-CN" w:bidi="ar-SA"/>
    </w:rPr>
  </w:style>
  <w:style w:type="character" w:customStyle="1" w:styleId="85">
    <w:name w:val="标题 1 Char"/>
    <w:link w:val="8"/>
    <w:qFormat/>
    <w:uiPriority w:val="0"/>
    <w:rPr>
      <w:rFonts w:eastAsia="宋体"/>
      <w:kern w:val="2"/>
      <w:sz w:val="28"/>
      <w:szCs w:val="24"/>
      <w:lang w:val="en-US" w:eastAsia="zh-CN" w:bidi="ar-SA"/>
    </w:rPr>
  </w:style>
  <w:style w:type="character" w:customStyle="1" w:styleId="86">
    <w:name w:val="标题 2 Char"/>
    <w:link w:val="9"/>
    <w:qFormat/>
    <w:uiPriority w:val="0"/>
    <w:rPr>
      <w:rFonts w:ascii="Arial" w:hAnsi="Arial" w:eastAsia="黑体"/>
      <w:b/>
      <w:bCs/>
      <w:kern w:val="2"/>
      <w:sz w:val="32"/>
      <w:szCs w:val="32"/>
      <w:lang w:val="en-US" w:eastAsia="zh-CN" w:bidi="ar-SA"/>
    </w:rPr>
  </w:style>
  <w:style w:type="character" w:customStyle="1" w:styleId="87">
    <w:name w:val="标题 3 Char"/>
    <w:link w:val="10"/>
    <w:qFormat/>
    <w:uiPriority w:val="0"/>
    <w:rPr>
      <w:rFonts w:ascii="Calibri" w:hAnsi="Calibri" w:eastAsia="宋体"/>
      <w:b/>
      <w:bCs/>
      <w:kern w:val="2"/>
      <w:sz w:val="32"/>
      <w:szCs w:val="32"/>
      <w:lang w:val="en-US" w:eastAsia="zh-CN" w:bidi="ar-SA"/>
    </w:rPr>
  </w:style>
  <w:style w:type="character" w:customStyle="1" w:styleId="88">
    <w:name w:val="标题 4 Char"/>
    <w:link w:val="11"/>
    <w:qFormat/>
    <w:uiPriority w:val="0"/>
    <w:rPr>
      <w:rFonts w:ascii="Cambria" w:hAnsi="Cambria" w:eastAsia="宋体"/>
      <w:b/>
      <w:bCs/>
      <w:kern w:val="2"/>
      <w:sz w:val="28"/>
      <w:szCs w:val="28"/>
      <w:lang w:val="en-US" w:eastAsia="zh-CN" w:bidi="ar-SA"/>
    </w:rPr>
  </w:style>
  <w:style w:type="character" w:customStyle="1" w:styleId="89">
    <w:name w:val="标题 5 Char"/>
    <w:link w:val="12"/>
    <w:qFormat/>
    <w:uiPriority w:val="0"/>
    <w:rPr>
      <w:rFonts w:ascii="宋体" w:hAnsi="宋体" w:cs="宋体"/>
      <w:b/>
      <w:bCs/>
      <w:sz w:val="28"/>
      <w:szCs w:val="28"/>
    </w:rPr>
  </w:style>
  <w:style w:type="character" w:customStyle="1" w:styleId="90">
    <w:name w:val="标题 6 Char"/>
    <w:link w:val="13"/>
    <w:qFormat/>
    <w:uiPriority w:val="0"/>
    <w:rPr>
      <w:rFonts w:ascii="Arial" w:hAnsi="Arial" w:eastAsia="黑体"/>
      <w:b/>
      <w:bCs/>
      <w:spacing w:val="6"/>
      <w:sz w:val="24"/>
      <w:szCs w:val="24"/>
    </w:rPr>
  </w:style>
  <w:style w:type="character" w:customStyle="1" w:styleId="91">
    <w:name w:val="正文缩进 Char"/>
    <w:link w:val="14"/>
    <w:qFormat/>
    <w:uiPriority w:val="0"/>
    <w:rPr>
      <w:rFonts w:eastAsia="宋体"/>
      <w:kern w:val="2"/>
      <w:sz w:val="21"/>
      <w:szCs w:val="24"/>
      <w:lang w:val="en-US" w:eastAsia="zh-CN" w:bidi="ar-SA"/>
    </w:rPr>
  </w:style>
  <w:style w:type="character" w:customStyle="1" w:styleId="92">
    <w:name w:val="标题 7 Char"/>
    <w:link w:val="15"/>
    <w:qFormat/>
    <w:uiPriority w:val="0"/>
    <w:rPr>
      <w:rFonts w:ascii="宋体" w:hAnsi="宋体"/>
      <w:b/>
      <w:bCs/>
      <w:spacing w:val="6"/>
      <w:sz w:val="24"/>
      <w:szCs w:val="24"/>
    </w:rPr>
  </w:style>
  <w:style w:type="character" w:customStyle="1" w:styleId="93">
    <w:name w:val="标题 8 Char"/>
    <w:link w:val="16"/>
    <w:qFormat/>
    <w:uiPriority w:val="0"/>
    <w:rPr>
      <w:rFonts w:ascii="Arial" w:hAnsi="Arial" w:eastAsia="黑体"/>
      <w:spacing w:val="6"/>
      <w:sz w:val="24"/>
      <w:szCs w:val="24"/>
    </w:rPr>
  </w:style>
  <w:style w:type="character" w:customStyle="1" w:styleId="94">
    <w:name w:val="标题 9 Char"/>
    <w:link w:val="17"/>
    <w:qFormat/>
    <w:uiPriority w:val="0"/>
    <w:rPr>
      <w:rFonts w:ascii="Arial" w:hAnsi="Arial" w:eastAsia="黑体"/>
      <w:spacing w:val="6"/>
      <w:sz w:val="24"/>
      <w:szCs w:val="24"/>
    </w:rPr>
  </w:style>
  <w:style w:type="character" w:customStyle="1" w:styleId="95">
    <w:name w:val="题注 Char"/>
    <w:link w:val="22"/>
    <w:qFormat/>
    <w:uiPriority w:val="0"/>
    <w:rPr>
      <w:rFonts w:ascii="Arial" w:hAnsi="Arial" w:eastAsia="黑体" w:cs="Arial"/>
      <w:kern w:val="2"/>
      <w:sz w:val="24"/>
      <w:szCs w:val="24"/>
    </w:rPr>
  </w:style>
  <w:style w:type="character" w:customStyle="1" w:styleId="96">
    <w:name w:val="文档结构图 Char"/>
    <w:link w:val="24"/>
    <w:qFormat/>
    <w:uiPriority w:val="0"/>
    <w:rPr>
      <w:rFonts w:ascii="宋体" w:hAnsi="Calibri" w:eastAsia="宋体"/>
      <w:kern w:val="2"/>
      <w:sz w:val="18"/>
      <w:szCs w:val="18"/>
      <w:lang w:val="en-US" w:eastAsia="zh-CN" w:bidi="ar-SA"/>
    </w:rPr>
  </w:style>
  <w:style w:type="character" w:customStyle="1" w:styleId="97">
    <w:name w:val="批注文字 Char"/>
    <w:link w:val="26"/>
    <w:qFormat/>
    <w:uiPriority w:val="99"/>
    <w:rPr>
      <w:rFonts w:ascii="Calibri" w:hAnsi="Calibri" w:eastAsia="宋体"/>
      <w:kern w:val="2"/>
      <w:sz w:val="21"/>
      <w:szCs w:val="22"/>
      <w:lang w:val="en-US" w:eastAsia="zh-CN" w:bidi="ar-SA"/>
    </w:rPr>
  </w:style>
  <w:style w:type="character" w:customStyle="1" w:styleId="98">
    <w:name w:val="称呼 Char"/>
    <w:link w:val="27"/>
    <w:qFormat/>
    <w:uiPriority w:val="0"/>
    <w:rPr>
      <w:sz w:val="24"/>
    </w:rPr>
  </w:style>
  <w:style w:type="character" w:customStyle="1" w:styleId="99">
    <w:name w:val="正文文本 3 Char"/>
    <w:link w:val="28"/>
    <w:qFormat/>
    <w:uiPriority w:val="0"/>
    <w:rPr>
      <w:rFonts w:ascii="楷体_GB2312" w:hAnsi="宋体" w:eastAsia="楷体_GB2312" w:cs="宋体"/>
      <w:i/>
      <w:iCs/>
      <w:sz w:val="24"/>
    </w:rPr>
  </w:style>
  <w:style w:type="character" w:customStyle="1" w:styleId="100">
    <w:name w:val="正文文本缩进 Char"/>
    <w:link w:val="30"/>
    <w:qFormat/>
    <w:uiPriority w:val="0"/>
    <w:rPr>
      <w:kern w:val="2"/>
      <w:sz w:val="21"/>
      <w:szCs w:val="24"/>
    </w:rPr>
  </w:style>
  <w:style w:type="character" w:customStyle="1" w:styleId="101">
    <w:name w:val="日期 Char"/>
    <w:link w:val="42"/>
    <w:qFormat/>
    <w:uiPriority w:val="0"/>
    <w:rPr>
      <w:rFonts w:ascii="宋体" w:hAnsi="宋体" w:cs="宋体"/>
      <w:color w:val="000000"/>
      <w:sz w:val="24"/>
      <w:szCs w:val="24"/>
    </w:rPr>
  </w:style>
  <w:style w:type="character" w:customStyle="1" w:styleId="102">
    <w:name w:val="正文文本缩进 2 Char"/>
    <w:link w:val="43"/>
    <w:qFormat/>
    <w:uiPriority w:val="0"/>
    <w:rPr>
      <w:rFonts w:ascii="宋体" w:eastAsia="宋体"/>
      <w:sz w:val="24"/>
      <w:lang w:val="en-US" w:eastAsia="zh-CN" w:bidi="ar-SA"/>
    </w:rPr>
  </w:style>
  <w:style w:type="character" w:customStyle="1" w:styleId="103">
    <w:name w:val="尾注文本 Char"/>
    <w:link w:val="44"/>
    <w:qFormat/>
    <w:uiPriority w:val="0"/>
    <w:rPr>
      <w:kern w:val="2"/>
      <w:sz w:val="21"/>
      <w:szCs w:val="21"/>
    </w:rPr>
  </w:style>
  <w:style w:type="character" w:customStyle="1" w:styleId="104">
    <w:name w:val="批注框文本 Char"/>
    <w:link w:val="45"/>
    <w:qFormat/>
    <w:uiPriority w:val="0"/>
    <w:rPr>
      <w:rFonts w:ascii="宋体" w:hAnsi="宋体" w:cs="宋体"/>
      <w:sz w:val="18"/>
      <w:szCs w:val="18"/>
    </w:rPr>
  </w:style>
  <w:style w:type="character" w:customStyle="1" w:styleId="105">
    <w:name w:val="页脚 Char"/>
    <w:link w:val="46"/>
    <w:qFormat/>
    <w:uiPriority w:val="0"/>
    <w:rPr>
      <w:rFonts w:eastAsia="宋体"/>
      <w:kern w:val="2"/>
      <w:sz w:val="18"/>
      <w:szCs w:val="18"/>
      <w:lang w:val="en-US" w:eastAsia="zh-CN" w:bidi="ar-SA"/>
    </w:rPr>
  </w:style>
  <w:style w:type="character" w:customStyle="1" w:styleId="106">
    <w:name w:val="页眉 Char"/>
    <w:link w:val="47"/>
    <w:qFormat/>
    <w:uiPriority w:val="99"/>
    <w:rPr>
      <w:rFonts w:eastAsia="宋体"/>
      <w:kern w:val="2"/>
      <w:sz w:val="18"/>
      <w:szCs w:val="18"/>
      <w:lang w:val="en-US" w:eastAsia="zh-CN" w:bidi="ar-SA"/>
    </w:rPr>
  </w:style>
  <w:style w:type="character" w:customStyle="1" w:styleId="107">
    <w:name w:val="签名 Char"/>
    <w:link w:val="48"/>
    <w:qFormat/>
    <w:uiPriority w:val="0"/>
    <w:rPr>
      <w:rFonts w:eastAsia="仿宋_GB2312"/>
      <w:sz w:val="24"/>
    </w:rPr>
  </w:style>
  <w:style w:type="character" w:customStyle="1" w:styleId="108">
    <w:name w:val="副标题 Char"/>
    <w:link w:val="51"/>
    <w:qFormat/>
    <w:uiPriority w:val="0"/>
    <w:rPr>
      <w:rFonts w:ascii="Cambria" w:hAnsi="Cambria"/>
      <w:b/>
      <w:bCs/>
      <w:kern w:val="28"/>
      <w:sz w:val="32"/>
      <w:szCs w:val="32"/>
    </w:rPr>
  </w:style>
  <w:style w:type="character" w:customStyle="1" w:styleId="109">
    <w:name w:val="脚注文本 Char"/>
    <w:link w:val="54"/>
    <w:qFormat/>
    <w:uiPriority w:val="0"/>
    <w:rPr>
      <w:kern w:val="2"/>
      <w:sz w:val="18"/>
      <w:szCs w:val="18"/>
    </w:rPr>
  </w:style>
  <w:style w:type="character" w:customStyle="1" w:styleId="110">
    <w:name w:val="正文文本缩进 3 Char"/>
    <w:link w:val="56"/>
    <w:qFormat/>
    <w:uiPriority w:val="0"/>
    <w:rPr>
      <w:rFonts w:eastAsia="黑体"/>
      <w:color w:val="000000"/>
      <w:kern w:val="2"/>
      <w:sz w:val="24"/>
      <w:szCs w:val="24"/>
      <w:lang w:val="en-US" w:eastAsia="zh-CN" w:bidi="ar-SA"/>
    </w:rPr>
  </w:style>
  <w:style w:type="character" w:customStyle="1" w:styleId="111">
    <w:name w:val="正文文本 2 Char"/>
    <w:link w:val="58"/>
    <w:qFormat/>
    <w:uiPriority w:val="0"/>
    <w:rPr>
      <w:rFonts w:ascii="宋体" w:hAnsi="宋体" w:cs="宋体"/>
      <w:sz w:val="24"/>
    </w:rPr>
  </w:style>
  <w:style w:type="character" w:customStyle="1" w:styleId="112">
    <w:name w:val="HTML 预设格式 Char"/>
    <w:link w:val="60"/>
    <w:qFormat/>
    <w:uiPriority w:val="0"/>
    <w:rPr>
      <w:rFonts w:ascii="Arial" w:hAnsi="Arial" w:cs="Arial"/>
      <w:kern w:val="2"/>
      <w:sz w:val="24"/>
      <w:szCs w:val="24"/>
    </w:rPr>
  </w:style>
  <w:style w:type="character" w:customStyle="1" w:styleId="113">
    <w:name w:val="标题 Char"/>
    <w:link w:val="63"/>
    <w:qFormat/>
    <w:uiPriority w:val="0"/>
    <w:rPr>
      <w:rFonts w:ascii="Arial" w:hAnsi="Arial" w:cs="宋体"/>
      <w:b/>
      <w:spacing w:val="14"/>
      <w:kern w:val="24"/>
      <w:sz w:val="32"/>
    </w:rPr>
  </w:style>
  <w:style w:type="character" w:customStyle="1" w:styleId="114">
    <w:name w:val="批注主题 Char"/>
    <w:link w:val="64"/>
    <w:qFormat/>
    <w:uiPriority w:val="0"/>
    <w:rPr>
      <w:rFonts w:ascii="Calibri" w:hAnsi="Calibri" w:eastAsia="宋体"/>
      <w:b/>
      <w:bCs/>
      <w:kern w:val="2"/>
      <w:sz w:val="21"/>
      <w:szCs w:val="22"/>
      <w:lang w:val="en-US" w:eastAsia="zh-CN" w:bidi="ar-SA"/>
    </w:rPr>
  </w:style>
  <w:style w:type="character" w:customStyle="1" w:styleId="115">
    <w:name w:val="正文首行缩进 2 Char1"/>
    <w:link w:val="65"/>
    <w:qFormat/>
    <w:uiPriority w:val="0"/>
    <w:rPr>
      <w:rFonts w:ascii="仿宋_GB2312" w:hAnsi="宋体" w:eastAsia="仿宋_GB2312" w:cs="宋体"/>
      <w:b/>
      <w:bCs/>
      <w:color w:val="000000"/>
      <w:kern w:val="2"/>
      <w:sz w:val="21"/>
      <w:szCs w:val="21"/>
    </w:rPr>
  </w:style>
  <w:style w:type="paragraph" w:customStyle="1" w:styleId="116">
    <w:name w:val="样式 10 磅"/>
    <w:qFormat/>
    <w:uiPriority w:val="0"/>
    <w:pPr>
      <w:widowControl w:val="0"/>
      <w:jc w:val="both"/>
    </w:pPr>
    <w:rPr>
      <w:rFonts w:ascii="Calibri" w:hAnsi="Calibri" w:eastAsia="宋体" w:cs="Times New Roman"/>
      <w:kern w:val="2"/>
      <w:sz w:val="21"/>
      <w:szCs w:val="24"/>
      <w:lang w:val="en-US" w:eastAsia="zh-CN" w:bidi="ar-SA"/>
    </w:rPr>
  </w:style>
  <w:style w:type="character" w:customStyle="1" w:styleId="117">
    <w:name w:val="Char Char1"/>
    <w:qFormat/>
    <w:uiPriority w:val="0"/>
    <w:rPr>
      <w:rFonts w:ascii="宋体" w:hAnsi="Courier New" w:eastAsia="仿宋_GB2312" w:cs="宋体"/>
      <w:b/>
      <w:bCs/>
      <w:color w:val="000000"/>
      <w:sz w:val="21"/>
      <w:lang w:val="en-US" w:eastAsia="zh-CN" w:bidi="ar-SA"/>
    </w:rPr>
  </w:style>
  <w:style w:type="character" w:customStyle="1" w:styleId="118">
    <w:name w:val="ca-3"/>
    <w:qFormat/>
    <w:uiPriority w:val="0"/>
    <w:rPr>
      <w:rFonts w:ascii="Times New Roman" w:hAnsi="Times New Roman" w:eastAsia="宋体" w:cs="Times New Roman"/>
    </w:rPr>
  </w:style>
  <w:style w:type="character" w:customStyle="1" w:styleId="119">
    <w:name w:val="style661"/>
    <w:qFormat/>
    <w:uiPriority w:val="0"/>
    <w:rPr>
      <w:color w:val="000000"/>
      <w:sz w:val="18"/>
      <w:szCs w:val="18"/>
    </w:rPr>
  </w:style>
  <w:style w:type="character" w:customStyle="1" w:styleId="120">
    <w:name w:val="*正文 Char"/>
    <w:link w:val="121"/>
    <w:qFormat/>
    <w:uiPriority w:val="0"/>
    <w:rPr>
      <w:rFonts w:ascii="宋体" w:hAnsi="宋体"/>
      <w:sz w:val="22"/>
      <w:szCs w:val="24"/>
    </w:rPr>
  </w:style>
  <w:style w:type="paragraph" w:customStyle="1" w:styleId="121">
    <w:name w:val="*正文"/>
    <w:basedOn w:val="1"/>
    <w:link w:val="120"/>
    <w:qFormat/>
    <w:uiPriority w:val="0"/>
    <w:pPr>
      <w:widowControl w:val="0"/>
      <w:spacing w:line="360" w:lineRule="auto"/>
      <w:ind w:firstLine="200" w:firstLineChars="200"/>
      <w:jc w:val="both"/>
    </w:pPr>
    <w:rPr>
      <w:rFonts w:cs="Times New Roman"/>
      <w:sz w:val="22"/>
    </w:rPr>
  </w:style>
  <w:style w:type="character" w:customStyle="1" w:styleId="122">
    <w:name w:val="unnamed11"/>
    <w:qFormat/>
    <w:uiPriority w:val="0"/>
    <w:rPr>
      <w:sz w:val="20"/>
    </w:rPr>
  </w:style>
  <w:style w:type="character" w:customStyle="1" w:styleId="123">
    <w:name w:val="h Char"/>
    <w:qFormat/>
    <w:uiPriority w:val="0"/>
    <w:rPr>
      <w:rFonts w:eastAsia="楷体_GB2312"/>
      <w:sz w:val="21"/>
      <w:lang w:val="en-US" w:eastAsia="zh-CN" w:bidi="ar-SA"/>
    </w:rPr>
  </w:style>
  <w:style w:type="character" w:customStyle="1" w:styleId="124">
    <w:name w:val="样式 宋体"/>
    <w:qFormat/>
    <w:uiPriority w:val="0"/>
    <w:rPr>
      <w:rFonts w:ascii="宋体" w:hAnsi="宋体" w:eastAsia="宋体"/>
      <w:sz w:val="24"/>
      <w:szCs w:val="24"/>
    </w:rPr>
  </w:style>
  <w:style w:type="character" w:customStyle="1" w:styleId="125">
    <w:name w:val="正文无缩进 Char"/>
    <w:link w:val="126"/>
    <w:qFormat/>
    <w:uiPriority w:val="0"/>
    <w:rPr>
      <w:rFonts w:ascii="宋体"/>
      <w:color w:val="000000"/>
    </w:rPr>
  </w:style>
  <w:style w:type="paragraph" w:customStyle="1" w:styleId="126">
    <w:name w:val="正文无缩进"/>
    <w:basedOn w:val="1"/>
    <w:link w:val="125"/>
    <w:qFormat/>
    <w:uiPriority w:val="0"/>
    <w:pPr>
      <w:widowControl w:val="0"/>
      <w:spacing w:line="360" w:lineRule="auto"/>
      <w:jc w:val="both"/>
    </w:pPr>
    <w:rPr>
      <w:rFonts w:hAnsi="Times New Roman" w:cs="Times New Roman"/>
      <w:color w:val="000000"/>
      <w:sz w:val="20"/>
      <w:szCs w:val="20"/>
    </w:rPr>
  </w:style>
  <w:style w:type="character" w:customStyle="1" w:styleId="127">
    <w:name w:val="脚注文本 Char1"/>
    <w:semiHidden/>
    <w:qFormat/>
    <w:uiPriority w:val="0"/>
    <w:rPr>
      <w:rFonts w:ascii="宋体" w:hAnsi="宋体" w:cs="宋体"/>
      <w:sz w:val="18"/>
      <w:szCs w:val="18"/>
    </w:rPr>
  </w:style>
  <w:style w:type="character" w:customStyle="1" w:styleId="128">
    <w:name w:val="图片0 Char Char"/>
    <w:link w:val="129"/>
    <w:qFormat/>
    <w:uiPriority w:val="0"/>
    <w:rPr>
      <w:rFonts w:ascii="宋体" w:hAnsi="宋体"/>
    </w:rPr>
  </w:style>
  <w:style w:type="paragraph" w:customStyle="1" w:styleId="129">
    <w:name w:val="图片0"/>
    <w:basedOn w:val="1"/>
    <w:link w:val="128"/>
    <w:qFormat/>
    <w:uiPriority w:val="0"/>
    <w:pPr>
      <w:spacing w:line="276" w:lineRule="auto"/>
      <w:ind w:left="-324" w:leftChars="-135" w:firstLine="163" w:firstLineChars="68"/>
    </w:pPr>
    <w:rPr>
      <w:rFonts w:cs="Times New Roman"/>
      <w:sz w:val="20"/>
      <w:szCs w:val="20"/>
    </w:rPr>
  </w:style>
  <w:style w:type="character" w:customStyle="1" w:styleId="130">
    <w:name w:val="gray6"/>
    <w:qFormat/>
    <w:uiPriority w:val="0"/>
  </w:style>
  <w:style w:type="character" w:customStyle="1" w:styleId="131">
    <w:name w:val="副标题 Char1"/>
    <w:qFormat/>
    <w:uiPriority w:val="0"/>
    <w:rPr>
      <w:rFonts w:ascii="Cambria" w:hAnsi="Cambria" w:cs="Times New Roman"/>
      <w:b/>
      <w:bCs/>
      <w:kern w:val="28"/>
      <w:sz w:val="32"/>
      <w:szCs w:val="32"/>
    </w:rPr>
  </w:style>
  <w:style w:type="character" w:customStyle="1" w:styleId="132">
    <w:name w:val="Char Char11"/>
    <w:qFormat/>
    <w:uiPriority w:val="0"/>
    <w:rPr>
      <w:rFonts w:ascii="Times New Roman" w:hAnsi="Times New Roman" w:eastAsia="宋体" w:cs="Times New Roman"/>
      <w:b/>
      <w:kern w:val="44"/>
      <w:sz w:val="44"/>
    </w:rPr>
  </w:style>
  <w:style w:type="character" w:customStyle="1" w:styleId="133">
    <w:name w:val="heading 2 Char2"/>
    <w:qFormat/>
    <w:uiPriority w:val="0"/>
    <w:rPr>
      <w:rFonts w:ascii="Cambria" w:hAnsi="Cambria"/>
      <w:b/>
      <w:bCs/>
      <w:kern w:val="2"/>
      <w:sz w:val="32"/>
      <w:szCs w:val="32"/>
    </w:rPr>
  </w:style>
  <w:style w:type="character" w:customStyle="1" w:styleId="134">
    <w:name w:val="标题 1 Char1"/>
    <w:qFormat/>
    <w:uiPriority w:val="0"/>
    <w:rPr>
      <w:rFonts w:hint="eastAsia" w:ascii="宋体" w:hAnsi="宋体" w:eastAsia="宋体" w:cs="Times New Roman"/>
      <w:b/>
      <w:kern w:val="44"/>
      <w:sz w:val="32"/>
      <w:lang w:val="en-US" w:eastAsia="zh-CN" w:bidi="ar-SA"/>
    </w:rPr>
  </w:style>
  <w:style w:type="character" w:customStyle="1" w:styleId="135">
    <w:name w:val="htd0"/>
    <w:qFormat/>
    <w:uiPriority w:val="0"/>
  </w:style>
  <w:style w:type="character" w:customStyle="1" w:styleId="136">
    <w:name w:val="标题 4 Char1"/>
    <w:qFormat/>
    <w:uiPriority w:val="0"/>
    <w:rPr>
      <w:rFonts w:ascii="Cambria" w:hAnsi="Cambria" w:eastAsia="宋体" w:cs="Times New Roman"/>
      <w:b/>
      <w:bCs/>
      <w:kern w:val="2"/>
      <w:sz w:val="28"/>
      <w:szCs w:val="28"/>
    </w:rPr>
  </w:style>
  <w:style w:type="character" w:customStyle="1" w:styleId="137">
    <w:name w:val="段 Char"/>
    <w:link w:val="138"/>
    <w:qFormat/>
    <w:uiPriority w:val="0"/>
    <w:rPr>
      <w:rFonts w:ascii="Arial" w:hAnsi="Arial"/>
      <w:kern w:val="2"/>
      <w:sz w:val="21"/>
      <w:lang w:val="en-US" w:eastAsia="zh-CN" w:bidi="ar-SA"/>
    </w:rPr>
  </w:style>
  <w:style w:type="paragraph" w:customStyle="1" w:styleId="138">
    <w:name w:val="段"/>
    <w:link w:val="137"/>
    <w:qFormat/>
    <w:uiPriority w:val="0"/>
    <w:pPr>
      <w:autoSpaceDE w:val="0"/>
      <w:autoSpaceDN w:val="0"/>
      <w:ind w:firstLine="200" w:firstLineChars="200"/>
      <w:jc w:val="both"/>
    </w:pPr>
    <w:rPr>
      <w:rFonts w:ascii="Arial" w:hAnsi="Arial" w:eastAsia="宋体" w:cs="Times New Roman"/>
      <w:kern w:val="2"/>
      <w:sz w:val="21"/>
      <w:lang w:val="en-US" w:eastAsia="zh-CN" w:bidi="ar-SA"/>
    </w:rPr>
  </w:style>
  <w:style w:type="character" w:customStyle="1" w:styleId="139">
    <w:name w:val="heading 3 Char"/>
    <w:qFormat/>
    <w:uiPriority w:val="0"/>
    <w:rPr>
      <w:rFonts w:ascii="Arial" w:hAnsi="Arial" w:eastAsia="黑体"/>
      <w:sz w:val="28"/>
      <w:szCs w:val="24"/>
    </w:rPr>
  </w:style>
  <w:style w:type="character" w:customStyle="1" w:styleId="140">
    <w:name w:val="4号正文 Char"/>
    <w:link w:val="141"/>
    <w:qFormat/>
    <w:uiPriority w:val="0"/>
    <w:rPr>
      <w:rFonts w:ascii="Arial" w:hAnsi="Arial"/>
      <w:spacing w:val="6"/>
      <w:sz w:val="24"/>
      <w:szCs w:val="28"/>
    </w:rPr>
  </w:style>
  <w:style w:type="paragraph" w:customStyle="1" w:styleId="141">
    <w:name w:val="4号正文"/>
    <w:basedOn w:val="14"/>
    <w:link w:val="140"/>
    <w:qFormat/>
    <w:uiPriority w:val="0"/>
    <w:pPr>
      <w:spacing w:before="30" w:line="360" w:lineRule="auto"/>
      <w:ind w:firstLine="200"/>
      <w:jc w:val="both"/>
    </w:pPr>
    <w:rPr>
      <w:rFonts w:ascii="Arial" w:hAnsi="Arial"/>
      <w:spacing w:val="6"/>
      <w:kern w:val="0"/>
      <w:sz w:val="24"/>
      <w:szCs w:val="28"/>
    </w:rPr>
  </w:style>
  <w:style w:type="character" w:customStyle="1" w:styleId="142">
    <w:name w:val="自定义正文 Char"/>
    <w:link w:val="143"/>
    <w:qFormat/>
    <w:uiPriority w:val="0"/>
    <w:rPr>
      <w:rFonts w:ascii="仿宋_GB2312" w:eastAsia="仿宋_GB2312"/>
      <w:sz w:val="28"/>
    </w:rPr>
  </w:style>
  <w:style w:type="paragraph" w:customStyle="1" w:styleId="143">
    <w:name w:val="自定义正文"/>
    <w:basedOn w:val="1"/>
    <w:link w:val="142"/>
    <w:qFormat/>
    <w:uiPriority w:val="0"/>
    <w:pPr>
      <w:widowControl w:val="0"/>
      <w:spacing w:line="480" w:lineRule="exact"/>
      <w:ind w:firstLine="200" w:firstLineChars="200"/>
    </w:pPr>
    <w:rPr>
      <w:rFonts w:ascii="仿宋_GB2312" w:hAnsi="Times New Roman" w:eastAsia="仿宋_GB2312" w:cs="Times New Roman"/>
      <w:sz w:val="28"/>
      <w:szCs w:val="20"/>
    </w:rPr>
  </w:style>
  <w:style w:type="character" w:customStyle="1" w:styleId="144">
    <w:name w:val="Char Char15"/>
    <w:qFormat/>
    <w:uiPriority w:val="0"/>
    <w:rPr>
      <w:rFonts w:ascii="Arial" w:hAnsi="Arial" w:eastAsia="黑体"/>
      <w:sz w:val="24"/>
      <w:szCs w:val="24"/>
    </w:rPr>
  </w:style>
  <w:style w:type="character" w:customStyle="1" w:styleId="145">
    <w:name w:val="副标题 Char2"/>
    <w:qFormat/>
    <w:uiPriority w:val="0"/>
    <w:rPr>
      <w:rFonts w:ascii="Cambria" w:hAnsi="Cambria" w:cs="Times New Roman"/>
      <w:b/>
      <w:bCs/>
      <w:kern w:val="28"/>
      <w:sz w:val="32"/>
      <w:szCs w:val="32"/>
    </w:rPr>
  </w:style>
  <w:style w:type="character" w:customStyle="1" w:styleId="146">
    <w:name w:val="Normal Indent Char"/>
    <w:qFormat/>
    <w:uiPriority w:val="0"/>
    <w:rPr>
      <w:rFonts w:ascii="宋体" w:hAnsi="Times New Roman" w:eastAsia="宋体" w:cs="Times New Roman"/>
      <w:snapToGrid/>
      <w:color w:val="000000"/>
      <w:kern w:val="28"/>
      <w:sz w:val="28"/>
    </w:rPr>
  </w:style>
  <w:style w:type="character" w:customStyle="1" w:styleId="147">
    <w:name w:val="标题字符1"/>
    <w:qFormat/>
    <w:uiPriority w:val="10"/>
    <w:rPr>
      <w:rFonts w:ascii="等线 Light" w:hAnsi="等线 Light" w:eastAsia="宋体" w:cs="Times New Roman"/>
      <w:b/>
      <w:bCs/>
      <w:color w:val="000000"/>
      <w:kern w:val="0"/>
      <w:sz w:val="32"/>
      <w:szCs w:val="32"/>
    </w:rPr>
  </w:style>
  <w:style w:type="character" w:customStyle="1" w:styleId="148">
    <w:name w:val="标题 3 Char1"/>
    <w:qFormat/>
    <w:uiPriority w:val="0"/>
    <w:rPr>
      <w:rFonts w:hint="eastAsia" w:ascii="宋体" w:hAnsi="宋体" w:eastAsia="宋体" w:cs="Times New Roman"/>
      <w:b/>
      <w:sz w:val="24"/>
      <w:u w:val="single"/>
      <w:lang w:val="en-US" w:eastAsia="zh-CN" w:bidi="ar-SA"/>
    </w:rPr>
  </w:style>
  <w:style w:type="character" w:customStyle="1" w:styleId="149">
    <w:name w:val="正文文本缩进 3 Char2"/>
    <w:semiHidden/>
    <w:qFormat/>
    <w:uiPriority w:val="0"/>
    <w:rPr>
      <w:rFonts w:ascii="宋体" w:hAnsi="宋体" w:cs="宋体"/>
      <w:sz w:val="16"/>
      <w:szCs w:val="16"/>
    </w:rPr>
  </w:style>
  <w:style w:type="character" w:customStyle="1" w:styleId="150">
    <w:name w:val="txt"/>
    <w:qFormat/>
    <w:uiPriority w:val="0"/>
    <w:rPr>
      <w:rFonts w:ascii="Times New Roman" w:hAnsi="Times New Roman" w:eastAsia="宋体" w:cs="Times New Roman"/>
    </w:rPr>
  </w:style>
  <w:style w:type="character" w:customStyle="1" w:styleId="151">
    <w:name w:val="style11"/>
    <w:qFormat/>
    <w:uiPriority w:val="0"/>
    <w:rPr>
      <w:rFonts w:ascii="Times New Roman" w:hAnsi="Times New Roman" w:eastAsia="宋体" w:cs="Times New Roman"/>
      <w:b/>
      <w:bCs/>
      <w:color w:val="FF0000"/>
    </w:rPr>
  </w:style>
  <w:style w:type="character" w:customStyle="1" w:styleId="152">
    <w:name w:val="H 4 Char"/>
    <w:link w:val="153"/>
    <w:qFormat/>
    <w:uiPriority w:val="0"/>
    <w:rPr>
      <w:rFonts w:ascii="Calibri" w:hAnsi="Calibri"/>
      <w:sz w:val="21"/>
      <w:szCs w:val="21"/>
    </w:rPr>
  </w:style>
  <w:style w:type="paragraph" w:customStyle="1" w:styleId="153">
    <w:name w:val="H 4"/>
    <w:basedOn w:val="11"/>
    <w:link w:val="152"/>
    <w:qFormat/>
    <w:uiPriority w:val="0"/>
    <w:pPr>
      <w:widowControl w:val="0"/>
      <w:numPr>
        <w:ilvl w:val="3"/>
        <w:numId w:val="0"/>
      </w:numPr>
      <w:adjustRightInd w:val="0"/>
      <w:snapToGrid w:val="0"/>
      <w:spacing w:before="0" w:after="0" w:line="360" w:lineRule="auto"/>
      <w:ind w:left="426" w:leftChars="-4" w:hanging="436" w:hangingChars="181"/>
      <w:jc w:val="both"/>
    </w:pPr>
    <w:rPr>
      <w:rFonts w:ascii="Calibri" w:hAnsi="Calibri"/>
      <w:b w:val="0"/>
      <w:bCs w:val="0"/>
      <w:kern w:val="0"/>
      <w:sz w:val="21"/>
      <w:szCs w:val="21"/>
    </w:rPr>
  </w:style>
  <w:style w:type="character" w:customStyle="1" w:styleId="154">
    <w:name w:val="批注引用1"/>
    <w:qFormat/>
    <w:uiPriority w:val="0"/>
    <w:rPr>
      <w:rFonts w:ascii="Times New Roman" w:hAnsi="Times New Roman" w:eastAsia="宋体" w:cs="Times New Roman"/>
      <w:sz w:val="21"/>
      <w:szCs w:val="21"/>
    </w:rPr>
  </w:style>
  <w:style w:type="character" w:customStyle="1" w:styleId="155">
    <w:name w:val="font61"/>
    <w:qFormat/>
    <w:uiPriority w:val="0"/>
    <w:rPr>
      <w:rFonts w:hint="eastAsia" w:ascii="宋体" w:hAnsi="宋体" w:eastAsia="宋体" w:cs="宋体"/>
      <w:color w:val="000000"/>
      <w:sz w:val="18"/>
      <w:szCs w:val="18"/>
      <w:u w:val="none"/>
    </w:rPr>
  </w:style>
  <w:style w:type="character" w:customStyle="1" w:styleId="156">
    <w:name w:val="sub_title s0"/>
    <w:qFormat/>
    <w:uiPriority w:val="0"/>
  </w:style>
  <w:style w:type="character" w:customStyle="1" w:styleId="157">
    <w:name w:val=" Char Char1"/>
    <w:qFormat/>
    <w:uiPriority w:val="0"/>
    <w:rPr>
      <w:rFonts w:ascii="宋体" w:hAnsi="Courier New" w:eastAsia="宋体"/>
      <w:kern w:val="2"/>
      <w:sz w:val="21"/>
      <w:lang w:val="en-US" w:eastAsia="zh-CN" w:bidi="ar-SA"/>
    </w:rPr>
  </w:style>
  <w:style w:type="character" w:customStyle="1" w:styleId="158">
    <w:name w:val="正文（首行缩进 2 字符） Char Char"/>
    <w:link w:val="159"/>
    <w:qFormat/>
    <w:uiPriority w:val="0"/>
    <w:rPr>
      <w:szCs w:val="28"/>
    </w:rPr>
  </w:style>
  <w:style w:type="paragraph" w:customStyle="1" w:styleId="159">
    <w:name w:val="正文（首行缩进 2 字符）"/>
    <w:basedOn w:val="160"/>
    <w:link w:val="158"/>
    <w:qFormat/>
    <w:uiPriority w:val="0"/>
    <w:pPr>
      <w:snapToGrid w:val="0"/>
      <w:spacing w:line="300" w:lineRule="auto"/>
      <w:ind w:firstLine="480"/>
      <w:jc w:val="center"/>
    </w:pPr>
    <w:rPr>
      <w:rFonts w:ascii="Times New Roman" w:hAnsi="Times New Roman"/>
      <w:szCs w:val="28"/>
    </w:rPr>
  </w:style>
  <w:style w:type="paragraph" w:customStyle="1" w:styleId="160">
    <w:name w:val="样式 首行缩进:  2 字符"/>
    <w:basedOn w:val="1"/>
    <w:link w:val="161"/>
    <w:qFormat/>
    <w:uiPriority w:val="0"/>
    <w:pPr>
      <w:widowControl w:val="0"/>
      <w:spacing w:line="400" w:lineRule="exact"/>
      <w:ind w:firstLine="200" w:firstLineChars="200"/>
      <w:jc w:val="both"/>
    </w:pPr>
    <w:rPr>
      <w:rFonts w:cs="Times New Roman"/>
      <w:sz w:val="20"/>
      <w:szCs w:val="20"/>
    </w:rPr>
  </w:style>
  <w:style w:type="character" w:customStyle="1" w:styleId="161">
    <w:name w:val="样式 首行缩进:  2 字符 Char1"/>
    <w:link w:val="160"/>
    <w:qFormat/>
    <w:uiPriority w:val="0"/>
    <w:rPr>
      <w:rFonts w:ascii="宋体" w:hAnsi="宋体" w:cs="宋体"/>
    </w:rPr>
  </w:style>
  <w:style w:type="character" w:customStyle="1" w:styleId="162">
    <w:name w:val="15"/>
    <w:qFormat/>
    <w:uiPriority w:val="0"/>
    <w:rPr>
      <w:rFonts w:hint="default" w:ascii="TimesNewRomanPSMT" w:hAnsi="TimesNewRomanPSMT" w:eastAsia="宋体" w:cs="Times New Roman"/>
      <w:color w:val="000000"/>
      <w:sz w:val="24"/>
      <w:szCs w:val="24"/>
    </w:rPr>
  </w:style>
  <w:style w:type="character" w:customStyle="1" w:styleId="163">
    <w:name w:val="10"/>
    <w:qFormat/>
    <w:uiPriority w:val="0"/>
    <w:rPr>
      <w:rFonts w:hint="default" w:ascii="Calibri" w:hAnsi="Calibri" w:eastAsia="宋体" w:cs="Calibri"/>
    </w:rPr>
  </w:style>
  <w:style w:type="character" w:customStyle="1" w:styleId="164">
    <w:name w:val="bulletintext1"/>
    <w:qFormat/>
    <w:uiPriority w:val="0"/>
    <w:rPr>
      <w:rFonts w:hint="eastAsia" w:ascii="宋体" w:hAnsi="宋体" w:eastAsia="宋体" w:cs="Times New Roman"/>
      <w:sz w:val="18"/>
      <w:szCs w:val="18"/>
    </w:rPr>
  </w:style>
  <w:style w:type="character" w:customStyle="1" w:styleId="165">
    <w:name w:val="页眉 Char1"/>
    <w:qFormat/>
    <w:uiPriority w:val="0"/>
    <w:rPr>
      <w:rFonts w:hint="eastAsia" w:ascii="宋体" w:hAnsi="宋体" w:eastAsia="宋体" w:cs="宋体"/>
      <w:kern w:val="2"/>
      <w:sz w:val="18"/>
      <w:szCs w:val="18"/>
    </w:rPr>
  </w:style>
  <w:style w:type="character" w:customStyle="1" w:styleId="166">
    <w:name w:val="宏文本 Char"/>
    <w:link w:val="167"/>
    <w:qFormat/>
    <w:uiPriority w:val="0"/>
    <w:rPr>
      <w:rFonts w:ascii="Courier New" w:hAnsi="Courier New" w:eastAsia="Times New Roman" w:cs="Courier New"/>
      <w:lang w:val="en-US" w:eastAsia="zh-CN" w:bidi="ar-SA"/>
    </w:rPr>
  </w:style>
  <w:style w:type="paragraph" w:customStyle="1" w:styleId="167">
    <w:name w:val="宏文本1"/>
    <w:link w:val="16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imes New Roman" w:cs="Courier New"/>
      <w:lang w:val="en-US" w:eastAsia="zh-CN" w:bidi="ar-SA"/>
    </w:rPr>
  </w:style>
  <w:style w:type="character" w:customStyle="1" w:styleId="168">
    <w:name w:val="纯文本 字符"/>
    <w:qFormat/>
    <w:uiPriority w:val="0"/>
    <w:rPr>
      <w:rFonts w:ascii="宋体" w:hAnsi="Courier New" w:eastAsia="仿宋_GB2312" w:cs="Times New Roman"/>
      <w:b/>
      <w:color w:val="000000"/>
      <w:sz w:val="21"/>
      <w:lang w:val="en-US" w:eastAsia="zh-CN" w:bidi="ar-SA"/>
    </w:rPr>
  </w:style>
  <w:style w:type="character" w:customStyle="1" w:styleId="169">
    <w:name w:val="Char Char22"/>
    <w:qFormat/>
    <w:uiPriority w:val="0"/>
    <w:rPr>
      <w:rFonts w:ascii="Arial" w:hAnsi="Arial" w:eastAsia="黑体"/>
      <w:b/>
      <w:bCs/>
      <w:kern w:val="44"/>
      <w:sz w:val="30"/>
      <w:szCs w:val="44"/>
      <w:lang w:val="en-US" w:eastAsia="zh-CN" w:bidi="ar-SA"/>
    </w:rPr>
  </w:style>
  <w:style w:type="character" w:customStyle="1" w:styleId="170">
    <w:name w:val="old"/>
    <w:qFormat/>
    <w:uiPriority w:val="0"/>
    <w:rPr>
      <w:color w:val="999999"/>
    </w:rPr>
  </w:style>
  <w:style w:type="character" w:customStyle="1" w:styleId="171">
    <w:name w:val="批注框文本 Char2"/>
    <w:semiHidden/>
    <w:qFormat/>
    <w:uiPriority w:val="0"/>
    <w:rPr>
      <w:rFonts w:ascii="宋体" w:hAnsi="宋体" w:cs="宋体"/>
      <w:sz w:val="18"/>
      <w:szCs w:val="18"/>
    </w:rPr>
  </w:style>
  <w:style w:type="character" w:customStyle="1" w:styleId="172">
    <w:name w:val="内容文本 Char Char"/>
    <w:link w:val="173"/>
    <w:qFormat/>
    <w:uiPriority w:val="0"/>
    <w:rPr>
      <w:rFonts w:ascii="宋体" w:hAnsi="宋体"/>
      <w:sz w:val="24"/>
      <w:szCs w:val="24"/>
      <w:lang w:eastAsia="en-US" w:bidi="en-US"/>
    </w:rPr>
  </w:style>
  <w:style w:type="paragraph" w:customStyle="1" w:styleId="173">
    <w:name w:val="内容文本"/>
    <w:basedOn w:val="1"/>
    <w:link w:val="172"/>
    <w:qFormat/>
    <w:uiPriority w:val="0"/>
    <w:pPr>
      <w:widowControl w:val="0"/>
      <w:spacing w:line="360" w:lineRule="auto"/>
      <w:ind w:firstLine="200" w:firstLineChars="200"/>
      <w:contextualSpacing/>
    </w:pPr>
    <w:rPr>
      <w:rFonts w:cs="Times New Roman"/>
      <w:lang w:eastAsia="en-US" w:bidi="en-US"/>
    </w:rPr>
  </w:style>
  <w:style w:type="character" w:customStyle="1" w:styleId="174">
    <w:name w:val="font111"/>
    <w:qFormat/>
    <w:uiPriority w:val="0"/>
    <w:rPr>
      <w:rFonts w:hint="default" w:ascii="Times New Roman" w:hAnsi="Times New Roman" w:cs="Times New Roman"/>
      <w:color w:val="000000"/>
      <w:sz w:val="14"/>
      <w:szCs w:val="14"/>
      <w:u w:val="none"/>
    </w:rPr>
  </w:style>
  <w:style w:type="character" w:customStyle="1" w:styleId="175">
    <w:name w:val="Header Char"/>
    <w:qFormat/>
    <w:uiPriority w:val="0"/>
    <w:rPr>
      <w:rFonts w:ascii="Times New Roman" w:hAnsi="Times New Roman" w:eastAsia="宋体" w:cs="Times New Roman"/>
      <w:sz w:val="18"/>
      <w:szCs w:val="18"/>
    </w:rPr>
  </w:style>
  <w:style w:type="character" w:customStyle="1" w:styleId="176">
    <w:name w:val="Plain Text Char"/>
    <w:qFormat/>
    <w:uiPriority w:val="0"/>
    <w:rPr>
      <w:rFonts w:ascii="宋体" w:hAnsi="Courier New" w:eastAsia="宋体" w:cs="Times New Roman"/>
      <w:snapToGrid/>
      <w:sz w:val="21"/>
    </w:rPr>
  </w:style>
  <w:style w:type="character" w:customStyle="1" w:styleId="177">
    <w:name w:val="标书正文格式 Char"/>
    <w:link w:val="178"/>
    <w:qFormat/>
    <w:locked/>
    <w:uiPriority w:val="0"/>
    <w:rPr>
      <w:rFonts w:ascii="华文中宋" w:hAnsi="华文中宋" w:eastAsia="华文中宋"/>
      <w:sz w:val="18"/>
      <w:szCs w:val="18"/>
      <w:lang w:val="en-US" w:eastAsia="zh-CN" w:bidi="ar-SA"/>
    </w:rPr>
  </w:style>
  <w:style w:type="paragraph" w:customStyle="1" w:styleId="178">
    <w:name w:val="标书正文格式"/>
    <w:link w:val="177"/>
    <w:qFormat/>
    <w:uiPriority w:val="0"/>
    <w:pPr>
      <w:spacing w:line="360" w:lineRule="auto"/>
      <w:ind w:firstLine="360" w:firstLineChars="200"/>
      <w:jc w:val="center"/>
    </w:pPr>
    <w:rPr>
      <w:rFonts w:ascii="华文中宋" w:hAnsi="华文中宋" w:eastAsia="华文中宋" w:cs="Times New Roman"/>
      <w:sz w:val="18"/>
      <w:szCs w:val="18"/>
      <w:lang w:val="en-US" w:eastAsia="zh-CN" w:bidi="ar-SA"/>
    </w:rPr>
  </w:style>
  <w:style w:type="character" w:customStyle="1" w:styleId="179">
    <w:name w:val="hour_pm"/>
    <w:qFormat/>
    <w:uiPriority w:val="0"/>
  </w:style>
  <w:style w:type="character" w:customStyle="1" w:styleId="180">
    <w:name w:val="正文文本缩进 2 Char2"/>
    <w:semiHidden/>
    <w:qFormat/>
    <w:uiPriority w:val="0"/>
    <w:rPr>
      <w:rFonts w:ascii="宋体" w:hAnsi="宋体" w:cs="宋体"/>
      <w:sz w:val="24"/>
      <w:szCs w:val="24"/>
    </w:rPr>
  </w:style>
  <w:style w:type="character" w:customStyle="1" w:styleId="181">
    <w:name w:val="heading 6 Char1"/>
    <w:qFormat/>
    <w:uiPriority w:val="0"/>
    <w:rPr>
      <w:rFonts w:ascii="Arial" w:hAnsi="Arial" w:eastAsia="黑体"/>
      <w:kern w:val="2"/>
      <w:sz w:val="24"/>
      <w:szCs w:val="24"/>
      <w:lang w:val="en-US" w:eastAsia="zh-CN" w:bidi="ar-SA"/>
    </w:rPr>
  </w:style>
  <w:style w:type="character" w:customStyle="1" w:styleId="182">
    <w:name w:val="页脚 Char1"/>
    <w:qFormat/>
    <w:uiPriority w:val="0"/>
    <w:rPr>
      <w:rFonts w:ascii="宋体" w:hAnsi="宋体" w:eastAsia="宋体" w:cs="宋体"/>
      <w:sz w:val="18"/>
      <w:szCs w:val="18"/>
    </w:rPr>
  </w:style>
  <w:style w:type="character" w:customStyle="1" w:styleId="183">
    <w:name w:val="hour_am"/>
    <w:qFormat/>
    <w:uiPriority w:val="0"/>
  </w:style>
  <w:style w:type="character" w:customStyle="1" w:styleId="184">
    <w:name w:val="样式1 Char"/>
    <w:link w:val="185"/>
    <w:qFormat/>
    <w:uiPriority w:val="0"/>
    <w:rPr>
      <w:rFonts w:ascii="宋体" w:hAnsi="宋体" w:cs="宋体"/>
      <w:b/>
      <w:sz w:val="24"/>
    </w:rPr>
  </w:style>
  <w:style w:type="paragraph" w:customStyle="1" w:styleId="185">
    <w:name w:val="样式1"/>
    <w:basedOn w:val="1"/>
    <w:link w:val="184"/>
    <w:qFormat/>
    <w:uiPriority w:val="0"/>
    <w:pPr>
      <w:spacing w:before="120" w:after="120" w:line="300" w:lineRule="auto"/>
    </w:pPr>
    <w:rPr>
      <w:rFonts w:cs="Times New Roman"/>
      <w:b/>
      <w:szCs w:val="20"/>
    </w:rPr>
  </w:style>
  <w:style w:type="character" w:customStyle="1" w:styleId="186">
    <w:name w:val="正文缩进 Char1"/>
    <w:qFormat/>
    <w:uiPriority w:val="0"/>
    <w:rPr>
      <w:rFonts w:ascii="Times New Roman" w:hAnsi="Times New Roman" w:eastAsia="宋体" w:cs="Times New Roman"/>
      <w:szCs w:val="24"/>
    </w:rPr>
  </w:style>
  <w:style w:type="character" w:customStyle="1" w:styleId="187">
    <w:name w:val="正文文本缩进 Char2"/>
    <w:semiHidden/>
    <w:qFormat/>
    <w:uiPriority w:val="0"/>
    <w:rPr>
      <w:rFonts w:ascii="宋体" w:hAnsi="宋体" w:cs="宋体"/>
      <w:sz w:val="24"/>
      <w:szCs w:val="24"/>
    </w:rPr>
  </w:style>
  <w:style w:type="character" w:customStyle="1" w:styleId="188">
    <w:name w:val="font31"/>
    <w:qFormat/>
    <w:uiPriority w:val="0"/>
    <w:rPr>
      <w:rFonts w:hint="eastAsia" w:ascii="微软雅黑" w:hAnsi="微软雅黑" w:eastAsia="微软雅黑" w:cs="Times New Roman"/>
      <w:color w:val="000000"/>
      <w:sz w:val="21"/>
      <w:szCs w:val="21"/>
      <w:u w:val="none"/>
    </w:rPr>
  </w:style>
  <w:style w:type="character" w:customStyle="1" w:styleId="189">
    <w:name w:val="正文首行缩进 2 Char"/>
    <w:link w:val="190"/>
    <w:qFormat/>
    <w:uiPriority w:val="0"/>
    <w:rPr>
      <w:rFonts w:ascii="宋体" w:hAnsi="宋体" w:cs="宋体"/>
      <w:kern w:val="2"/>
      <w:sz w:val="24"/>
      <w:szCs w:val="24"/>
    </w:rPr>
  </w:style>
  <w:style w:type="paragraph" w:customStyle="1" w:styleId="190">
    <w:name w:val="正文首行缩进 21"/>
    <w:basedOn w:val="191"/>
    <w:link w:val="189"/>
    <w:qFormat/>
    <w:uiPriority w:val="0"/>
    <w:pPr>
      <w:snapToGrid w:val="0"/>
      <w:spacing w:line="360" w:lineRule="auto"/>
      <w:ind w:left="0" w:leftChars="0" w:firstLine="200" w:firstLineChars="200"/>
      <w:jc w:val="center"/>
    </w:pPr>
    <w:rPr>
      <w:rFonts w:ascii="宋体" w:hAnsi="宋体"/>
      <w:kern w:val="2"/>
      <w:sz w:val="24"/>
      <w:szCs w:val="24"/>
    </w:rPr>
  </w:style>
  <w:style w:type="paragraph" w:customStyle="1" w:styleId="191">
    <w:name w:val="正文文本缩进1"/>
    <w:basedOn w:val="1"/>
    <w:qFormat/>
    <w:uiPriority w:val="0"/>
    <w:pPr>
      <w:widowControl w:val="0"/>
      <w:spacing w:after="120"/>
      <w:ind w:left="420" w:leftChars="200"/>
      <w:jc w:val="both"/>
    </w:pPr>
    <w:rPr>
      <w:rFonts w:ascii="Times New Roman" w:hAnsi="Times New Roman" w:cs="Times New Roman"/>
      <w:sz w:val="20"/>
      <w:szCs w:val="21"/>
    </w:rPr>
  </w:style>
  <w:style w:type="character" w:customStyle="1" w:styleId="192">
    <w:name w:val="font71"/>
    <w:qFormat/>
    <w:uiPriority w:val="0"/>
    <w:rPr>
      <w:rFonts w:hint="default" w:ascii="Calibri" w:hAnsi="Calibri" w:cs="Calibri"/>
      <w:color w:val="000000"/>
      <w:sz w:val="21"/>
      <w:szCs w:val="21"/>
      <w:u w:val="none"/>
    </w:rPr>
  </w:style>
  <w:style w:type="character" w:customStyle="1" w:styleId="193">
    <w:name w:val="smalltxt1"/>
    <w:qFormat/>
    <w:uiPriority w:val="0"/>
    <w:rPr>
      <w:rFonts w:hint="default" w:ascii="ˎ̥" w:hAnsi="ˎ̥"/>
      <w:sz w:val="24"/>
      <w:szCs w:val="24"/>
    </w:rPr>
  </w:style>
  <w:style w:type="character" w:customStyle="1" w:styleId="194">
    <w:name w:val="标题 6 Char1"/>
    <w:qFormat/>
    <w:uiPriority w:val="0"/>
    <w:rPr>
      <w:rFonts w:ascii="Cambria" w:hAnsi="Cambria" w:eastAsia="宋体" w:cs="Times New Roman"/>
      <w:b/>
      <w:bCs/>
      <w:kern w:val="2"/>
      <w:sz w:val="24"/>
      <w:szCs w:val="24"/>
    </w:rPr>
  </w:style>
  <w:style w:type="character" w:customStyle="1" w:styleId="195">
    <w:name w:val="font41"/>
    <w:qFormat/>
    <w:uiPriority w:val="0"/>
    <w:rPr>
      <w:rFonts w:hint="default" w:ascii="Symbol" w:hAnsi="Symbol" w:cs="Symbol"/>
      <w:color w:val="000000"/>
      <w:sz w:val="16"/>
      <w:szCs w:val="16"/>
      <w:u w:val="none"/>
    </w:rPr>
  </w:style>
  <w:style w:type="character" w:customStyle="1" w:styleId="196">
    <w:name w:val="heading 1 Char"/>
    <w:qFormat/>
    <w:uiPriority w:val="0"/>
    <w:rPr>
      <w:rFonts w:ascii="Arial" w:hAnsi="Arial" w:eastAsia="黑体"/>
      <w:b/>
      <w:sz w:val="36"/>
      <w:szCs w:val="36"/>
    </w:rPr>
  </w:style>
  <w:style w:type="character" w:customStyle="1" w:styleId="197">
    <w:name w:val="纯文本 字符1"/>
    <w:qFormat/>
    <w:uiPriority w:val="0"/>
    <w:rPr>
      <w:rFonts w:ascii="宋体" w:hAnsi="Courier New" w:eastAsia="宋体"/>
      <w:kern w:val="2"/>
      <w:sz w:val="21"/>
      <w:lang w:val="en-US" w:eastAsia="zh-CN" w:bidi="ar-SA"/>
    </w:rPr>
  </w:style>
  <w:style w:type="character" w:customStyle="1" w:styleId="198">
    <w:name w:val="textcolor1"/>
    <w:qFormat/>
    <w:uiPriority w:val="0"/>
    <w:rPr>
      <w:rFonts w:ascii="仿宋_GB2312" w:eastAsia="仿宋_GB2312"/>
      <w:b/>
      <w:color w:val="FF6600"/>
      <w:sz w:val="32"/>
      <w:szCs w:val="32"/>
    </w:rPr>
  </w:style>
  <w:style w:type="character" w:customStyle="1" w:styleId="199">
    <w:name w:val="标题 8 Char1"/>
    <w:qFormat/>
    <w:uiPriority w:val="0"/>
    <w:rPr>
      <w:rFonts w:ascii="Arial" w:hAnsi="Arial" w:eastAsia="黑体" w:cs="Times New Roman"/>
      <w:kern w:val="0"/>
      <w:sz w:val="24"/>
      <w:szCs w:val="20"/>
    </w:rPr>
  </w:style>
  <w:style w:type="character" w:customStyle="1" w:styleId="200">
    <w:name w:val="Char Char18"/>
    <w:qFormat/>
    <w:uiPriority w:val="0"/>
    <w:rPr>
      <w:b/>
      <w:bCs/>
      <w:kern w:val="2"/>
      <w:sz w:val="32"/>
      <w:szCs w:val="32"/>
    </w:rPr>
  </w:style>
  <w:style w:type="character" w:customStyle="1" w:styleId="201">
    <w:name w:val="Char Char6"/>
    <w:qFormat/>
    <w:uiPriority w:val="0"/>
    <w:rPr>
      <w:rFonts w:ascii="Times New Roman" w:hAnsi="Times New Roman" w:eastAsia="宋体" w:cs="Times New Roman"/>
      <w:szCs w:val="24"/>
    </w:rPr>
  </w:style>
  <w:style w:type="character" w:customStyle="1" w:styleId="202">
    <w:name w:val="_Style 201"/>
    <w:qFormat/>
    <w:uiPriority w:val="0"/>
    <w:rPr>
      <w:i/>
      <w:iCs/>
      <w:color w:val="808080"/>
    </w:rPr>
  </w:style>
  <w:style w:type="character" w:customStyle="1" w:styleId="203">
    <w:name w:val="12blk1"/>
    <w:qFormat/>
    <w:uiPriority w:val="0"/>
    <w:rPr>
      <w:rFonts w:hint="default" w:ascii="_x000B__x000C_" w:hAnsi="_x000B__x000C_"/>
      <w:color w:val="000000"/>
      <w:sz w:val="24"/>
      <w:szCs w:val="24"/>
      <w:u w:val="none"/>
    </w:rPr>
  </w:style>
  <w:style w:type="character" w:customStyle="1" w:styleId="204">
    <w:name w:val="标题1 Char"/>
    <w:link w:val="205"/>
    <w:qFormat/>
    <w:uiPriority w:val="0"/>
    <w:rPr>
      <w:rFonts w:ascii="Arial" w:hAnsi="Arial"/>
      <w:b/>
      <w:bCs/>
      <w:kern w:val="44"/>
      <w:sz w:val="32"/>
      <w:szCs w:val="24"/>
    </w:rPr>
  </w:style>
  <w:style w:type="paragraph" w:customStyle="1" w:styleId="205">
    <w:name w:val="标题1"/>
    <w:basedOn w:val="8"/>
    <w:link w:val="204"/>
    <w:qFormat/>
    <w:uiPriority w:val="0"/>
    <w:pPr>
      <w:keepLines/>
      <w:widowControl w:val="0"/>
      <w:spacing w:before="340" w:beforeLines="200" w:after="330" w:line="360" w:lineRule="auto"/>
      <w:ind w:left="420"/>
      <w:jc w:val="left"/>
    </w:pPr>
    <w:rPr>
      <w:rFonts w:ascii="Arial" w:hAnsi="Arial"/>
      <w:b/>
      <w:bCs/>
      <w:kern w:val="44"/>
      <w:sz w:val="32"/>
    </w:rPr>
  </w:style>
  <w:style w:type="character" w:customStyle="1" w:styleId="206">
    <w:name w:val="正文文本 3 Char1"/>
    <w:qFormat/>
    <w:uiPriority w:val="0"/>
    <w:rPr>
      <w:rFonts w:hint="eastAsia" w:ascii="宋体" w:hAnsi="宋体" w:eastAsia="宋体" w:cs="宋体"/>
      <w:kern w:val="2"/>
      <w:sz w:val="16"/>
      <w:szCs w:val="16"/>
    </w:rPr>
  </w:style>
  <w:style w:type="character" w:customStyle="1" w:styleId="207">
    <w:name w:val="heading 3 Char1"/>
    <w:qFormat/>
    <w:uiPriority w:val="0"/>
    <w:rPr>
      <w:rFonts w:eastAsia="宋体"/>
      <w:b/>
      <w:bCs/>
      <w:kern w:val="2"/>
      <w:sz w:val="32"/>
      <w:szCs w:val="32"/>
      <w:lang w:val="en-US" w:eastAsia="zh-CN" w:bidi="ar-SA"/>
    </w:rPr>
  </w:style>
  <w:style w:type="character" w:customStyle="1" w:styleId="208">
    <w:name w:val="样式2 Char Char"/>
    <w:qFormat/>
    <w:uiPriority w:val="0"/>
    <w:rPr>
      <w:rFonts w:ascii="宋体" w:hAnsi="宋体"/>
      <w:bCs/>
      <w:kern w:val="2"/>
      <w:sz w:val="28"/>
      <w:szCs w:val="28"/>
    </w:rPr>
  </w:style>
  <w:style w:type="character" w:customStyle="1" w:styleId="209">
    <w:name w:val="图片 Char Char"/>
    <w:link w:val="210"/>
    <w:qFormat/>
    <w:uiPriority w:val="0"/>
    <w:rPr>
      <w:rFonts w:ascii="宋体" w:hAnsi="宋体" w:cs="宋体"/>
      <w:sz w:val="24"/>
    </w:rPr>
  </w:style>
  <w:style w:type="paragraph" w:customStyle="1" w:styleId="210">
    <w:name w:val="图片"/>
    <w:basedOn w:val="1"/>
    <w:link w:val="209"/>
    <w:qFormat/>
    <w:uiPriority w:val="0"/>
    <w:pPr>
      <w:spacing w:line="360" w:lineRule="auto"/>
      <w:jc w:val="center"/>
    </w:pPr>
    <w:rPr>
      <w:rFonts w:cs="Times New Roman"/>
      <w:szCs w:val="20"/>
    </w:rPr>
  </w:style>
  <w:style w:type="character" w:customStyle="1" w:styleId="211">
    <w:name w:val="heading 5 Char1"/>
    <w:qFormat/>
    <w:uiPriority w:val="0"/>
    <w:rPr>
      <w:rFonts w:eastAsia="宋体"/>
      <w:b/>
      <w:bCs/>
      <w:kern w:val="2"/>
      <w:sz w:val="28"/>
      <w:szCs w:val="28"/>
      <w:lang w:val="en-US" w:eastAsia="zh-CN" w:bidi="ar-SA"/>
    </w:rPr>
  </w:style>
  <w:style w:type="character" w:customStyle="1" w:styleId="212">
    <w:name w:val="font3"/>
    <w:qFormat/>
    <w:uiPriority w:val="0"/>
  </w:style>
  <w:style w:type="character" w:customStyle="1" w:styleId="213">
    <w:name w:val="项目排列 Char"/>
    <w:link w:val="214"/>
    <w:qFormat/>
    <w:uiPriority w:val="0"/>
  </w:style>
  <w:style w:type="paragraph" w:customStyle="1" w:styleId="214">
    <w:name w:val="项目排列"/>
    <w:basedOn w:val="1"/>
    <w:link w:val="213"/>
    <w:qFormat/>
    <w:uiPriority w:val="0"/>
    <w:pPr>
      <w:widowControl w:val="0"/>
      <w:tabs>
        <w:tab w:val="left" w:pos="900"/>
      </w:tabs>
      <w:spacing w:beforeLines="50" w:afterLines="50" w:line="300" w:lineRule="auto"/>
      <w:ind w:left="900" w:hanging="420"/>
      <w:jc w:val="both"/>
    </w:pPr>
    <w:rPr>
      <w:rFonts w:ascii="Times New Roman" w:hAnsi="Times New Roman" w:cs="Times New Roman"/>
      <w:sz w:val="20"/>
      <w:szCs w:val="20"/>
    </w:rPr>
  </w:style>
  <w:style w:type="character" w:customStyle="1" w:styleId="215">
    <w:name w:val="font121"/>
    <w:qFormat/>
    <w:uiPriority w:val="0"/>
    <w:rPr>
      <w:rFonts w:hint="default" w:ascii="Calibri" w:hAnsi="Calibri" w:cs="Calibri"/>
      <w:b/>
      <w:bCs/>
      <w:color w:val="000000"/>
      <w:sz w:val="21"/>
      <w:szCs w:val="21"/>
      <w:u w:val="none"/>
    </w:rPr>
  </w:style>
  <w:style w:type="character" w:customStyle="1" w:styleId="216">
    <w:name w:val="info"/>
    <w:qFormat/>
    <w:uiPriority w:val="0"/>
    <w:rPr>
      <w:rFonts w:ascii="Times New Roman" w:hAnsi="Times New Roman" w:eastAsia="宋体" w:cs="Times New Roman"/>
    </w:rPr>
  </w:style>
  <w:style w:type="character" w:customStyle="1" w:styleId="217">
    <w:name w:val="表格文字（两侧对齐） Char Char"/>
    <w:link w:val="3"/>
    <w:qFormat/>
    <w:uiPriority w:val="0"/>
  </w:style>
  <w:style w:type="character" w:customStyle="1" w:styleId="218">
    <w:name w:val="普通文字 Char Char"/>
    <w:qFormat/>
    <w:uiPriority w:val="0"/>
    <w:rPr>
      <w:rFonts w:ascii="宋体" w:hAnsi="Courier New" w:eastAsia="宋体"/>
      <w:kern w:val="2"/>
      <w:sz w:val="21"/>
      <w:lang w:val="en-US" w:eastAsia="zh-CN" w:bidi="ar-SA"/>
    </w:rPr>
  </w:style>
  <w:style w:type="character" w:customStyle="1" w:styleId="219">
    <w:name w:val="b titlename wangputoptitle"/>
    <w:qFormat/>
    <w:uiPriority w:val="0"/>
  </w:style>
  <w:style w:type="character" w:customStyle="1" w:styleId="220">
    <w:name w:val="方案正文 字符"/>
    <w:link w:val="221"/>
    <w:qFormat/>
    <w:uiPriority w:val="0"/>
    <w:rPr>
      <w:rFonts w:ascii="宋体" w:hAnsi="宋体" w:eastAsia="仿宋" w:cs="仿宋_GB2312"/>
      <w:sz w:val="24"/>
      <w:szCs w:val="24"/>
    </w:rPr>
  </w:style>
  <w:style w:type="paragraph" w:customStyle="1" w:styleId="221">
    <w:name w:val="方案正文"/>
    <w:basedOn w:val="14"/>
    <w:link w:val="220"/>
    <w:qFormat/>
    <w:uiPriority w:val="0"/>
    <w:pPr>
      <w:widowControl w:val="0"/>
      <w:adjustRightInd w:val="0"/>
      <w:spacing w:line="360" w:lineRule="auto"/>
      <w:ind w:firstLine="480"/>
      <w:jc w:val="both"/>
      <w:textAlignment w:val="baseline"/>
    </w:pPr>
    <w:rPr>
      <w:rFonts w:ascii="宋体" w:hAnsi="宋体" w:eastAsia="仿宋"/>
      <w:kern w:val="0"/>
      <w:sz w:val="24"/>
    </w:rPr>
  </w:style>
  <w:style w:type="character" w:customStyle="1" w:styleId="222">
    <w:name w:val="heading 1 Char2"/>
    <w:qFormat/>
    <w:uiPriority w:val="0"/>
    <w:rPr>
      <w:b/>
      <w:bCs/>
      <w:kern w:val="44"/>
      <w:sz w:val="44"/>
      <w:szCs w:val="44"/>
    </w:rPr>
  </w:style>
  <w:style w:type="character" w:customStyle="1" w:styleId="223">
    <w:name w:val="heading 7 Char1"/>
    <w:qFormat/>
    <w:uiPriority w:val="0"/>
    <w:rPr>
      <w:rFonts w:ascii="Arial" w:hAnsi="Arial" w:eastAsia="黑体"/>
      <w:sz w:val="21"/>
      <w:szCs w:val="21"/>
      <w:lang w:val="en-US" w:eastAsia="zh-CN" w:bidi="ar-SA"/>
    </w:rPr>
  </w:style>
  <w:style w:type="character" w:customStyle="1" w:styleId="224">
    <w:name w:val="称呼 Char1"/>
    <w:qFormat/>
    <w:uiPriority w:val="0"/>
    <w:rPr>
      <w:kern w:val="2"/>
      <w:sz w:val="21"/>
      <w:szCs w:val="24"/>
    </w:rPr>
  </w:style>
  <w:style w:type="character" w:customStyle="1" w:styleId="225">
    <w:name w:val="style551"/>
    <w:qFormat/>
    <w:uiPriority w:val="0"/>
    <w:rPr>
      <w:rFonts w:hint="default" w:ascii="Arial" w:hAnsi="Arial" w:cs="Arial"/>
      <w:color w:val="333333"/>
      <w:sz w:val="24"/>
      <w:szCs w:val="24"/>
    </w:rPr>
  </w:style>
  <w:style w:type="character" w:customStyle="1" w:styleId="226">
    <w:name w:val="Char Char12"/>
    <w:qFormat/>
    <w:uiPriority w:val="0"/>
    <w:rPr>
      <w:rFonts w:hint="eastAsia" w:ascii="宋体" w:hAnsi="宋体" w:eastAsia="宋体" w:cs="Times New Roman"/>
      <w:sz w:val="24"/>
      <w:szCs w:val="24"/>
    </w:rPr>
  </w:style>
  <w:style w:type="character" w:customStyle="1" w:styleId="227">
    <w:name w:val="正文首行缩进 Char1"/>
    <w:qFormat/>
    <w:uiPriority w:val="0"/>
    <w:rPr>
      <w:rFonts w:ascii="宋体" w:hAnsi="宋体" w:eastAsia="宋体" w:cs="Times New Roman"/>
      <w:sz w:val="24"/>
      <w:szCs w:val="24"/>
    </w:rPr>
  </w:style>
  <w:style w:type="character" w:customStyle="1" w:styleId="228">
    <w:name w:val="引用 Char"/>
    <w:link w:val="229"/>
    <w:qFormat/>
    <w:uiPriority w:val="0"/>
    <w:rPr>
      <w:rFonts w:ascii="Calibri" w:hAnsi="Calibri"/>
      <w:i/>
      <w:iCs/>
      <w:color w:val="000000"/>
    </w:rPr>
  </w:style>
  <w:style w:type="paragraph" w:styleId="229">
    <w:name w:val="Quote"/>
    <w:basedOn w:val="1"/>
    <w:next w:val="1"/>
    <w:link w:val="228"/>
    <w:qFormat/>
    <w:uiPriority w:val="0"/>
    <w:pPr>
      <w:widowControl w:val="0"/>
      <w:jc w:val="both"/>
    </w:pPr>
    <w:rPr>
      <w:rFonts w:ascii="Calibri" w:hAnsi="Calibri" w:cs="Times New Roman"/>
      <w:i/>
      <w:iCs/>
      <w:color w:val="000000"/>
      <w:sz w:val="20"/>
      <w:szCs w:val="20"/>
    </w:rPr>
  </w:style>
  <w:style w:type="character" w:customStyle="1" w:styleId="230">
    <w:name w:val="宇视2 Char"/>
    <w:link w:val="231"/>
    <w:qFormat/>
    <w:uiPriority w:val="0"/>
    <w:rPr>
      <w:rFonts w:ascii="Calibri Light" w:hAnsi="Calibri Light" w:eastAsia="等线"/>
      <w:b/>
      <w:bCs/>
      <w:kern w:val="2"/>
      <w:sz w:val="28"/>
      <w:szCs w:val="30"/>
    </w:rPr>
  </w:style>
  <w:style w:type="paragraph" w:customStyle="1" w:styleId="231">
    <w:name w:val="宇视2"/>
    <w:basedOn w:val="9"/>
    <w:link w:val="230"/>
    <w:qFormat/>
    <w:uiPriority w:val="0"/>
    <w:pPr>
      <w:widowControl w:val="0"/>
      <w:tabs>
        <w:tab w:val="left" w:pos="360"/>
        <w:tab w:val="left" w:pos="567"/>
      </w:tabs>
      <w:spacing w:beforeLines="50" w:line="360" w:lineRule="auto"/>
      <w:ind w:left="567"/>
      <w:jc w:val="both"/>
    </w:pPr>
    <w:rPr>
      <w:rFonts w:ascii="Calibri Light" w:hAnsi="Calibri Light" w:eastAsia="等线"/>
      <w:sz w:val="28"/>
      <w:szCs w:val="30"/>
    </w:rPr>
  </w:style>
  <w:style w:type="character" w:customStyle="1" w:styleId="232">
    <w:name w:val="font101"/>
    <w:qFormat/>
    <w:uiPriority w:val="0"/>
    <w:rPr>
      <w:rFonts w:hint="eastAsia" w:ascii="宋体" w:hAnsi="宋体" w:eastAsia="宋体"/>
      <w:color w:val="000000"/>
      <w:sz w:val="21"/>
      <w:szCs w:val="21"/>
      <w:u w:val="none"/>
    </w:rPr>
  </w:style>
  <w:style w:type="character" w:customStyle="1" w:styleId="233">
    <w:name w:val="_Style 232"/>
    <w:qFormat/>
    <w:uiPriority w:val="0"/>
    <w:rPr>
      <w:b/>
      <w:bCs/>
      <w:smallCaps/>
      <w:color w:val="C0504D"/>
      <w:spacing w:val="5"/>
      <w:u w:val="single"/>
    </w:rPr>
  </w:style>
  <w:style w:type="character" w:customStyle="1" w:styleId="234">
    <w:name w:val="标书正文 Char"/>
    <w:link w:val="235"/>
    <w:qFormat/>
    <w:uiPriority w:val="0"/>
    <w:rPr>
      <w:spacing w:val="1"/>
      <w:sz w:val="21"/>
      <w:szCs w:val="21"/>
    </w:rPr>
  </w:style>
  <w:style w:type="paragraph" w:customStyle="1" w:styleId="235">
    <w:name w:val="标书正文"/>
    <w:basedOn w:val="1"/>
    <w:link w:val="234"/>
    <w:qFormat/>
    <w:uiPriority w:val="0"/>
    <w:pPr>
      <w:widowControl w:val="0"/>
      <w:spacing w:line="360" w:lineRule="auto"/>
      <w:ind w:left="240" w:leftChars="100" w:right="100" w:rightChars="100" w:firstLine="200" w:firstLineChars="200"/>
      <w:jc w:val="both"/>
    </w:pPr>
    <w:rPr>
      <w:rFonts w:ascii="Times New Roman" w:hAnsi="Times New Roman" w:cs="Times New Roman"/>
      <w:spacing w:val="1"/>
      <w:sz w:val="21"/>
      <w:szCs w:val="21"/>
    </w:rPr>
  </w:style>
  <w:style w:type="character" w:customStyle="1" w:styleId="236">
    <w:name w:val="页脚 Char2"/>
    <w:semiHidden/>
    <w:qFormat/>
    <w:uiPriority w:val="0"/>
    <w:rPr>
      <w:rFonts w:ascii="宋体" w:hAnsi="宋体" w:cs="宋体"/>
      <w:sz w:val="18"/>
      <w:szCs w:val="18"/>
    </w:rPr>
  </w:style>
  <w:style w:type="character" w:customStyle="1" w:styleId="237">
    <w:name w:val="明显引用 Char2"/>
    <w:qFormat/>
    <w:uiPriority w:val="30"/>
    <w:rPr>
      <w:b/>
      <w:bCs/>
      <w:i/>
      <w:iCs/>
      <w:color w:val="4F81BD"/>
      <w:kern w:val="2"/>
      <w:sz w:val="21"/>
      <w:szCs w:val="24"/>
    </w:rPr>
  </w:style>
  <w:style w:type="character" w:customStyle="1" w:styleId="238">
    <w:name w:val="Char Char9"/>
    <w:qFormat/>
    <w:uiPriority w:val="0"/>
    <w:rPr>
      <w:rFonts w:ascii="Times New Roman" w:hAnsi="Times New Roman" w:eastAsia="宋体" w:cs="Times New Roman"/>
      <w:b/>
      <w:kern w:val="2"/>
      <w:sz w:val="24"/>
      <w:szCs w:val="24"/>
    </w:rPr>
  </w:style>
  <w:style w:type="character" w:customStyle="1" w:styleId="239">
    <w:name w:val="标题 Char1"/>
    <w:qFormat/>
    <w:uiPriority w:val="0"/>
    <w:rPr>
      <w:rFonts w:ascii="Cambria" w:hAnsi="Cambria" w:eastAsia="宋体" w:cs="Times New Roman"/>
      <w:b/>
      <w:bCs/>
      <w:sz w:val="32"/>
      <w:szCs w:val="32"/>
    </w:rPr>
  </w:style>
  <w:style w:type="character" w:customStyle="1" w:styleId="240">
    <w:name w:val="ant-form-item-children4"/>
    <w:qFormat/>
    <w:uiPriority w:val="0"/>
  </w:style>
  <w:style w:type="character" w:customStyle="1" w:styleId="241">
    <w:name w:val="正文文本 2 Char1"/>
    <w:qFormat/>
    <w:uiPriority w:val="0"/>
    <w:rPr>
      <w:rFonts w:hint="eastAsia" w:ascii="宋体" w:hAnsi="宋体" w:eastAsia="宋体" w:cs="宋体"/>
      <w:kern w:val="2"/>
      <w:sz w:val="24"/>
      <w:szCs w:val="24"/>
    </w:rPr>
  </w:style>
  <w:style w:type="character" w:customStyle="1" w:styleId="242">
    <w:name w:val="表格用 Char"/>
    <w:qFormat/>
    <w:uiPriority w:val="0"/>
    <w:rPr>
      <w:rFonts w:hint="default" w:ascii="Arial" w:hAnsi="Arial" w:eastAsia="宋体" w:cs="Arial"/>
      <w:color w:val="000000"/>
      <w:kern w:val="2"/>
      <w:sz w:val="24"/>
    </w:rPr>
  </w:style>
  <w:style w:type="character" w:customStyle="1" w:styleId="243">
    <w:name w:val="PI Char"/>
    <w:qFormat/>
    <w:uiPriority w:val="0"/>
    <w:rPr>
      <w:rFonts w:ascii="宋体" w:hAnsi="宋体"/>
      <w:sz w:val="24"/>
    </w:rPr>
  </w:style>
  <w:style w:type="character" w:customStyle="1" w:styleId="244">
    <w:name w:val="font131"/>
    <w:qFormat/>
    <w:uiPriority w:val="0"/>
    <w:rPr>
      <w:rFonts w:hint="default" w:ascii="Calibri" w:hAnsi="Calibri" w:cs="Calibri"/>
      <w:color w:val="000000"/>
      <w:sz w:val="21"/>
      <w:szCs w:val="21"/>
      <w:u w:val="none"/>
    </w:rPr>
  </w:style>
  <w:style w:type="character" w:customStyle="1" w:styleId="245">
    <w:name w:val="heading 1 Char1"/>
    <w:qFormat/>
    <w:uiPriority w:val="0"/>
    <w:rPr>
      <w:rFonts w:eastAsia="宋体"/>
      <w:b/>
      <w:bCs/>
      <w:kern w:val="44"/>
      <w:sz w:val="44"/>
      <w:szCs w:val="44"/>
      <w:lang w:val="en-US" w:eastAsia="zh-CN" w:bidi="ar-SA"/>
    </w:rPr>
  </w:style>
  <w:style w:type="character" w:customStyle="1" w:styleId="246">
    <w:name w:val="font91"/>
    <w:qFormat/>
    <w:uiPriority w:val="0"/>
    <w:rPr>
      <w:rFonts w:hint="default" w:ascii="Calibri" w:hAnsi="Calibri" w:cs="Calibri"/>
      <w:color w:val="000000"/>
      <w:sz w:val="21"/>
      <w:szCs w:val="21"/>
      <w:u w:val="none"/>
    </w:rPr>
  </w:style>
  <w:style w:type="character" w:customStyle="1" w:styleId="247">
    <w:name w:val="正文标准 Char"/>
    <w:link w:val="248"/>
    <w:qFormat/>
    <w:uiPriority w:val="0"/>
    <w:rPr>
      <w:rFonts w:ascii="宋体" w:hAnsi="宋体"/>
      <w:sz w:val="28"/>
      <w:szCs w:val="22"/>
    </w:rPr>
  </w:style>
  <w:style w:type="paragraph" w:customStyle="1" w:styleId="248">
    <w:name w:val="正文标准"/>
    <w:basedOn w:val="1"/>
    <w:link w:val="247"/>
    <w:qFormat/>
    <w:uiPriority w:val="0"/>
    <w:pPr>
      <w:widowControl w:val="0"/>
      <w:spacing w:line="360" w:lineRule="auto"/>
      <w:ind w:firstLine="200" w:firstLineChars="200"/>
      <w:jc w:val="both"/>
    </w:pPr>
    <w:rPr>
      <w:rFonts w:cs="Times New Roman"/>
      <w:sz w:val="28"/>
      <w:szCs w:val="22"/>
    </w:rPr>
  </w:style>
  <w:style w:type="character" w:customStyle="1" w:styleId="249">
    <w:name w:val="列出段落 Char"/>
    <w:link w:val="250"/>
    <w:qFormat/>
    <w:uiPriority w:val="34"/>
    <w:rPr>
      <w:rFonts w:ascii="Calibri" w:hAnsi="Calibri"/>
      <w:kern w:val="2"/>
      <w:sz w:val="21"/>
      <w:szCs w:val="22"/>
    </w:rPr>
  </w:style>
  <w:style w:type="paragraph" w:styleId="250">
    <w:name w:val="List Paragraph"/>
    <w:basedOn w:val="1"/>
    <w:link w:val="249"/>
    <w:qFormat/>
    <w:uiPriority w:val="34"/>
    <w:pPr>
      <w:ind w:firstLine="420" w:firstLineChars="200"/>
    </w:pPr>
    <w:rPr>
      <w:rFonts w:ascii="Calibri" w:hAnsi="Calibri" w:cs="Times New Roman"/>
      <w:kern w:val="2"/>
      <w:sz w:val="21"/>
      <w:szCs w:val="22"/>
    </w:rPr>
  </w:style>
  <w:style w:type="paragraph" w:customStyle="1" w:styleId="251">
    <w:name w:val="目录 32"/>
    <w:next w:val="1"/>
    <w:qFormat/>
    <w:uiPriority w:val="0"/>
    <w:pPr>
      <w:wordWrap w:val="0"/>
      <w:ind w:left="425"/>
      <w:jc w:val="both"/>
    </w:pPr>
    <w:rPr>
      <w:rFonts w:ascii="Times New Roman" w:hAnsi="Times New Roman" w:eastAsia="宋体" w:cs="Times New Roman"/>
      <w:sz w:val="21"/>
      <w:lang w:val="en-US" w:eastAsia="zh-CN" w:bidi="ar-SA"/>
    </w:rPr>
  </w:style>
  <w:style w:type="character" w:customStyle="1" w:styleId="252">
    <w:name w:val="Char Char111"/>
    <w:qFormat/>
    <w:uiPriority w:val="0"/>
    <w:rPr>
      <w:rFonts w:ascii="Times New Roman" w:hAnsi="Times New Roman" w:eastAsia="宋体" w:cs="Times New Roman"/>
      <w:sz w:val="18"/>
      <w:szCs w:val="18"/>
    </w:rPr>
  </w:style>
  <w:style w:type="character" w:customStyle="1" w:styleId="253">
    <w:name w:val="标题 9 Char1"/>
    <w:qFormat/>
    <w:uiPriority w:val="0"/>
    <w:rPr>
      <w:rFonts w:ascii="Arial" w:hAnsi="Arial" w:eastAsia="黑体" w:cs="Times New Roman"/>
      <w:kern w:val="0"/>
      <w:sz w:val="24"/>
      <w:szCs w:val="20"/>
    </w:rPr>
  </w:style>
  <w:style w:type="character" w:customStyle="1" w:styleId="254">
    <w:name w:val="Char Char211"/>
    <w:qFormat/>
    <w:uiPriority w:val="0"/>
    <w:rPr>
      <w:rFonts w:ascii="Times New Roman" w:hAnsi="Times New Roman" w:eastAsia="宋体" w:cs="Times New Roman"/>
      <w:b/>
      <w:bCs/>
      <w:kern w:val="44"/>
      <w:sz w:val="44"/>
      <w:szCs w:val="44"/>
    </w:rPr>
  </w:style>
  <w:style w:type="character" w:customStyle="1" w:styleId="255">
    <w:name w:val="_Style 254"/>
    <w:qFormat/>
    <w:uiPriority w:val="0"/>
    <w:rPr>
      <w:b/>
      <w:bCs/>
      <w:smallCaps/>
      <w:spacing w:val="5"/>
    </w:rPr>
  </w:style>
  <w:style w:type="character" w:customStyle="1" w:styleId="256">
    <w:name w:val="正文-2字符首行缩进 Char"/>
    <w:link w:val="257"/>
    <w:qFormat/>
    <w:uiPriority w:val="0"/>
    <w:rPr>
      <w:rFonts w:ascii="仿宋_GB2312" w:eastAsia="仿宋"/>
      <w:sz w:val="24"/>
    </w:rPr>
  </w:style>
  <w:style w:type="paragraph" w:customStyle="1" w:styleId="257">
    <w:name w:val="正文-2字符首行缩进"/>
    <w:basedOn w:val="1"/>
    <w:link w:val="256"/>
    <w:qFormat/>
    <w:uiPriority w:val="0"/>
    <w:pPr>
      <w:widowControl w:val="0"/>
      <w:spacing w:line="360" w:lineRule="auto"/>
      <w:jc w:val="both"/>
    </w:pPr>
    <w:rPr>
      <w:rFonts w:ascii="仿宋_GB2312" w:hAnsi="Times New Roman" w:eastAsia="仿宋" w:cs="Times New Roman"/>
      <w:szCs w:val="20"/>
    </w:rPr>
  </w:style>
  <w:style w:type="character" w:customStyle="1" w:styleId="258">
    <w:name w:val="+正文 Char4"/>
    <w:link w:val="259"/>
    <w:qFormat/>
    <w:uiPriority w:val="0"/>
    <w:rPr>
      <w:szCs w:val="28"/>
    </w:rPr>
  </w:style>
  <w:style w:type="paragraph" w:customStyle="1" w:styleId="259">
    <w:name w:val="+正文"/>
    <w:basedOn w:val="1"/>
    <w:link w:val="258"/>
    <w:qFormat/>
    <w:uiPriority w:val="0"/>
    <w:pPr>
      <w:widowControl w:val="0"/>
      <w:adjustRightInd w:val="0"/>
      <w:spacing w:line="360" w:lineRule="auto"/>
      <w:ind w:firstLine="200" w:firstLineChars="200"/>
      <w:jc w:val="both"/>
      <w:textAlignment w:val="baseline"/>
    </w:pPr>
    <w:rPr>
      <w:rFonts w:ascii="Times New Roman" w:hAnsi="Times New Roman" w:cs="Times New Roman"/>
      <w:sz w:val="20"/>
      <w:szCs w:val="28"/>
    </w:rPr>
  </w:style>
  <w:style w:type="character" w:customStyle="1" w:styleId="260">
    <w:name w:val="图注 Char Char"/>
    <w:link w:val="261"/>
    <w:qFormat/>
    <w:uiPriority w:val="0"/>
    <w:rPr>
      <w:rFonts w:ascii="宋体" w:hAnsi="宋体" w:cs="Arial"/>
    </w:rPr>
  </w:style>
  <w:style w:type="paragraph" w:customStyle="1" w:styleId="261">
    <w:name w:val="图注"/>
    <w:basedOn w:val="22"/>
    <w:link w:val="260"/>
    <w:qFormat/>
    <w:uiPriority w:val="0"/>
    <w:pPr>
      <w:widowControl/>
      <w:snapToGrid w:val="0"/>
      <w:spacing w:afterLines="20"/>
      <w:ind w:firstLine="360" w:firstLineChars="200"/>
      <w:jc w:val="center"/>
    </w:pPr>
    <w:rPr>
      <w:rFonts w:ascii="宋体" w:hAnsi="宋体" w:eastAsia="宋体"/>
      <w:kern w:val="0"/>
      <w:sz w:val="20"/>
      <w:szCs w:val="20"/>
    </w:rPr>
  </w:style>
  <w:style w:type="character" w:customStyle="1" w:styleId="262">
    <w:name w:val="ant-form-item-children1"/>
    <w:qFormat/>
    <w:uiPriority w:val="0"/>
  </w:style>
  <w:style w:type="character" w:customStyle="1" w:styleId="263">
    <w:name w:val="Style5"/>
    <w:qFormat/>
    <w:uiPriority w:val="0"/>
    <w:rPr>
      <w:rFonts w:ascii="Calibri" w:hAnsi="宋体" w:eastAsia="宋体" w:cs="Times New Roman"/>
      <w:sz w:val="22"/>
      <w:szCs w:val="22"/>
      <w:lang w:eastAsia="zh-CN"/>
    </w:rPr>
  </w:style>
  <w:style w:type="character" w:customStyle="1" w:styleId="264">
    <w:name w:val="正文文本缩进 3 Char1"/>
    <w:qFormat/>
    <w:uiPriority w:val="0"/>
    <w:rPr>
      <w:rFonts w:hint="eastAsia" w:ascii="宋体" w:hAnsi="宋体" w:eastAsia="宋体" w:cs="宋体"/>
      <w:kern w:val="2"/>
      <w:sz w:val="16"/>
      <w:szCs w:val="16"/>
    </w:rPr>
  </w:style>
  <w:style w:type="character" w:customStyle="1" w:styleId="265">
    <w:name w:val="宇视1 Char"/>
    <w:link w:val="266"/>
    <w:qFormat/>
    <w:uiPriority w:val="0"/>
    <w:rPr>
      <w:rFonts w:ascii="Arial" w:hAnsi="Arial"/>
      <w:b/>
      <w:bCs/>
      <w:kern w:val="44"/>
      <w:sz w:val="32"/>
      <w:szCs w:val="24"/>
    </w:rPr>
  </w:style>
  <w:style w:type="paragraph" w:customStyle="1" w:styleId="266">
    <w:name w:val="宇视1"/>
    <w:basedOn w:val="205"/>
    <w:link w:val="265"/>
    <w:qFormat/>
    <w:uiPriority w:val="0"/>
    <w:pPr>
      <w:spacing w:before="624" w:after="0"/>
    </w:pPr>
  </w:style>
  <w:style w:type="character" w:customStyle="1" w:styleId="267">
    <w:name w:val="正文（绿盟科技） Char Char"/>
    <w:link w:val="268"/>
    <w:qFormat/>
    <w:uiPriority w:val="0"/>
    <w:rPr>
      <w:rFonts w:ascii="Arial" w:hAnsi="Arial"/>
      <w:sz w:val="21"/>
      <w:szCs w:val="21"/>
      <w:lang w:val="en-US" w:eastAsia="zh-CN" w:bidi="ar-SA"/>
    </w:rPr>
  </w:style>
  <w:style w:type="paragraph" w:customStyle="1" w:styleId="268">
    <w:name w:val="正文（绿盟科技）"/>
    <w:link w:val="267"/>
    <w:qFormat/>
    <w:uiPriority w:val="0"/>
    <w:pPr>
      <w:spacing w:line="300" w:lineRule="auto"/>
    </w:pPr>
    <w:rPr>
      <w:rFonts w:ascii="Arial" w:hAnsi="Arial" w:eastAsia="宋体" w:cs="Times New Roman"/>
      <w:sz w:val="21"/>
      <w:szCs w:val="21"/>
      <w:lang w:val="en-US" w:eastAsia="zh-CN" w:bidi="ar-SA"/>
    </w:rPr>
  </w:style>
  <w:style w:type="character" w:customStyle="1" w:styleId="269">
    <w:name w:val="正文01 Char"/>
    <w:link w:val="270"/>
    <w:qFormat/>
    <w:uiPriority w:val="0"/>
    <w:rPr>
      <w:rFonts w:ascii="Arial" w:hAnsi="Arial"/>
      <w:color w:val="000000"/>
    </w:rPr>
  </w:style>
  <w:style w:type="paragraph" w:customStyle="1" w:styleId="270">
    <w:name w:val="正文01"/>
    <w:basedOn w:val="1"/>
    <w:link w:val="269"/>
    <w:qFormat/>
    <w:uiPriority w:val="0"/>
    <w:pPr>
      <w:widowControl w:val="0"/>
      <w:spacing w:before="60" w:line="460" w:lineRule="exact"/>
      <w:ind w:firstLine="200" w:firstLineChars="200"/>
      <w:jc w:val="both"/>
    </w:pPr>
    <w:rPr>
      <w:rFonts w:ascii="Arial" w:hAnsi="Arial" w:cs="Times New Roman"/>
      <w:color w:val="000000"/>
      <w:sz w:val="20"/>
      <w:szCs w:val="20"/>
    </w:rPr>
  </w:style>
  <w:style w:type="character" w:customStyle="1" w:styleId="271">
    <w:name w:val="style51"/>
    <w:qFormat/>
    <w:uiPriority w:val="0"/>
    <w:rPr>
      <w:rFonts w:ascii="Times New Roman" w:hAnsi="Times New Roman" w:eastAsia="宋体" w:cs="Times New Roman"/>
      <w:sz w:val="21"/>
      <w:szCs w:val="21"/>
    </w:rPr>
  </w:style>
  <w:style w:type="character" w:customStyle="1" w:styleId="272">
    <w:name w:val="引用 Char1"/>
    <w:qFormat/>
    <w:uiPriority w:val="29"/>
    <w:rPr>
      <w:rFonts w:ascii="宋体" w:hAnsi="宋体" w:cs="宋体"/>
      <w:i/>
      <w:iCs/>
      <w:color w:val="000000"/>
      <w:sz w:val="24"/>
      <w:szCs w:val="24"/>
    </w:rPr>
  </w:style>
  <w:style w:type="character" w:customStyle="1" w:styleId="273">
    <w:name w:val="Char Char10"/>
    <w:qFormat/>
    <w:uiPriority w:val="0"/>
    <w:rPr>
      <w:rFonts w:ascii="Times New Roman" w:hAnsi="Times New Roman" w:eastAsia="宋体" w:cs="Times New Roman"/>
      <w:b/>
      <w:kern w:val="2"/>
      <w:sz w:val="28"/>
      <w:szCs w:val="28"/>
    </w:rPr>
  </w:style>
  <w:style w:type="character" w:customStyle="1" w:styleId="274">
    <w:name w:val="批注文字 Char2"/>
    <w:semiHidden/>
    <w:qFormat/>
    <w:uiPriority w:val="99"/>
    <w:rPr>
      <w:rFonts w:ascii="宋体" w:hAnsi="宋体" w:cs="宋体"/>
      <w:sz w:val="24"/>
      <w:szCs w:val="24"/>
    </w:rPr>
  </w:style>
  <w:style w:type="character" w:customStyle="1" w:styleId="275">
    <w:name w:val="ec_mean"/>
    <w:qFormat/>
    <w:uiPriority w:val="0"/>
    <w:rPr>
      <w:rFonts w:ascii="仿宋_GB2312" w:eastAsia="仿宋_GB2312"/>
      <w:b/>
      <w:sz w:val="32"/>
      <w:szCs w:val="32"/>
    </w:rPr>
  </w:style>
  <w:style w:type="character" w:customStyle="1" w:styleId="276">
    <w:name w:val="标题 7 Char1"/>
    <w:qFormat/>
    <w:uiPriority w:val="0"/>
    <w:rPr>
      <w:rFonts w:ascii="宋体" w:hAnsi="宋体" w:eastAsia="宋体" w:cs="宋体"/>
      <w:b/>
      <w:bCs/>
      <w:kern w:val="2"/>
      <w:sz w:val="24"/>
      <w:szCs w:val="24"/>
    </w:rPr>
  </w:style>
  <w:style w:type="character" w:customStyle="1" w:styleId="277">
    <w:name w:val="正文文本 3 Char2"/>
    <w:semiHidden/>
    <w:qFormat/>
    <w:uiPriority w:val="0"/>
    <w:rPr>
      <w:rFonts w:ascii="宋体" w:hAnsi="宋体" w:cs="宋体"/>
      <w:sz w:val="16"/>
      <w:szCs w:val="16"/>
    </w:rPr>
  </w:style>
  <w:style w:type="character" w:customStyle="1" w:styleId="278">
    <w:name w:val="dandyren_title1"/>
    <w:qFormat/>
    <w:uiPriority w:val="0"/>
    <w:rPr>
      <w:b/>
      <w:bCs/>
      <w:color w:val="FF6633"/>
      <w:sz w:val="18"/>
      <w:szCs w:val="18"/>
    </w:rPr>
  </w:style>
  <w:style w:type="character" w:customStyle="1" w:styleId="279">
    <w:name w:val="标题 5 Char1"/>
    <w:qFormat/>
    <w:uiPriority w:val="0"/>
    <w:rPr>
      <w:rFonts w:ascii="宋体" w:hAnsi="宋体" w:eastAsia="宋体" w:cs="宋体"/>
      <w:b/>
      <w:bCs/>
      <w:kern w:val="2"/>
      <w:sz w:val="28"/>
      <w:szCs w:val="28"/>
    </w:rPr>
  </w:style>
  <w:style w:type="character" w:customStyle="1" w:styleId="280">
    <w:name w:val="Style3"/>
    <w:qFormat/>
    <w:uiPriority w:val="0"/>
    <w:rPr>
      <w:rFonts w:ascii="Calibri" w:hAnsi="宋体" w:eastAsia="宋体" w:cs="Times New Roman"/>
      <w:szCs w:val="22"/>
      <w:lang w:eastAsia="zh-CN"/>
    </w:rPr>
  </w:style>
  <w:style w:type="character" w:customStyle="1" w:styleId="281">
    <w:name w:val="Char Char Char Char Char Char Char Char Char"/>
    <w:qFormat/>
    <w:uiPriority w:val="0"/>
    <w:rPr>
      <w:rFonts w:ascii="宋体" w:hAnsi="Courier New" w:eastAsia="宋体"/>
      <w:sz w:val="21"/>
      <w:szCs w:val="21"/>
      <w:lang w:val="en-US" w:eastAsia="zh-CN" w:bidi="ar-SA"/>
    </w:rPr>
  </w:style>
  <w:style w:type="character" w:customStyle="1" w:styleId="282">
    <w:name w:val="金保标题2 Char"/>
    <w:link w:val="283"/>
    <w:qFormat/>
    <w:uiPriority w:val="0"/>
    <w:rPr>
      <w:rFonts w:eastAsia="黑体"/>
      <w:b/>
      <w:bCs/>
      <w:kern w:val="2"/>
      <w:sz w:val="28"/>
      <w:szCs w:val="28"/>
      <w:lang w:val="en-US" w:eastAsia="zh-CN" w:bidi="ar-SA"/>
    </w:rPr>
  </w:style>
  <w:style w:type="paragraph" w:customStyle="1" w:styleId="283">
    <w:name w:val="金保标题2"/>
    <w:basedOn w:val="9"/>
    <w:next w:val="1"/>
    <w:link w:val="282"/>
    <w:qFormat/>
    <w:uiPriority w:val="0"/>
    <w:pPr>
      <w:tabs>
        <w:tab w:val="left" w:pos="576"/>
      </w:tabs>
      <w:spacing w:line="360" w:lineRule="auto"/>
      <w:ind w:left="576" w:hanging="576"/>
    </w:pPr>
    <w:rPr>
      <w:rFonts w:ascii="Times New Roman" w:hAnsi="Times New Roman"/>
      <w:sz w:val="28"/>
      <w:szCs w:val="28"/>
    </w:rPr>
  </w:style>
  <w:style w:type="character" w:customStyle="1" w:styleId="284">
    <w:name w:val="链接"/>
    <w:qFormat/>
    <w:uiPriority w:val="0"/>
    <w:rPr>
      <w:rFonts w:hint="default" w:ascii="Times New Roman" w:hAnsi="Times New Roman" w:eastAsia="宋体" w:cs="Times New Roman"/>
      <w:color w:val="0000FF"/>
      <w:sz w:val="21"/>
      <w:u w:val="single" w:color="0000FF"/>
      <w:vertAlign w:val="baseline"/>
      <w:lang w:val="en-US" w:eastAsia="zh-CN"/>
    </w:rPr>
  </w:style>
  <w:style w:type="character" w:customStyle="1" w:styleId="285">
    <w:name w:val="纯文本 Char3"/>
    <w:semiHidden/>
    <w:qFormat/>
    <w:uiPriority w:val="0"/>
    <w:rPr>
      <w:rFonts w:ascii="宋体" w:hAnsi="Courier New" w:cs="Courier New"/>
      <w:sz w:val="21"/>
      <w:szCs w:val="21"/>
    </w:rPr>
  </w:style>
  <w:style w:type="character" w:customStyle="1" w:styleId="286">
    <w:name w:val="bigtitle1"/>
    <w:qFormat/>
    <w:uiPriority w:val="0"/>
    <w:rPr>
      <w:rFonts w:ascii="Times New Roman" w:hAnsi="Times New Roman" w:eastAsia="宋体" w:cs="Times New Roman"/>
      <w:sz w:val="28"/>
      <w:szCs w:val="28"/>
    </w:rPr>
  </w:style>
  <w:style w:type="character" w:customStyle="1" w:styleId="287">
    <w:name w:val="标题 2 Char Char Char"/>
    <w:qFormat/>
    <w:uiPriority w:val="0"/>
    <w:rPr>
      <w:rFonts w:ascii="Arial" w:hAnsi="Arial" w:eastAsia="黑体" w:cs="宋体"/>
      <w:color w:val="000000"/>
      <w:spacing w:val="20"/>
      <w:sz w:val="32"/>
      <w:szCs w:val="32"/>
      <w:lang w:val="en-US" w:eastAsia="zh-CN" w:bidi="ar-SA"/>
    </w:rPr>
  </w:style>
  <w:style w:type="character" w:customStyle="1" w:styleId="288">
    <w:name w:val="样式 EHL二级项目 + 段前: 0.5 行 段后: 0.5 行 Char Char"/>
    <w:link w:val="289"/>
    <w:qFormat/>
    <w:uiPriority w:val="0"/>
    <w:rPr>
      <w:b/>
      <w:sz w:val="24"/>
    </w:rPr>
  </w:style>
  <w:style w:type="paragraph" w:customStyle="1" w:styleId="289">
    <w:name w:val="样式 EHL二级项目 + 段前: 0.5 行 段后: 0.5 行"/>
    <w:basedOn w:val="1"/>
    <w:link w:val="288"/>
    <w:qFormat/>
    <w:uiPriority w:val="0"/>
    <w:pPr>
      <w:widowControl w:val="0"/>
      <w:tabs>
        <w:tab w:val="left" w:pos="1446"/>
        <w:tab w:val="left" w:pos="1692"/>
      </w:tabs>
      <w:spacing w:before="156" w:after="156" w:line="360" w:lineRule="auto"/>
      <w:ind w:left="1692" w:hanging="432"/>
      <w:jc w:val="both"/>
    </w:pPr>
    <w:rPr>
      <w:rFonts w:ascii="Times New Roman" w:hAnsi="Times New Roman" w:cs="Times New Roman"/>
      <w:b/>
      <w:szCs w:val="20"/>
    </w:rPr>
  </w:style>
  <w:style w:type="character" w:customStyle="1" w:styleId="290">
    <w:name w:val="正文文本缩进 2 Char1"/>
    <w:qFormat/>
    <w:uiPriority w:val="0"/>
    <w:rPr>
      <w:rFonts w:hint="eastAsia" w:ascii="宋体" w:hAnsi="宋体" w:eastAsia="宋体" w:cs="宋体"/>
      <w:kern w:val="2"/>
      <w:sz w:val="24"/>
      <w:szCs w:val="24"/>
    </w:rPr>
  </w:style>
  <w:style w:type="character" w:customStyle="1" w:styleId="291">
    <w:name w:val="pt141"/>
    <w:qFormat/>
    <w:uiPriority w:val="0"/>
    <w:rPr>
      <w:color w:val="330066"/>
      <w:spacing w:val="450"/>
      <w:sz w:val="22"/>
      <w:szCs w:val="22"/>
    </w:rPr>
  </w:style>
  <w:style w:type="character" w:customStyle="1" w:styleId="292">
    <w:name w:val="style41"/>
    <w:qFormat/>
    <w:uiPriority w:val="0"/>
    <w:rPr>
      <w:color w:val="auto"/>
    </w:rPr>
  </w:style>
  <w:style w:type="character" w:customStyle="1" w:styleId="293">
    <w:name w:val="节 Char"/>
    <w:qFormat/>
    <w:uiPriority w:val="0"/>
    <w:rPr>
      <w:rFonts w:ascii="Arial" w:hAnsi="Arial" w:eastAsia="黑体" w:cs="Times New Roman"/>
      <w:b/>
      <w:bCs/>
      <w:kern w:val="2"/>
      <w:sz w:val="32"/>
      <w:szCs w:val="32"/>
      <w:lang w:val="en-US" w:eastAsia="zh-CN" w:bidi="ar-SA"/>
    </w:rPr>
  </w:style>
  <w:style w:type="character" w:customStyle="1" w:styleId="294">
    <w:name w:val="标题 2 Char1"/>
    <w:qFormat/>
    <w:uiPriority w:val="0"/>
    <w:rPr>
      <w:rFonts w:ascii="Cambria" w:hAnsi="Cambria" w:eastAsia="宋体" w:cs="Times New Roman"/>
      <w:b/>
      <w:bCs/>
      <w:kern w:val="2"/>
      <w:sz w:val="32"/>
      <w:szCs w:val="32"/>
    </w:rPr>
  </w:style>
  <w:style w:type="character" w:customStyle="1" w:styleId="295">
    <w:name w:val="正文（宋体，小四，1.5倍行距） Char"/>
    <w:link w:val="296"/>
    <w:qFormat/>
    <w:uiPriority w:val="0"/>
    <w:rPr>
      <w:rFonts w:ascii="宋体" w:hAnsi="宋体"/>
    </w:rPr>
  </w:style>
  <w:style w:type="paragraph" w:customStyle="1" w:styleId="296">
    <w:name w:val="正文（宋体，小四，1.5倍行距）"/>
    <w:basedOn w:val="1"/>
    <w:link w:val="295"/>
    <w:qFormat/>
    <w:uiPriority w:val="0"/>
    <w:pPr>
      <w:widowControl w:val="0"/>
      <w:spacing w:line="360" w:lineRule="auto"/>
      <w:ind w:firstLine="480" w:firstLineChars="200"/>
      <w:jc w:val="both"/>
    </w:pPr>
    <w:rPr>
      <w:rFonts w:cs="Times New Roman"/>
      <w:sz w:val="20"/>
      <w:szCs w:val="20"/>
    </w:rPr>
  </w:style>
  <w:style w:type="character" w:customStyle="1" w:styleId="297">
    <w:name w:val="PI Char1"/>
    <w:qFormat/>
    <w:uiPriority w:val="0"/>
    <w:rPr>
      <w:rFonts w:eastAsia="宋体"/>
      <w:kern w:val="2"/>
      <w:sz w:val="24"/>
      <w:szCs w:val="24"/>
      <w:lang w:val="en-US" w:eastAsia="zh-CN" w:bidi="ar-SA"/>
    </w:rPr>
  </w:style>
  <w:style w:type="character" w:customStyle="1" w:styleId="298">
    <w:name w:val="apple-style-span"/>
    <w:qFormat/>
    <w:uiPriority w:val="0"/>
    <w:rPr>
      <w:rFonts w:ascii="Times New Roman" w:hAnsi="Times New Roman" w:eastAsia="宋体" w:cs="Times New Roman"/>
    </w:rPr>
  </w:style>
  <w:style w:type="character" w:customStyle="1" w:styleId="299">
    <w:name w:val="Style1"/>
    <w:qFormat/>
    <w:uiPriority w:val="0"/>
    <w:rPr>
      <w:rFonts w:ascii="Calibri" w:hAnsi="宋体" w:eastAsia="宋体" w:cs="Times New Roman"/>
      <w:sz w:val="22"/>
      <w:szCs w:val="22"/>
      <w:lang w:eastAsia="zh-CN"/>
    </w:rPr>
  </w:style>
  <w:style w:type="character" w:customStyle="1" w:styleId="300">
    <w:name w:val="font01"/>
    <w:qFormat/>
    <w:uiPriority w:val="0"/>
    <w:rPr>
      <w:rFonts w:hint="eastAsia" w:ascii="宋体" w:hAnsi="宋体" w:eastAsia="宋体" w:cs="宋体"/>
      <w:color w:val="000000"/>
      <w:sz w:val="21"/>
      <w:szCs w:val="21"/>
      <w:u w:val="none"/>
    </w:rPr>
  </w:style>
  <w:style w:type="character" w:customStyle="1" w:styleId="301">
    <w:name w:val="Comment Text Char"/>
    <w:qFormat/>
    <w:uiPriority w:val="0"/>
    <w:rPr>
      <w:rFonts w:ascii="Times New Roman" w:hAnsi="Times New Roman" w:eastAsia="宋体" w:cs="Times New Roman"/>
      <w:kern w:val="0"/>
      <w:sz w:val="24"/>
      <w:szCs w:val="24"/>
      <w:lang w:val="zh-CN" w:eastAsia="zh-CN"/>
    </w:rPr>
  </w:style>
  <w:style w:type="character" w:customStyle="1" w:styleId="302">
    <w:name w:val="Char Char13"/>
    <w:qFormat/>
    <w:uiPriority w:val="0"/>
    <w:rPr>
      <w:rFonts w:ascii="Times New Roman" w:hAnsi="Times New Roman" w:eastAsia="宋体" w:cs="Times New Roman"/>
      <w:kern w:val="2"/>
      <w:sz w:val="18"/>
      <w:szCs w:val="18"/>
      <w:lang w:val="en-US" w:eastAsia="zh-CN" w:bidi="ar-SA"/>
    </w:rPr>
  </w:style>
  <w:style w:type="character" w:customStyle="1" w:styleId="303">
    <w:name w:val="Footer1 Char"/>
    <w:qFormat/>
    <w:uiPriority w:val="0"/>
    <w:rPr>
      <w:rFonts w:eastAsia="宋体"/>
      <w:kern w:val="2"/>
      <w:sz w:val="18"/>
      <w:szCs w:val="18"/>
      <w:lang w:val="en-US" w:eastAsia="zh-CN" w:bidi="ar-SA"/>
    </w:rPr>
  </w:style>
  <w:style w:type="character" w:customStyle="1" w:styleId="304">
    <w:name w:val="常规标题 Char"/>
    <w:link w:val="305"/>
    <w:qFormat/>
    <w:uiPriority w:val="0"/>
    <w:rPr>
      <w:rFonts w:ascii="黑体" w:hAnsi="黑体" w:eastAsia="黑体" w:cs="黑体"/>
      <w:sz w:val="44"/>
      <w:szCs w:val="44"/>
    </w:rPr>
  </w:style>
  <w:style w:type="paragraph" w:customStyle="1" w:styleId="305">
    <w:name w:val="常规标题"/>
    <w:basedOn w:val="1"/>
    <w:next w:val="1"/>
    <w:link w:val="304"/>
    <w:qFormat/>
    <w:uiPriority w:val="0"/>
    <w:pPr>
      <w:widowControl w:val="0"/>
      <w:spacing w:line="480" w:lineRule="auto"/>
      <w:jc w:val="center"/>
    </w:pPr>
    <w:rPr>
      <w:rFonts w:ascii="黑体" w:hAnsi="黑体" w:eastAsia="黑体" w:cs="Times New Roman"/>
      <w:sz w:val="44"/>
      <w:szCs w:val="44"/>
    </w:rPr>
  </w:style>
  <w:style w:type="character" w:customStyle="1" w:styleId="306">
    <w:name w:val="方案正文 Char"/>
    <w:qFormat/>
    <w:uiPriority w:val="0"/>
    <w:rPr>
      <w:rFonts w:ascii="宋体" w:hAnsi="宋体" w:eastAsia="宋体" w:cs="Times New Roman"/>
      <w:color w:val="000000"/>
    </w:rPr>
  </w:style>
  <w:style w:type="character" w:customStyle="1" w:styleId="307">
    <w:name w:val="明显引用 Char3"/>
    <w:qFormat/>
    <w:uiPriority w:val="99"/>
    <w:rPr>
      <w:rFonts w:ascii="宋体" w:hAnsi="宋体" w:cs="宋体"/>
      <w:b/>
      <w:bCs/>
      <w:i/>
      <w:iCs/>
      <w:color w:val="4F81BD"/>
      <w:sz w:val="24"/>
      <w:szCs w:val="24"/>
    </w:rPr>
  </w:style>
  <w:style w:type="character" w:customStyle="1" w:styleId="308">
    <w:name w:val="ZX-正文 Char"/>
    <w:link w:val="309"/>
    <w:qFormat/>
    <w:uiPriority w:val="0"/>
    <w:rPr>
      <w:rFonts w:ascii="Trebuchet MS" w:hAnsi="FuturaA Bk BT"/>
      <w:sz w:val="24"/>
      <w:lang w:val="en-US" w:eastAsia="zh-CN" w:bidi="ar-SA"/>
    </w:rPr>
  </w:style>
  <w:style w:type="paragraph" w:customStyle="1" w:styleId="309">
    <w:name w:val="ZX-正文"/>
    <w:link w:val="308"/>
    <w:qFormat/>
    <w:uiPriority w:val="0"/>
    <w:pPr>
      <w:spacing w:beforeLines="50"/>
      <w:ind w:firstLine="480" w:firstLineChars="200"/>
    </w:pPr>
    <w:rPr>
      <w:rFonts w:ascii="Trebuchet MS" w:hAnsi="FuturaA Bk BT" w:eastAsia="宋体" w:cs="Times New Roman"/>
      <w:sz w:val="24"/>
      <w:lang w:val="en-US" w:eastAsia="zh-CN" w:bidi="ar-SA"/>
    </w:rPr>
  </w:style>
  <w:style w:type="character" w:customStyle="1" w:styleId="310">
    <w:name w:val="正文（缩进2汉字） Char"/>
    <w:link w:val="311"/>
    <w:qFormat/>
    <w:uiPriority w:val="0"/>
    <w:rPr>
      <w:rFonts w:ascii="宋体"/>
    </w:rPr>
  </w:style>
  <w:style w:type="paragraph" w:customStyle="1" w:styleId="311">
    <w:name w:val="正文（缩进2汉字）"/>
    <w:basedOn w:val="1"/>
    <w:link w:val="310"/>
    <w:qFormat/>
    <w:uiPriority w:val="0"/>
    <w:pPr>
      <w:widowControl w:val="0"/>
      <w:tabs>
        <w:tab w:val="left" w:pos="525"/>
      </w:tabs>
      <w:spacing w:before="100" w:beforeAutospacing="1" w:after="100" w:afterAutospacing="1"/>
      <w:ind w:left="120" w:leftChars="50" w:firstLine="494" w:firstLineChars="206"/>
      <w:jc w:val="both"/>
    </w:pPr>
    <w:rPr>
      <w:rFonts w:hAnsi="Times New Roman" w:cs="Times New Roman"/>
      <w:sz w:val="20"/>
      <w:szCs w:val="20"/>
    </w:rPr>
  </w:style>
  <w:style w:type="character" w:customStyle="1" w:styleId="312">
    <w:name w:val="Char Char19"/>
    <w:qFormat/>
    <w:uiPriority w:val="0"/>
    <w:rPr>
      <w:rFonts w:ascii="Cambria" w:hAnsi="Cambria"/>
      <w:b/>
      <w:bCs/>
      <w:kern w:val="2"/>
      <w:sz w:val="32"/>
      <w:szCs w:val="32"/>
    </w:rPr>
  </w:style>
  <w:style w:type="character" w:customStyle="1" w:styleId="313">
    <w:name w:val="Char Char14"/>
    <w:qFormat/>
    <w:uiPriority w:val="0"/>
    <w:rPr>
      <w:rFonts w:hint="eastAsia" w:ascii="宋体" w:hAnsi="宋体" w:eastAsia="宋体" w:cs="Times New Roman"/>
      <w:sz w:val="18"/>
      <w:szCs w:val="18"/>
    </w:rPr>
  </w:style>
  <w:style w:type="character" w:customStyle="1" w:styleId="314">
    <w:name w:val="bookmark-item"/>
    <w:qFormat/>
    <w:uiPriority w:val="0"/>
  </w:style>
  <w:style w:type="character" w:customStyle="1" w:styleId="315">
    <w:name w:val="HTML 预设格式 Char1"/>
    <w:qFormat/>
    <w:uiPriority w:val="0"/>
    <w:rPr>
      <w:rFonts w:ascii="Times New Roman" w:hAnsi="Courier New" w:eastAsia="宋体" w:cs="Times New Roman"/>
      <w:kern w:val="0"/>
      <w:sz w:val="20"/>
      <w:szCs w:val="20"/>
    </w:rPr>
  </w:style>
  <w:style w:type="character" w:customStyle="1" w:styleId="316">
    <w:name w:val="列出段落 Char1"/>
    <w:qFormat/>
    <w:uiPriority w:val="0"/>
    <w:rPr>
      <w:kern w:val="2"/>
      <w:sz w:val="21"/>
      <w:szCs w:val="24"/>
    </w:rPr>
  </w:style>
  <w:style w:type="character" w:customStyle="1" w:styleId="317">
    <w:name w:val="正文文本1 Char Char"/>
    <w:link w:val="318"/>
    <w:qFormat/>
    <w:uiPriority w:val="0"/>
    <w:rPr>
      <w:rFonts w:ascii="宋体" w:hAnsi="宋体"/>
      <w:kern w:val="2"/>
      <w:sz w:val="21"/>
      <w:szCs w:val="24"/>
    </w:rPr>
  </w:style>
  <w:style w:type="paragraph" w:customStyle="1" w:styleId="318">
    <w:name w:val="正文文本1"/>
    <w:basedOn w:val="1"/>
    <w:link w:val="317"/>
    <w:qFormat/>
    <w:uiPriority w:val="0"/>
    <w:pPr>
      <w:widowControl w:val="0"/>
      <w:spacing w:line="360" w:lineRule="auto"/>
      <w:ind w:firstLine="200" w:firstLineChars="200"/>
      <w:jc w:val="both"/>
    </w:pPr>
    <w:rPr>
      <w:rFonts w:cs="Times New Roman"/>
      <w:kern w:val="2"/>
      <w:sz w:val="21"/>
    </w:rPr>
  </w:style>
  <w:style w:type="character" w:customStyle="1" w:styleId="319">
    <w:name w:val="样式2 Char"/>
    <w:link w:val="320"/>
    <w:qFormat/>
    <w:uiPriority w:val="0"/>
    <w:rPr>
      <w:rFonts w:ascii="Arial" w:hAnsi="Arial" w:eastAsia="黑体" w:cs="Arial"/>
      <w:kern w:val="44"/>
      <w:sz w:val="30"/>
    </w:rPr>
  </w:style>
  <w:style w:type="paragraph" w:customStyle="1" w:styleId="320">
    <w:name w:val="样式2"/>
    <w:basedOn w:val="8"/>
    <w:link w:val="319"/>
    <w:qFormat/>
    <w:uiPriority w:val="0"/>
    <w:pPr>
      <w:keepNext w:val="0"/>
      <w:pageBreakBefore/>
      <w:tabs>
        <w:tab w:val="left" w:pos="432"/>
      </w:tabs>
      <w:adjustRightInd w:val="0"/>
      <w:spacing w:before="240" w:beforeLines="30" w:line="578" w:lineRule="atLeast"/>
      <w:ind w:left="432" w:hanging="432"/>
      <w:textAlignment w:val="baseline"/>
    </w:pPr>
    <w:rPr>
      <w:rFonts w:ascii="Arial" w:hAnsi="Arial" w:eastAsia="黑体"/>
      <w:kern w:val="44"/>
      <w:sz w:val="30"/>
      <w:szCs w:val="20"/>
    </w:rPr>
  </w:style>
  <w:style w:type="character" w:customStyle="1" w:styleId="321">
    <w:name w:val="正文文本 2 Char2"/>
    <w:semiHidden/>
    <w:qFormat/>
    <w:uiPriority w:val="0"/>
    <w:rPr>
      <w:rFonts w:ascii="宋体" w:hAnsi="宋体" w:cs="宋体"/>
      <w:sz w:val="24"/>
      <w:szCs w:val="24"/>
    </w:rPr>
  </w:style>
  <w:style w:type="character" w:customStyle="1" w:styleId="322">
    <w:name w:val="Ò³Ã¼ Char Char2"/>
    <w:qFormat/>
    <w:uiPriority w:val="0"/>
    <w:rPr>
      <w:kern w:val="2"/>
      <w:sz w:val="18"/>
      <w:szCs w:val="18"/>
    </w:rPr>
  </w:style>
  <w:style w:type="character" w:customStyle="1" w:styleId="323">
    <w:name w:val="style111"/>
    <w:qFormat/>
    <w:uiPriority w:val="0"/>
    <w:rPr>
      <w:sz w:val="27"/>
      <w:szCs w:val="27"/>
    </w:rPr>
  </w:style>
  <w:style w:type="character" w:customStyle="1" w:styleId="324">
    <w:name w:val="正文文本缩进 Char1"/>
    <w:qFormat/>
    <w:uiPriority w:val="0"/>
    <w:rPr>
      <w:rFonts w:hint="eastAsia" w:ascii="宋体" w:hAnsi="宋体" w:eastAsia="宋体" w:cs="Times New Roman"/>
      <w:kern w:val="2"/>
      <w:sz w:val="24"/>
      <w:szCs w:val="24"/>
      <w:lang w:val="en-US" w:eastAsia="zh-CN" w:bidi="ar-SA"/>
    </w:rPr>
  </w:style>
  <w:style w:type="character" w:customStyle="1" w:styleId="325">
    <w:name w:val="批注文字 Char1"/>
    <w:qFormat/>
    <w:uiPriority w:val="0"/>
    <w:rPr>
      <w:rFonts w:ascii="Times New Roman" w:hAnsi="Times New Roman" w:eastAsia="宋体" w:cs="Times New Roman"/>
      <w:kern w:val="2"/>
      <w:sz w:val="21"/>
      <w:szCs w:val="24"/>
    </w:rPr>
  </w:style>
  <w:style w:type="character" w:customStyle="1" w:styleId="326">
    <w:name w:val="font21"/>
    <w:qFormat/>
    <w:uiPriority w:val="0"/>
    <w:rPr>
      <w:rFonts w:hint="eastAsia" w:ascii="宋体" w:hAnsi="宋体" w:eastAsia="宋体" w:cs="宋体"/>
      <w:b/>
      <w:color w:val="000000"/>
      <w:sz w:val="22"/>
      <w:szCs w:val="22"/>
      <w:u w:val="none"/>
    </w:rPr>
  </w:style>
  <w:style w:type="character" w:customStyle="1" w:styleId="327">
    <w:name w:val="表格文字图表文字 Char Char"/>
    <w:link w:val="328"/>
    <w:qFormat/>
    <w:uiPriority w:val="0"/>
  </w:style>
  <w:style w:type="paragraph" w:customStyle="1" w:styleId="328">
    <w:name w:val="表格文字图表文字"/>
    <w:basedOn w:val="1"/>
    <w:link w:val="327"/>
    <w:qFormat/>
    <w:uiPriority w:val="0"/>
    <w:pPr>
      <w:widowControl w:val="0"/>
      <w:snapToGrid w:val="0"/>
      <w:jc w:val="center"/>
    </w:pPr>
    <w:rPr>
      <w:rFonts w:ascii="Times New Roman" w:hAnsi="Times New Roman" w:cs="Times New Roman"/>
      <w:sz w:val="20"/>
      <w:szCs w:val="20"/>
    </w:rPr>
  </w:style>
  <w:style w:type="character" w:customStyle="1" w:styleId="329">
    <w:name w:val="blue1"/>
    <w:qFormat/>
    <w:uiPriority w:val="0"/>
  </w:style>
  <w:style w:type="character" w:customStyle="1" w:styleId="330">
    <w:name w:val="项目符0 Char"/>
    <w:link w:val="331"/>
    <w:qFormat/>
    <w:uiPriority w:val="0"/>
    <w:rPr>
      <w:rFonts w:ascii="Arial" w:hAnsi="Arial"/>
      <w:sz w:val="21"/>
      <w:szCs w:val="21"/>
    </w:rPr>
  </w:style>
  <w:style w:type="paragraph" w:customStyle="1" w:styleId="331">
    <w:name w:val="项目符0"/>
    <w:basedOn w:val="1"/>
    <w:link w:val="330"/>
    <w:qFormat/>
    <w:uiPriority w:val="0"/>
    <w:pPr>
      <w:widowControl w:val="0"/>
      <w:numPr>
        <w:ilvl w:val="0"/>
        <w:numId w:val="2"/>
      </w:numPr>
      <w:spacing w:beforeLines="25" w:afterLines="25" w:line="300" w:lineRule="auto"/>
      <w:ind w:left="100" w:leftChars="100" w:right="57" w:rightChars="27" w:firstLine="200" w:firstLineChars="200"/>
      <w:jc w:val="both"/>
    </w:pPr>
    <w:rPr>
      <w:rFonts w:ascii="Arial" w:hAnsi="Arial" w:cs="Times New Roman"/>
      <w:sz w:val="21"/>
      <w:szCs w:val="21"/>
    </w:rPr>
  </w:style>
  <w:style w:type="character" w:customStyle="1" w:styleId="332">
    <w:name w:val="明显引用 Char1"/>
    <w:qFormat/>
    <w:uiPriority w:val="30"/>
    <w:rPr>
      <w:b/>
      <w:bCs/>
      <w:i/>
      <w:iCs/>
      <w:color w:val="4F81BD"/>
      <w:kern w:val="2"/>
      <w:sz w:val="21"/>
      <w:szCs w:val="24"/>
    </w:rPr>
  </w:style>
  <w:style w:type="character" w:customStyle="1" w:styleId="333">
    <w:name w:val="heading 3 Char2"/>
    <w:qFormat/>
    <w:uiPriority w:val="0"/>
    <w:rPr>
      <w:b/>
      <w:bCs/>
      <w:kern w:val="2"/>
      <w:sz w:val="32"/>
      <w:szCs w:val="32"/>
    </w:rPr>
  </w:style>
  <w:style w:type="character" w:customStyle="1" w:styleId="334">
    <w:name w:val="二级标题 字符"/>
    <w:link w:val="335"/>
    <w:qFormat/>
    <w:uiPriority w:val="0"/>
    <w:rPr>
      <w:b/>
      <w:kern w:val="2"/>
      <w:sz w:val="32"/>
      <w:szCs w:val="32"/>
    </w:rPr>
  </w:style>
  <w:style w:type="paragraph" w:customStyle="1" w:styleId="335">
    <w:name w:val="二级标题"/>
    <w:basedOn w:val="9"/>
    <w:link w:val="334"/>
    <w:qFormat/>
    <w:uiPriority w:val="0"/>
    <w:pPr>
      <w:widowControl w:val="0"/>
      <w:numPr>
        <w:ilvl w:val="1"/>
        <w:numId w:val="1"/>
      </w:numPr>
      <w:spacing w:before="0" w:after="0" w:line="360" w:lineRule="auto"/>
      <w:jc w:val="both"/>
    </w:pPr>
    <w:rPr>
      <w:rFonts w:ascii="Times New Roman" w:hAnsi="Times New Roman" w:eastAsia="宋体"/>
      <w:bCs w:val="0"/>
    </w:rPr>
  </w:style>
  <w:style w:type="character" w:customStyle="1" w:styleId="336">
    <w:name w:val="font11"/>
    <w:qFormat/>
    <w:uiPriority w:val="0"/>
    <w:rPr>
      <w:rFonts w:hint="default" w:ascii="Arial" w:hAnsi="Arial" w:eastAsia="宋体" w:cs="Arial"/>
      <w:color w:val="000000"/>
      <w:sz w:val="22"/>
      <w:szCs w:val="22"/>
      <w:u w:val="none"/>
    </w:rPr>
  </w:style>
  <w:style w:type="character" w:customStyle="1" w:styleId="337">
    <w:name w:val="Char Char201"/>
    <w:qFormat/>
    <w:uiPriority w:val="0"/>
    <w:rPr>
      <w:rFonts w:ascii="Cambria" w:hAnsi="Cambria" w:eastAsia="宋体" w:cs="Times New Roman"/>
      <w:b/>
      <w:bCs/>
      <w:sz w:val="32"/>
      <w:szCs w:val="32"/>
    </w:rPr>
  </w:style>
  <w:style w:type="character" w:customStyle="1" w:styleId="338">
    <w:name w:val="应答文本 Char Char"/>
    <w:link w:val="339"/>
    <w:qFormat/>
    <w:uiPriority w:val="0"/>
    <w:rPr>
      <w:rFonts w:ascii="宋体" w:hAnsi="宋体"/>
      <w:spacing w:val="4"/>
      <w:sz w:val="28"/>
      <w:szCs w:val="28"/>
    </w:rPr>
  </w:style>
  <w:style w:type="paragraph" w:customStyle="1" w:styleId="339">
    <w:name w:val="应答文本"/>
    <w:basedOn w:val="1"/>
    <w:link w:val="338"/>
    <w:qFormat/>
    <w:uiPriority w:val="0"/>
    <w:pPr>
      <w:widowControl w:val="0"/>
      <w:adjustRightInd w:val="0"/>
      <w:spacing w:afterLines="50" w:line="460" w:lineRule="exact"/>
      <w:ind w:left="720" w:leftChars="300" w:firstLine="576" w:firstLineChars="200"/>
      <w:jc w:val="both"/>
    </w:pPr>
    <w:rPr>
      <w:rFonts w:cs="Times New Roman"/>
      <w:spacing w:val="4"/>
      <w:sz w:val="28"/>
      <w:szCs w:val="28"/>
    </w:rPr>
  </w:style>
  <w:style w:type="character" w:customStyle="1" w:styleId="340">
    <w:name w:val=" Char Char4"/>
    <w:qFormat/>
    <w:uiPriority w:val="0"/>
    <w:rPr>
      <w:rFonts w:ascii="Cambria" w:hAnsi="Cambria" w:eastAsia="宋体"/>
      <w:b/>
      <w:bCs/>
      <w:sz w:val="32"/>
      <w:szCs w:val="32"/>
      <w:lang w:bidi="ar-SA"/>
    </w:rPr>
  </w:style>
  <w:style w:type="character" w:customStyle="1" w:styleId="341">
    <w:name w:val="param-name"/>
    <w:qFormat/>
    <w:uiPriority w:val="0"/>
    <w:rPr>
      <w:rFonts w:ascii="Times New Roman" w:hAnsi="Times New Roman" w:eastAsia="宋体" w:cs="Times New Roman"/>
    </w:rPr>
  </w:style>
  <w:style w:type="character" w:customStyle="1" w:styleId="342">
    <w:name w:val="Char Char61"/>
    <w:qFormat/>
    <w:uiPriority w:val="0"/>
    <w:rPr>
      <w:rFonts w:ascii="Times New Roman" w:hAnsi="Times New Roman" w:eastAsia="宋体" w:cs="Times New Roman"/>
      <w:szCs w:val="24"/>
    </w:rPr>
  </w:style>
  <w:style w:type="character" w:customStyle="1" w:styleId="343">
    <w:name w:val="明显引用 Char"/>
    <w:link w:val="344"/>
    <w:qFormat/>
    <w:uiPriority w:val="0"/>
    <w:rPr>
      <w:rFonts w:ascii="Calibri" w:hAnsi="Calibri"/>
      <w:b/>
      <w:bCs/>
      <w:i/>
      <w:iCs/>
      <w:color w:val="4F81BD"/>
    </w:rPr>
  </w:style>
  <w:style w:type="paragraph" w:styleId="344">
    <w:name w:val="Intense Quote"/>
    <w:basedOn w:val="1"/>
    <w:next w:val="1"/>
    <w:link w:val="343"/>
    <w:qFormat/>
    <w:uiPriority w:val="0"/>
    <w:pPr>
      <w:widowControl w:val="0"/>
      <w:pBdr>
        <w:bottom w:val="single" w:color="4F81BD" w:sz="4" w:space="4"/>
      </w:pBdr>
      <w:spacing w:before="200" w:after="280"/>
      <w:ind w:left="936" w:right="936"/>
      <w:jc w:val="both"/>
    </w:pPr>
    <w:rPr>
      <w:rFonts w:ascii="Calibri" w:hAnsi="Calibri" w:cs="Times New Roman"/>
      <w:b/>
      <w:bCs/>
      <w:i/>
      <w:iCs/>
      <w:color w:val="4F81BD"/>
      <w:sz w:val="20"/>
      <w:szCs w:val="20"/>
    </w:rPr>
  </w:style>
  <w:style w:type="character" w:customStyle="1" w:styleId="345">
    <w:name w:val="Ò³Ã¼ Char Char"/>
    <w:qFormat/>
    <w:uiPriority w:val="0"/>
    <w:rPr>
      <w:sz w:val="18"/>
      <w:szCs w:val="18"/>
    </w:rPr>
  </w:style>
  <w:style w:type="character" w:customStyle="1" w:styleId="346">
    <w:name w:val="副标题字符1"/>
    <w:qFormat/>
    <w:uiPriority w:val="11"/>
    <w:rPr>
      <w:rFonts w:ascii="等线 Light" w:hAnsi="等线 Light" w:eastAsia="宋体" w:cs="Times New Roman"/>
      <w:b/>
      <w:bCs/>
      <w:color w:val="000000"/>
      <w:kern w:val="28"/>
      <w:sz w:val="32"/>
      <w:szCs w:val="32"/>
    </w:rPr>
  </w:style>
  <w:style w:type="character" w:customStyle="1" w:styleId="347">
    <w:name w:val="Table Text Char1"/>
    <w:link w:val="348"/>
    <w:qFormat/>
    <w:uiPriority w:val="0"/>
    <w:rPr>
      <w:rFonts w:ascii="Arial" w:hAnsi="Arial" w:cs="Arial"/>
      <w:kern w:val="2"/>
      <w:sz w:val="18"/>
      <w:szCs w:val="18"/>
      <w:lang w:val="en-US" w:eastAsia="zh-CN" w:bidi="ar-SA"/>
    </w:rPr>
  </w:style>
  <w:style w:type="paragraph" w:customStyle="1" w:styleId="348">
    <w:name w:val="Table Text"/>
    <w:link w:val="347"/>
    <w:qFormat/>
    <w:uiPriority w:val="0"/>
    <w:pPr>
      <w:snapToGrid w:val="0"/>
      <w:spacing w:before="80" w:after="80"/>
    </w:pPr>
    <w:rPr>
      <w:rFonts w:ascii="Arial" w:hAnsi="Arial" w:eastAsia="宋体" w:cs="Arial"/>
      <w:kern w:val="2"/>
      <w:sz w:val="18"/>
      <w:szCs w:val="18"/>
      <w:lang w:val="en-US" w:eastAsia="zh-CN" w:bidi="ar-SA"/>
    </w:rPr>
  </w:style>
  <w:style w:type="character" w:customStyle="1" w:styleId="349">
    <w:name w:val="正文（缩进） Char Char"/>
    <w:link w:val="350"/>
    <w:qFormat/>
    <w:uiPriority w:val="0"/>
    <w:rPr>
      <w:kern w:val="2"/>
      <w:sz w:val="24"/>
      <w:szCs w:val="24"/>
    </w:rPr>
  </w:style>
  <w:style w:type="paragraph" w:customStyle="1" w:styleId="350">
    <w:name w:val="正文（缩进）"/>
    <w:basedOn w:val="1"/>
    <w:link w:val="349"/>
    <w:qFormat/>
    <w:uiPriority w:val="0"/>
    <w:pPr>
      <w:widowControl w:val="0"/>
      <w:spacing w:before="156" w:beforeLines="50" w:after="156" w:afterLines="50" w:line="360" w:lineRule="auto"/>
      <w:ind w:firstLine="480" w:firstLineChars="200"/>
      <w:jc w:val="both"/>
    </w:pPr>
    <w:rPr>
      <w:rFonts w:ascii="Times New Roman" w:hAnsi="Times New Roman" w:cs="Times New Roman"/>
      <w:kern w:val="2"/>
    </w:rPr>
  </w:style>
  <w:style w:type="character" w:customStyle="1" w:styleId="351">
    <w:name w:val="Ò³Ã¼ Char Char1"/>
    <w:qFormat/>
    <w:uiPriority w:val="0"/>
    <w:rPr>
      <w:rFonts w:eastAsia="宋体"/>
      <w:kern w:val="2"/>
      <w:sz w:val="18"/>
      <w:szCs w:val="18"/>
      <w:lang w:val="en-US" w:eastAsia="zh-CN" w:bidi="ar-SA"/>
    </w:rPr>
  </w:style>
  <w:style w:type="character" w:customStyle="1" w:styleId="352">
    <w:name w:val="wj1"/>
    <w:qFormat/>
    <w:uiPriority w:val="0"/>
    <w:rPr>
      <w:color w:val="000000"/>
      <w:sz w:val="18"/>
      <w:szCs w:val="18"/>
      <w:u w:val="none"/>
    </w:rPr>
  </w:style>
  <w:style w:type="character" w:customStyle="1" w:styleId="353">
    <w:name w:val="XHH正文1 Char Char"/>
    <w:link w:val="354"/>
    <w:qFormat/>
    <w:locked/>
    <w:uiPriority w:val="0"/>
    <w:rPr>
      <w:sz w:val="24"/>
      <w:szCs w:val="24"/>
    </w:rPr>
  </w:style>
  <w:style w:type="paragraph" w:customStyle="1" w:styleId="354">
    <w:name w:val="XHH正文1"/>
    <w:basedOn w:val="1"/>
    <w:link w:val="353"/>
    <w:qFormat/>
    <w:uiPriority w:val="0"/>
    <w:pPr>
      <w:widowControl w:val="0"/>
      <w:spacing w:line="360" w:lineRule="auto"/>
      <w:ind w:firstLine="480" w:firstLineChars="200"/>
      <w:jc w:val="both"/>
    </w:pPr>
    <w:rPr>
      <w:rFonts w:ascii="Times New Roman" w:hAnsi="Times New Roman" w:cs="Times New Roman"/>
    </w:rPr>
  </w:style>
  <w:style w:type="character" w:customStyle="1" w:styleId="355">
    <w:name w:val="表格用 Char Char"/>
    <w:link w:val="356"/>
    <w:qFormat/>
    <w:uiPriority w:val="0"/>
    <w:rPr>
      <w:rFonts w:ascii="宋体"/>
      <w:sz w:val="22"/>
    </w:rPr>
  </w:style>
  <w:style w:type="paragraph" w:customStyle="1" w:styleId="356">
    <w:name w:val="表格用"/>
    <w:basedOn w:val="1"/>
    <w:link w:val="355"/>
    <w:qFormat/>
    <w:uiPriority w:val="0"/>
    <w:rPr>
      <w:rFonts w:hAnsi="Times New Roman" w:cs="Times New Roman"/>
      <w:sz w:val="22"/>
      <w:szCs w:val="20"/>
    </w:rPr>
  </w:style>
  <w:style w:type="character" w:customStyle="1" w:styleId="357">
    <w:name w:val="Style4"/>
    <w:qFormat/>
    <w:uiPriority w:val="0"/>
    <w:rPr>
      <w:rFonts w:ascii="Calibri" w:hAnsi="宋体" w:eastAsia="宋体" w:cs="Times New Roman"/>
      <w:szCs w:val="22"/>
      <w:lang w:eastAsia="zh-CN"/>
    </w:rPr>
  </w:style>
  <w:style w:type="character" w:customStyle="1" w:styleId="358">
    <w:name w:val="heading 5 Char2"/>
    <w:qFormat/>
    <w:uiPriority w:val="0"/>
    <w:rPr>
      <w:b/>
      <w:bCs/>
      <w:kern w:val="2"/>
      <w:sz w:val="28"/>
      <w:szCs w:val="28"/>
    </w:rPr>
  </w:style>
  <w:style w:type="character" w:customStyle="1" w:styleId="359">
    <w:name w:val="font1"/>
    <w:qFormat/>
    <w:uiPriority w:val="0"/>
    <w:rPr>
      <w:rFonts w:ascii="Times New Roman" w:hAnsi="Times New Roman" w:eastAsia="宋体" w:cs="Times New Roman"/>
      <w:color w:val="999999"/>
      <w:sz w:val="18"/>
      <w:szCs w:val="18"/>
      <w:u w:val="none"/>
    </w:rPr>
  </w:style>
  <w:style w:type="character" w:customStyle="1" w:styleId="360">
    <w:name w:val="未处理的提及1"/>
    <w:unhideWhenUsed/>
    <w:qFormat/>
    <w:uiPriority w:val="99"/>
    <w:rPr>
      <w:color w:val="808080"/>
      <w:shd w:val="clear" w:color="auto" w:fill="E6E6E6"/>
    </w:rPr>
  </w:style>
  <w:style w:type="character" w:customStyle="1" w:styleId="361">
    <w:name w:val="宏文本 Char2"/>
    <w:qFormat/>
    <w:uiPriority w:val="0"/>
    <w:rPr>
      <w:rFonts w:ascii="Courier New" w:hAnsi="Courier New" w:cs="Courier New"/>
      <w:sz w:val="24"/>
      <w:szCs w:val="24"/>
    </w:rPr>
  </w:style>
  <w:style w:type="character" w:customStyle="1" w:styleId="362">
    <w:name w:val="标准正文格式 Char"/>
    <w:link w:val="363"/>
    <w:qFormat/>
    <w:uiPriority w:val="0"/>
    <w:rPr>
      <w:rFonts w:ascii="宋体" w:eastAsia="仿宋_GB2312" w:cs="宋体"/>
      <w:color w:val="000000"/>
      <w:sz w:val="24"/>
    </w:rPr>
  </w:style>
  <w:style w:type="paragraph" w:customStyle="1" w:styleId="363">
    <w:name w:val="标准正文格式"/>
    <w:basedOn w:val="1"/>
    <w:link w:val="362"/>
    <w:qFormat/>
    <w:uiPriority w:val="0"/>
    <w:pPr>
      <w:adjustRightInd w:val="0"/>
      <w:spacing w:before="60" w:after="120" w:line="360" w:lineRule="auto"/>
      <w:ind w:firstLine="200" w:firstLineChars="200"/>
      <w:jc w:val="both"/>
      <w:textAlignment w:val="baseline"/>
    </w:pPr>
    <w:rPr>
      <w:rFonts w:hAnsi="Times New Roman" w:eastAsia="仿宋_GB2312" w:cs="Times New Roman"/>
      <w:color w:val="000000"/>
      <w:szCs w:val="20"/>
    </w:rPr>
  </w:style>
  <w:style w:type="character" w:customStyle="1" w:styleId="364">
    <w:name w:val="ändrad Char"/>
    <w:qFormat/>
    <w:uiPriority w:val="0"/>
    <w:rPr>
      <w:rFonts w:eastAsia="宋体"/>
      <w:kern w:val="2"/>
      <w:sz w:val="21"/>
      <w:szCs w:val="24"/>
      <w:lang w:val="en-US" w:eastAsia="zh-CN" w:bidi="ar-SA"/>
    </w:rPr>
  </w:style>
  <w:style w:type="character" w:customStyle="1" w:styleId="365">
    <w:name w:val="批注框文本 Char1"/>
    <w:qFormat/>
    <w:uiPriority w:val="99"/>
    <w:rPr>
      <w:rFonts w:hint="eastAsia" w:ascii="宋体" w:hAnsi="宋体" w:eastAsia="宋体" w:cs="宋体"/>
      <w:kern w:val="2"/>
      <w:sz w:val="18"/>
      <w:szCs w:val="18"/>
    </w:rPr>
  </w:style>
  <w:style w:type="character" w:customStyle="1" w:styleId="366">
    <w:name w:val="_Style 365"/>
    <w:qFormat/>
    <w:uiPriority w:val="0"/>
    <w:rPr>
      <w:smallCaps/>
      <w:color w:val="C0504D"/>
      <w:u w:val="single"/>
    </w:rPr>
  </w:style>
  <w:style w:type="character" w:customStyle="1" w:styleId="367">
    <w:name w:val="标准文本 Char"/>
    <w:link w:val="368"/>
    <w:qFormat/>
    <w:uiPriority w:val="0"/>
  </w:style>
  <w:style w:type="paragraph" w:customStyle="1" w:styleId="368">
    <w:name w:val="标准文本"/>
    <w:basedOn w:val="1"/>
    <w:link w:val="367"/>
    <w:qFormat/>
    <w:uiPriority w:val="0"/>
    <w:pPr>
      <w:widowControl w:val="0"/>
      <w:spacing w:line="360" w:lineRule="auto"/>
      <w:ind w:firstLine="480" w:firstLineChars="200"/>
      <w:jc w:val="both"/>
    </w:pPr>
    <w:rPr>
      <w:rFonts w:ascii="Times New Roman" w:hAnsi="Times New Roman" w:cs="Times New Roman"/>
      <w:sz w:val="20"/>
      <w:szCs w:val="20"/>
    </w:rPr>
  </w:style>
  <w:style w:type="character" w:customStyle="1" w:styleId="369">
    <w:name w:val="江西-正文 Char"/>
    <w:link w:val="370"/>
    <w:qFormat/>
    <w:locked/>
    <w:uiPriority w:val="0"/>
    <w:rPr>
      <w:rFonts w:ascii="Calibri" w:hAnsi="Calibri" w:eastAsia="华文中宋"/>
      <w:sz w:val="24"/>
    </w:rPr>
  </w:style>
  <w:style w:type="paragraph" w:customStyle="1" w:styleId="370">
    <w:name w:val="江西-正文"/>
    <w:basedOn w:val="1"/>
    <w:link w:val="369"/>
    <w:qFormat/>
    <w:uiPriority w:val="0"/>
    <w:pPr>
      <w:widowControl w:val="0"/>
      <w:ind w:firstLine="200" w:firstLineChars="200"/>
      <w:jc w:val="both"/>
    </w:pPr>
    <w:rPr>
      <w:rFonts w:ascii="Calibri" w:hAnsi="Calibri" w:eastAsia="华文中宋" w:cs="Times New Roman"/>
      <w:szCs w:val="20"/>
    </w:rPr>
  </w:style>
  <w:style w:type="character" w:customStyle="1" w:styleId="371">
    <w:name w:val="超级链接"/>
    <w:qFormat/>
    <w:uiPriority w:val="0"/>
    <w:rPr>
      <w:rFonts w:hint="default" w:ascii="Times New Roman" w:hAnsi="Times New Roman" w:eastAsia="宋体" w:cs="Times New Roman"/>
      <w:color w:val="0000FF"/>
      <w:sz w:val="21"/>
      <w:u w:val="single" w:color="0000FF"/>
      <w:vertAlign w:val="baseline"/>
      <w:lang w:val="en-US" w:eastAsia="zh-CN"/>
    </w:rPr>
  </w:style>
  <w:style w:type="character" w:customStyle="1" w:styleId="372">
    <w:name w:val="1.1.1类表 Char Char"/>
    <w:link w:val="373"/>
    <w:qFormat/>
    <w:uiPriority w:val="0"/>
    <w:rPr>
      <w:rFonts w:ascii="宋体" w:hAnsi="宋体"/>
      <w:b/>
      <w:bCs/>
      <w:sz w:val="28"/>
      <w:szCs w:val="28"/>
    </w:rPr>
  </w:style>
  <w:style w:type="paragraph" w:customStyle="1" w:styleId="373">
    <w:name w:val="1.1.1类表"/>
    <w:basedOn w:val="1"/>
    <w:link w:val="372"/>
    <w:qFormat/>
    <w:uiPriority w:val="0"/>
    <w:pPr>
      <w:keepNext/>
      <w:keepLines/>
      <w:widowControl w:val="0"/>
      <w:tabs>
        <w:tab w:val="left" w:pos="1430"/>
      </w:tabs>
      <w:snapToGrid w:val="0"/>
      <w:spacing w:before="120" w:after="120" w:line="360" w:lineRule="auto"/>
      <w:ind w:left="1430" w:hanging="720" w:firstLineChars="200"/>
      <w:jc w:val="both"/>
      <w:outlineLvl w:val="2"/>
    </w:pPr>
    <w:rPr>
      <w:rFonts w:cs="Times New Roman"/>
      <w:b/>
      <w:bCs/>
      <w:sz w:val="28"/>
      <w:szCs w:val="28"/>
    </w:rPr>
  </w:style>
  <w:style w:type="character" w:customStyle="1" w:styleId="374">
    <w:name w:val="彩色列表 - 强调文字颜色 1 Char"/>
    <w:link w:val="375"/>
    <w:qFormat/>
    <w:uiPriority w:val="0"/>
    <w:rPr>
      <w:rFonts w:ascii="Calibri" w:hAnsi="Calibri"/>
      <w:kern w:val="2"/>
      <w:sz w:val="21"/>
      <w:szCs w:val="22"/>
    </w:rPr>
  </w:style>
  <w:style w:type="paragraph" w:customStyle="1" w:styleId="375">
    <w:name w:val="彩色列表 - 强调文字颜色 11"/>
    <w:basedOn w:val="1"/>
    <w:link w:val="374"/>
    <w:qFormat/>
    <w:uiPriority w:val="0"/>
    <w:pPr>
      <w:widowControl w:val="0"/>
      <w:ind w:firstLine="420" w:firstLineChars="200"/>
      <w:jc w:val="both"/>
    </w:pPr>
    <w:rPr>
      <w:rFonts w:ascii="Calibri" w:hAnsi="Calibri" w:cs="Times New Roman"/>
      <w:kern w:val="2"/>
      <w:sz w:val="21"/>
      <w:szCs w:val="22"/>
    </w:rPr>
  </w:style>
  <w:style w:type="character" w:customStyle="1" w:styleId="376">
    <w:name w:val="正文缩进2字符 Char Char"/>
    <w:link w:val="377"/>
    <w:qFormat/>
    <w:uiPriority w:val="0"/>
    <w:rPr>
      <w:rFonts w:cs="宋体"/>
    </w:rPr>
  </w:style>
  <w:style w:type="paragraph" w:customStyle="1" w:styleId="377">
    <w:name w:val="正文缩进2字符"/>
    <w:basedOn w:val="1"/>
    <w:link w:val="376"/>
    <w:qFormat/>
    <w:uiPriority w:val="0"/>
    <w:pPr>
      <w:widowControl w:val="0"/>
      <w:spacing w:line="360" w:lineRule="auto"/>
      <w:ind w:firstLine="480" w:firstLineChars="200"/>
      <w:jc w:val="both"/>
    </w:pPr>
    <w:rPr>
      <w:rFonts w:ascii="Times New Roman" w:hAnsi="Times New Roman" w:cs="Times New Roman"/>
      <w:sz w:val="20"/>
      <w:szCs w:val="20"/>
    </w:rPr>
  </w:style>
  <w:style w:type="character" w:customStyle="1" w:styleId="378">
    <w:name w:val="批注主题 Char1"/>
    <w:qFormat/>
    <w:uiPriority w:val="0"/>
    <w:rPr>
      <w:rFonts w:ascii="Times New Roman" w:hAnsi="Times New Roman" w:eastAsia="宋体" w:cs="Times New Roman"/>
      <w:b/>
      <w:bCs/>
      <w:szCs w:val="24"/>
    </w:rPr>
  </w:style>
  <w:style w:type="character" w:customStyle="1" w:styleId="379">
    <w:name w:val="正文，段落，小四，22磅行距 Char"/>
    <w:link w:val="380"/>
    <w:qFormat/>
    <w:uiPriority w:val="0"/>
    <w:rPr>
      <w:rFonts w:ascii="Calibri" w:hAnsi="Calibri"/>
      <w:sz w:val="24"/>
      <w:szCs w:val="24"/>
    </w:rPr>
  </w:style>
  <w:style w:type="paragraph" w:customStyle="1" w:styleId="380">
    <w:name w:val="正文，段落，小四，22磅行距"/>
    <w:basedOn w:val="1"/>
    <w:link w:val="379"/>
    <w:qFormat/>
    <w:uiPriority w:val="0"/>
    <w:pPr>
      <w:widowControl w:val="0"/>
      <w:spacing w:line="440" w:lineRule="exact"/>
      <w:ind w:firstLine="420"/>
      <w:jc w:val="both"/>
    </w:pPr>
    <w:rPr>
      <w:rFonts w:ascii="Calibri" w:hAnsi="Calibri" w:cs="Times New Roman"/>
    </w:rPr>
  </w:style>
  <w:style w:type="character" w:customStyle="1" w:styleId="381">
    <w:name w:val="HTML 预设格式 Char2"/>
    <w:semiHidden/>
    <w:qFormat/>
    <w:uiPriority w:val="0"/>
    <w:rPr>
      <w:rFonts w:ascii="Courier New" w:hAnsi="Courier New" w:cs="Courier New"/>
    </w:rPr>
  </w:style>
  <w:style w:type="character" w:customStyle="1" w:styleId="382">
    <w:name w:val="纯文本 Char1"/>
    <w:qFormat/>
    <w:uiPriority w:val="0"/>
    <w:rPr>
      <w:rFonts w:ascii="宋体" w:hAnsi="Courier New" w:eastAsia="宋体"/>
      <w:kern w:val="2"/>
      <w:sz w:val="21"/>
      <w:lang w:val="en-US" w:eastAsia="zh-CN" w:bidi="ar-SA"/>
    </w:rPr>
  </w:style>
  <w:style w:type="character" w:customStyle="1" w:styleId="383">
    <w:name w:val="heading 8 Char1"/>
    <w:qFormat/>
    <w:uiPriority w:val="0"/>
    <w:rPr>
      <w:rFonts w:ascii="Arial" w:hAnsi="Arial" w:eastAsia="黑体"/>
      <w:sz w:val="24"/>
      <w:lang w:val="en-US" w:eastAsia="zh-CN" w:bidi="ar-SA"/>
    </w:rPr>
  </w:style>
  <w:style w:type="character" w:customStyle="1" w:styleId="384">
    <w:name w:val="unnamed51"/>
    <w:qFormat/>
    <w:uiPriority w:val="0"/>
    <w:rPr>
      <w:sz w:val="22"/>
      <w:szCs w:val="22"/>
    </w:rPr>
  </w:style>
  <w:style w:type="character" w:customStyle="1" w:styleId="385">
    <w:name w:val="Date Char"/>
    <w:qFormat/>
    <w:uiPriority w:val="0"/>
    <w:rPr>
      <w:rFonts w:ascii="宋体" w:hAnsi="Times New Roman" w:eastAsia="宋体" w:cs="Times New Roman"/>
      <w:sz w:val="21"/>
      <w:lang w:val="zh-CN"/>
    </w:rPr>
  </w:style>
  <w:style w:type="character" w:customStyle="1" w:styleId="386">
    <w:name w:val="SANGFOR_6_正文 Char"/>
    <w:link w:val="387"/>
    <w:qFormat/>
    <w:uiPriority w:val="0"/>
    <w:rPr>
      <w:szCs w:val="21"/>
    </w:rPr>
  </w:style>
  <w:style w:type="paragraph" w:customStyle="1" w:styleId="387">
    <w:name w:val="SANGFOR_6_正文"/>
    <w:basedOn w:val="1"/>
    <w:link w:val="386"/>
    <w:qFormat/>
    <w:uiPriority w:val="0"/>
    <w:pPr>
      <w:widowControl w:val="0"/>
      <w:spacing w:line="360" w:lineRule="auto"/>
      <w:ind w:firstLine="420" w:firstLineChars="200"/>
      <w:jc w:val="both"/>
    </w:pPr>
    <w:rPr>
      <w:rFonts w:ascii="Times New Roman" w:hAnsi="Times New Roman" w:cs="Times New Roman"/>
      <w:sz w:val="20"/>
      <w:szCs w:val="21"/>
    </w:rPr>
  </w:style>
  <w:style w:type="character" w:customStyle="1" w:styleId="388">
    <w:name w:val="￥正文 Char"/>
    <w:link w:val="389"/>
    <w:qFormat/>
    <w:uiPriority w:val="0"/>
    <w:rPr>
      <w:rFonts w:ascii="Calibri" w:hAnsi="Calibri"/>
    </w:rPr>
  </w:style>
  <w:style w:type="paragraph" w:customStyle="1" w:styleId="389">
    <w:name w:val="￥正文"/>
    <w:basedOn w:val="1"/>
    <w:link w:val="388"/>
    <w:qFormat/>
    <w:uiPriority w:val="0"/>
    <w:pPr>
      <w:widowControl w:val="0"/>
      <w:spacing w:line="360" w:lineRule="auto"/>
      <w:ind w:firstLine="200" w:firstLineChars="200"/>
      <w:jc w:val="both"/>
    </w:pPr>
    <w:rPr>
      <w:rFonts w:ascii="Calibri" w:hAnsi="Calibri" w:cs="Times New Roman"/>
      <w:sz w:val="20"/>
      <w:szCs w:val="20"/>
    </w:rPr>
  </w:style>
  <w:style w:type="character" w:customStyle="1" w:styleId="390">
    <w:name w:val="PI Char2"/>
    <w:qFormat/>
    <w:uiPriority w:val="0"/>
    <w:rPr>
      <w:kern w:val="2"/>
      <w:sz w:val="24"/>
      <w:szCs w:val="24"/>
    </w:rPr>
  </w:style>
  <w:style w:type="character" w:customStyle="1" w:styleId="391">
    <w:name w:val=" Char Char12"/>
    <w:qFormat/>
    <w:uiPriority w:val="0"/>
    <w:rPr>
      <w:rFonts w:eastAsia="宋体"/>
      <w:kern w:val="2"/>
      <w:sz w:val="21"/>
      <w:szCs w:val="24"/>
      <w:lang w:val="en-US" w:eastAsia="zh-CN" w:bidi="ar-SA"/>
    </w:rPr>
  </w:style>
  <w:style w:type="character" w:customStyle="1" w:styleId="392">
    <w:name w:val="称呼 Char2"/>
    <w:semiHidden/>
    <w:qFormat/>
    <w:uiPriority w:val="99"/>
    <w:rPr>
      <w:rFonts w:ascii="宋体" w:hAnsi="宋体" w:cs="宋体"/>
      <w:sz w:val="24"/>
      <w:szCs w:val="24"/>
    </w:rPr>
  </w:style>
  <w:style w:type="character" w:customStyle="1" w:styleId="393">
    <w:name w:val="正文1 Char Char"/>
    <w:link w:val="394"/>
    <w:qFormat/>
    <w:uiPriority w:val="0"/>
    <w:rPr>
      <w:rFonts w:ascii="Calibri" w:hAnsi="Calibri"/>
      <w:sz w:val="21"/>
      <w:szCs w:val="22"/>
    </w:rPr>
  </w:style>
  <w:style w:type="paragraph" w:customStyle="1" w:styleId="394">
    <w:name w:val="正文1 Char"/>
    <w:basedOn w:val="1"/>
    <w:link w:val="393"/>
    <w:qFormat/>
    <w:uiPriority w:val="0"/>
    <w:pPr>
      <w:widowControl w:val="0"/>
      <w:spacing w:line="360" w:lineRule="auto"/>
      <w:ind w:firstLine="480"/>
      <w:jc w:val="both"/>
    </w:pPr>
    <w:rPr>
      <w:rFonts w:ascii="Calibri" w:hAnsi="Calibri" w:cs="Times New Roman"/>
      <w:sz w:val="21"/>
      <w:szCs w:val="22"/>
    </w:rPr>
  </w:style>
  <w:style w:type="character" w:customStyle="1" w:styleId="395">
    <w:name w:val="Char Char16"/>
    <w:qFormat/>
    <w:uiPriority w:val="0"/>
    <w:rPr>
      <w:b/>
      <w:bCs/>
      <w:kern w:val="2"/>
      <w:sz w:val="28"/>
      <w:szCs w:val="28"/>
    </w:rPr>
  </w:style>
  <w:style w:type="character" w:customStyle="1" w:styleId="396">
    <w:name w:val="表格 Char"/>
    <w:link w:val="397"/>
    <w:qFormat/>
    <w:uiPriority w:val="0"/>
    <w:rPr>
      <w:rFonts w:ascii="宋体" w:hAnsi="等线" w:cs="宋体"/>
      <w:color w:val="000000"/>
      <w:sz w:val="21"/>
      <w:szCs w:val="21"/>
    </w:rPr>
  </w:style>
  <w:style w:type="paragraph" w:customStyle="1" w:styleId="397">
    <w:name w:val="表格"/>
    <w:basedOn w:val="1"/>
    <w:link w:val="396"/>
    <w:qFormat/>
    <w:uiPriority w:val="0"/>
    <w:pPr>
      <w:jc w:val="center"/>
    </w:pPr>
    <w:rPr>
      <w:rFonts w:hAnsi="等线" w:cs="Times New Roman"/>
      <w:color w:val="000000"/>
      <w:sz w:val="21"/>
      <w:szCs w:val="21"/>
    </w:rPr>
  </w:style>
  <w:style w:type="character" w:customStyle="1" w:styleId="398">
    <w:name w:val=" Char Char6"/>
    <w:qFormat/>
    <w:uiPriority w:val="0"/>
    <w:rPr>
      <w:rFonts w:eastAsia="宋体"/>
      <w:kern w:val="2"/>
      <w:sz w:val="18"/>
      <w:szCs w:val="18"/>
      <w:lang w:val="en-US" w:eastAsia="zh-CN" w:bidi="ar-SA"/>
    </w:rPr>
  </w:style>
  <w:style w:type="character" w:customStyle="1" w:styleId="399">
    <w:name w:val="heading 4 + Indent: Left 0.5 in Char Char"/>
    <w:qFormat/>
    <w:uiPriority w:val="0"/>
    <w:rPr>
      <w:rFonts w:ascii="Arial" w:hAnsi="Arial" w:eastAsia="黑体"/>
      <w:b/>
      <w:bCs/>
      <w:kern w:val="2"/>
      <w:sz w:val="28"/>
      <w:szCs w:val="28"/>
      <w:lang w:val="en-US" w:eastAsia="zh-CN" w:bidi="ar-SA"/>
    </w:rPr>
  </w:style>
  <w:style w:type="character" w:customStyle="1" w:styleId="400">
    <w:name w:val="正文首行缩进 2 Char2"/>
    <w:semiHidden/>
    <w:qFormat/>
    <w:uiPriority w:val="0"/>
  </w:style>
  <w:style w:type="character" w:customStyle="1" w:styleId="401">
    <w:name w:val="Footer-Even Char2"/>
    <w:qFormat/>
    <w:uiPriority w:val="0"/>
    <w:rPr>
      <w:kern w:val="2"/>
      <w:sz w:val="18"/>
      <w:szCs w:val="18"/>
    </w:rPr>
  </w:style>
  <w:style w:type="character" w:customStyle="1" w:styleId="402">
    <w:name w:val="apple-converted-space"/>
    <w:qFormat/>
    <w:uiPriority w:val="0"/>
  </w:style>
  <w:style w:type="character" w:customStyle="1" w:styleId="403">
    <w:name w:val="Char Char8"/>
    <w:qFormat/>
    <w:uiPriority w:val="0"/>
    <w:rPr>
      <w:rFonts w:ascii="宋体" w:hAnsi="Times New Roman" w:eastAsia="宋体" w:cs="Times New Roman"/>
      <w:kern w:val="2"/>
      <w:sz w:val="28"/>
      <w:lang w:val="en-US" w:eastAsia="zh-CN" w:bidi="ar-SA"/>
    </w:rPr>
  </w:style>
  <w:style w:type="character" w:customStyle="1" w:styleId="404">
    <w:name w:val="Style2"/>
    <w:qFormat/>
    <w:uiPriority w:val="0"/>
    <w:rPr>
      <w:rFonts w:ascii="Calibri" w:hAnsi="宋体" w:eastAsia="宋体" w:cs="Times New Roman"/>
      <w:sz w:val="22"/>
      <w:szCs w:val="22"/>
      <w:lang w:eastAsia="zh-CN"/>
    </w:rPr>
  </w:style>
  <w:style w:type="character" w:customStyle="1" w:styleId="405">
    <w:name w:val="日期 Char2"/>
    <w:semiHidden/>
    <w:qFormat/>
    <w:uiPriority w:val="0"/>
    <w:rPr>
      <w:rFonts w:ascii="宋体" w:hAnsi="宋体" w:cs="宋体"/>
      <w:sz w:val="24"/>
      <w:szCs w:val="24"/>
    </w:rPr>
  </w:style>
  <w:style w:type="character" w:customStyle="1" w:styleId="406">
    <w:name w:val="heading 2 Char1"/>
    <w:qFormat/>
    <w:uiPriority w:val="0"/>
    <w:rPr>
      <w:rFonts w:ascii="Cambria" w:hAnsi="Cambria" w:eastAsia="宋体"/>
      <w:b/>
      <w:bCs/>
      <w:kern w:val="2"/>
      <w:sz w:val="32"/>
      <w:szCs w:val="32"/>
      <w:lang w:val="en-US" w:eastAsia="zh-CN" w:bidi="ar-SA"/>
    </w:rPr>
  </w:style>
  <w:style w:type="character" w:customStyle="1" w:styleId="407">
    <w:name w:val="正文文本字符"/>
    <w:qFormat/>
    <w:uiPriority w:val="0"/>
    <w:rPr>
      <w:rFonts w:ascii="Times New Roman" w:hAnsi="Times New Roman" w:eastAsia="宋体" w:cs="Times New Roman"/>
      <w:kern w:val="2"/>
      <w:sz w:val="21"/>
      <w:szCs w:val="24"/>
    </w:rPr>
  </w:style>
  <w:style w:type="character" w:customStyle="1" w:styleId="408">
    <w:name w:val="正文2 Char"/>
    <w:link w:val="409"/>
    <w:qFormat/>
    <w:uiPriority w:val="0"/>
    <w:rPr>
      <w:rFonts w:ascii="宋体" w:hAnsi="宋体" w:cs="宋体"/>
      <w:sz w:val="24"/>
    </w:rPr>
  </w:style>
  <w:style w:type="paragraph" w:customStyle="1" w:styleId="409">
    <w:name w:val="正文2"/>
    <w:basedOn w:val="1"/>
    <w:link w:val="408"/>
    <w:qFormat/>
    <w:uiPriority w:val="0"/>
    <w:pPr>
      <w:spacing w:before="156" w:line="360" w:lineRule="auto"/>
      <w:ind w:firstLine="510" w:firstLineChars="200"/>
    </w:pPr>
    <w:rPr>
      <w:rFonts w:cs="Times New Roman"/>
      <w:szCs w:val="20"/>
    </w:rPr>
  </w:style>
  <w:style w:type="character" w:customStyle="1" w:styleId="410">
    <w:name w:val="4级标题 Char"/>
    <w:link w:val="411"/>
    <w:qFormat/>
    <w:uiPriority w:val="0"/>
    <w:rPr>
      <w:rFonts w:ascii="Calibri Light" w:hAnsi="Calibri Light"/>
      <w:b/>
      <w:bCs/>
      <w:sz w:val="28"/>
      <w:szCs w:val="30"/>
    </w:rPr>
  </w:style>
  <w:style w:type="paragraph" w:customStyle="1" w:styleId="411">
    <w:name w:val="4级标题"/>
    <w:basedOn w:val="9"/>
    <w:link w:val="410"/>
    <w:qFormat/>
    <w:uiPriority w:val="0"/>
    <w:pPr>
      <w:widowControl w:val="0"/>
      <w:numPr>
        <w:ilvl w:val="1"/>
        <w:numId w:val="3"/>
      </w:numPr>
      <w:spacing w:beforeLines="50" w:line="360" w:lineRule="auto"/>
      <w:jc w:val="both"/>
    </w:pPr>
    <w:rPr>
      <w:rFonts w:ascii="Calibri Light" w:hAnsi="Calibri Light" w:eastAsia="宋体"/>
      <w:kern w:val="0"/>
      <w:sz w:val="28"/>
      <w:szCs w:val="30"/>
    </w:rPr>
  </w:style>
  <w:style w:type="character" w:customStyle="1" w:styleId="412">
    <w:name w:val="批注文字字符1"/>
    <w:semiHidden/>
    <w:qFormat/>
    <w:uiPriority w:val="99"/>
    <w:rPr>
      <w:rFonts w:ascii="仿宋_GB2312" w:hAnsi="宋体" w:eastAsia="仿宋_GB2312" w:cs="宋体"/>
      <w:b/>
      <w:bCs/>
      <w:color w:val="000000"/>
      <w:kern w:val="0"/>
      <w:sz w:val="21"/>
      <w:szCs w:val="21"/>
    </w:rPr>
  </w:style>
  <w:style w:type="character" w:customStyle="1" w:styleId="413">
    <w:name w:val="文字 Char"/>
    <w:link w:val="414"/>
    <w:qFormat/>
    <w:uiPriority w:val="0"/>
    <w:rPr>
      <w:rFonts w:ascii="宋体" w:hAnsi="宋体"/>
      <w:sz w:val="28"/>
    </w:rPr>
  </w:style>
  <w:style w:type="paragraph" w:customStyle="1" w:styleId="414">
    <w:name w:val="文字"/>
    <w:basedOn w:val="1"/>
    <w:link w:val="413"/>
    <w:qFormat/>
    <w:uiPriority w:val="0"/>
    <w:pPr>
      <w:widowControl w:val="0"/>
      <w:tabs>
        <w:tab w:val="left" w:pos="8520"/>
      </w:tabs>
      <w:spacing w:line="312" w:lineRule="auto"/>
      <w:ind w:right="-210" w:firstLine="556"/>
      <w:jc w:val="both"/>
    </w:pPr>
    <w:rPr>
      <w:rFonts w:cs="Times New Roman"/>
      <w:sz w:val="28"/>
      <w:szCs w:val="20"/>
    </w:rPr>
  </w:style>
  <w:style w:type="character" w:customStyle="1" w:styleId="415">
    <w:name w:val="hang1"/>
    <w:qFormat/>
    <w:uiPriority w:val="0"/>
  </w:style>
  <w:style w:type="character" w:customStyle="1" w:styleId="416">
    <w:name w:val="页眉 Char2"/>
    <w:semiHidden/>
    <w:qFormat/>
    <w:uiPriority w:val="99"/>
    <w:rPr>
      <w:rFonts w:ascii="宋体" w:hAnsi="宋体" w:cs="宋体"/>
      <w:sz w:val="18"/>
      <w:szCs w:val="18"/>
    </w:rPr>
  </w:style>
  <w:style w:type="character" w:customStyle="1" w:styleId="417">
    <w:name w:val="style21"/>
    <w:qFormat/>
    <w:uiPriority w:val="0"/>
    <w:rPr>
      <w:rFonts w:ascii="Times New Roman" w:hAnsi="Times New Roman" w:eastAsia="宋体" w:cs="Times New Roman"/>
      <w:sz w:val="15"/>
      <w:szCs w:val="15"/>
    </w:rPr>
  </w:style>
  <w:style w:type="character" w:customStyle="1" w:styleId="418">
    <w:name w:val="表格 Char Char"/>
    <w:qFormat/>
    <w:uiPriority w:val="0"/>
    <w:rPr>
      <w:rFonts w:hint="eastAsia" w:ascii="宋体" w:hAnsi="宋体" w:eastAsia="宋体" w:cs="Times New Roman"/>
      <w:lang w:bidi="ar-SA"/>
    </w:rPr>
  </w:style>
  <w:style w:type="character" w:customStyle="1" w:styleId="419">
    <w:name w:val=" ändrad Char1"/>
    <w:qFormat/>
    <w:uiPriority w:val="0"/>
    <w:rPr>
      <w:rFonts w:eastAsia="宋体"/>
      <w:kern w:val="2"/>
      <w:sz w:val="21"/>
      <w:szCs w:val="24"/>
      <w:lang w:val="en-US" w:eastAsia="zh-CN" w:bidi="ar-SA"/>
    </w:rPr>
  </w:style>
  <w:style w:type="character" w:customStyle="1" w:styleId="420">
    <w:name w:val="汇视源正文 Char"/>
    <w:link w:val="421"/>
    <w:qFormat/>
    <w:uiPriority w:val="0"/>
    <w:rPr>
      <w:rFonts w:cs="宋体"/>
      <w:lang w:val="en-US" w:eastAsia="zh-CN" w:bidi="ar-SA"/>
    </w:rPr>
  </w:style>
  <w:style w:type="paragraph" w:customStyle="1" w:styleId="421">
    <w:name w:val="汇视源正文"/>
    <w:link w:val="420"/>
    <w:qFormat/>
    <w:uiPriority w:val="0"/>
    <w:pPr>
      <w:widowControl w:val="0"/>
      <w:spacing w:beforeLines="50" w:line="360" w:lineRule="auto"/>
      <w:ind w:firstLine="480" w:firstLineChars="200"/>
      <w:jc w:val="both"/>
    </w:pPr>
    <w:rPr>
      <w:rFonts w:ascii="Times New Roman" w:hAnsi="Times New Roman" w:eastAsia="宋体" w:cs="宋体"/>
      <w:lang w:val="en-US" w:eastAsia="zh-CN" w:bidi="ar-SA"/>
    </w:rPr>
  </w:style>
  <w:style w:type="character" w:customStyle="1" w:styleId="422">
    <w:name w:val="明显强调1"/>
    <w:qFormat/>
    <w:uiPriority w:val="0"/>
    <w:rPr>
      <w:rFonts w:ascii="Times New Roman" w:hAnsi="Times New Roman" w:eastAsia="宋体" w:cs="Times New Roman"/>
      <w:b/>
      <w:bCs/>
      <w:i/>
      <w:iCs/>
      <w:color w:val="4F81BD"/>
    </w:rPr>
  </w:style>
  <w:style w:type="character" w:customStyle="1" w:styleId="423">
    <w:name w:val="样式 标题 3 + 黑体 小四 Char Char"/>
    <w:link w:val="424"/>
    <w:qFormat/>
    <w:uiPriority w:val="0"/>
    <w:rPr>
      <w:rFonts w:ascii="黑体" w:hAnsi="Arial" w:eastAsia="黑体"/>
      <w:bCs/>
      <w:sz w:val="24"/>
      <w:szCs w:val="24"/>
    </w:rPr>
  </w:style>
  <w:style w:type="paragraph" w:customStyle="1" w:styleId="424">
    <w:name w:val="样式 标题 3 + 黑体 小四"/>
    <w:basedOn w:val="10"/>
    <w:link w:val="423"/>
    <w:qFormat/>
    <w:uiPriority w:val="0"/>
    <w:pPr>
      <w:widowControl w:val="0"/>
      <w:numPr>
        <w:ilvl w:val="2"/>
        <w:numId w:val="0"/>
      </w:numPr>
      <w:spacing w:line="415" w:lineRule="auto"/>
      <w:jc w:val="both"/>
    </w:pPr>
    <w:rPr>
      <w:rFonts w:ascii="黑体" w:hAnsi="Arial" w:eastAsia="黑体"/>
      <w:b w:val="0"/>
      <w:kern w:val="0"/>
      <w:sz w:val="24"/>
      <w:szCs w:val="24"/>
    </w:rPr>
  </w:style>
  <w:style w:type="character" w:customStyle="1" w:styleId="425">
    <w:name w:val="zw1 Char"/>
    <w:link w:val="426"/>
    <w:qFormat/>
    <w:uiPriority w:val="0"/>
    <w:rPr>
      <w:rFonts w:eastAsia="宋体"/>
      <w:kern w:val="2"/>
      <w:sz w:val="28"/>
      <w:lang w:val="en-US" w:eastAsia="zh-CN" w:bidi="ar-SA"/>
    </w:rPr>
  </w:style>
  <w:style w:type="paragraph" w:customStyle="1" w:styleId="426">
    <w:name w:val="zw1"/>
    <w:basedOn w:val="1"/>
    <w:link w:val="425"/>
    <w:qFormat/>
    <w:uiPriority w:val="0"/>
    <w:pPr>
      <w:spacing w:line="360" w:lineRule="auto"/>
      <w:ind w:firstLine="560" w:firstLineChars="200"/>
    </w:pPr>
    <w:rPr>
      <w:rFonts w:ascii="Times New Roman" w:hAnsi="Times New Roman" w:cs="Times New Roman"/>
      <w:kern w:val="2"/>
      <w:sz w:val="28"/>
      <w:szCs w:val="20"/>
    </w:rPr>
  </w:style>
  <w:style w:type="character" w:customStyle="1" w:styleId="427">
    <w:name w:val="heading 4 Char"/>
    <w:qFormat/>
    <w:uiPriority w:val="0"/>
    <w:rPr>
      <w:rFonts w:ascii="Arial" w:hAnsi="Arial" w:eastAsia="黑体" w:cs="Times New Roman"/>
      <w:sz w:val="21"/>
      <w:szCs w:val="21"/>
    </w:rPr>
  </w:style>
  <w:style w:type="character" w:customStyle="1" w:styleId="428">
    <w:name w:val="标题3 Char"/>
    <w:link w:val="429"/>
    <w:qFormat/>
    <w:uiPriority w:val="0"/>
    <w:rPr>
      <w:rFonts w:ascii="Calibri" w:hAnsi="Calibri"/>
      <w:sz w:val="21"/>
      <w:szCs w:val="21"/>
    </w:rPr>
  </w:style>
  <w:style w:type="paragraph" w:customStyle="1" w:styleId="429">
    <w:name w:val="标题3"/>
    <w:basedOn w:val="10"/>
    <w:link w:val="428"/>
    <w:qFormat/>
    <w:uiPriority w:val="0"/>
    <w:pPr>
      <w:keepNext w:val="0"/>
      <w:keepLines w:val="0"/>
      <w:tabs>
        <w:tab w:val="left" w:pos="432"/>
      </w:tabs>
      <w:adjustRightInd w:val="0"/>
      <w:snapToGrid w:val="0"/>
      <w:spacing w:before="0" w:after="0" w:line="360" w:lineRule="auto"/>
      <w:ind w:left="840" w:hanging="420"/>
    </w:pPr>
    <w:rPr>
      <w:b w:val="0"/>
      <w:bCs w:val="0"/>
      <w:kern w:val="0"/>
      <w:sz w:val="21"/>
      <w:szCs w:val="21"/>
    </w:rPr>
  </w:style>
  <w:style w:type="character" w:customStyle="1" w:styleId="430">
    <w:name w:val="Char Char2"/>
    <w:qFormat/>
    <w:uiPriority w:val="0"/>
    <w:rPr>
      <w:rFonts w:ascii="Arial" w:hAnsi="Arial" w:eastAsia="黑体" w:cs="Times New Roman"/>
      <w:b/>
      <w:bCs/>
      <w:color w:val="000000"/>
      <w:sz w:val="32"/>
      <w:szCs w:val="32"/>
      <w:lang w:val="en-US" w:eastAsia="zh-CN" w:bidi="ar-SA"/>
    </w:rPr>
  </w:style>
  <w:style w:type="character" w:customStyle="1" w:styleId="431">
    <w:name w:val="tpc_content1"/>
    <w:qFormat/>
    <w:uiPriority w:val="0"/>
    <w:rPr>
      <w:rFonts w:ascii="Times New Roman" w:hAnsi="Times New Roman" w:eastAsia="宋体" w:cs="Times New Roman"/>
      <w:sz w:val="20"/>
      <w:szCs w:val="20"/>
    </w:rPr>
  </w:style>
  <w:style w:type="character" w:customStyle="1" w:styleId="432">
    <w:name w:val="引用 Char2"/>
    <w:qFormat/>
    <w:uiPriority w:val="29"/>
    <w:rPr>
      <w:i/>
      <w:iCs/>
      <w:color w:val="000000"/>
      <w:kern w:val="2"/>
      <w:sz w:val="21"/>
      <w:szCs w:val="24"/>
    </w:rPr>
  </w:style>
  <w:style w:type="character" w:customStyle="1" w:styleId="433">
    <w:name w:val="批注主题 Char2"/>
    <w:semiHidden/>
    <w:qFormat/>
    <w:uiPriority w:val="0"/>
    <w:rPr>
      <w:rFonts w:ascii="宋体" w:hAnsi="宋体" w:cs="宋体"/>
      <w:b/>
      <w:bCs/>
      <w:sz w:val="24"/>
      <w:szCs w:val="24"/>
    </w:rPr>
  </w:style>
  <w:style w:type="character" w:customStyle="1" w:styleId="434">
    <w:name w:val="062"/>
    <w:qFormat/>
    <w:uiPriority w:val="0"/>
    <w:rPr>
      <w:rFonts w:hint="eastAsia" w:ascii="宋体" w:hAnsi="宋体" w:eastAsia="宋体" w:cs="Times New Roman"/>
      <w:b/>
      <w:bCs/>
      <w:sz w:val="32"/>
    </w:rPr>
  </w:style>
  <w:style w:type="character" w:customStyle="1" w:styleId="435">
    <w:name w:val="插图 Char Char"/>
    <w:link w:val="436"/>
    <w:qFormat/>
    <w:uiPriority w:val="0"/>
    <w:rPr>
      <w:rFonts w:ascii="宋体" w:hAnsi="宋体" w:eastAsia="Times New Roman" w:cs="宋体"/>
      <w:lang w:val="en-US" w:eastAsia="zh-CN" w:bidi="ar-SA"/>
    </w:rPr>
  </w:style>
  <w:style w:type="paragraph" w:customStyle="1" w:styleId="436">
    <w:name w:val="插图"/>
    <w:link w:val="435"/>
    <w:qFormat/>
    <w:uiPriority w:val="0"/>
    <w:pPr>
      <w:jc w:val="center"/>
    </w:pPr>
    <w:rPr>
      <w:rFonts w:ascii="宋体" w:hAnsi="宋体" w:eastAsia="Times New Roman" w:cs="宋体"/>
      <w:lang w:val="en-US" w:eastAsia="zh-CN" w:bidi="ar-SA"/>
    </w:rPr>
  </w:style>
  <w:style w:type="character" w:customStyle="1" w:styleId="437">
    <w:name w:val="font51"/>
    <w:qFormat/>
    <w:uiPriority w:val="0"/>
    <w:rPr>
      <w:rFonts w:hint="default" w:ascii="Arial" w:hAnsi="Arial" w:eastAsia="宋体" w:cs="Arial"/>
      <w:color w:val="000000"/>
      <w:sz w:val="16"/>
      <w:szCs w:val="16"/>
      <w:u w:val="none"/>
    </w:rPr>
  </w:style>
  <w:style w:type="character" w:customStyle="1" w:styleId="438">
    <w:name w:val="GW-正文 Char"/>
    <w:link w:val="439"/>
    <w:qFormat/>
    <w:uiPriority w:val="0"/>
    <w:rPr>
      <w:rFonts w:eastAsia="仿宋_GB2312"/>
    </w:rPr>
  </w:style>
  <w:style w:type="paragraph" w:customStyle="1" w:styleId="439">
    <w:name w:val="GW-正文"/>
    <w:basedOn w:val="1"/>
    <w:link w:val="438"/>
    <w:qFormat/>
    <w:uiPriority w:val="0"/>
    <w:pPr>
      <w:widowControl w:val="0"/>
      <w:spacing w:line="360" w:lineRule="auto"/>
      <w:ind w:firstLine="200" w:firstLineChars="200"/>
      <w:contextualSpacing/>
      <w:jc w:val="both"/>
    </w:pPr>
    <w:rPr>
      <w:rFonts w:ascii="Times New Roman" w:hAnsi="Times New Roman" w:eastAsia="仿宋_GB2312" w:cs="Times New Roman"/>
      <w:sz w:val="20"/>
      <w:szCs w:val="20"/>
    </w:rPr>
  </w:style>
  <w:style w:type="character" w:customStyle="1" w:styleId="440">
    <w:name w:val="Char Char20"/>
    <w:qFormat/>
    <w:uiPriority w:val="0"/>
    <w:rPr>
      <w:b/>
      <w:bCs/>
      <w:kern w:val="44"/>
      <w:sz w:val="44"/>
      <w:szCs w:val="44"/>
    </w:rPr>
  </w:style>
  <w:style w:type="character" w:customStyle="1" w:styleId="441">
    <w:name w:val="++标题3 Char"/>
    <w:qFormat/>
    <w:uiPriority w:val="0"/>
    <w:rPr>
      <w:rFonts w:ascii="宋体" w:hAnsi="宋体" w:eastAsia="宋体" w:cs="Arial"/>
      <w:bCs/>
      <w:color w:val="000000"/>
      <w:sz w:val="24"/>
      <w:szCs w:val="24"/>
      <w:lang w:val="en-US" w:eastAsia="zh-CN" w:bidi="ar-SA"/>
    </w:rPr>
  </w:style>
  <w:style w:type="character" w:customStyle="1" w:styleId="442">
    <w:name w:val="Char Char21"/>
    <w:qFormat/>
    <w:uiPriority w:val="0"/>
    <w:rPr>
      <w:rFonts w:ascii="Times New Roman" w:hAnsi="Times New Roman" w:eastAsia="宋体" w:cs="Times New Roman"/>
      <w:b/>
      <w:bCs/>
      <w:kern w:val="44"/>
      <w:sz w:val="44"/>
      <w:szCs w:val="44"/>
    </w:rPr>
  </w:style>
  <w:style w:type="character" w:customStyle="1" w:styleId="443">
    <w:name w:val="heading 4 Char1"/>
    <w:qFormat/>
    <w:uiPriority w:val="0"/>
    <w:rPr>
      <w:rFonts w:ascii="Cambria" w:hAnsi="Cambria" w:eastAsia="宋体"/>
      <w:b/>
      <w:bCs/>
      <w:kern w:val="2"/>
      <w:sz w:val="28"/>
      <w:szCs w:val="28"/>
      <w:lang w:val="en-US" w:eastAsia="zh-CN" w:bidi="ar-SA"/>
    </w:rPr>
  </w:style>
  <w:style w:type="character" w:customStyle="1" w:styleId="444">
    <w:name w:val="文档结构图 Char1"/>
    <w:qFormat/>
    <w:uiPriority w:val="99"/>
    <w:rPr>
      <w:rFonts w:ascii="Times New Roman" w:hAnsi="Times New Roman" w:eastAsia="宋体" w:cs="Times New Roman"/>
      <w:kern w:val="0"/>
      <w:sz w:val="20"/>
      <w:szCs w:val="21"/>
      <w:shd w:val="clear" w:color="auto" w:fill="000080"/>
    </w:rPr>
  </w:style>
  <w:style w:type="character" w:customStyle="1" w:styleId="445">
    <w:name w:val="font112"/>
    <w:qFormat/>
    <w:uiPriority w:val="0"/>
    <w:rPr>
      <w:rFonts w:hint="default" w:ascii="Times New Roman" w:hAnsi="Times New Roman" w:cs="Times New Roman"/>
      <w:color w:val="000000"/>
      <w:sz w:val="14"/>
      <w:szCs w:val="14"/>
      <w:u w:val="none"/>
    </w:rPr>
  </w:style>
  <w:style w:type="character" w:customStyle="1" w:styleId="446">
    <w:name w:val="font81"/>
    <w:qFormat/>
    <w:uiPriority w:val="0"/>
    <w:rPr>
      <w:rFonts w:hint="eastAsia" w:ascii="宋体" w:hAnsi="宋体" w:eastAsia="宋体"/>
      <w:b/>
      <w:bCs/>
      <w:color w:val="000000"/>
      <w:sz w:val="21"/>
      <w:szCs w:val="21"/>
      <w:u w:val="none"/>
    </w:rPr>
  </w:style>
  <w:style w:type="character" w:customStyle="1" w:styleId="447">
    <w:name w:val="列出段落 字符"/>
    <w:qFormat/>
    <w:uiPriority w:val="34"/>
    <w:rPr>
      <w:rFonts w:ascii="Times New Roman" w:hAnsi="Times New Roman" w:eastAsia="宋体" w:cs="Times New Roman"/>
      <w:sz w:val="24"/>
      <w:szCs w:val="24"/>
    </w:rPr>
  </w:style>
  <w:style w:type="character" w:customStyle="1" w:styleId="448">
    <w:name w:val=" Char Char"/>
    <w:qFormat/>
    <w:uiPriority w:val="0"/>
    <w:rPr>
      <w:rFonts w:ascii="宋体" w:hAnsi="Courier New" w:eastAsia="宋体"/>
      <w:kern w:val="2"/>
      <w:sz w:val="21"/>
      <w:lang w:val="en-US" w:eastAsia="zh-CN" w:bidi="ar-SA"/>
    </w:rPr>
  </w:style>
  <w:style w:type="character" w:customStyle="1" w:styleId="449">
    <w:name w:val="heading 9 Char1"/>
    <w:qFormat/>
    <w:uiPriority w:val="0"/>
    <w:rPr>
      <w:rFonts w:ascii="Arial" w:hAnsi="Arial" w:eastAsia="黑体"/>
      <w:sz w:val="21"/>
      <w:lang w:val="en-US" w:eastAsia="zh-CN" w:bidi="ar-SA"/>
    </w:rPr>
  </w:style>
  <w:style w:type="character" w:customStyle="1" w:styleId="450">
    <w:name w:val="content"/>
    <w:qFormat/>
    <w:uiPriority w:val="0"/>
  </w:style>
  <w:style w:type="character" w:customStyle="1" w:styleId="451">
    <w:name w:val="签名 Char1"/>
    <w:qFormat/>
    <w:uiPriority w:val="0"/>
    <w:rPr>
      <w:kern w:val="2"/>
      <w:sz w:val="21"/>
      <w:szCs w:val="24"/>
    </w:rPr>
  </w:style>
  <w:style w:type="character" w:customStyle="1" w:styleId="452">
    <w:name w:val="16"/>
    <w:qFormat/>
    <w:uiPriority w:val="0"/>
    <w:rPr>
      <w:rFonts w:hint="eastAsia" w:ascii="仿宋" w:hAnsi="仿宋" w:eastAsia="仿宋" w:cs="Times New Roman"/>
      <w:color w:val="000000"/>
      <w:sz w:val="24"/>
      <w:szCs w:val="24"/>
    </w:rPr>
  </w:style>
  <w:style w:type="character" w:customStyle="1" w:styleId="453">
    <w:name w:val="正文段 Char"/>
    <w:link w:val="454"/>
    <w:qFormat/>
    <w:uiPriority w:val="0"/>
  </w:style>
  <w:style w:type="paragraph" w:customStyle="1" w:styleId="454">
    <w:name w:val="正文段"/>
    <w:basedOn w:val="1"/>
    <w:link w:val="453"/>
    <w:qFormat/>
    <w:uiPriority w:val="0"/>
    <w:pPr>
      <w:snapToGrid w:val="0"/>
      <w:spacing w:after="156" w:afterLines="50"/>
      <w:ind w:firstLine="200" w:firstLineChars="200"/>
      <w:jc w:val="both"/>
    </w:pPr>
    <w:rPr>
      <w:rFonts w:ascii="Times New Roman" w:hAnsi="Times New Roman" w:cs="Times New Roman"/>
      <w:sz w:val="20"/>
      <w:szCs w:val="20"/>
    </w:rPr>
  </w:style>
  <w:style w:type="character" w:customStyle="1" w:styleId="455">
    <w:name w:val="18h1"/>
    <w:qFormat/>
    <w:uiPriority w:val="0"/>
    <w:rPr>
      <w:rFonts w:ascii="Times New Roman" w:hAnsi="Times New Roman" w:eastAsia="宋体" w:cs="Times New Roman"/>
      <w:color w:val="3B3B3B"/>
    </w:rPr>
  </w:style>
  <w:style w:type="character" w:customStyle="1" w:styleId="456">
    <w:name w:val="_Style 455"/>
    <w:qFormat/>
    <w:uiPriority w:val="0"/>
    <w:rPr>
      <w:b/>
      <w:bCs/>
      <w:i/>
      <w:iCs/>
      <w:color w:val="4F81BD"/>
    </w:rPr>
  </w:style>
  <w:style w:type="character" w:customStyle="1" w:styleId="457">
    <w:name w:val="++标题2 Char"/>
    <w:qFormat/>
    <w:uiPriority w:val="0"/>
    <w:rPr>
      <w:rFonts w:ascii="Times New Roman" w:hAnsi="Times New Roman" w:eastAsia="宋体" w:cs="Arial"/>
      <w:b/>
      <w:bCs/>
      <w:sz w:val="28"/>
      <w:szCs w:val="28"/>
      <w:lang w:val="en-US" w:eastAsia="zh-CN" w:bidi="ar-SA"/>
    </w:rPr>
  </w:style>
  <w:style w:type="character" w:customStyle="1" w:styleId="458">
    <w:name w:val="文档结构图 Char2"/>
    <w:semiHidden/>
    <w:qFormat/>
    <w:uiPriority w:val="0"/>
    <w:rPr>
      <w:rFonts w:ascii="Microsoft YaHei UI" w:hAnsi="宋体" w:eastAsia="Microsoft YaHei UI" w:cs="宋体"/>
      <w:sz w:val="18"/>
      <w:szCs w:val="18"/>
    </w:rPr>
  </w:style>
  <w:style w:type="character" w:customStyle="1" w:styleId="459">
    <w:name w:val="Footer-Even Char1"/>
    <w:qFormat/>
    <w:uiPriority w:val="0"/>
    <w:rPr>
      <w:rFonts w:eastAsia="宋体"/>
      <w:kern w:val="2"/>
      <w:sz w:val="18"/>
      <w:szCs w:val="18"/>
      <w:lang w:val="en-US" w:eastAsia="zh-CN" w:bidi="ar-SA"/>
    </w:rPr>
  </w:style>
  <w:style w:type="character" w:customStyle="1" w:styleId="460">
    <w:name w:val="列表框1 Char Char"/>
    <w:link w:val="461"/>
    <w:qFormat/>
    <w:uiPriority w:val="0"/>
    <w:rPr>
      <w:rFonts w:ascii="宋体" w:hAnsi="宋体"/>
      <w:spacing w:val="4"/>
      <w:sz w:val="28"/>
      <w:szCs w:val="28"/>
    </w:rPr>
  </w:style>
  <w:style w:type="paragraph" w:customStyle="1" w:styleId="461">
    <w:name w:val="列表框1"/>
    <w:basedOn w:val="339"/>
    <w:next w:val="339"/>
    <w:link w:val="460"/>
    <w:qFormat/>
    <w:uiPriority w:val="0"/>
    <w:pPr>
      <w:tabs>
        <w:tab w:val="left" w:pos="420"/>
      </w:tabs>
      <w:snapToGrid w:val="0"/>
      <w:ind w:left="0" w:leftChars="0" w:firstLine="0" w:firstLineChars="0"/>
    </w:pPr>
  </w:style>
  <w:style w:type="character" w:customStyle="1" w:styleId="462">
    <w:name w:val="l2 Char"/>
    <w:qFormat/>
    <w:uiPriority w:val="0"/>
    <w:rPr>
      <w:rFonts w:ascii="Arial" w:hAnsi="Arial" w:eastAsia="楷体_GB2312" w:cs="Arial"/>
      <w:b/>
      <w:sz w:val="24"/>
      <w:lang w:val="en-US" w:eastAsia="zh-CN" w:bidi="ar-SA"/>
    </w:rPr>
  </w:style>
  <w:style w:type="character" w:customStyle="1" w:styleId="463">
    <w:name w:val="正文首行缩进 Char2"/>
    <w:qFormat/>
    <w:uiPriority w:val="0"/>
    <w:rPr>
      <w:rFonts w:ascii="Arial" w:hAnsi="Arial" w:eastAsia="宋体" w:cs="宋体"/>
      <w:bCs/>
      <w:kern w:val="2"/>
      <w:sz w:val="24"/>
      <w:szCs w:val="24"/>
    </w:rPr>
  </w:style>
  <w:style w:type="character" w:customStyle="1" w:styleId="464">
    <w:name w:val="正文文本缩进字符"/>
    <w:qFormat/>
    <w:uiPriority w:val="0"/>
    <w:rPr>
      <w:rFonts w:ascii="Times New Roman" w:hAnsi="Times New Roman" w:eastAsia="宋体" w:cs="Times New Roman"/>
      <w:kern w:val="2"/>
      <w:sz w:val="21"/>
      <w:szCs w:val="24"/>
      <w:lang w:val="en-US" w:eastAsia="zh-CN" w:bidi="ar-SA"/>
    </w:rPr>
  </w:style>
  <w:style w:type="character" w:customStyle="1" w:styleId="465">
    <w:name w:val="签名 Char2"/>
    <w:semiHidden/>
    <w:qFormat/>
    <w:uiPriority w:val="99"/>
    <w:rPr>
      <w:rFonts w:ascii="宋体" w:hAnsi="宋体" w:cs="宋体"/>
      <w:sz w:val="24"/>
      <w:szCs w:val="24"/>
    </w:rPr>
  </w:style>
  <w:style w:type="character" w:customStyle="1" w:styleId="466">
    <w:name w:val="hover9"/>
    <w:qFormat/>
    <w:uiPriority w:val="0"/>
    <w:rPr>
      <w:shd w:val="clear" w:color="auto" w:fill="EEEEEE"/>
    </w:rPr>
  </w:style>
  <w:style w:type="character" w:customStyle="1" w:styleId="467">
    <w:name w:val="1ji Char"/>
    <w:link w:val="468"/>
    <w:qFormat/>
    <w:uiPriority w:val="0"/>
    <w:rPr>
      <w:rFonts w:ascii="宋体" w:hAnsi="宋体"/>
      <w:b/>
      <w:bCs/>
      <w:kern w:val="44"/>
      <w:sz w:val="36"/>
      <w:szCs w:val="44"/>
    </w:rPr>
  </w:style>
  <w:style w:type="paragraph" w:customStyle="1" w:styleId="468">
    <w:name w:val="1ji"/>
    <w:basedOn w:val="8"/>
    <w:link w:val="467"/>
    <w:qFormat/>
    <w:uiPriority w:val="0"/>
    <w:pPr>
      <w:tabs>
        <w:tab w:val="left" w:pos="432"/>
        <w:tab w:val="left" w:pos="567"/>
      </w:tabs>
      <w:adjustRightInd w:val="0"/>
      <w:snapToGrid w:val="0"/>
      <w:spacing w:beforeLines="50" w:afterLines="50"/>
    </w:pPr>
    <w:rPr>
      <w:rFonts w:ascii="宋体" w:hAnsi="宋体"/>
      <w:b/>
      <w:bCs/>
      <w:kern w:val="44"/>
      <w:sz w:val="36"/>
      <w:szCs w:val="44"/>
    </w:rPr>
  </w:style>
  <w:style w:type="character" w:customStyle="1" w:styleId="469">
    <w:name w:val="正文格式 Char Char"/>
    <w:link w:val="470"/>
    <w:qFormat/>
    <w:uiPriority w:val="0"/>
    <w:rPr>
      <w:rFonts w:ascii="宋体" w:hAnsi="宋体" w:cs="宋体"/>
      <w:sz w:val="24"/>
    </w:rPr>
  </w:style>
  <w:style w:type="paragraph" w:customStyle="1" w:styleId="470">
    <w:name w:val="正文格式"/>
    <w:basedOn w:val="1"/>
    <w:link w:val="469"/>
    <w:qFormat/>
    <w:uiPriority w:val="0"/>
    <w:pPr>
      <w:adjustRightInd w:val="0"/>
      <w:snapToGrid w:val="0"/>
      <w:spacing w:line="360" w:lineRule="atLeast"/>
      <w:ind w:firstLine="482"/>
      <w:jc w:val="both"/>
      <w:textAlignment w:val="baseline"/>
    </w:pPr>
    <w:rPr>
      <w:rFonts w:cs="Times New Roman"/>
      <w:szCs w:val="20"/>
    </w:rPr>
  </w:style>
  <w:style w:type="character" w:customStyle="1" w:styleId="471">
    <w:name w:val="样式 标题 1 + Arial Char"/>
    <w:link w:val="472"/>
    <w:qFormat/>
    <w:uiPriority w:val="0"/>
    <w:rPr>
      <w:rFonts w:ascii="Arial" w:hAnsi="Arial"/>
      <w:b/>
      <w:bCs/>
      <w:sz w:val="32"/>
      <w:szCs w:val="44"/>
    </w:rPr>
  </w:style>
  <w:style w:type="paragraph" w:customStyle="1" w:styleId="472">
    <w:name w:val="样式 标题 1 + Arial"/>
    <w:basedOn w:val="8"/>
    <w:link w:val="471"/>
    <w:qFormat/>
    <w:uiPriority w:val="0"/>
    <w:pPr>
      <w:keepLines/>
      <w:widowControl w:val="0"/>
      <w:tabs>
        <w:tab w:val="left" w:pos="432"/>
      </w:tabs>
      <w:snapToGrid w:val="0"/>
      <w:spacing w:line="360" w:lineRule="auto"/>
    </w:pPr>
    <w:rPr>
      <w:rFonts w:ascii="Arial" w:hAnsi="Arial"/>
      <w:b/>
      <w:bCs/>
      <w:kern w:val="0"/>
      <w:sz w:val="32"/>
      <w:szCs w:val="44"/>
    </w:rPr>
  </w:style>
  <w:style w:type="character" w:customStyle="1" w:styleId="473">
    <w:name w:val="自由 Char Char"/>
    <w:link w:val="474"/>
    <w:qFormat/>
    <w:uiPriority w:val="0"/>
    <w:rPr>
      <w:kern w:val="2"/>
      <w:sz w:val="24"/>
      <w:szCs w:val="24"/>
    </w:rPr>
  </w:style>
  <w:style w:type="paragraph" w:customStyle="1" w:styleId="474">
    <w:name w:val="自由"/>
    <w:basedOn w:val="1"/>
    <w:link w:val="473"/>
    <w:qFormat/>
    <w:uiPriority w:val="0"/>
    <w:pPr>
      <w:widowControl w:val="0"/>
      <w:spacing w:line="288" w:lineRule="auto"/>
      <w:jc w:val="both"/>
    </w:pPr>
    <w:rPr>
      <w:rFonts w:ascii="Times New Roman" w:hAnsi="Times New Roman" w:cs="Times New Roman"/>
      <w:kern w:val="2"/>
    </w:rPr>
  </w:style>
  <w:style w:type="character" w:customStyle="1" w:styleId="475">
    <w:name w:val="标准文本 Char Char"/>
    <w:qFormat/>
    <w:uiPriority w:val="0"/>
    <w:rPr>
      <w:rFonts w:ascii="Times New Roman" w:hAnsi="Times New Roman" w:eastAsia="宋体" w:cs="Times New Roman"/>
      <w:sz w:val="24"/>
    </w:rPr>
  </w:style>
  <w:style w:type="character" w:customStyle="1" w:styleId="476">
    <w:name w:val="Table Text Char Char"/>
    <w:qFormat/>
    <w:uiPriority w:val="0"/>
    <w:rPr>
      <w:kern w:val="2"/>
      <w:sz w:val="18"/>
      <w:szCs w:val="24"/>
    </w:rPr>
  </w:style>
  <w:style w:type="character" w:customStyle="1" w:styleId="477">
    <w:name w:val="正文文本 Char1"/>
    <w:qFormat/>
    <w:uiPriority w:val="99"/>
    <w:rPr>
      <w:rFonts w:ascii="宋体" w:hAnsi="宋体" w:eastAsia="宋体" w:cs="宋体"/>
      <w:szCs w:val="24"/>
    </w:rPr>
  </w:style>
  <w:style w:type="character" w:customStyle="1" w:styleId="478">
    <w:name w:val="heading 4 Char2"/>
    <w:qFormat/>
    <w:uiPriority w:val="0"/>
    <w:rPr>
      <w:rFonts w:ascii="Cambria" w:hAnsi="Cambria"/>
      <w:b/>
      <w:bCs/>
      <w:kern w:val="2"/>
      <w:sz w:val="28"/>
      <w:szCs w:val="28"/>
    </w:rPr>
  </w:style>
  <w:style w:type="character" w:customStyle="1" w:styleId="479">
    <w:name w:val="Char Char7"/>
    <w:qFormat/>
    <w:uiPriority w:val="0"/>
    <w:rPr>
      <w:rFonts w:ascii="Times New Roman" w:hAnsi="Times New Roman" w:eastAsia="仿宋_GB2312" w:cs="Times New Roman"/>
      <w:kern w:val="2"/>
      <w:sz w:val="24"/>
      <w:szCs w:val="24"/>
      <w:lang w:val="en-US" w:eastAsia="zh-CN" w:bidi="ar-SA"/>
    </w:rPr>
  </w:style>
  <w:style w:type="character" w:customStyle="1" w:styleId="480">
    <w:name w:val="正文（标记） Char2"/>
    <w:link w:val="481"/>
    <w:qFormat/>
    <w:uiPriority w:val="0"/>
    <w:rPr>
      <w:kern w:val="2"/>
      <w:sz w:val="24"/>
      <w:szCs w:val="24"/>
    </w:rPr>
  </w:style>
  <w:style w:type="paragraph" w:customStyle="1" w:styleId="481">
    <w:name w:val="正文（标记）"/>
    <w:basedOn w:val="1"/>
    <w:link w:val="480"/>
    <w:qFormat/>
    <w:uiPriority w:val="0"/>
    <w:pPr>
      <w:widowControl w:val="0"/>
      <w:numPr>
        <w:ilvl w:val="0"/>
        <w:numId w:val="4"/>
      </w:numPr>
      <w:tabs>
        <w:tab w:val="left" w:pos="840"/>
        <w:tab w:val="left" w:pos="965"/>
      </w:tabs>
      <w:spacing w:before="156" w:beforeLines="50" w:after="156" w:afterLines="50"/>
      <w:jc w:val="both"/>
    </w:pPr>
    <w:rPr>
      <w:rFonts w:ascii="Times New Roman" w:hAnsi="Times New Roman" w:cs="Times New Roman"/>
      <w:kern w:val="2"/>
    </w:rPr>
  </w:style>
  <w:style w:type="character" w:customStyle="1" w:styleId="482">
    <w:name w:val="case31"/>
    <w:qFormat/>
    <w:uiPriority w:val="0"/>
    <w:rPr>
      <w:rFonts w:ascii="Times New Roman" w:hAnsi="Times New Roman" w:eastAsia="宋体" w:cs="Times New Roman"/>
      <w:spacing w:val="390"/>
      <w:sz w:val="21"/>
      <w:szCs w:val="21"/>
    </w:rPr>
  </w:style>
  <w:style w:type="character" w:customStyle="1" w:styleId="483">
    <w:name w:val="Char Char17"/>
    <w:qFormat/>
    <w:uiPriority w:val="0"/>
    <w:rPr>
      <w:rFonts w:ascii="Cambria" w:hAnsi="Cambria"/>
      <w:b/>
      <w:bCs/>
      <w:kern w:val="2"/>
      <w:sz w:val="28"/>
      <w:szCs w:val="28"/>
    </w:rPr>
  </w:style>
  <w:style w:type="character" w:customStyle="1" w:styleId="484">
    <w:name w:val="纯文本 Char2"/>
    <w:qFormat/>
    <w:uiPriority w:val="0"/>
    <w:rPr>
      <w:rFonts w:hAnsi="Courier New" w:cs="Times New Roman"/>
      <w:kern w:val="2"/>
      <w:sz w:val="21"/>
    </w:rPr>
  </w:style>
  <w:style w:type="character" w:customStyle="1" w:styleId="485">
    <w:name w:val="正文文本 Char2"/>
    <w:semiHidden/>
    <w:qFormat/>
    <w:uiPriority w:val="99"/>
    <w:rPr>
      <w:rFonts w:ascii="宋体" w:hAnsi="宋体" w:cs="宋体"/>
      <w:sz w:val="24"/>
      <w:szCs w:val="24"/>
    </w:rPr>
  </w:style>
  <w:style w:type="character" w:customStyle="1" w:styleId="486">
    <w:name w:val="页码1"/>
    <w:qFormat/>
    <w:uiPriority w:val="0"/>
    <w:rPr>
      <w:rFonts w:ascii="Times New Roman" w:hAnsi="Times New Roman" w:eastAsia="宋体" w:cs="Times New Roman"/>
    </w:rPr>
  </w:style>
  <w:style w:type="character" w:customStyle="1" w:styleId="487">
    <w:name w:val="宏文本 Char1"/>
    <w:qFormat/>
    <w:uiPriority w:val="0"/>
    <w:rPr>
      <w:rFonts w:ascii="Courier New" w:hAnsi="Courier New" w:cs="Courier New"/>
      <w:kern w:val="2"/>
      <w:sz w:val="24"/>
      <w:szCs w:val="24"/>
    </w:rPr>
  </w:style>
  <w:style w:type="character" w:customStyle="1" w:styleId="488">
    <w:name w:val="日期 Char1"/>
    <w:qFormat/>
    <w:uiPriority w:val="99"/>
    <w:rPr>
      <w:rFonts w:hint="eastAsia" w:ascii="宋体" w:hAnsi="宋体" w:eastAsia="宋体" w:cs="宋体"/>
      <w:kern w:val="2"/>
      <w:sz w:val="24"/>
      <w:szCs w:val="24"/>
    </w:rPr>
  </w:style>
  <w:style w:type="character" w:customStyle="1" w:styleId="489">
    <w:name w:val="Table Heading Char"/>
    <w:link w:val="490"/>
    <w:qFormat/>
    <w:locked/>
    <w:uiPriority w:val="0"/>
    <w:rPr>
      <w:rFonts w:ascii="Arial" w:hAnsi="Arial" w:eastAsia="微软雅黑" w:cs="Arial Narrow"/>
      <w:bCs/>
      <w:sz w:val="18"/>
      <w:lang w:val="en-US" w:eastAsia="zh-CN" w:bidi="ar-SA"/>
    </w:rPr>
  </w:style>
  <w:style w:type="paragraph" w:customStyle="1" w:styleId="490">
    <w:name w:val="Table Heading"/>
    <w:link w:val="489"/>
    <w:qFormat/>
    <w:uiPriority w:val="0"/>
    <w:pPr>
      <w:keepNext/>
      <w:spacing w:before="80" w:after="80" w:line="240" w:lineRule="exact"/>
      <w:jc w:val="center"/>
    </w:pPr>
    <w:rPr>
      <w:rFonts w:ascii="Arial" w:hAnsi="Arial" w:eastAsia="微软雅黑" w:cs="Arial Narrow"/>
      <w:bCs/>
      <w:sz w:val="18"/>
      <w:lang w:val="en-US" w:eastAsia="zh-CN" w:bidi="ar-SA"/>
    </w:rPr>
  </w:style>
  <w:style w:type="character" w:customStyle="1" w:styleId="491">
    <w:name w:val="尾注文本 Char1"/>
    <w:semiHidden/>
    <w:qFormat/>
    <w:uiPriority w:val="0"/>
    <w:rPr>
      <w:rFonts w:ascii="宋体" w:hAnsi="宋体" w:cs="宋体"/>
      <w:sz w:val="24"/>
      <w:szCs w:val="24"/>
    </w:rPr>
  </w:style>
  <w:style w:type="character" w:customStyle="1" w:styleId="492">
    <w:name w:val="Texte Char Char"/>
    <w:qFormat/>
    <w:uiPriority w:val="0"/>
    <w:rPr>
      <w:rFonts w:ascii="宋体" w:hAnsi="Courier New" w:eastAsia="仿宋_GB2312" w:cs="宋体"/>
      <w:b/>
      <w:bCs/>
      <w:color w:val="000000"/>
      <w:sz w:val="21"/>
      <w:lang w:val="en-US" w:eastAsia="zh-CN" w:bidi="ar-SA"/>
    </w:rPr>
  </w:style>
  <w:style w:type="character" w:customStyle="1" w:styleId="493">
    <w:name w:val="文档正文 Char"/>
    <w:link w:val="494"/>
    <w:qFormat/>
    <w:uiPriority w:val="0"/>
    <w:rPr>
      <w:rFonts w:ascii="宋体" w:hAnsi="宋体" w:cs="宋体"/>
      <w:sz w:val="24"/>
    </w:rPr>
  </w:style>
  <w:style w:type="paragraph" w:customStyle="1" w:styleId="494">
    <w:name w:val="文档正文"/>
    <w:basedOn w:val="1"/>
    <w:link w:val="493"/>
    <w:qFormat/>
    <w:uiPriority w:val="0"/>
    <w:pPr>
      <w:adjustRightInd w:val="0"/>
      <w:spacing w:line="480" w:lineRule="atLeast"/>
      <w:ind w:firstLine="567"/>
      <w:textAlignment w:val="baseline"/>
    </w:pPr>
    <w:rPr>
      <w:rFonts w:cs="Times New Roman"/>
      <w:szCs w:val="20"/>
    </w:rPr>
  </w:style>
  <w:style w:type="character" w:customStyle="1" w:styleId="495">
    <w:name w:val="ca-11"/>
    <w:qFormat/>
    <w:uiPriority w:val="0"/>
    <w:rPr>
      <w:rFonts w:hint="eastAsia" w:ascii="宋体" w:hAnsi="宋体" w:eastAsia="宋体" w:cs="Times New Roman"/>
      <w:sz w:val="18"/>
      <w:szCs w:val="18"/>
    </w:rPr>
  </w:style>
  <w:style w:type="character" w:customStyle="1" w:styleId="496">
    <w:name w:val="样式 正文缩进 + 首行缩进:  2 字符 Char"/>
    <w:link w:val="497"/>
    <w:qFormat/>
    <w:uiPriority w:val="0"/>
    <w:rPr>
      <w:rFonts w:ascii="宋体" w:hAnsi="宋体"/>
      <w:color w:val="000000"/>
    </w:rPr>
  </w:style>
  <w:style w:type="paragraph" w:customStyle="1" w:styleId="497">
    <w:name w:val="样式 正文缩进 + 首行缩进:  2 字符"/>
    <w:basedOn w:val="14"/>
    <w:link w:val="496"/>
    <w:qFormat/>
    <w:uiPriority w:val="0"/>
    <w:pPr>
      <w:widowControl w:val="0"/>
      <w:spacing w:line="360" w:lineRule="auto"/>
      <w:ind w:firstLine="480"/>
      <w:jc w:val="both"/>
    </w:pPr>
    <w:rPr>
      <w:rFonts w:ascii="宋体" w:hAnsi="宋体"/>
      <w:color w:val="000000"/>
      <w:kern w:val="0"/>
      <w:sz w:val="20"/>
      <w:szCs w:val="20"/>
    </w:rPr>
  </w:style>
  <w:style w:type="character" w:customStyle="1" w:styleId="498">
    <w:name w:val="无间隔 Char"/>
    <w:link w:val="499"/>
    <w:qFormat/>
    <w:uiPriority w:val="0"/>
    <w:rPr>
      <w:kern w:val="2"/>
      <w:sz w:val="21"/>
      <w:szCs w:val="22"/>
      <w:lang w:val="en-US" w:eastAsia="zh-CN" w:bidi="ar-SA"/>
    </w:rPr>
  </w:style>
  <w:style w:type="paragraph" w:styleId="499">
    <w:name w:val="No Spacing"/>
    <w:link w:val="498"/>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00">
    <w:name w:val="列出段落11"/>
    <w:basedOn w:val="1"/>
    <w:qFormat/>
    <w:uiPriority w:val="0"/>
    <w:pPr>
      <w:widowControl w:val="0"/>
      <w:ind w:firstLine="420" w:firstLineChars="200"/>
      <w:jc w:val="both"/>
    </w:pPr>
    <w:rPr>
      <w:rFonts w:ascii="Calibri" w:hAnsi="Calibri" w:cs="Times New Roman"/>
      <w:kern w:val="2"/>
      <w:sz w:val="21"/>
      <w:szCs w:val="21"/>
    </w:rPr>
  </w:style>
  <w:style w:type="paragraph" w:customStyle="1" w:styleId="501">
    <w:name w:val="正文文本 21"/>
    <w:basedOn w:val="1"/>
    <w:qFormat/>
    <w:uiPriority w:val="0"/>
    <w:pPr>
      <w:widowControl w:val="0"/>
      <w:adjustRightInd w:val="0"/>
      <w:spacing w:line="360" w:lineRule="atLeast"/>
      <w:ind w:firstLine="525"/>
      <w:jc w:val="both"/>
      <w:textAlignment w:val="baseline"/>
    </w:pPr>
    <w:rPr>
      <w:rFonts w:hAnsi="Times New Roman" w:cs="Times New Roman"/>
      <w:sz w:val="28"/>
      <w:szCs w:val="20"/>
    </w:rPr>
  </w:style>
  <w:style w:type="paragraph" w:customStyle="1" w:styleId="502">
    <w:name w:val="样式 标题 1 + 段前: 16 磅 段后: 16 磅"/>
    <w:basedOn w:val="8"/>
    <w:qFormat/>
    <w:uiPriority w:val="0"/>
    <w:pPr>
      <w:keepNext w:val="0"/>
      <w:widowControl w:val="0"/>
      <w:tabs>
        <w:tab w:val="left" w:pos="0"/>
        <w:tab w:val="left" w:pos="432"/>
        <w:tab w:val="left" w:pos="567"/>
      </w:tabs>
      <w:adjustRightInd w:val="0"/>
      <w:snapToGrid w:val="0"/>
      <w:spacing w:beforeLines="50" w:afterLines="50" w:line="360" w:lineRule="auto"/>
      <w:ind w:left="-288" w:firstLine="288"/>
    </w:pPr>
    <w:rPr>
      <w:rFonts w:ascii="Calibri" w:hAnsi="Calibri"/>
      <w:kern w:val="44"/>
      <w:sz w:val="24"/>
      <w:szCs w:val="20"/>
      <w:lang w:val="zh-CN"/>
    </w:rPr>
  </w:style>
  <w:style w:type="paragraph" w:customStyle="1" w:styleId="503">
    <w:name w:val="宇视4"/>
    <w:basedOn w:val="11"/>
    <w:qFormat/>
    <w:uiPriority w:val="0"/>
    <w:pPr>
      <w:keepLines w:val="0"/>
      <w:tabs>
        <w:tab w:val="left" w:pos="851"/>
      </w:tabs>
      <w:adjustRightInd w:val="0"/>
      <w:spacing w:before="0" w:line="240" w:lineRule="auto"/>
      <w:ind w:left="851"/>
    </w:pPr>
    <w:rPr>
      <w:rFonts w:ascii="Calibri" w:hAnsi="Calibri"/>
      <w:sz w:val="24"/>
      <w:szCs w:val="24"/>
      <w:lang w:val="zh-CN"/>
    </w:rPr>
  </w:style>
  <w:style w:type="paragraph" w:customStyle="1" w:styleId="504">
    <w:name w:val="样式 标题 2 + Times New Roman 四号 非加粗 段前: 5 磅 段后: 0 磅 行距: 固定值 20..."/>
    <w:basedOn w:val="9"/>
    <w:qFormat/>
    <w:uiPriority w:val="0"/>
    <w:pPr>
      <w:widowControl w:val="0"/>
      <w:tabs>
        <w:tab w:val="left" w:pos="432"/>
      </w:tabs>
      <w:adjustRightInd w:val="0"/>
      <w:snapToGrid w:val="0"/>
      <w:spacing w:before="100" w:after="0" w:line="400" w:lineRule="exact"/>
      <w:jc w:val="both"/>
    </w:pPr>
    <w:rPr>
      <w:rFonts w:ascii="Times New Roman" w:hAnsi="Times New Roman" w:eastAsia="宋体"/>
      <w:bCs w:val="0"/>
      <w:sz w:val="24"/>
      <w:szCs w:val="20"/>
      <w:lang w:val="zh-CN"/>
    </w:rPr>
  </w:style>
  <w:style w:type="paragraph" w:customStyle="1" w:styleId="505">
    <w:name w:val="金保首页2"/>
    <w:basedOn w:val="1"/>
    <w:next w:val="1"/>
    <w:qFormat/>
    <w:uiPriority w:val="0"/>
    <w:pPr>
      <w:jc w:val="center"/>
    </w:pPr>
    <w:rPr>
      <w:rFonts w:ascii="Tahoma" w:hAnsi="Tahoma" w:eastAsia="黑体"/>
      <w:b/>
      <w:bCs/>
      <w:sz w:val="72"/>
      <w:szCs w:val="72"/>
    </w:rPr>
  </w:style>
  <w:style w:type="paragraph" w:customStyle="1" w:styleId="506">
    <w:name w:val="正文符号1"/>
    <w:basedOn w:val="1"/>
    <w:qFormat/>
    <w:uiPriority w:val="0"/>
    <w:pPr>
      <w:widowControl w:val="0"/>
      <w:tabs>
        <w:tab w:val="left" w:pos="987"/>
      </w:tabs>
      <w:ind w:left="987" w:hanging="420"/>
      <w:jc w:val="both"/>
    </w:pPr>
    <w:rPr>
      <w:rFonts w:ascii="Times New Roman" w:hAnsi="Times New Roman" w:eastAsia="楷体_GB2312" w:cs="Times New Roman"/>
      <w:sz w:val="28"/>
      <w:szCs w:val="21"/>
    </w:rPr>
  </w:style>
  <w:style w:type="paragraph" w:customStyle="1" w:styleId="507">
    <w:name w:val="xl21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508">
    <w:name w:val="标书_正文"/>
    <w:basedOn w:val="1"/>
    <w:qFormat/>
    <w:uiPriority w:val="0"/>
    <w:pPr>
      <w:widowControl w:val="0"/>
      <w:spacing w:line="360" w:lineRule="auto"/>
      <w:ind w:firstLine="420"/>
      <w:jc w:val="both"/>
    </w:pPr>
    <w:rPr>
      <w:rFonts w:ascii="Calibri" w:hAnsi="Calibri" w:cs="Times New Roman"/>
      <w:bCs/>
      <w:sz w:val="21"/>
      <w:szCs w:val="20"/>
    </w:rPr>
  </w:style>
  <w:style w:type="paragraph" w:customStyle="1" w:styleId="509">
    <w:name w:val=" Char1 Char Char Char"/>
    <w:basedOn w:val="1"/>
    <w:qFormat/>
    <w:uiPriority w:val="0"/>
    <w:rPr>
      <w:rFonts w:ascii="Tahoma" w:hAnsi="Tahoma"/>
      <w:sz w:val="24"/>
      <w:szCs w:val="20"/>
    </w:rPr>
  </w:style>
  <w:style w:type="paragraph" w:customStyle="1" w:styleId="510">
    <w:name w:val="Table Paragraph"/>
    <w:basedOn w:val="1"/>
    <w:qFormat/>
    <w:uiPriority w:val="1"/>
    <w:pPr>
      <w:widowControl w:val="0"/>
    </w:pPr>
    <w:rPr>
      <w:rFonts w:ascii="Calibri" w:hAnsi="Calibri" w:eastAsia="宋体" w:cs="Times New Roman"/>
      <w:sz w:val="22"/>
      <w:szCs w:val="22"/>
      <w:lang w:eastAsia="en-US"/>
    </w:rPr>
  </w:style>
  <w:style w:type="paragraph" w:customStyle="1" w:styleId="511">
    <w:name w:val="-正文 Char"/>
    <w:basedOn w:val="1"/>
    <w:qFormat/>
    <w:uiPriority w:val="0"/>
    <w:pPr>
      <w:overflowPunct w:val="0"/>
      <w:autoSpaceDE w:val="0"/>
      <w:autoSpaceDN w:val="0"/>
      <w:adjustRightInd w:val="0"/>
      <w:spacing w:line="360" w:lineRule="auto"/>
      <w:ind w:firstLine="200" w:firstLineChars="200"/>
    </w:pPr>
    <w:rPr>
      <w:rFonts w:ascii="Arial" w:hAnsi="Arial" w:cs="Times New Roman"/>
    </w:rPr>
  </w:style>
  <w:style w:type="paragraph" w:customStyle="1" w:styleId="512">
    <w:name w:val="xl136"/>
    <w:basedOn w:val="1"/>
    <w:qFormat/>
    <w:uiPriority w:val="0"/>
    <w:pPr>
      <w:widowControl/>
      <w:spacing w:before="100" w:beforeAutospacing="1" w:after="100" w:afterAutospacing="1"/>
      <w:jc w:val="center"/>
      <w:textAlignment w:val="bottom"/>
    </w:pPr>
    <w:rPr>
      <w:rFonts w:ascii="宋体" w:hAnsi="宋体" w:cs="宋体"/>
      <w:kern w:val="0"/>
      <w:sz w:val="24"/>
    </w:rPr>
  </w:style>
  <w:style w:type="paragraph" w:customStyle="1" w:styleId="513">
    <w:name w:val="Char Char"/>
    <w:basedOn w:val="1"/>
    <w:qFormat/>
    <w:uiPriority w:val="0"/>
    <w:rPr>
      <w:rFonts w:ascii="仿宋_GB2312" w:eastAsia="仿宋_GB2312"/>
      <w:b/>
      <w:sz w:val="32"/>
      <w:szCs w:val="32"/>
    </w:rPr>
  </w:style>
  <w:style w:type="paragraph" w:customStyle="1" w:styleId="514">
    <w:name w:val="xl43"/>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textAlignment w:val="center"/>
    </w:pPr>
    <w:rPr>
      <w:rFonts w:ascii="Times New Roman" w:hAnsi="Times New Roman" w:eastAsia="Arial Unicode MS" w:cs="Times New Roman"/>
    </w:rPr>
  </w:style>
  <w:style w:type="paragraph" w:customStyle="1" w:styleId="515">
    <w:name w:val="页脚右端（绿盟科技）"/>
    <w:basedOn w:val="46"/>
    <w:qFormat/>
    <w:uiPriority w:val="0"/>
    <w:pPr>
      <w:widowControl w:val="0"/>
      <w:pBdr>
        <w:top w:val="single" w:color="auto" w:sz="4" w:space="4"/>
      </w:pBdr>
      <w:autoSpaceDE w:val="0"/>
      <w:autoSpaceDN w:val="0"/>
      <w:adjustRightInd w:val="0"/>
      <w:spacing w:before="100" w:beforeAutospacing="1"/>
    </w:pPr>
    <w:rPr>
      <w:rFonts w:cs="宋体"/>
      <w:b/>
      <w:bCs/>
      <w:color w:val="000000"/>
      <w:szCs w:val="20"/>
    </w:rPr>
  </w:style>
  <w:style w:type="paragraph" w:customStyle="1" w:styleId="516">
    <w:name w:val="Pa0"/>
    <w:basedOn w:val="1"/>
    <w:next w:val="1"/>
    <w:qFormat/>
    <w:uiPriority w:val="0"/>
    <w:pPr>
      <w:widowControl w:val="0"/>
      <w:autoSpaceDE w:val="0"/>
      <w:autoSpaceDN w:val="0"/>
      <w:adjustRightInd w:val="0"/>
      <w:spacing w:line="241" w:lineRule="atLeast"/>
    </w:pPr>
    <w:rPr>
      <w:rFonts w:ascii="HPFutura Light" w:hAnsi="Times New Roman" w:eastAsia="Times New Roman" w:cs="Times New Roman"/>
      <w:sz w:val="21"/>
      <w:szCs w:val="21"/>
    </w:rPr>
  </w:style>
  <w:style w:type="paragraph" w:customStyle="1" w:styleId="517">
    <w:name w:val="Char Char Char Char Char Char Char Char Char Char Char Char Char Char Char Char Char Char Char1"/>
    <w:basedOn w:val="1"/>
    <w:qFormat/>
    <w:uiPriority w:val="0"/>
    <w:pPr>
      <w:widowControl w:val="0"/>
      <w:jc w:val="both"/>
    </w:pPr>
    <w:rPr>
      <w:rFonts w:ascii="仿宋_GB2312" w:hAnsi="Times New Roman" w:eastAsia="仿宋_GB2312" w:cs="Times New Roman"/>
      <w:b/>
      <w:kern w:val="2"/>
      <w:sz w:val="32"/>
      <w:szCs w:val="32"/>
    </w:rPr>
  </w:style>
  <w:style w:type="paragraph" w:customStyle="1" w:styleId="518">
    <w:name w:val="Char Char Char2 Char Char Char2 Char"/>
    <w:basedOn w:val="1"/>
    <w:qFormat/>
    <w:uiPriority w:val="0"/>
    <w:pPr>
      <w:spacing w:after="160" w:line="240" w:lineRule="exact"/>
      <w:ind w:firstLine="560" w:firstLineChars="200"/>
    </w:pPr>
    <w:rPr>
      <w:rFonts w:ascii="Times New Roman" w:hAnsi="Times New Roman" w:cs="Times New Roman"/>
      <w:kern w:val="2"/>
      <w:sz w:val="21"/>
      <w:szCs w:val="21"/>
    </w:rPr>
  </w:style>
  <w:style w:type="paragraph" w:customStyle="1" w:styleId="519">
    <w:name w:val="a1"/>
    <w:basedOn w:val="1"/>
    <w:qFormat/>
    <w:uiPriority w:val="0"/>
    <w:pPr>
      <w:widowControl/>
      <w:spacing w:before="100" w:beforeAutospacing="1" w:after="100" w:afterAutospacing="1"/>
      <w:jc w:val="left"/>
    </w:pPr>
    <w:rPr>
      <w:rFonts w:ascii="宋体" w:hAnsi="宋体" w:cs="宋体"/>
      <w:kern w:val="0"/>
      <w:sz w:val="24"/>
    </w:rPr>
  </w:style>
  <w:style w:type="paragraph" w:customStyle="1" w:styleId="520">
    <w:name w:val="Char Char Char Char Char Char1 Char Char Char Char Char Char"/>
    <w:basedOn w:val="1"/>
    <w:qFormat/>
    <w:uiPriority w:val="0"/>
    <w:pPr>
      <w:widowControl w:val="0"/>
      <w:jc w:val="both"/>
    </w:pPr>
    <w:rPr>
      <w:rFonts w:ascii="Tahoma" w:hAnsi="Tahoma" w:cs="Times New Roman"/>
      <w:kern w:val="2"/>
      <w:sz w:val="21"/>
      <w:szCs w:val="20"/>
    </w:rPr>
  </w:style>
  <w:style w:type="paragraph" w:customStyle="1" w:styleId="521">
    <w:name w:val="xl12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sz w:val="20"/>
      <w:szCs w:val="20"/>
    </w:rPr>
  </w:style>
  <w:style w:type="paragraph" w:customStyle="1" w:styleId="522">
    <w:name w:val="Colorful List - Accent 1"/>
    <w:basedOn w:val="1"/>
    <w:qFormat/>
    <w:uiPriority w:val="0"/>
    <w:pPr>
      <w:widowControl w:val="0"/>
      <w:ind w:left="720"/>
      <w:contextualSpacing/>
      <w:jc w:val="both"/>
    </w:pPr>
    <w:rPr>
      <w:rFonts w:ascii="Calibri" w:hAnsi="Calibri" w:cs="Times New Roman"/>
      <w:kern w:val="2"/>
      <w:sz w:val="21"/>
    </w:rPr>
  </w:style>
  <w:style w:type="paragraph" w:customStyle="1" w:styleId="523">
    <w:name w:val="列出段落2"/>
    <w:basedOn w:val="1"/>
    <w:qFormat/>
    <w:uiPriority w:val="34"/>
    <w:pPr>
      <w:widowControl w:val="0"/>
      <w:ind w:firstLine="420" w:firstLineChars="200"/>
      <w:jc w:val="both"/>
    </w:pPr>
    <w:rPr>
      <w:rFonts w:ascii="Calibri" w:hAnsi="Calibri" w:cs="Times New Roman"/>
      <w:kern w:val="2"/>
      <w:sz w:val="21"/>
      <w:szCs w:val="21"/>
    </w:rPr>
  </w:style>
  <w:style w:type="paragraph" w:customStyle="1" w:styleId="524">
    <w:name w:val="xl140"/>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b/>
      <w:bCs/>
      <w:sz w:val="20"/>
      <w:szCs w:val="20"/>
    </w:rPr>
  </w:style>
  <w:style w:type="paragraph" w:customStyle="1" w:styleId="525">
    <w:name w:val="附录项目"/>
    <w:basedOn w:val="12"/>
    <w:qFormat/>
    <w:uiPriority w:val="0"/>
    <w:pPr>
      <w:keepNext w:val="0"/>
      <w:keepLines w:val="0"/>
      <w:snapToGrid w:val="0"/>
      <w:spacing w:before="0" w:after="0" w:line="240" w:lineRule="auto"/>
      <w:outlineLvl w:val="9"/>
    </w:pPr>
    <w:rPr>
      <w:rFonts w:ascii="宋体"/>
      <w:b w:val="0"/>
      <w:bCs w:val="0"/>
      <w:snapToGrid w:val="0"/>
      <w:kern w:val="0"/>
      <w:sz w:val="21"/>
      <w:szCs w:val="20"/>
    </w:rPr>
  </w:style>
  <w:style w:type="paragraph" w:customStyle="1" w:styleId="526">
    <w:name w:val="技术报告正文"/>
    <w:basedOn w:val="1"/>
    <w:qFormat/>
    <w:uiPriority w:val="0"/>
    <w:pPr>
      <w:widowControl w:val="0"/>
      <w:autoSpaceDE w:val="0"/>
      <w:autoSpaceDN w:val="0"/>
      <w:adjustRightInd w:val="0"/>
      <w:spacing w:before="156" w:beforeLines="50" w:line="440" w:lineRule="exact"/>
      <w:ind w:firstLine="538" w:firstLineChars="192"/>
    </w:pPr>
    <w:rPr>
      <w:rFonts w:ascii="Times New Roman" w:hAnsi="Times New Roman" w:cs="Arial"/>
      <w:bCs/>
      <w:sz w:val="28"/>
      <w:szCs w:val="20"/>
    </w:rPr>
  </w:style>
  <w:style w:type="paragraph" w:customStyle="1" w:styleId="527">
    <w:name w:val="xl10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w:hAnsi="Arial" w:cs="Arial"/>
      <w:b/>
      <w:bCs/>
      <w:color w:val="000000"/>
    </w:rPr>
  </w:style>
  <w:style w:type="paragraph" w:customStyle="1" w:styleId="528">
    <w:name w:val="Table Contents"/>
    <w:basedOn w:val="1"/>
    <w:qFormat/>
    <w:uiPriority w:val="0"/>
    <w:pPr>
      <w:widowControl w:val="0"/>
      <w:suppressAutoHyphens/>
      <w:autoSpaceDE w:val="0"/>
      <w:autoSpaceDN w:val="0"/>
      <w:adjustRightInd w:val="0"/>
      <w:spacing w:after="120"/>
    </w:pPr>
    <w:rPr>
      <w:rFonts w:ascii="Helvetica" w:hAnsi="Helvetica" w:cs="Times New Roman"/>
      <w:kern w:val="1"/>
      <w:sz w:val="20"/>
      <w:szCs w:val="20"/>
    </w:rPr>
  </w:style>
  <w:style w:type="paragraph" w:customStyle="1" w:styleId="529">
    <w:name w:val="加粗（居中）"/>
    <w:qFormat/>
    <w:uiPriority w:val="0"/>
    <w:rPr>
      <w:rFonts w:ascii="Times New Roman" w:hAnsi="Times New Roman" w:eastAsia="宋体" w:cs="Times New Roman"/>
      <w:b/>
      <w:bCs/>
      <w:spacing w:val="1"/>
      <w:sz w:val="32"/>
      <w:szCs w:val="24"/>
      <w:lang w:val="en-US" w:eastAsia="zh-CN" w:bidi="ar-SA"/>
    </w:rPr>
  </w:style>
  <w:style w:type="paragraph" w:customStyle="1" w:styleId="530">
    <w:name w:val="_Style 32"/>
    <w:basedOn w:val="1"/>
    <w:qFormat/>
    <w:uiPriority w:val="0"/>
    <w:rPr>
      <w:szCs w:val="20"/>
    </w:rPr>
  </w:style>
  <w:style w:type="paragraph" w:customStyle="1" w:styleId="531">
    <w:name w:val="标书正文带编号"/>
    <w:basedOn w:val="1"/>
    <w:qFormat/>
    <w:uiPriority w:val="0"/>
    <w:pPr>
      <w:widowControl w:val="0"/>
      <w:tabs>
        <w:tab w:val="left" w:pos="397"/>
      </w:tabs>
      <w:autoSpaceDE w:val="0"/>
      <w:autoSpaceDN w:val="0"/>
      <w:adjustRightInd w:val="0"/>
      <w:ind w:firstLine="397"/>
    </w:pPr>
    <w:rPr>
      <w:rFonts w:ascii="Times New Roman" w:hAnsi="Times New Roman"/>
      <w:sz w:val="20"/>
      <w:szCs w:val="21"/>
    </w:rPr>
  </w:style>
  <w:style w:type="paragraph" w:customStyle="1" w:styleId="532">
    <w:name w:val="タイトル-L1‐章"/>
    <w:basedOn w:val="1"/>
    <w:next w:val="533"/>
    <w:qFormat/>
    <w:uiPriority w:val="0"/>
    <w:pPr>
      <w:keepNext/>
      <w:pageBreakBefore/>
      <w:numPr>
        <w:ilvl w:val="1"/>
        <w:numId w:val="5"/>
      </w:numPr>
      <w:pBdr>
        <w:top w:val="single" w:color="auto" w:sz="2" w:space="4"/>
        <w:left w:val="single" w:color="auto" w:sz="2" w:space="0"/>
        <w:bottom w:val="single" w:color="auto" w:sz="2" w:space="0"/>
        <w:right w:val="single" w:color="auto" w:sz="2" w:space="0"/>
      </w:pBdr>
      <w:spacing w:line="520" w:lineRule="exact"/>
      <w:jc w:val="center"/>
      <w:outlineLvl w:val="0"/>
    </w:pPr>
    <w:rPr>
      <w:rFonts w:ascii="MS Gothic" w:hAnsi="Century" w:eastAsia="MS Gothic" w:cs="Times New Roman"/>
      <w:b/>
      <w:kern w:val="2"/>
      <w:sz w:val="40"/>
    </w:rPr>
  </w:style>
  <w:style w:type="paragraph" w:customStyle="1" w:styleId="533">
    <w:name w:val="タイトル-L2-節"/>
    <w:basedOn w:val="1"/>
    <w:next w:val="4"/>
    <w:qFormat/>
    <w:uiPriority w:val="0"/>
    <w:pPr>
      <w:keepNext/>
      <w:keepLines/>
      <w:tabs>
        <w:tab w:val="left" w:pos="720"/>
      </w:tabs>
      <w:spacing w:before="480" w:after="10" w:line="360" w:lineRule="atLeast"/>
      <w:ind w:right="1276"/>
      <w:outlineLvl w:val="1"/>
    </w:pPr>
    <w:rPr>
      <w:rFonts w:ascii="Arial" w:hAnsi="Arial" w:eastAsia="MS Gothic" w:cs="Times New Roman"/>
      <w:color w:val="000000"/>
      <w:kern w:val="2"/>
      <w:sz w:val="32"/>
    </w:rPr>
  </w:style>
  <w:style w:type="paragraph" w:customStyle="1" w:styleId="534">
    <w:name w:val="xl9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color w:val="000000"/>
    </w:rPr>
  </w:style>
  <w:style w:type="paragraph" w:customStyle="1" w:styleId="535">
    <w:name w:val="Char Char1 Char Char Char Char1 Char Char Char"/>
    <w:basedOn w:val="1"/>
    <w:qFormat/>
    <w:uiPriority w:val="0"/>
    <w:pPr>
      <w:widowControl w:val="0"/>
      <w:adjustRightInd w:val="0"/>
      <w:spacing w:line="360" w:lineRule="atLeast"/>
      <w:jc w:val="both"/>
    </w:pPr>
    <w:rPr>
      <w:rFonts w:ascii="Tahoma" w:hAnsi="Tahoma" w:cs="Times New Roman"/>
      <w:kern w:val="2"/>
      <w:szCs w:val="20"/>
    </w:rPr>
  </w:style>
  <w:style w:type="paragraph" w:customStyle="1" w:styleId="536">
    <w:name w:val=" Char Char Char Char Char Char Char Char Char Char Char1 Char"/>
    <w:basedOn w:val="1"/>
    <w:qFormat/>
    <w:uiPriority w:val="0"/>
  </w:style>
  <w:style w:type="paragraph" w:customStyle="1" w:styleId="537">
    <w:name w:val="xl3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538">
    <w:name w:val="Char3"/>
    <w:basedOn w:val="1"/>
    <w:qFormat/>
    <w:uiPriority w:val="0"/>
    <w:pPr>
      <w:widowControl w:val="0"/>
      <w:jc w:val="both"/>
    </w:pPr>
    <w:rPr>
      <w:rFonts w:ascii="Times New Roman" w:hAnsi="Times New Roman" w:cs="Times New Roman"/>
      <w:kern w:val="2"/>
      <w:sz w:val="21"/>
    </w:rPr>
  </w:style>
  <w:style w:type="paragraph" w:customStyle="1" w:styleId="539">
    <w:name w:val="图表"/>
    <w:basedOn w:val="1"/>
    <w:qFormat/>
    <w:uiPriority w:val="0"/>
    <w:pPr>
      <w:widowControl w:val="0"/>
      <w:jc w:val="center"/>
    </w:pPr>
    <w:rPr>
      <w:rFonts w:ascii="Calibri" w:hAnsi="Calibri" w:cs="Times New Roman"/>
      <w:bCs/>
      <w:smallCaps/>
      <w:kern w:val="2"/>
      <w:sz w:val="21"/>
      <w:szCs w:val="36"/>
    </w:rPr>
  </w:style>
  <w:style w:type="paragraph" w:customStyle="1" w:styleId="540">
    <w:name w:val="xl9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rPr>
  </w:style>
  <w:style w:type="paragraph" w:customStyle="1" w:styleId="541">
    <w:name w:val="xl117"/>
    <w:basedOn w:val="1"/>
    <w:qFormat/>
    <w:uiPriority w:val="0"/>
    <w:pPr>
      <w:pBdr>
        <w:top w:val="single" w:color="auto" w:sz="4" w:space="0"/>
        <w:bottom w:val="single" w:color="auto" w:sz="4" w:space="0"/>
        <w:right w:val="single" w:color="auto" w:sz="4" w:space="0"/>
      </w:pBdr>
      <w:spacing w:before="100" w:beforeAutospacing="1" w:after="100" w:afterAutospacing="1"/>
      <w:jc w:val="center"/>
    </w:pPr>
    <w:rPr>
      <w:rFonts w:hAnsi="Times New Roman" w:cs="Times New Roman"/>
      <w:b/>
      <w:bCs/>
    </w:rPr>
  </w:style>
  <w:style w:type="paragraph" w:customStyle="1" w:styleId="542">
    <w:name w:val="Test2"/>
    <w:basedOn w:val="9"/>
    <w:qFormat/>
    <w:uiPriority w:val="0"/>
    <w:pPr>
      <w:keepNext w:val="0"/>
      <w:keepLines w:val="0"/>
      <w:numPr>
        <w:ilvl w:val="1"/>
        <w:numId w:val="0"/>
      </w:numPr>
      <w:tabs>
        <w:tab w:val="left" w:pos="774"/>
      </w:tabs>
      <w:autoSpaceDE w:val="0"/>
      <w:autoSpaceDN w:val="0"/>
      <w:adjustRightInd w:val="0"/>
      <w:snapToGrid w:val="0"/>
      <w:spacing w:before="360" w:after="360" w:line="240" w:lineRule="atLeast"/>
      <w:ind w:left="774" w:hanging="576"/>
    </w:pPr>
    <w:rPr>
      <w:rFonts w:ascii="宋体" w:eastAsia="宋体"/>
      <w:b w:val="0"/>
      <w:bCs w:val="0"/>
      <w:snapToGrid w:val="0"/>
      <w:kern w:val="0"/>
      <w:sz w:val="28"/>
    </w:rPr>
  </w:style>
  <w:style w:type="paragraph" w:customStyle="1" w:styleId="543">
    <w:name w:val="xl24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color w:val="000000"/>
      <w:sz w:val="20"/>
      <w:szCs w:val="20"/>
    </w:rPr>
  </w:style>
  <w:style w:type="paragraph" w:customStyle="1" w:styleId="544">
    <w:name w:val="样式 加粗 居中"/>
    <w:basedOn w:val="1"/>
    <w:qFormat/>
    <w:uiPriority w:val="0"/>
    <w:pPr>
      <w:widowControl w:val="0"/>
      <w:snapToGrid w:val="0"/>
      <w:spacing w:line="360" w:lineRule="auto"/>
      <w:jc w:val="center"/>
    </w:pPr>
    <w:rPr>
      <w:rFonts w:ascii="Calibri" w:hAnsi="Calibri" w:cs="Times New Roman"/>
      <w:b/>
      <w:bCs/>
      <w:spacing w:val="1"/>
      <w:sz w:val="32"/>
      <w:szCs w:val="20"/>
    </w:rPr>
  </w:style>
  <w:style w:type="paragraph" w:customStyle="1" w:styleId="545">
    <w:name w:val="正文缩进1"/>
    <w:basedOn w:val="1"/>
    <w:qFormat/>
    <w:uiPriority w:val="0"/>
    <w:pPr>
      <w:widowControl w:val="0"/>
      <w:spacing w:line="360" w:lineRule="auto"/>
      <w:ind w:firstLine="454"/>
    </w:pPr>
    <w:rPr>
      <w:rFonts w:ascii="Times New Roman" w:hAnsi="Times New Roman" w:cs="Times New Roman"/>
      <w:kern w:val="2"/>
    </w:rPr>
  </w:style>
  <w:style w:type="paragraph" w:customStyle="1" w:styleId="546">
    <w:name w:val="Char Char Char Char Char Char1 Char Char Char Char Char Char1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547">
    <w:name w:val="xl21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548">
    <w:name w:val="xl4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Arial Unicode MS"/>
    </w:rPr>
  </w:style>
  <w:style w:type="paragraph" w:customStyle="1" w:styleId="549">
    <w:name w:val="xl23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550">
    <w:name w:val="14"/>
    <w:basedOn w:val="1"/>
    <w:qFormat/>
    <w:uiPriority w:val="0"/>
    <w:pPr>
      <w:widowControl w:val="0"/>
      <w:snapToGrid w:val="0"/>
      <w:spacing w:before="93" w:beforeLines="30" w:line="288" w:lineRule="auto"/>
      <w:ind w:left="852" w:leftChars="355" w:firstLine="420" w:firstLineChars="175"/>
      <w:jc w:val="both"/>
    </w:pPr>
    <w:rPr>
      <w:rFonts w:ascii="新宋体" w:hAnsi="新宋体" w:cs="Times New Roman"/>
      <w:kern w:val="2"/>
      <w:szCs w:val="20"/>
    </w:rPr>
  </w:style>
  <w:style w:type="paragraph" w:customStyle="1" w:styleId="551">
    <w:name w:val="GP标题2"/>
    <w:basedOn w:val="1"/>
    <w:next w:val="552"/>
    <w:qFormat/>
    <w:uiPriority w:val="0"/>
    <w:pPr>
      <w:widowControl w:val="0"/>
      <w:numPr>
        <w:ilvl w:val="1"/>
        <w:numId w:val="6"/>
      </w:numPr>
      <w:tabs>
        <w:tab w:val="left" w:pos="840"/>
        <w:tab w:val="clear" w:pos="567"/>
      </w:tabs>
      <w:spacing w:before="156" w:beforeLines="50" w:after="156" w:afterLines="50" w:line="360" w:lineRule="auto"/>
      <w:outlineLvl w:val="1"/>
    </w:pPr>
    <w:rPr>
      <w:rFonts w:ascii="华文细黑" w:hAnsi="华文细黑" w:eastAsia="华文细黑" w:cs="Times New Roman"/>
      <w:b/>
      <w:sz w:val="32"/>
      <w:szCs w:val="20"/>
    </w:rPr>
  </w:style>
  <w:style w:type="paragraph" w:customStyle="1" w:styleId="552">
    <w:name w:val="GP正文(首行缩进)"/>
    <w:basedOn w:val="1"/>
    <w:qFormat/>
    <w:uiPriority w:val="0"/>
    <w:pPr>
      <w:widowControl w:val="0"/>
      <w:spacing w:line="360" w:lineRule="auto"/>
      <w:ind w:firstLine="200" w:firstLineChars="200"/>
    </w:pPr>
    <w:rPr>
      <w:rFonts w:ascii="Times New Roman" w:hAnsi="Times New Roman" w:cs="Times New Roman"/>
      <w:szCs w:val="20"/>
    </w:rPr>
  </w:style>
  <w:style w:type="paragraph" w:customStyle="1" w:styleId="553">
    <w:name w:val="默认段落字体 Para Char Char Char Char Char Char Char"/>
    <w:basedOn w:val="1"/>
    <w:qFormat/>
    <w:uiPriority w:val="0"/>
    <w:rPr>
      <w:rFonts w:ascii="Tahoma" w:hAnsi="Tahoma"/>
      <w:sz w:val="24"/>
      <w:szCs w:val="20"/>
    </w:rPr>
  </w:style>
  <w:style w:type="paragraph" w:customStyle="1" w:styleId="554">
    <w:name w:val="xl7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color w:val="FF0000"/>
      <w:sz w:val="20"/>
      <w:szCs w:val="20"/>
    </w:rPr>
  </w:style>
  <w:style w:type="paragraph" w:customStyle="1" w:styleId="555">
    <w:name w:val="样式 标题 2 + (西文) 宋体 非加粗 居中"/>
    <w:basedOn w:val="9"/>
    <w:qFormat/>
    <w:uiPriority w:val="0"/>
    <w:pPr>
      <w:widowControl w:val="0"/>
      <w:tabs>
        <w:tab w:val="left" w:pos="432"/>
      </w:tabs>
      <w:adjustRightInd w:val="0"/>
      <w:snapToGrid w:val="0"/>
      <w:spacing w:line="412" w:lineRule="auto"/>
      <w:jc w:val="center"/>
    </w:pPr>
    <w:rPr>
      <w:rFonts w:ascii="Calibri" w:hAnsi="Calibri" w:eastAsia="宋体"/>
      <w:bCs w:val="0"/>
      <w:spacing w:val="2"/>
      <w:sz w:val="24"/>
      <w:szCs w:val="20"/>
      <w:lang w:val="zh-CN"/>
    </w:rPr>
  </w:style>
  <w:style w:type="paragraph" w:customStyle="1" w:styleId="556">
    <w:name w:val="XHH标题8"/>
    <w:qFormat/>
    <w:uiPriority w:val="0"/>
    <w:pPr>
      <w:ind w:left="4394" w:hanging="1418"/>
    </w:pPr>
    <w:rPr>
      <w:rFonts w:ascii="黑体" w:hAnsi="黑体" w:eastAsia="黑体" w:cs="宋体"/>
      <w:kern w:val="2"/>
      <w:sz w:val="28"/>
      <w:szCs w:val="28"/>
      <w:lang w:val="en-US" w:eastAsia="zh-CN" w:bidi="ar-SA"/>
    </w:rPr>
  </w:style>
  <w:style w:type="paragraph" w:customStyle="1" w:styleId="557">
    <w:name w:val="xl23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558">
    <w:name w:val="XHH标题4"/>
    <w:next w:val="354"/>
    <w:qFormat/>
    <w:uiPriority w:val="0"/>
    <w:pPr>
      <w:widowControl w:val="0"/>
      <w:spacing w:before="120" w:after="120" w:line="360" w:lineRule="auto"/>
      <w:ind w:left="1984" w:hanging="708"/>
      <w:outlineLvl w:val="3"/>
    </w:pPr>
    <w:rPr>
      <w:rFonts w:ascii="黑体" w:hAnsi="宋体" w:eastAsia="黑体" w:cs="Times New Roman"/>
      <w:b/>
      <w:kern w:val="2"/>
      <w:sz w:val="24"/>
      <w:szCs w:val="28"/>
      <w:lang w:val="en-US" w:eastAsia="zh-CN" w:bidi="ar-SA"/>
    </w:rPr>
  </w:style>
  <w:style w:type="paragraph" w:customStyle="1" w:styleId="559">
    <w:name w:val="xl6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both"/>
    </w:pPr>
    <w:rPr>
      <w:rFonts w:ascii="Calibri" w:hAnsi="Calibri" w:cs="Times New Roman"/>
      <w:color w:val="000000"/>
      <w:sz w:val="18"/>
      <w:szCs w:val="18"/>
    </w:rPr>
  </w:style>
  <w:style w:type="paragraph" w:customStyle="1" w:styleId="560">
    <w:name w:val="Char Char Char Char Char Char1 Char Char Char1 Char Char Char"/>
    <w:basedOn w:val="1"/>
    <w:qFormat/>
    <w:uiPriority w:val="0"/>
    <w:pPr>
      <w:widowControl w:val="0"/>
      <w:jc w:val="both"/>
    </w:pPr>
    <w:rPr>
      <w:rFonts w:ascii="Tahoma" w:hAnsi="Tahoma" w:cs="Times New Roman"/>
      <w:kern w:val="2"/>
      <w:sz w:val="21"/>
      <w:szCs w:val="20"/>
    </w:rPr>
  </w:style>
  <w:style w:type="paragraph" w:customStyle="1" w:styleId="561">
    <w:name w:val="标题 4（绿盟科技）"/>
    <w:basedOn w:val="11"/>
    <w:next w:val="1"/>
    <w:qFormat/>
    <w:uiPriority w:val="0"/>
    <w:pPr>
      <w:spacing w:after="156"/>
    </w:pPr>
    <w:rPr>
      <w:rFonts w:ascii="Arial" w:hAnsi="Arial" w:eastAsia="黑体"/>
      <w:bCs w:val="0"/>
      <w:kern w:val="0"/>
    </w:rPr>
  </w:style>
  <w:style w:type="paragraph" w:customStyle="1" w:styleId="562">
    <w:name w:val=" Char Char Char Char Char Char Char Char Char Char"/>
    <w:basedOn w:val="24"/>
    <w:qFormat/>
    <w:uiPriority w:val="0"/>
    <w:pPr>
      <w:shd w:val="clear" w:color="auto" w:fill="000080"/>
    </w:pPr>
    <w:rPr>
      <w:rFonts w:ascii="Tahoma" w:hAnsi="Tahoma"/>
      <w:sz w:val="24"/>
      <w:szCs w:val="24"/>
    </w:rPr>
  </w:style>
  <w:style w:type="paragraph" w:customStyle="1" w:styleId="563">
    <w:name w:val="正文首行缩进1"/>
    <w:basedOn w:val="4"/>
    <w:qFormat/>
    <w:uiPriority w:val="0"/>
    <w:pPr>
      <w:spacing w:after="120" w:line="360" w:lineRule="auto"/>
      <w:ind w:firstLine="420" w:firstLineChars="100"/>
    </w:pPr>
    <w:rPr>
      <w:rFonts w:ascii="宋体" w:hAnsi="宋体" w:cs="宋体"/>
      <w:bCs w:val="0"/>
      <w:sz w:val="22"/>
    </w:rPr>
  </w:style>
  <w:style w:type="paragraph" w:customStyle="1" w:styleId="564">
    <w:name w:val="p21"/>
    <w:basedOn w:val="1"/>
    <w:qFormat/>
    <w:uiPriority w:val="3"/>
    <w:pPr>
      <w:widowControl/>
      <w:spacing w:line="600" w:lineRule="atLeast"/>
      <w:ind w:firstLine="420"/>
    </w:pPr>
    <w:rPr>
      <w:rFonts w:hint="eastAsia" w:ascii="仿宋" w:hAnsi="仿宋" w:eastAsia="仿宋" w:cs="Arial Unicode MS"/>
      <w:kern w:val="0"/>
      <w:sz w:val="28"/>
      <w:szCs w:val="28"/>
    </w:rPr>
  </w:style>
  <w:style w:type="paragraph" w:customStyle="1" w:styleId="565">
    <w:name w:val="修订1"/>
    <w:qFormat/>
    <w:uiPriority w:val="0"/>
    <w:rPr>
      <w:rFonts w:ascii="Times New Roman" w:hAnsi="Times New Roman" w:eastAsia="宋体" w:cs="Times New Roman"/>
      <w:kern w:val="2"/>
      <w:sz w:val="21"/>
      <w:szCs w:val="24"/>
      <w:lang w:val="en-US" w:eastAsia="zh-CN" w:bidi="ar-SA"/>
    </w:rPr>
  </w:style>
  <w:style w:type="paragraph" w:customStyle="1" w:styleId="566">
    <w:name w:val="标书标题2"/>
    <w:basedOn w:val="9"/>
    <w:qFormat/>
    <w:uiPriority w:val="0"/>
    <w:pPr>
      <w:keepLines w:val="0"/>
      <w:numPr>
        <w:ilvl w:val="0"/>
        <w:numId w:val="7"/>
      </w:numPr>
      <w:tabs>
        <w:tab w:val="left" w:pos="567"/>
        <w:tab w:val="clear" w:pos="780"/>
      </w:tabs>
      <w:adjustRightInd w:val="0"/>
      <w:snapToGrid w:val="0"/>
      <w:spacing w:before="120" w:beforeLines="50" w:after="60" w:line="300" w:lineRule="auto"/>
      <w:ind w:left="567" w:hanging="567"/>
    </w:pPr>
    <w:rPr>
      <w:rFonts w:ascii="Arial Narrow" w:hAnsi="Arial Narrow" w:eastAsia="仿宋_GB2312"/>
      <w:bCs w:val="0"/>
      <w:kern w:val="0"/>
      <w:sz w:val="28"/>
      <w:szCs w:val="20"/>
    </w:rPr>
  </w:style>
  <w:style w:type="paragraph" w:customStyle="1" w:styleId="567">
    <w:name w:val="2-2ji"/>
    <w:basedOn w:val="9"/>
    <w:qFormat/>
    <w:uiPriority w:val="0"/>
    <w:pPr>
      <w:widowControl w:val="0"/>
      <w:tabs>
        <w:tab w:val="left" w:pos="432"/>
      </w:tabs>
      <w:adjustRightInd w:val="0"/>
      <w:snapToGrid w:val="0"/>
      <w:spacing w:before="0" w:after="0" w:line="360" w:lineRule="auto"/>
      <w:jc w:val="center"/>
    </w:pPr>
    <w:rPr>
      <w:rFonts w:ascii="Calibri" w:hAnsi="Calibri" w:eastAsia="宋体"/>
      <w:b w:val="0"/>
      <w:bCs w:val="0"/>
      <w:kern w:val="0"/>
      <w:sz w:val="36"/>
      <w:lang w:val="zh-CN"/>
    </w:rPr>
  </w:style>
  <w:style w:type="paragraph" w:customStyle="1" w:styleId="568">
    <w:name w:val=" Char1"/>
    <w:basedOn w:val="1"/>
    <w:qFormat/>
    <w:uiPriority w:val="0"/>
    <w:pPr>
      <w:spacing w:after="160" w:line="240" w:lineRule="exact"/>
    </w:pPr>
    <w:rPr>
      <w:rFonts w:ascii="Verdana" w:hAnsi="Verdana" w:cs="Times New Roman"/>
      <w:sz w:val="21"/>
      <w:szCs w:val="20"/>
      <w:lang w:eastAsia="en-US"/>
    </w:rPr>
  </w:style>
  <w:style w:type="paragraph" w:customStyle="1" w:styleId="56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70">
    <w:name w:val="xl9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571">
    <w:name w:val="xl20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572">
    <w:name w:val=" Char"/>
    <w:basedOn w:val="1"/>
    <w:qFormat/>
    <w:uiPriority w:val="0"/>
    <w:rPr>
      <w:rFonts w:ascii="仿宋_GB2312" w:eastAsia="仿宋_GB2312"/>
      <w:b/>
      <w:sz w:val="32"/>
      <w:szCs w:val="32"/>
    </w:rPr>
  </w:style>
  <w:style w:type="paragraph" w:customStyle="1" w:styleId="573">
    <w:name w:val="表格文字（4号居中）"/>
    <w:basedOn w:val="574"/>
    <w:qFormat/>
    <w:uiPriority w:val="0"/>
    <w:pPr>
      <w:spacing w:beforeLines="50" w:line="240" w:lineRule="auto"/>
    </w:pPr>
    <w:rPr>
      <w:rFonts w:ascii="Times New Roman" w:hAnsi="Times New Roman"/>
      <w:sz w:val="24"/>
    </w:rPr>
  </w:style>
  <w:style w:type="paragraph" w:customStyle="1" w:styleId="574">
    <w:name w:val="表格文字（居中）"/>
    <w:basedOn w:val="1"/>
    <w:qFormat/>
    <w:uiPriority w:val="0"/>
    <w:pPr>
      <w:widowControl w:val="0"/>
      <w:snapToGrid w:val="0"/>
      <w:spacing w:line="360" w:lineRule="auto"/>
      <w:jc w:val="center"/>
    </w:pPr>
    <w:rPr>
      <w:rFonts w:ascii="Calibri" w:hAnsi="Calibri" w:cs="Times New Roman"/>
      <w:b/>
      <w:sz w:val="21"/>
      <w:szCs w:val="32"/>
    </w:rPr>
  </w:style>
  <w:style w:type="paragraph" w:customStyle="1" w:styleId="575">
    <w:name w:val="xl2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cs="Times New Roman"/>
      <w:sz w:val="18"/>
      <w:szCs w:val="18"/>
    </w:rPr>
  </w:style>
  <w:style w:type="paragraph" w:customStyle="1" w:styleId="576">
    <w:name w:val="xl6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rPr>
  </w:style>
  <w:style w:type="paragraph" w:customStyle="1" w:styleId="577">
    <w:name w:val="索引 71"/>
    <w:basedOn w:val="1"/>
    <w:next w:val="1"/>
    <w:qFormat/>
    <w:uiPriority w:val="0"/>
    <w:pPr>
      <w:widowControl w:val="0"/>
      <w:snapToGrid w:val="0"/>
      <w:spacing w:line="360" w:lineRule="auto"/>
      <w:ind w:left="1200" w:leftChars="1200"/>
      <w:jc w:val="center"/>
    </w:pPr>
    <w:rPr>
      <w:rFonts w:ascii="Calibri" w:hAnsi="Calibri" w:cs="Times New Roman"/>
      <w:b/>
      <w:kern w:val="2"/>
      <w:sz w:val="32"/>
      <w:szCs w:val="32"/>
    </w:rPr>
  </w:style>
  <w:style w:type="paragraph" w:customStyle="1" w:styleId="578">
    <w:name w:val="xl207"/>
    <w:basedOn w:val="1"/>
    <w:qFormat/>
    <w:uiPriority w:val="0"/>
    <w:pPr>
      <w:spacing w:before="100" w:beforeAutospacing="1" w:after="100" w:afterAutospacing="1"/>
      <w:jc w:val="center"/>
    </w:pPr>
    <w:rPr>
      <w:rFonts w:hAnsi="Times New Roman" w:cs="Times New Roman"/>
    </w:rPr>
  </w:style>
  <w:style w:type="paragraph" w:customStyle="1" w:styleId="579">
    <w:name w:val="xl22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580">
    <w:name w:val="样式 标题 1 + 黑色 行距: 1.5 倍行距"/>
    <w:basedOn w:val="8"/>
    <w:qFormat/>
    <w:uiPriority w:val="0"/>
    <w:pPr>
      <w:keepNext w:val="0"/>
      <w:numPr>
        <w:ilvl w:val="0"/>
        <w:numId w:val="8"/>
      </w:numPr>
      <w:adjustRightInd w:val="0"/>
      <w:snapToGrid w:val="0"/>
      <w:spacing w:before="4" w:beforeLines="30" w:line="360" w:lineRule="auto"/>
      <w:ind w:right="680"/>
      <w:textAlignment w:val="baseline"/>
    </w:pPr>
    <w:rPr>
      <w:rFonts w:ascii="Arial" w:hAnsi="Arial" w:eastAsia="楷体_GB2312"/>
      <w:b/>
      <w:bCs/>
      <w:color w:val="000000"/>
      <w:kern w:val="0"/>
      <w:szCs w:val="20"/>
    </w:rPr>
  </w:style>
  <w:style w:type="paragraph" w:customStyle="1" w:styleId="581">
    <w:name w:val="默认段落字体 Para Char Char Char Char"/>
    <w:basedOn w:val="1"/>
    <w:qFormat/>
    <w:uiPriority w:val="0"/>
  </w:style>
  <w:style w:type="paragraph" w:customStyle="1" w:styleId="582">
    <w:name w:val="样式 宋体 行距: 多倍行距 1.25 字行1"/>
    <w:basedOn w:val="1"/>
    <w:qFormat/>
    <w:uiPriority w:val="0"/>
    <w:pPr>
      <w:spacing w:line="300" w:lineRule="auto"/>
    </w:pPr>
    <w:rPr>
      <w:rFonts w:ascii="宋体" w:hAnsi="宋体" w:cs="宋体"/>
      <w:szCs w:val="20"/>
    </w:rPr>
  </w:style>
  <w:style w:type="paragraph" w:customStyle="1" w:styleId="583">
    <w:name w:val="项目符1"/>
    <w:basedOn w:val="1"/>
    <w:qFormat/>
    <w:uiPriority w:val="0"/>
    <w:pPr>
      <w:widowControl w:val="0"/>
      <w:numPr>
        <w:ilvl w:val="0"/>
        <w:numId w:val="9"/>
      </w:numPr>
      <w:tabs>
        <w:tab w:val="left" w:pos="1365"/>
      </w:tabs>
      <w:spacing w:before="78" w:after="78" w:line="300" w:lineRule="auto"/>
      <w:ind w:left="1365" w:leftChars="100" w:right="100" w:rightChars="100" w:hanging="344" w:firstLineChars="200"/>
      <w:jc w:val="both"/>
    </w:pPr>
    <w:rPr>
      <w:rFonts w:ascii="Arial" w:hAnsi="Arial" w:cs="Times New Roman"/>
      <w:kern w:val="2"/>
      <w:sz w:val="21"/>
      <w:szCs w:val="21"/>
    </w:rPr>
  </w:style>
  <w:style w:type="paragraph" w:customStyle="1" w:styleId="584">
    <w:name w:val="Char Char Char Char2"/>
    <w:basedOn w:val="1"/>
    <w:qFormat/>
    <w:uiPriority w:val="0"/>
    <w:pPr>
      <w:spacing w:after="160" w:line="240" w:lineRule="exact"/>
    </w:pPr>
    <w:rPr>
      <w:rFonts w:ascii="Verdana" w:hAnsi="Verdana" w:cs="Times New Roman"/>
      <w:sz w:val="20"/>
      <w:szCs w:val="20"/>
      <w:lang w:eastAsia="en-US"/>
    </w:rPr>
  </w:style>
  <w:style w:type="paragraph" w:customStyle="1" w:styleId="585">
    <w:name w:val="Char Char Char Char Char Char1 Char Char Char1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586">
    <w:name w:val=" Char Char Char Char1 Char Char Char Char Char"/>
    <w:basedOn w:val="1"/>
    <w:qFormat/>
    <w:uiPriority w:val="0"/>
    <w:pPr>
      <w:spacing w:after="160" w:line="240" w:lineRule="exact"/>
    </w:pPr>
    <w:rPr>
      <w:rFonts w:ascii="Verdana" w:hAnsi="Verdana" w:eastAsia="仿宋_GB2312" w:cs="Times New Roman"/>
      <w:szCs w:val="20"/>
      <w:lang w:eastAsia="en-US"/>
    </w:rPr>
  </w:style>
  <w:style w:type="paragraph" w:customStyle="1" w:styleId="587">
    <w:name w:val="xl231"/>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Arial" w:hAnsi="Arial" w:cs="Arial"/>
      <w:sz w:val="20"/>
      <w:szCs w:val="20"/>
    </w:rPr>
  </w:style>
  <w:style w:type="paragraph" w:customStyle="1" w:styleId="588">
    <w:name w:val="章标题"/>
    <w:next w:val="1"/>
    <w:qFormat/>
    <w:uiPriority w:val="0"/>
    <w:pPr>
      <w:numPr>
        <w:ilvl w:val="1"/>
        <w:numId w:val="4"/>
      </w:numPr>
      <w:tabs>
        <w:tab w:val="left" w:pos="3469"/>
      </w:tabs>
      <w:spacing w:before="156" w:beforeLines="50" w:after="156" w:afterLines="50"/>
      <w:jc w:val="both"/>
      <w:outlineLvl w:val="1"/>
    </w:pPr>
    <w:rPr>
      <w:rFonts w:ascii="黑体" w:hAnsi="Times New Roman" w:eastAsia="黑体" w:cs="Times New Roman"/>
      <w:sz w:val="21"/>
      <w:lang w:val="en-US" w:eastAsia="zh-CN" w:bidi="ar-SA"/>
    </w:rPr>
  </w:style>
  <w:style w:type="paragraph" w:customStyle="1" w:styleId="589">
    <w:name w:val="Char Char1 Char Char Char Char Char Char"/>
    <w:basedOn w:val="1"/>
    <w:qFormat/>
    <w:uiPriority w:val="0"/>
    <w:pPr>
      <w:spacing w:after="160" w:line="240" w:lineRule="exact"/>
    </w:pPr>
    <w:rPr>
      <w:rFonts w:ascii="Times New Roman" w:hAnsi="Times New Roman" w:cs="Times New Roman"/>
      <w:kern w:val="2"/>
      <w:sz w:val="21"/>
    </w:rPr>
  </w:style>
  <w:style w:type="paragraph" w:customStyle="1" w:styleId="590">
    <w:name w:val="作表９ポ"/>
    <w:basedOn w:val="1"/>
    <w:qFormat/>
    <w:uiPriority w:val="0"/>
    <w:pPr>
      <w:widowControl w:val="0"/>
      <w:adjustRightInd w:val="0"/>
      <w:spacing w:line="260" w:lineRule="exact"/>
      <w:jc w:val="both"/>
      <w:textAlignment w:val="center"/>
    </w:pPr>
    <w:rPr>
      <w:rFonts w:ascii="MS PMincho" w:hAnsi="Century" w:eastAsia="MS Mincho" w:cs="Times New Roman"/>
      <w:sz w:val="18"/>
      <w:szCs w:val="20"/>
      <w:lang w:eastAsia="ja-JP"/>
    </w:rPr>
  </w:style>
  <w:style w:type="paragraph" w:customStyle="1" w:styleId="591">
    <w:name w:val="标题五"/>
    <w:basedOn w:val="1"/>
    <w:qFormat/>
    <w:uiPriority w:val="0"/>
    <w:pPr>
      <w:widowControl w:val="0"/>
      <w:tabs>
        <w:tab w:val="left" w:pos="1440"/>
      </w:tabs>
      <w:autoSpaceDE w:val="0"/>
      <w:autoSpaceDN w:val="0"/>
      <w:adjustRightInd w:val="0"/>
      <w:spacing w:before="156" w:beforeLines="50" w:line="360" w:lineRule="auto"/>
      <w:ind w:left="1440" w:hanging="420"/>
    </w:pPr>
    <w:rPr>
      <w:rFonts w:ascii="Times New Roman" w:hAnsi="Times New Roman" w:cs="Times New Roman"/>
      <w:b/>
      <w:szCs w:val="20"/>
    </w:rPr>
  </w:style>
  <w:style w:type="paragraph" w:customStyle="1" w:styleId="592">
    <w:name w:val="PM_Tabelle Text Ende"/>
    <w:basedOn w:val="1"/>
    <w:next w:val="1"/>
    <w:qFormat/>
    <w:uiPriority w:val="0"/>
    <w:pPr>
      <w:widowControl w:val="0"/>
      <w:autoSpaceDE w:val="0"/>
      <w:autoSpaceDN w:val="0"/>
      <w:adjustRightInd w:val="0"/>
    </w:pPr>
    <w:rPr>
      <w:rFonts w:ascii="Arial" w:hAnsi="Arial" w:cs="Times New Roman"/>
    </w:rPr>
  </w:style>
  <w:style w:type="paragraph" w:customStyle="1" w:styleId="593">
    <w:name w:val="图"/>
    <w:basedOn w:val="1"/>
    <w:qFormat/>
    <w:uiPriority w:val="0"/>
    <w:pPr>
      <w:keepNext/>
      <w:widowControl w:val="0"/>
      <w:adjustRightInd w:val="0"/>
      <w:spacing w:before="60" w:after="60" w:line="300" w:lineRule="auto"/>
      <w:jc w:val="center"/>
      <w:textAlignment w:val="center"/>
    </w:pPr>
    <w:rPr>
      <w:rFonts w:ascii="Times New Roman" w:hAnsi="Times New Roman" w:cs="Times New Roman"/>
      <w:snapToGrid w:val="0"/>
      <w:spacing w:val="20"/>
      <w:szCs w:val="20"/>
    </w:rPr>
  </w:style>
  <w:style w:type="paragraph" w:customStyle="1" w:styleId="594">
    <w:name w:val="Char21"/>
    <w:basedOn w:val="1"/>
    <w:qFormat/>
    <w:uiPriority w:val="0"/>
    <w:pPr>
      <w:widowControl w:val="0"/>
      <w:jc w:val="both"/>
    </w:pPr>
    <w:rPr>
      <w:rFonts w:ascii="仿宋_GB2312" w:hAnsi="Times New Roman" w:eastAsia="仿宋_GB2312" w:cs="Times New Roman"/>
      <w:bCs/>
      <w:color w:val="000000"/>
      <w:sz w:val="32"/>
      <w:szCs w:val="32"/>
    </w:rPr>
  </w:style>
  <w:style w:type="paragraph" w:customStyle="1" w:styleId="595">
    <w:name w:val="段落正文"/>
    <w:basedOn w:val="4"/>
    <w:qFormat/>
    <w:uiPriority w:val="0"/>
    <w:pPr>
      <w:suppressAutoHyphens/>
      <w:spacing w:line="360" w:lineRule="auto"/>
      <w:jc w:val="center"/>
    </w:pPr>
    <w:rPr>
      <w:rFonts w:ascii="Calibri" w:hAnsi="Calibri"/>
      <w:b/>
      <w:bCs w:val="0"/>
      <w:sz w:val="32"/>
      <w:szCs w:val="32"/>
    </w:rPr>
  </w:style>
  <w:style w:type="paragraph" w:customStyle="1" w:styleId="596">
    <w:name w:val="标题6"/>
    <w:basedOn w:val="1"/>
    <w:next w:val="8"/>
    <w:qFormat/>
    <w:uiPriority w:val="0"/>
    <w:pPr>
      <w:widowControl/>
      <w:snapToGrid w:val="0"/>
      <w:spacing w:before="50" w:beforeLines="50" w:after="50" w:afterLines="50" w:line="520" w:lineRule="atLeast"/>
      <w:ind w:firstLine="200" w:firstLineChars="200"/>
    </w:pPr>
    <w:rPr>
      <w:rFonts w:cs="Arial"/>
      <w:b/>
      <w:sz w:val="24"/>
    </w:rPr>
  </w:style>
  <w:style w:type="paragraph" w:customStyle="1" w:styleId="597">
    <w:name w:val="font12"/>
    <w:basedOn w:val="1"/>
    <w:qFormat/>
    <w:uiPriority w:val="0"/>
    <w:pPr>
      <w:spacing w:before="100" w:beforeAutospacing="1" w:after="100" w:afterAutospacing="1"/>
    </w:pPr>
    <w:rPr>
      <w:rFonts w:hAnsi="Times New Roman" w:cs="Times New Roman"/>
      <w:sz w:val="18"/>
      <w:szCs w:val="18"/>
    </w:rPr>
  </w:style>
  <w:style w:type="paragraph" w:customStyle="1" w:styleId="598">
    <w:name w:val="Char Char Char Char Char Char1 Char Char Char1 Char Char Char Char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599">
    <w:name w:val="正文文本缩进_0"/>
    <w:basedOn w:val="600"/>
    <w:qFormat/>
    <w:uiPriority w:val="0"/>
    <w:pPr>
      <w:autoSpaceDE w:val="0"/>
      <w:autoSpaceDN w:val="0"/>
      <w:spacing w:line="360" w:lineRule="auto"/>
      <w:ind w:left="181" w:firstLine="539"/>
    </w:pPr>
    <w:rPr>
      <w:rFonts w:ascii="Times New Roman" w:hAnsi="Times New Roman"/>
      <w:sz w:val="24"/>
      <w:szCs w:val="20"/>
      <w:lang w:val="zh-CN"/>
    </w:rPr>
  </w:style>
  <w:style w:type="paragraph" w:customStyle="1" w:styleId="600">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01">
    <w:name w:val="xl224"/>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Arial" w:hAnsi="Arial" w:cs="Arial"/>
      <w:sz w:val="20"/>
      <w:szCs w:val="20"/>
    </w:rPr>
  </w:style>
  <w:style w:type="paragraph" w:customStyle="1" w:styleId="602">
    <w:name w:val="列出段落12"/>
    <w:basedOn w:val="1"/>
    <w:qFormat/>
    <w:uiPriority w:val="0"/>
    <w:pPr>
      <w:widowControl w:val="0"/>
      <w:ind w:firstLine="420" w:firstLineChars="200"/>
      <w:jc w:val="both"/>
    </w:pPr>
    <w:rPr>
      <w:rFonts w:ascii="Calibri" w:hAnsi="Calibri" w:cs="Times New Roman"/>
      <w:kern w:val="2"/>
      <w:sz w:val="21"/>
      <w:szCs w:val="22"/>
    </w:rPr>
  </w:style>
  <w:style w:type="paragraph" w:customStyle="1" w:styleId="603">
    <w:name w:val="_Style 561"/>
    <w:basedOn w:val="24"/>
    <w:qFormat/>
    <w:uiPriority w:val="0"/>
    <w:pPr>
      <w:widowControl w:val="0"/>
      <w:shd w:val="clear" w:color="auto" w:fill="000080"/>
      <w:jc w:val="both"/>
    </w:pPr>
    <w:rPr>
      <w:rFonts w:ascii="Times New Roman" w:hAnsi="Times New Roman"/>
      <w:sz w:val="21"/>
      <w:szCs w:val="24"/>
    </w:rPr>
  </w:style>
  <w:style w:type="paragraph" w:customStyle="1" w:styleId="604">
    <w:name w:val="正文样式 首行缩进:  0.74 厘米"/>
    <w:basedOn w:val="1"/>
    <w:qFormat/>
    <w:uiPriority w:val="0"/>
    <w:pPr>
      <w:widowControl w:val="0"/>
      <w:autoSpaceDE w:val="0"/>
      <w:autoSpaceDN w:val="0"/>
      <w:adjustRightInd w:val="0"/>
      <w:spacing w:before="156" w:beforeLines="50" w:line="360" w:lineRule="auto"/>
      <w:ind w:firstLine="420"/>
    </w:pPr>
    <w:rPr>
      <w:rFonts w:ascii="Times New Roman" w:hAnsi="Times New Roman"/>
      <w:szCs w:val="20"/>
    </w:rPr>
  </w:style>
  <w:style w:type="paragraph" w:customStyle="1" w:styleId="605">
    <w:name w:val="xl21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606">
    <w:name w:val="1"/>
    <w:basedOn w:val="1"/>
    <w:next w:val="37"/>
    <w:qFormat/>
    <w:uiPriority w:val="99"/>
    <w:pPr>
      <w:widowControl w:val="0"/>
      <w:jc w:val="both"/>
    </w:pPr>
    <w:rPr>
      <w:rFonts w:ascii="Calibri" w:hAnsi="Courier New" w:cs="Times New Roman"/>
      <w:kern w:val="2"/>
      <w:sz w:val="21"/>
      <w:szCs w:val="20"/>
    </w:rPr>
  </w:style>
  <w:style w:type="paragraph" w:customStyle="1" w:styleId="607">
    <w:name w:val="XHH标题2"/>
    <w:next w:val="354"/>
    <w:qFormat/>
    <w:uiPriority w:val="0"/>
    <w:pPr>
      <w:widowControl w:val="0"/>
      <w:spacing w:before="120" w:after="120" w:line="360" w:lineRule="auto"/>
      <w:ind w:left="992" w:hanging="567"/>
      <w:outlineLvl w:val="1"/>
    </w:pPr>
    <w:rPr>
      <w:rFonts w:ascii="黑体" w:hAnsi="宋体" w:eastAsia="黑体" w:cs="Times New Roman"/>
      <w:b/>
      <w:color w:val="000000"/>
      <w:kern w:val="2"/>
      <w:sz w:val="30"/>
      <w:szCs w:val="30"/>
      <w:lang w:val="en-US" w:eastAsia="zh-CN" w:bidi="ar-SA"/>
    </w:rPr>
  </w:style>
  <w:style w:type="paragraph" w:customStyle="1" w:styleId="608">
    <w:name w:val="正表格内容"/>
    <w:basedOn w:val="1"/>
    <w:qFormat/>
    <w:uiPriority w:val="0"/>
    <w:pPr>
      <w:widowControl/>
      <w:tabs>
        <w:tab w:val="left" w:pos="480"/>
      </w:tabs>
      <w:autoSpaceDE w:val="0"/>
      <w:autoSpaceDN w:val="0"/>
      <w:adjustRightInd w:val="0"/>
      <w:jc w:val="center"/>
      <w:textAlignment w:val="bottom"/>
    </w:pPr>
    <w:rPr>
      <w:rFonts w:ascii="宋体"/>
      <w:kern w:val="0"/>
      <w:sz w:val="18"/>
      <w:szCs w:val="20"/>
    </w:rPr>
  </w:style>
  <w:style w:type="paragraph" w:customStyle="1" w:styleId="609">
    <w:name w:val="Text Body"/>
    <w:basedOn w:val="1"/>
    <w:qFormat/>
    <w:uiPriority w:val="0"/>
    <w:pPr>
      <w:widowControl w:val="0"/>
      <w:suppressAutoHyphens/>
      <w:overflowPunct w:val="0"/>
      <w:spacing w:after="120"/>
    </w:pPr>
    <w:rPr>
      <w:rFonts w:ascii="Times New Roman" w:hAnsi="Times New Roman" w:cs="Times New Roman"/>
      <w:color w:val="00000A"/>
      <w:sz w:val="21"/>
      <w:szCs w:val="21"/>
    </w:rPr>
  </w:style>
  <w:style w:type="paragraph" w:customStyle="1" w:styleId="610">
    <w:name w:val="样式 首行缩进:  0 字符"/>
    <w:basedOn w:val="1"/>
    <w:qFormat/>
    <w:uiPriority w:val="0"/>
    <w:pPr>
      <w:widowControl w:val="0"/>
      <w:spacing w:line="360" w:lineRule="auto"/>
      <w:ind w:firstLine="200" w:firstLineChars="200"/>
      <w:jc w:val="both"/>
    </w:pPr>
    <w:rPr>
      <w:rFonts w:ascii="Arial" w:hAnsi="Arial"/>
      <w:kern w:val="2"/>
      <w:szCs w:val="20"/>
    </w:rPr>
  </w:style>
  <w:style w:type="paragraph" w:customStyle="1" w:styleId="611">
    <w:name w:val="Item List in Table"/>
    <w:basedOn w:val="1"/>
    <w:qFormat/>
    <w:uiPriority w:val="0"/>
    <w:pPr>
      <w:topLinePunct/>
      <w:adjustRightInd w:val="0"/>
      <w:snapToGrid w:val="0"/>
      <w:spacing w:before="80" w:after="80" w:line="240" w:lineRule="atLeast"/>
      <w:ind w:left="284" w:hanging="284"/>
    </w:pPr>
    <w:rPr>
      <w:rFonts w:ascii="Times New Roman" w:hAnsi="Times New Roman" w:cs="Arial"/>
      <w:sz w:val="21"/>
      <w:szCs w:val="21"/>
    </w:rPr>
  </w:style>
  <w:style w:type="paragraph" w:customStyle="1" w:styleId="612">
    <w:name w:val="dkk表組"/>
    <w:basedOn w:val="1"/>
    <w:qFormat/>
    <w:uiPriority w:val="0"/>
    <w:pPr>
      <w:widowControl w:val="0"/>
      <w:spacing w:after="40" w:line="320" w:lineRule="exact"/>
      <w:jc w:val="both"/>
      <w:textAlignment w:val="baseline"/>
    </w:pPr>
    <w:rPr>
      <w:rFonts w:ascii="Times New Roman" w:hAnsi="Century" w:cs="Times New Roman"/>
      <w:kern w:val="2"/>
      <w:sz w:val="18"/>
    </w:rPr>
  </w:style>
  <w:style w:type="paragraph" w:customStyle="1" w:styleId="613">
    <w:name w:val="_Style 612"/>
    <w:semiHidden/>
    <w:qFormat/>
    <w:uiPriority w:val="99"/>
    <w:rPr>
      <w:rFonts w:ascii="Times New Roman" w:hAnsi="Times New Roman" w:eastAsia="宋体" w:cs="Times New Roman"/>
      <w:kern w:val="2"/>
      <w:sz w:val="21"/>
      <w:szCs w:val="24"/>
      <w:lang w:val="en-US" w:eastAsia="zh-CN" w:bidi="ar-SA"/>
    </w:rPr>
  </w:style>
  <w:style w:type="paragraph" w:customStyle="1" w:styleId="614">
    <w:name w:val="2ji"/>
    <w:basedOn w:val="9"/>
    <w:qFormat/>
    <w:uiPriority w:val="0"/>
    <w:pPr>
      <w:widowControl w:val="0"/>
      <w:tabs>
        <w:tab w:val="left" w:pos="432"/>
      </w:tabs>
      <w:adjustRightInd w:val="0"/>
      <w:snapToGrid w:val="0"/>
      <w:spacing w:before="0" w:after="0" w:line="360" w:lineRule="auto"/>
      <w:jc w:val="both"/>
    </w:pPr>
    <w:rPr>
      <w:rFonts w:ascii="Calibri" w:hAnsi="Calibri" w:eastAsia="宋体"/>
      <w:b w:val="0"/>
      <w:kern w:val="0"/>
      <w:sz w:val="21"/>
      <w:szCs w:val="21"/>
      <w:lang w:val="zh-CN"/>
    </w:rPr>
  </w:style>
  <w:style w:type="paragraph" w:customStyle="1" w:styleId="615">
    <w:name w:val="4"/>
    <w:basedOn w:val="1"/>
    <w:next w:val="43"/>
    <w:qFormat/>
    <w:uiPriority w:val="0"/>
    <w:pPr>
      <w:widowControl w:val="0"/>
      <w:spacing w:line="420" w:lineRule="exact"/>
      <w:ind w:firstLine="409" w:firstLineChars="195"/>
      <w:jc w:val="both"/>
    </w:pPr>
    <w:rPr>
      <w:rFonts w:ascii="Times New Roman" w:hAnsi="Times New Roman" w:cs="Times New Roman"/>
      <w:kern w:val="2"/>
      <w:sz w:val="21"/>
      <w:szCs w:val="21"/>
    </w:rPr>
  </w:style>
  <w:style w:type="paragraph" w:customStyle="1" w:styleId="616">
    <w:name w:val="xl8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color w:val="000000"/>
    </w:rPr>
  </w:style>
  <w:style w:type="paragraph" w:customStyle="1" w:styleId="617">
    <w:name w:val="图1"/>
    <w:basedOn w:val="1"/>
    <w:next w:val="1"/>
    <w:qFormat/>
    <w:uiPriority w:val="0"/>
    <w:pPr>
      <w:tabs>
        <w:tab w:val="left" w:pos="425"/>
      </w:tabs>
      <w:spacing w:beforeLines="50" w:afterLines="100" w:line="360" w:lineRule="auto"/>
      <w:ind w:left="1105" w:hanging="748" w:firstLineChars="200"/>
      <w:jc w:val="center"/>
    </w:pPr>
    <w:rPr>
      <w:rFonts w:ascii="Times New Roman" w:hAnsi="Times New Roman" w:cs="Times New Roman"/>
      <w:sz w:val="21"/>
      <w:szCs w:val="21"/>
    </w:rPr>
  </w:style>
  <w:style w:type="paragraph" w:customStyle="1" w:styleId="618">
    <w:name w:val="Char Char Char Char Char Char Char Char Char Char Char Char Char"/>
    <w:basedOn w:val="1"/>
    <w:qFormat/>
    <w:uiPriority w:val="0"/>
    <w:pPr>
      <w:widowControl w:val="0"/>
      <w:jc w:val="both"/>
    </w:pPr>
    <w:rPr>
      <w:rFonts w:ascii="Tahoma" w:hAnsi="Tahoma" w:cs="Times New Roman"/>
      <w:kern w:val="2"/>
      <w:szCs w:val="20"/>
    </w:rPr>
  </w:style>
  <w:style w:type="paragraph" w:customStyle="1" w:styleId="619">
    <w:name w:val="xl24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620">
    <w:name w:val="xl3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621">
    <w:name w:val="Char Char Char Char Char Char Char Char Char Char Char Char Char Char Char Char"/>
    <w:basedOn w:val="1"/>
    <w:qFormat/>
    <w:uiPriority w:val="0"/>
    <w:pPr>
      <w:widowControl w:val="0"/>
      <w:tabs>
        <w:tab w:val="left" w:pos="360"/>
      </w:tabs>
      <w:spacing w:line="360" w:lineRule="auto"/>
      <w:ind w:left="482" w:firstLine="200" w:firstLineChars="200"/>
      <w:jc w:val="both"/>
    </w:pPr>
    <w:rPr>
      <w:rFonts w:ascii="Calibri" w:hAnsi="Times New Roman" w:cs="Times New Roman"/>
      <w:kern w:val="2"/>
      <w:sz w:val="21"/>
      <w:szCs w:val="21"/>
    </w:rPr>
  </w:style>
  <w:style w:type="paragraph" w:customStyle="1" w:styleId="622">
    <w:name w:val="标题2def"/>
    <w:basedOn w:val="63"/>
    <w:qFormat/>
    <w:uiPriority w:val="0"/>
    <w:pPr>
      <w:overflowPunct w:val="0"/>
      <w:autoSpaceDE w:val="0"/>
      <w:autoSpaceDN w:val="0"/>
      <w:adjustRightInd w:val="0"/>
      <w:snapToGrid w:val="0"/>
      <w:spacing w:before="160" w:after="200" w:line="360" w:lineRule="auto"/>
      <w:textAlignment w:val="baseline"/>
    </w:pPr>
    <w:rPr>
      <w:rFonts w:ascii="Times New Roman" w:hAnsi="宋体" w:eastAsia="仿宋_GB2312" w:cs="Arial"/>
      <w:bCs/>
      <w:spacing w:val="0"/>
      <w:kern w:val="2"/>
      <w:lang w:val="en-GB"/>
    </w:rPr>
  </w:style>
  <w:style w:type="paragraph" w:customStyle="1" w:styleId="623">
    <w:name w:val="小标题"/>
    <w:basedOn w:val="1"/>
    <w:qFormat/>
    <w:uiPriority w:val="0"/>
    <w:pPr>
      <w:widowControl w:val="0"/>
      <w:autoSpaceDE w:val="0"/>
      <w:autoSpaceDN w:val="0"/>
      <w:adjustRightInd w:val="0"/>
      <w:spacing w:before="120" w:line="360" w:lineRule="atLeast"/>
      <w:ind w:left="1134"/>
      <w:textAlignment w:val="baseline"/>
    </w:pPr>
    <w:rPr>
      <w:rFonts w:ascii="Times New Roman" w:hAnsi="Times New Roman" w:eastAsia="黑体" w:cs="Times New Roman"/>
      <w:sz w:val="20"/>
      <w:szCs w:val="20"/>
    </w:rPr>
  </w:style>
  <w:style w:type="paragraph" w:customStyle="1" w:styleId="624">
    <w:name w:val="Char Char2 Char"/>
    <w:basedOn w:val="1"/>
    <w:qFormat/>
    <w:uiPriority w:val="0"/>
    <w:pPr>
      <w:keepNext/>
      <w:keepLines/>
      <w:pageBreakBefore/>
      <w:widowControl w:val="0"/>
      <w:tabs>
        <w:tab w:val="left" w:pos="845"/>
      </w:tabs>
      <w:ind w:left="845" w:hanging="420"/>
      <w:jc w:val="both"/>
    </w:pPr>
    <w:rPr>
      <w:rFonts w:ascii="Tahoma" w:hAnsi="Tahoma" w:cs="Times New Roman"/>
      <w:kern w:val="2"/>
      <w:szCs w:val="20"/>
    </w:rPr>
  </w:style>
  <w:style w:type="paragraph" w:customStyle="1" w:styleId="625">
    <w:name w:val="正文-宋体四号"/>
    <w:basedOn w:val="1"/>
    <w:qFormat/>
    <w:uiPriority w:val="0"/>
    <w:pPr>
      <w:widowControl w:val="0"/>
      <w:spacing w:line="360" w:lineRule="auto"/>
      <w:ind w:firstLine="560" w:firstLineChars="200"/>
      <w:jc w:val="both"/>
    </w:pPr>
    <w:rPr>
      <w:rFonts w:ascii="Times New Roman" w:hAnsi="Times New Roman"/>
      <w:kern w:val="2"/>
      <w:sz w:val="28"/>
      <w:szCs w:val="20"/>
    </w:rPr>
  </w:style>
  <w:style w:type="paragraph" w:customStyle="1" w:styleId="626">
    <w:name w:val="xl10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color w:val="000000"/>
    </w:rPr>
  </w:style>
  <w:style w:type="paragraph" w:customStyle="1" w:styleId="627">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rPr>
  </w:style>
  <w:style w:type="paragraph" w:customStyle="1" w:styleId="628">
    <w:name w:val="font15"/>
    <w:basedOn w:val="1"/>
    <w:qFormat/>
    <w:uiPriority w:val="0"/>
    <w:pPr>
      <w:spacing w:before="100" w:beforeAutospacing="1" w:after="100" w:afterAutospacing="1"/>
    </w:pPr>
    <w:rPr>
      <w:rFonts w:hAnsi="Times New Roman" w:cs="Times New Roman"/>
      <w:color w:val="000000"/>
      <w:sz w:val="20"/>
      <w:szCs w:val="20"/>
    </w:rPr>
  </w:style>
  <w:style w:type="paragraph" w:customStyle="1" w:styleId="629">
    <w:name w:val="Char Char5 Char1"/>
    <w:basedOn w:val="1"/>
    <w:qFormat/>
    <w:uiPriority w:val="0"/>
    <w:pPr>
      <w:widowControl w:val="0"/>
      <w:jc w:val="both"/>
    </w:pPr>
    <w:rPr>
      <w:rFonts w:ascii="Times New Roman" w:hAnsi="Times New Roman" w:cs="Times New Roman"/>
      <w:kern w:val="2"/>
      <w:sz w:val="21"/>
      <w:szCs w:val="20"/>
    </w:rPr>
  </w:style>
  <w:style w:type="paragraph" w:customStyle="1" w:styleId="630">
    <w:name w:val="xl125"/>
    <w:basedOn w:val="1"/>
    <w:qFormat/>
    <w:uiPriority w:val="0"/>
    <w:pPr>
      <w:spacing w:before="100" w:beforeAutospacing="1" w:after="100" w:afterAutospacing="1"/>
      <w:jc w:val="center"/>
    </w:pPr>
    <w:rPr>
      <w:b/>
      <w:bCs/>
      <w:sz w:val="20"/>
      <w:szCs w:val="20"/>
    </w:rPr>
  </w:style>
  <w:style w:type="paragraph" w:customStyle="1" w:styleId="631">
    <w:name w:val="XHH标题9"/>
    <w:qFormat/>
    <w:uiPriority w:val="0"/>
    <w:pPr>
      <w:ind w:left="5102" w:hanging="1700"/>
    </w:pPr>
    <w:rPr>
      <w:rFonts w:ascii="黑体" w:hAnsi="黑体" w:eastAsia="黑体" w:cs="宋体"/>
      <w:kern w:val="2"/>
      <w:sz w:val="28"/>
      <w:szCs w:val="28"/>
      <w:lang w:val="en-US" w:eastAsia="zh-CN" w:bidi="ar-SA"/>
    </w:rPr>
  </w:style>
  <w:style w:type="paragraph" w:customStyle="1" w:styleId="632">
    <w:name w:val="++标题2"/>
    <w:basedOn w:val="9"/>
    <w:qFormat/>
    <w:uiPriority w:val="0"/>
    <w:pPr>
      <w:keepLines w:val="0"/>
      <w:widowControl w:val="0"/>
      <w:tabs>
        <w:tab w:val="left" w:pos="432"/>
      </w:tabs>
      <w:spacing w:beforeLines="50" w:after="0" w:line="240" w:lineRule="auto"/>
      <w:jc w:val="both"/>
    </w:pPr>
    <w:rPr>
      <w:rFonts w:ascii="宋体" w:hAnsi="宋体" w:eastAsia="宋体" w:cs="Arial"/>
      <w:b w:val="0"/>
      <w:kern w:val="0"/>
      <w:sz w:val="24"/>
      <w:szCs w:val="24"/>
    </w:rPr>
  </w:style>
  <w:style w:type="paragraph" w:customStyle="1" w:styleId="633">
    <w:name w:val="正常"/>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4">
    <w:name w:val="xl22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635">
    <w:name w:val="Char Char Char1"/>
    <w:basedOn w:val="1"/>
    <w:qFormat/>
    <w:uiPriority w:val="0"/>
    <w:pPr>
      <w:widowControl w:val="0"/>
      <w:jc w:val="both"/>
    </w:pPr>
    <w:rPr>
      <w:rFonts w:ascii="Times New Roman" w:hAnsi="Times New Roman" w:cs="Times New Roman"/>
      <w:kern w:val="2"/>
      <w:sz w:val="21"/>
      <w:szCs w:val="20"/>
    </w:rPr>
  </w:style>
  <w:style w:type="paragraph" w:customStyle="1" w:styleId="636">
    <w:name w:val="Cnv-2:cell"/>
    <w:qFormat/>
    <w:uiPriority w:val="0"/>
    <w:pPr>
      <w:tabs>
        <w:tab w:val="left" w:pos="0"/>
        <w:tab w:val="left" w:pos="720"/>
        <w:tab w:val="left" w:pos="1440"/>
        <w:tab w:val="left" w:pos="2160"/>
      </w:tabs>
      <w:autoSpaceDE w:val="0"/>
      <w:autoSpaceDN w:val="0"/>
      <w:adjustRightInd w:val="0"/>
      <w:spacing w:line="222" w:lineRule="atLeast"/>
      <w:jc w:val="both"/>
    </w:pPr>
    <w:rPr>
      <w:rFonts w:ascii="Times" w:hAnsi="Times" w:eastAsia="宋体" w:cs="Times New Roman"/>
      <w:lang w:val="en-US" w:eastAsia="en-US" w:bidi="ar-SA"/>
    </w:rPr>
  </w:style>
  <w:style w:type="paragraph" w:customStyle="1" w:styleId="637">
    <w:name w:val="目录4"/>
    <w:basedOn w:val="1"/>
    <w:next w:val="1"/>
    <w:qFormat/>
    <w:uiPriority w:val="0"/>
    <w:pPr>
      <w:tabs>
        <w:tab w:val="left" w:leader="dot" w:pos="8503"/>
      </w:tabs>
      <w:spacing w:line="317" w:lineRule="atLeast"/>
      <w:ind w:firstLine="629"/>
      <w:jc w:val="both"/>
    </w:pPr>
    <w:rPr>
      <w:rFonts w:ascii="Times New Roman" w:hAnsi="Times New Roman" w:cs="Times New Roman"/>
      <w:color w:val="000000"/>
      <w:sz w:val="21"/>
      <w:szCs w:val="20"/>
    </w:rPr>
  </w:style>
  <w:style w:type="paragraph" w:customStyle="1" w:styleId="638">
    <w:name w:val="xl10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Times New Roman" w:cs="Times New Roman"/>
      <w:b/>
      <w:bCs/>
      <w:color w:val="000000"/>
    </w:rPr>
  </w:style>
  <w:style w:type="paragraph" w:customStyle="1" w:styleId="639">
    <w:name w:val="xl24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640">
    <w:name w:val="itemstepintable"/>
    <w:basedOn w:val="1"/>
    <w:qFormat/>
    <w:uiPriority w:val="0"/>
    <w:pPr>
      <w:spacing w:before="100" w:beforeAutospacing="1" w:after="100" w:afterAutospacing="1"/>
    </w:pPr>
    <w:rPr>
      <w:rFonts w:hAnsi="Times New Roman" w:cs="Times New Roman"/>
    </w:rPr>
  </w:style>
  <w:style w:type="paragraph" w:customStyle="1" w:styleId="641">
    <w:name w:val="表格标题(居中)"/>
    <w:basedOn w:val="1"/>
    <w:qFormat/>
    <w:uiPriority w:val="0"/>
    <w:pPr>
      <w:snapToGrid w:val="0"/>
      <w:jc w:val="center"/>
    </w:pPr>
    <w:rPr>
      <w:rFonts w:eastAsia="黑体"/>
    </w:rPr>
  </w:style>
  <w:style w:type="paragraph" w:customStyle="1" w:styleId="642">
    <w:name w:val="font16"/>
    <w:basedOn w:val="1"/>
    <w:qFormat/>
    <w:uiPriority w:val="0"/>
    <w:pPr>
      <w:spacing w:before="100" w:beforeAutospacing="1" w:after="100" w:afterAutospacing="1"/>
    </w:pPr>
    <w:rPr>
      <w:rFonts w:hAnsi="Times New Roman" w:cs="Times New Roman"/>
      <w:sz w:val="22"/>
      <w:szCs w:val="21"/>
    </w:rPr>
  </w:style>
  <w:style w:type="paragraph" w:customStyle="1" w:styleId="643">
    <w:name w:val="xl21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644">
    <w:name w:val="此正文"/>
    <w:basedOn w:val="1"/>
    <w:qFormat/>
    <w:uiPriority w:val="0"/>
    <w:pPr>
      <w:spacing w:line="360" w:lineRule="auto"/>
      <w:ind w:firstLine="200" w:firstLineChars="200"/>
    </w:pPr>
    <w:rPr>
      <w:sz w:val="24"/>
    </w:rPr>
  </w:style>
  <w:style w:type="paragraph" w:customStyle="1" w:styleId="645">
    <w:name w:val="2"/>
    <w:basedOn w:val="1"/>
    <w:qFormat/>
    <w:uiPriority w:val="0"/>
    <w:pPr>
      <w:widowControl/>
      <w:spacing w:before="100" w:beforeAutospacing="1" w:after="100" w:afterAutospacing="1"/>
      <w:jc w:val="left"/>
    </w:pPr>
    <w:rPr>
      <w:rFonts w:ascii="宋体" w:hAnsi="宋体" w:cs="宋体"/>
      <w:kern w:val="0"/>
      <w:sz w:val="24"/>
    </w:rPr>
  </w:style>
  <w:style w:type="paragraph" w:customStyle="1" w:styleId="646">
    <w:name w:val="Default Text"/>
    <w:basedOn w:val="1"/>
    <w:qFormat/>
    <w:uiPriority w:val="0"/>
    <w:pPr>
      <w:overflowPunct w:val="0"/>
      <w:autoSpaceDE w:val="0"/>
      <w:autoSpaceDN w:val="0"/>
      <w:adjustRightInd w:val="0"/>
    </w:pPr>
    <w:rPr>
      <w:rFonts w:ascii="Calibri" w:hAnsi="Calibri" w:cs="Calibri"/>
      <w:color w:val="000000"/>
      <w:sz w:val="21"/>
      <w:szCs w:val="21"/>
    </w:rPr>
  </w:style>
  <w:style w:type="paragraph" w:customStyle="1" w:styleId="647">
    <w:name w:val="pa-2"/>
    <w:basedOn w:val="1"/>
    <w:qFormat/>
    <w:uiPriority w:val="0"/>
    <w:pPr>
      <w:spacing w:line="240" w:lineRule="atLeast"/>
      <w:ind w:firstLine="440"/>
      <w:jc w:val="both"/>
    </w:pPr>
    <w:rPr>
      <w:rFonts w:hAnsi="Times New Roman" w:cs="Times New Roman"/>
    </w:rPr>
  </w:style>
  <w:style w:type="paragraph" w:customStyle="1" w:styleId="648">
    <w:name w:val="正文－恩普"/>
    <w:basedOn w:val="14"/>
    <w:qFormat/>
    <w:uiPriority w:val="0"/>
    <w:pPr>
      <w:framePr w:wrap="around" w:vAnchor="text" w:hAnchor="text" w:y="1"/>
      <w:spacing w:line="360" w:lineRule="auto"/>
      <w:ind w:firstLine="200"/>
    </w:pPr>
    <w:rPr>
      <w:sz w:val="24"/>
    </w:rPr>
  </w:style>
  <w:style w:type="paragraph" w:customStyle="1" w:styleId="649">
    <w:name w:val="xl137"/>
    <w:basedOn w:val="1"/>
    <w:qFormat/>
    <w:uiPriority w:val="0"/>
    <w:pPr>
      <w:spacing w:before="100" w:beforeAutospacing="1" w:after="100" w:afterAutospacing="1"/>
      <w:textAlignment w:val="bottom"/>
    </w:pPr>
  </w:style>
  <w:style w:type="paragraph" w:customStyle="1" w:styleId="650">
    <w:name w:val="图表目录1"/>
    <w:basedOn w:val="1"/>
    <w:next w:val="1"/>
    <w:qFormat/>
    <w:uiPriority w:val="0"/>
    <w:pPr>
      <w:widowControl w:val="0"/>
      <w:snapToGrid w:val="0"/>
      <w:spacing w:line="360" w:lineRule="auto"/>
      <w:ind w:left="200" w:leftChars="200" w:hanging="200" w:hangingChars="200"/>
      <w:jc w:val="center"/>
    </w:pPr>
    <w:rPr>
      <w:rFonts w:ascii="Calibri" w:hAnsi="Calibri" w:cs="Times New Roman"/>
      <w:b/>
      <w:kern w:val="2"/>
      <w:sz w:val="32"/>
      <w:szCs w:val="32"/>
    </w:rPr>
  </w:style>
  <w:style w:type="paragraph" w:customStyle="1" w:styleId="651">
    <w:name w:val="标题3def"/>
    <w:basedOn w:val="10"/>
    <w:next w:val="1"/>
    <w:qFormat/>
    <w:uiPriority w:val="0"/>
    <w:pPr>
      <w:widowControl w:val="0"/>
      <w:tabs>
        <w:tab w:val="left" w:pos="432"/>
        <w:tab w:val="left" w:pos="1200"/>
      </w:tabs>
      <w:adjustRightInd w:val="0"/>
      <w:snapToGrid w:val="0"/>
      <w:spacing w:before="80" w:after="160" w:line="400" w:lineRule="exact"/>
      <w:jc w:val="both"/>
    </w:pPr>
    <w:rPr>
      <w:rFonts w:ascii="仿宋_GB2312" w:hAnsi="宋体" w:eastAsia="仿宋_GB2312"/>
      <w:bCs w:val="0"/>
      <w:sz w:val="24"/>
      <w:szCs w:val="20"/>
    </w:rPr>
  </w:style>
  <w:style w:type="paragraph" w:customStyle="1" w:styleId="652">
    <w:name w:val="xl10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w:hAnsi="Arial" w:cs="Arial"/>
    </w:rPr>
  </w:style>
  <w:style w:type="paragraph" w:customStyle="1" w:styleId="653">
    <w:name w:val="xl132"/>
    <w:basedOn w:val="1"/>
    <w:qFormat/>
    <w:uiPriority w:val="0"/>
    <w:pPr>
      <w:spacing w:before="100" w:beforeAutospacing="1" w:after="100" w:afterAutospacing="1"/>
    </w:pPr>
  </w:style>
  <w:style w:type="paragraph" w:customStyle="1" w:styleId="654">
    <w:name w:val="xl8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color w:val="FF0000"/>
      <w:sz w:val="20"/>
      <w:szCs w:val="20"/>
    </w:rPr>
  </w:style>
  <w:style w:type="paragraph" w:customStyle="1" w:styleId="655">
    <w:name w:val="标题 2h2sect"/>
    <w:next w:val="1"/>
    <w:qFormat/>
    <w:uiPriority w:val="0"/>
    <w:pPr>
      <w:tabs>
        <w:tab w:val="left" w:pos="425"/>
      </w:tabs>
      <w:spacing w:before="120" w:after="120" w:line="360" w:lineRule="auto"/>
      <w:ind w:left="425" w:hanging="425"/>
    </w:pPr>
    <w:rPr>
      <w:rFonts w:ascii="Times New Roman" w:hAnsi="宋体" w:eastAsia="宋体" w:cs="宋体"/>
      <w:b/>
      <w:bCs/>
      <w:color w:val="000000"/>
      <w:kern w:val="2"/>
      <w:sz w:val="30"/>
      <w:szCs w:val="30"/>
      <w:lang w:val="en-US" w:eastAsia="zh-CN" w:bidi="ar-SA"/>
    </w:rPr>
  </w:style>
  <w:style w:type="paragraph" w:customStyle="1" w:styleId="656">
    <w:name w:val="正文字缩2字"/>
    <w:basedOn w:val="1"/>
    <w:qFormat/>
    <w:uiPriority w:val="0"/>
    <w:pPr>
      <w:widowControl w:val="0"/>
      <w:spacing w:before="60" w:after="60" w:line="360" w:lineRule="auto"/>
      <w:ind w:left="200" w:leftChars="200" w:firstLine="200" w:firstLineChars="200"/>
      <w:jc w:val="both"/>
    </w:pPr>
    <w:rPr>
      <w:rFonts w:ascii="Times New Roman" w:hAnsi="Times New Roman" w:cs="Times New Roman"/>
      <w:kern w:val="2"/>
    </w:rPr>
  </w:style>
  <w:style w:type="paragraph" w:customStyle="1" w:styleId="657">
    <w:name w:val="默认段落字体 Para Char Char Char Char Char Char Char Char Char1 Char"/>
    <w:basedOn w:val="1"/>
    <w:qFormat/>
    <w:uiPriority w:val="0"/>
    <w:rPr>
      <w:rFonts w:ascii="Tahoma" w:hAnsi="Tahoma"/>
      <w:sz w:val="24"/>
      <w:szCs w:val="20"/>
    </w:rPr>
  </w:style>
  <w:style w:type="paragraph" w:customStyle="1" w:styleId="658">
    <w:name w:val="样式 目录 3 + 左侧:  2 字符1"/>
    <w:basedOn w:val="36"/>
    <w:qFormat/>
    <w:uiPriority w:val="0"/>
    <w:pPr>
      <w:widowControl w:val="0"/>
      <w:tabs>
        <w:tab w:val="left" w:pos="1560"/>
        <w:tab w:val="left" w:pos="1701"/>
        <w:tab w:val="right" w:leader="dot" w:pos="8296"/>
      </w:tabs>
      <w:snapToGrid w:val="0"/>
      <w:spacing w:line="360" w:lineRule="auto"/>
      <w:ind w:left="960" w:leftChars="0"/>
    </w:pPr>
    <w:rPr>
      <w:rFonts w:ascii="Calibri" w:hAnsi="Calibri" w:cs="Calibri"/>
      <w:b/>
      <w:i/>
      <w:iCs/>
      <w:kern w:val="2"/>
      <w:sz w:val="20"/>
    </w:rPr>
  </w:style>
  <w:style w:type="paragraph" w:customStyle="1" w:styleId="659">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0">
    <w:name w:val="操作ステップ説明"/>
    <w:basedOn w:val="1"/>
    <w:qFormat/>
    <w:uiPriority w:val="0"/>
    <w:pPr>
      <w:spacing w:line="340" w:lineRule="exact"/>
      <w:ind w:left="1559" w:right="-57"/>
    </w:pPr>
    <w:rPr>
      <w:rFonts w:ascii="Century" w:hAnsi="Century" w:cs="Times New Roman"/>
      <w:kern w:val="2"/>
      <w:sz w:val="20"/>
    </w:rPr>
  </w:style>
  <w:style w:type="paragraph" w:customStyle="1" w:styleId="661">
    <w:name w:val="索引 51"/>
    <w:basedOn w:val="1"/>
    <w:next w:val="1"/>
    <w:qFormat/>
    <w:uiPriority w:val="0"/>
    <w:pPr>
      <w:widowControl w:val="0"/>
      <w:snapToGrid w:val="0"/>
      <w:spacing w:line="360" w:lineRule="auto"/>
      <w:ind w:left="800" w:leftChars="800"/>
      <w:jc w:val="center"/>
    </w:pPr>
    <w:rPr>
      <w:rFonts w:ascii="Calibri" w:hAnsi="Calibri" w:cs="Times New Roman"/>
      <w:b/>
      <w:kern w:val="2"/>
      <w:sz w:val="32"/>
      <w:szCs w:val="32"/>
    </w:rPr>
  </w:style>
  <w:style w:type="paragraph" w:customStyle="1" w:styleId="662">
    <w:name w:val="xl232"/>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Arial" w:hAnsi="Arial" w:cs="Arial"/>
      <w:color w:val="000000"/>
      <w:sz w:val="20"/>
      <w:szCs w:val="20"/>
    </w:rPr>
  </w:style>
  <w:style w:type="paragraph" w:customStyle="1" w:styleId="663">
    <w:name w:val="xl7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b/>
      <w:bCs/>
      <w:u w:val="single"/>
    </w:rPr>
  </w:style>
  <w:style w:type="paragraph" w:customStyle="1" w:styleId="664">
    <w:name w:val="xl10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color w:val="000000"/>
    </w:rPr>
  </w:style>
  <w:style w:type="paragraph" w:customStyle="1" w:styleId="665">
    <w:name w:val="444"/>
    <w:basedOn w:val="1"/>
    <w:qFormat/>
    <w:uiPriority w:val="0"/>
    <w:pPr>
      <w:widowControl w:val="0"/>
      <w:adjustRightInd w:val="0"/>
      <w:spacing w:line="312" w:lineRule="atLeast"/>
      <w:jc w:val="center"/>
    </w:pPr>
    <w:rPr>
      <w:rFonts w:ascii="Times New Roman" w:hAnsi="Times New Roman" w:cs="Times New Roman"/>
      <w:b/>
      <w:sz w:val="36"/>
      <w:szCs w:val="36"/>
    </w:rPr>
  </w:style>
  <w:style w:type="paragraph" w:customStyle="1" w:styleId="666">
    <w:name w:val="默认段落字体 Para Char Char Char Char Char Char Char Char Char1 Char Char Char Char"/>
    <w:basedOn w:val="1"/>
    <w:qFormat/>
    <w:uiPriority w:val="0"/>
    <w:pPr>
      <w:widowControl w:val="0"/>
      <w:jc w:val="both"/>
    </w:pPr>
    <w:rPr>
      <w:rFonts w:ascii="Tahoma" w:hAnsi="Tahoma" w:eastAsia="仿宋_GB2312"/>
      <w:b/>
      <w:bCs/>
      <w:color w:val="000000"/>
      <w:szCs w:val="20"/>
    </w:rPr>
  </w:style>
  <w:style w:type="paragraph" w:customStyle="1" w:styleId="667">
    <w:name w:val="正文文本 31"/>
    <w:basedOn w:val="1"/>
    <w:qFormat/>
    <w:uiPriority w:val="0"/>
    <w:pPr>
      <w:widowControl w:val="0"/>
      <w:snapToGrid w:val="0"/>
      <w:spacing w:after="120" w:line="360" w:lineRule="auto"/>
      <w:jc w:val="center"/>
    </w:pPr>
    <w:rPr>
      <w:rFonts w:ascii="Times New Roman" w:hAnsi="Times New Roman" w:cs="Times New Roman"/>
      <w:sz w:val="16"/>
      <w:szCs w:val="16"/>
    </w:rPr>
  </w:style>
  <w:style w:type="paragraph" w:customStyle="1" w:styleId="668">
    <w:name w:val="Char1"/>
    <w:basedOn w:val="1"/>
    <w:qFormat/>
    <w:uiPriority w:val="0"/>
    <w:pPr>
      <w:widowControl w:val="0"/>
      <w:jc w:val="both"/>
    </w:pPr>
    <w:rPr>
      <w:rFonts w:ascii="Tahoma" w:hAnsi="Tahoma" w:cs="Times New Roman"/>
      <w:kern w:val="2"/>
      <w:szCs w:val="20"/>
    </w:rPr>
  </w:style>
  <w:style w:type="paragraph" w:customStyle="1" w:styleId="669">
    <w:name w:val="PM_Tabelle Text"/>
    <w:basedOn w:val="1"/>
    <w:next w:val="1"/>
    <w:qFormat/>
    <w:uiPriority w:val="0"/>
    <w:pPr>
      <w:widowControl w:val="0"/>
      <w:autoSpaceDE w:val="0"/>
      <w:autoSpaceDN w:val="0"/>
      <w:adjustRightInd w:val="0"/>
    </w:pPr>
    <w:rPr>
      <w:rFonts w:ascii="Arial" w:hAnsi="Arial" w:cs="Times New Roman"/>
    </w:rPr>
  </w:style>
  <w:style w:type="paragraph" w:customStyle="1" w:styleId="670">
    <w:name w:val="_Style 103"/>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71">
    <w:name w:val="列表内容"/>
    <w:basedOn w:val="1"/>
    <w:next w:val="1"/>
    <w:qFormat/>
    <w:uiPriority w:val="0"/>
    <w:pPr>
      <w:autoSpaceDE w:val="0"/>
      <w:autoSpaceDN w:val="0"/>
      <w:adjustRightInd w:val="0"/>
      <w:ind w:firstLine="200"/>
    </w:pPr>
    <w:rPr>
      <w:rFonts w:ascii="Times New Roman" w:hAnsi="Times New Roman" w:cs="Times New Roman"/>
      <w:sz w:val="18"/>
      <w:szCs w:val="20"/>
    </w:rPr>
  </w:style>
  <w:style w:type="paragraph" w:customStyle="1" w:styleId="672">
    <w:name w:val="排列"/>
    <w:basedOn w:val="1"/>
    <w:qFormat/>
    <w:uiPriority w:val="0"/>
    <w:pPr>
      <w:autoSpaceDE w:val="0"/>
      <w:autoSpaceDN w:val="0"/>
      <w:adjustRightInd w:val="0"/>
      <w:spacing w:line="360" w:lineRule="auto"/>
    </w:pPr>
    <w:rPr>
      <w:rFonts w:cs="Times New Roman"/>
      <w:sz w:val="20"/>
      <w:szCs w:val="20"/>
      <w:lang w:val="zh-CN"/>
    </w:rPr>
  </w:style>
  <w:style w:type="paragraph" w:customStyle="1" w:styleId="673">
    <w:name w:val="目录1"/>
    <w:basedOn w:val="1"/>
    <w:next w:val="1"/>
    <w:qFormat/>
    <w:uiPriority w:val="0"/>
    <w:pPr>
      <w:tabs>
        <w:tab w:val="left" w:leader="dot" w:pos="8503"/>
      </w:tabs>
      <w:spacing w:after="136" w:line="289" w:lineRule="atLeast"/>
    </w:pPr>
    <w:rPr>
      <w:rFonts w:ascii="Arial" w:hAnsi="Times New Roman" w:eastAsia="黑体" w:cs="Times New Roman"/>
      <w:color w:val="000000"/>
      <w:sz w:val="28"/>
      <w:szCs w:val="20"/>
    </w:rPr>
  </w:style>
  <w:style w:type="paragraph" w:customStyle="1" w:styleId="674">
    <w:name w:val="正文 New New New"/>
    <w:qFormat/>
    <w:uiPriority w:val="0"/>
    <w:pPr>
      <w:jc w:val="both"/>
    </w:pPr>
    <w:rPr>
      <w:rFonts w:ascii="Times New Roman" w:hAnsi="Times New Roman" w:eastAsia="宋体" w:cs="Times New Roman"/>
      <w:kern w:val="2"/>
      <w:sz w:val="21"/>
      <w:lang w:val="en-US" w:eastAsia="zh-CN" w:bidi="ar-SA"/>
    </w:rPr>
  </w:style>
  <w:style w:type="paragraph" w:customStyle="1" w:styleId="675">
    <w:name w:val="样式 四号 行距: 1.5 倍行距"/>
    <w:basedOn w:val="1"/>
    <w:qFormat/>
    <w:uiPriority w:val="0"/>
    <w:pPr>
      <w:widowControl w:val="0"/>
      <w:spacing w:line="312" w:lineRule="auto"/>
      <w:ind w:firstLine="202" w:firstLineChars="202"/>
      <w:jc w:val="both"/>
    </w:pPr>
    <w:rPr>
      <w:rFonts w:ascii="Times New Roman" w:hAnsi="Times New Roman" w:cs="Times New Roman"/>
      <w:kern w:val="2"/>
      <w:szCs w:val="20"/>
    </w:rPr>
  </w:style>
  <w:style w:type="paragraph" w:customStyle="1" w:styleId="676">
    <w:name w:val="文章附标题"/>
    <w:basedOn w:val="1"/>
    <w:next w:val="8"/>
    <w:qFormat/>
    <w:uiPriority w:val="0"/>
    <w:pPr>
      <w:spacing w:before="187" w:after="175" w:line="374" w:lineRule="atLeast"/>
      <w:jc w:val="center"/>
    </w:pPr>
    <w:rPr>
      <w:rFonts w:ascii="Times New Roman" w:hAnsi="Times New Roman" w:cs="Times New Roman"/>
      <w:color w:val="000000"/>
      <w:sz w:val="36"/>
      <w:szCs w:val="20"/>
    </w:rPr>
  </w:style>
  <w:style w:type="paragraph" w:customStyle="1" w:styleId="677">
    <w:name w:val="样式 宋体 行距: 多倍行距 1.25 字行"/>
    <w:basedOn w:val="1"/>
    <w:qFormat/>
    <w:uiPriority w:val="0"/>
    <w:pPr>
      <w:spacing w:line="300" w:lineRule="auto"/>
    </w:pPr>
    <w:rPr>
      <w:rFonts w:ascii="宋体" w:hAnsi="宋体" w:cs="宋体"/>
      <w:szCs w:val="20"/>
    </w:rPr>
  </w:style>
  <w:style w:type="paragraph" w:customStyle="1" w:styleId="678">
    <w:name w:val="有符号正文"/>
    <w:basedOn w:val="1"/>
    <w:qFormat/>
    <w:uiPriority w:val="0"/>
    <w:pPr>
      <w:widowControl w:val="0"/>
      <w:numPr>
        <w:ilvl w:val="0"/>
        <w:numId w:val="4"/>
      </w:numPr>
      <w:spacing w:line="400" w:lineRule="exact"/>
      <w:ind w:left="426" w:firstLine="0"/>
      <w:jc w:val="both"/>
    </w:pPr>
    <w:rPr>
      <w:rFonts w:ascii="Arial" w:hAnsi="Arial" w:eastAsia="微软雅黑" w:cs="Times New Roman"/>
      <w:kern w:val="2"/>
      <w:sz w:val="21"/>
    </w:rPr>
  </w:style>
  <w:style w:type="paragraph" w:customStyle="1" w:styleId="679">
    <w:name w:val="CM26"/>
    <w:basedOn w:val="1"/>
    <w:next w:val="1"/>
    <w:qFormat/>
    <w:uiPriority w:val="0"/>
    <w:pPr>
      <w:widowControl w:val="0"/>
      <w:autoSpaceDE w:val="0"/>
      <w:autoSpaceDN w:val="0"/>
      <w:adjustRightInd w:val="0"/>
      <w:spacing w:line="468" w:lineRule="atLeast"/>
    </w:pPr>
    <w:rPr>
      <w:rFonts w:hAnsi="Times New Roman" w:cs="Times New Roman"/>
    </w:rPr>
  </w:style>
  <w:style w:type="paragraph" w:customStyle="1" w:styleId="680">
    <w:name w:val="font6"/>
    <w:basedOn w:val="1"/>
    <w:qFormat/>
    <w:uiPriority w:val="0"/>
    <w:pPr>
      <w:widowControl/>
      <w:spacing w:before="100" w:beforeAutospacing="1" w:after="100" w:afterAutospacing="1"/>
      <w:jc w:val="left"/>
    </w:pPr>
    <w:rPr>
      <w:rFonts w:eastAsia="Arial Unicode MS"/>
      <w:kern w:val="0"/>
      <w:szCs w:val="21"/>
      <w:lang w:eastAsia="en-US"/>
    </w:rPr>
  </w:style>
  <w:style w:type="paragraph" w:customStyle="1" w:styleId="681">
    <w:name w:val="xl10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b/>
      <w:bCs/>
      <w:color w:val="000000"/>
    </w:rPr>
  </w:style>
  <w:style w:type="paragraph" w:customStyle="1" w:styleId="682">
    <w:name w:val="1正文"/>
    <w:basedOn w:val="1"/>
    <w:qFormat/>
    <w:uiPriority w:val="0"/>
    <w:pPr>
      <w:widowControl w:val="0"/>
      <w:adjustRightInd w:val="0"/>
      <w:spacing w:line="300" w:lineRule="auto"/>
      <w:ind w:firstLine="480"/>
      <w:jc w:val="both"/>
    </w:pPr>
    <w:rPr>
      <w:rFonts w:ascii="Times New Roman" w:hAnsi="Times New Roman" w:cs="Times New Roman"/>
      <w:sz w:val="21"/>
      <w:szCs w:val="20"/>
    </w:rPr>
  </w:style>
  <w:style w:type="paragraph" w:customStyle="1" w:styleId="683">
    <w:name w:val="xl9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color w:val="FF0000"/>
    </w:rPr>
  </w:style>
  <w:style w:type="paragraph" w:customStyle="1" w:styleId="684">
    <w:name w:val="ul"/>
    <w:basedOn w:val="1"/>
    <w:qFormat/>
    <w:uiPriority w:val="0"/>
    <w:pPr>
      <w:numPr>
        <w:ilvl w:val="0"/>
        <w:numId w:val="10"/>
      </w:numPr>
      <w:spacing w:line="360" w:lineRule="auto"/>
      <w:ind w:left="0"/>
      <w:jc w:val="both"/>
    </w:pPr>
    <w:rPr>
      <w:rFonts w:ascii="Times New Roman" w:hAnsi="Times New Roman" w:cs="Times New Roman"/>
    </w:rPr>
  </w:style>
  <w:style w:type="paragraph" w:customStyle="1" w:styleId="685">
    <w:name w:val="样式5"/>
    <w:basedOn w:val="14"/>
    <w:qFormat/>
    <w:uiPriority w:val="0"/>
    <w:pPr>
      <w:widowControl w:val="0"/>
      <w:spacing w:line="360" w:lineRule="auto"/>
      <w:ind w:firstLine="200"/>
      <w:jc w:val="both"/>
    </w:pPr>
    <w:rPr>
      <w:rFonts w:ascii="Times New Roman" w:hAnsi="Times New Roman"/>
      <w:sz w:val="28"/>
      <w:szCs w:val="21"/>
    </w:rPr>
  </w:style>
  <w:style w:type="paragraph" w:customStyle="1" w:styleId="686">
    <w:name w:val="三号 居中"/>
    <w:basedOn w:val="1"/>
    <w:qFormat/>
    <w:uiPriority w:val="0"/>
    <w:pPr>
      <w:widowControl w:val="0"/>
      <w:snapToGrid w:val="0"/>
      <w:spacing w:line="360" w:lineRule="auto"/>
      <w:jc w:val="center"/>
    </w:pPr>
    <w:rPr>
      <w:rFonts w:ascii="黑体" w:hAnsi="Calibri" w:eastAsia="黑体" w:cs="Times New Roman"/>
      <w:b/>
      <w:spacing w:val="1"/>
      <w:sz w:val="32"/>
      <w:szCs w:val="20"/>
    </w:rPr>
  </w:style>
  <w:style w:type="paragraph" w:customStyle="1" w:styleId="687">
    <w:name w:val="样式 样式 正文文本缩进 + 仿宋_GB2312 小四 首行缩进:  0 厘米 行距: 1.5 倍行距 + (中文) 仿宋_GB... Char Char"/>
    <w:basedOn w:val="1"/>
    <w:qFormat/>
    <w:uiPriority w:val="0"/>
    <w:pPr>
      <w:widowControl w:val="0"/>
      <w:autoSpaceDE w:val="0"/>
      <w:autoSpaceDN w:val="0"/>
      <w:adjustRightInd w:val="0"/>
      <w:spacing w:line="360" w:lineRule="auto"/>
      <w:ind w:firstLine="480" w:firstLineChars="200"/>
    </w:pPr>
    <w:rPr>
      <w:rFonts w:ascii="仿宋_GB2312" w:hAnsi="Times New Roman" w:eastAsia="新宋体" w:cs="Times New Roman"/>
      <w:szCs w:val="20"/>
    </w:rPr>
  </w:style>
  <w:style w:type="paragraph" w:customStyle="1" w:styleId="688">
    <w:name w:val="样式目录三"/>
    <w:basedOn w:val="36"/>
    <w:qFormat/>
    <w:uiPriority w:val="0"/>
    <w:pPr>
      <w:widowControl w:val="0"/>
      <w:spacing w:line="360" w:lineRule="auto"/>
      <w:ind w:left="0" w:leftChars="0"/>
    </w:pPr>
    <w:rPr>
      <w:rFonts w:ascii="Calibri" w:hAnsi="Calibri" w:cs="Times New Roman"/>
      <w:kern w:val="2"/>
      <w:szCs w:val="22"/>
    </w:rPr>
  </w:style>
  <w:style w:type="paragraph" w:customStyle="1" w:styleId="689">
    <w:name w:val="Char Char2 Char Char"/>
    <w:basedOn w:val="1"/>
    <w:qFormat/>
    <w:uiPriority w:val="0"/>
    <w:pPr>
      <w:spacing w:line="400" w:lineRule="exact"/>
      <w:jc w:val="center"/>
    </w:pPr>
    <w:rPr>
      <w:rFonts w:ascii="Verdana" w:hAnsi="Verdana" w:cs="Times New Roman"/>
      <w:sz w:val="21"/>
      <w:szCs w:val="20"/>
      <w:lang w:eastAsia="en-US"/>
    </w:rPr>
  </w:style>
  <w:style w:type="paragraph" w:customStyle="1" w:styleId="690">
    <w:name w:val="xl6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b/>
      <w:bCs/>
    </w:rPr>
  </w:style>
  <w:style w:type="paragraph" w:customStyle="1" w:styleId="691">
    <w:name w:val="_Style 239"/>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92">
    <w:name w:val="正文缩进 New"/>
    <w:basedOn w:val="1"/>
    <w:qFormat/>
    <w:uiPriority w:val="0"/>
    <w:pPr>
      <w:widowControl w:val="0"/>
      <w:ind w:firstLine="420" w:firstLineChars="200"/>
      <w:jc w:val="both"/>
    </w:pPr>
    <w:rPr>
      <w:rFonts w:ascii="Times New Roman" w:hAnsi="Times New Roman" w:cs="Times New Roman"/>
      <w:kern w:val="2"/>
      <w:sz w:val="21"/>
      <w:szCs w:val="20"/>
    </w:rPr>
  </w:style>
  <w:style w:type="paragraph" w:customStyle="1" w:styleId="693">
    <w:name w:val="样式 标题 3 + (西文) Arial (中文) 楷体_GB2312 加粗 非倾斜 段前: 0 磅 段后: 0.2 ..."/>
    <w:basedOn w:val="10"/>
    <w:qFormat/>
    <w:uiPriority w:val="0"/>
    <w:pPr>
      <w:tabs>
        <w:tab w:val="left" w:pos="709"/>
      </w:tabs>
      <w:spacing w:before="0" w:after="4" w:line="288" w:lineRule="auto"/>
      <w:ind w:left="709" w:hanging="709"/>
    </w:pPr>
    <w:rPr>
      <w:rFonts w:ascii="Arial" w:hAnsi="Arial" w:eastAsia="楷体_GB2312" w:cs="宋体"/>
      <w:b w:val="0"/>
      <w:kern w:val="24"/>
      <w:sz w:val="24"/>
      <w:szCs w:val="24"/>
      <w:lang w:eastAsia="zh-TW"/>
    </w:rPr>
  </w:style>
  <w:style w:type="paragraph" w:customStyle="1" w:styleId="694">
    <w:name w:val="Char1 Char Char Char1"/>
    <w:basedOn w:val="1"/>
    <w:qFormat/>
    <w:uiPriority w:val="0"/>
    <w:pPr>
      <w:widowControl w:val="0"/>
      <w:jc w:val="both"/>
    </w:pPr>
    <w:rPr>
      <w:rFonts w:ascii="Times New Roman" w:hAnsi="Times New Roman" w:cs="Times New Roman"/>
      <w:b/>
      <w:kern w:val="2"/>
      <w:sz w:val="32"/>
      <w:szCs w:val="32"/>
    </w:rPr>
  </w:style>
  <w:style w:type="paragraph" w:customStyle="1" w:styleId="695">
    <w:name w:val="xl22"/>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right"/>
    </w:pPr>
    <w:rPr>
      <w:rFonts w:ascii="Times New Roman" w:hAnsi="Times New Roman" w:cs="Times New Roman"/>
      <w:color w:val="000000"/>
      <w:sz w:val="18"/>
      <w:szCs w:val="18"/>
    </w:rPr>
  </w:style>
  <w:style w:type="paragraph" w:customStyle="1" w:styleId="696">
    <w:name w:val="Char Char Char Char Char Char1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697">
    <w:name w:val="xl85"/>
    <w:basedOn w:val="1"/>
    <w:qFormat/>
    <w:uiPriority w:val="0"/>
    <w:pPr>
      <w:spacing w:before="100" w:beforeAutospacing="1" w:after="100" w:afterAutospacing="1"/>
      <w:jc w:val="center"/>
      <w:textAlignment w:val="center"/>
    </w:pPr>
    <w:rPr>
      <w:rFonts w:ascii="仿宋" w:hAnsi="仿宋" w:eastAsia="仿宋" w:cs="Times New Roman"/>
      <w:b/>
      <w:bCs/>
      <w:sz w:val="20"/>
      <w:szCs w:val="20"/>
    </w:rPr>
  </w:style>
  <w:style w:type="paragraph" w:customStyle="1" w:styleId="698">
    <w:name w:val="需求文档正文样式"/>
    <w:basedOn w:val="1"/>
    <w:qFormat/>
    <w:uiPriority w:val="0"/>
    <w:pPr>
      <w:widowControl w:val="0"/>
      <w:spacing w:line="360" w:lineRule="auto"/>
      <w:ind w:firstLine="437"/>
      <w:jc w:val="both"/>
    </w:pPr>
    <w:rPr>
      <w:rFonts w:ascii="Times New Roman" w:hAnsi="Times New Roman" w:cs="Times New Roman"/>
      <w:kern w:val="2"/>
      <w:sz w:val="21"/>
      <w:szCs w:val="21"/>
    </w:rPr>
  </w:style>
  <w:style w:type="paragraph" w:customStyle="1" w:styleId="699">
    <w:name w:val="CM5"/>
    <w:basedOn w:val="1"/>
    <w:next w:val="1"/>
    <w:qFormat/>
    <w:uiPriority w:val="0"/>
    <w:pPr>
      <w:widowControl w:val="0"/>
      <w:autoSpaceDE w:val="0"/>
      <w:autoSpaceDN w:val="0"/>
      <w:adjustRightInd w:val="0"/>
      <w:spacing w:line="400" w:lineRule="atLeast"/>
      <w:ind w:firstLine="200" w:firstLineChars="200"/>
    </w:pPr>
    <w:rPr>
      <w:rFonts w:ascii="Times New Roman" w:hAnsi="Times New Roman" w:cs="Times New Roman"/>
      <w:sz w:val="21"/>
      <w:szCs w:val="21"/>
    </w:rPr>
  </w:style>
  <w:style w:type="paragraph" w:customStyle="1" w:styleId="70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701">
    <w:name w:val="索引 61"/>
    <w:basedOn w:val="1"/>
    <w:next w:val="1"/>
    <w:qFormat/>
    <w:uiPriority w:val="0"/>
    <w:pPr>
      <w:widowControl w:val="0"/>
      <w:snapToGrid w:val="0"/>
      <w:spacing w:line="360" w:lineRule="auto"/>
      <w:ind w:left="1000" w:leftChars="1000"/>
      <w:jc w:val="center"/>
    </w:pPr>
    <w:rPr>
      <w:rFonts w:ascii="Calibri" w:hAnsi="Calibri" w:cs="Times New Roman"/>
      <w:b/>
      <w:kern w:val="2"/>
      <w:sz w:val="32"/>
      <w:szCs w:val="32"/>
    </w:rPr>
  </w:style>
  <w:style w:type="paragraph" w:customStyle="1" w:styleId="702">
    <w:name w:val="0正文"/>
    <w:basedOn w:val="1"/>
    <w:qFormat/>
    <w:uiPriority w:val="0"/>
    <w:pPr>
      <w:widowControl w:val="0"/>
      <w:adjustRightInd w:val="0"/>
      <w:spacing w:line="360" w:lineRule="auto"/>
      <w:ind w:left="50" w:leftChars="50" w:right="50" w:rightChars="50" w:firstLine="200" w:firstLineChars="200"/>
      <w:jc w:val="both"/>
      <w:textAlignment w:val="baseline"/>
    </w:pPr>
    <w:rPr>
      <w:rFonts w:ascii="Verdana" w:hAnsi="Verdana" w:cs="Verdana"/>
      <w:color w:val="000080"/>
      <w:kern w:val="2"/>
      <w:sz w:val="21"/>
      <w:szCs w:val="21"/>
    </w:rPr>
  </w:style>
  <w:style w:type="paragraph" w:customStyle="1" w:styleId="703">
    <w:name w:val="VIT-Text"/>
    <w:basedOn w:val="1"/>
    <w:qFormat/>
    <w:uiPriority w:val="0"/>
    <w:pPr>
      <w:tabs>
        <w:tab w:val="left" w:pos="709"/>
        <w:tab w:val="left" w:pos="3402"/>
        <w:tab w:val="left" w:pos="4536"/>
        <w:tab w:val="left" w:pos="5670"/>
        <w:tab w:val="decimal" w:pos="6804"/>
        <w:tab w:val="right" w:pos="9072"/>
      </w:tabs>
    </w:pPr>
    <w:rPr>
      <w:rFonts w:ascii="Arial" w:hAnsi="Arial" w:eastAsia="PMingLiU" w:cs="Times New Roman"/>
      <w:sz w:val="22"/>
      <w:szCs w:val="20"/>
      <w:lang w:val="de-DE" w:eastAsia="zh-TW"/>
    </w:rPr>
  </w:style>
  <w:style w:type="paragraph" w:customStyle="1" w:styleId="704">
    <w:name w:val="xl10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b/>
      <w:bCs/>
      <w:color w:val="000000"/>
    </w:rPr>
  </w:style>
  <w:style w:type="paragraph" w:customStyle="1" w:styleId="705">
    <w:name w:val="正文1"/>
    <w:basedOn w:val="1"/>
    <w:qFormat/>
    <w:uiPriority w:val="0"/>
    <w:pPr>
      <w:widowControl w:val="0"/>
      <w:adjustRightInd w:val="0"/>
      <w:spacing w:line="360" w:lineRule="atLeast"/>
      <w:textAlignment w:val="baseline"/>
    </w:pPr>
    <w:rPr>
      <w:rFonts w:hAnsi="Times New Roman" w:cs="Times New Roman"/>
      <w:color w:val="000000"/>
      <w:szCs w:val="20"/>
    </w:rPr>
  </w:style>
  <w:style w:type="paragraph" w:customStyle="1" w:styleId="706">
    <w:name w:val="xl68"/>
    <w:basedOn w:val="1"/>
    <w:qFormat/>
    <w:uiPriority w:val="0"/>
    <w:pPr>
      <w:spacing w:before="100" w:beforeAutospacing="1" w:after="100" w:afterAutospacing="1"/>
      <w:textAlignment w:val="center"/>
    </w:pPr>
    <w:rPr>
      <w:rFonts w:ascii="仿宋" w:hAnsi="仿宋" w:eastAsia="仿宋" w:cs="Times New Roman"/>
    </w:rPr>
  </w:style>
  <w:style w:type="paragraph" w:customStyle="1" w:styleId="707">
    <w:name w:val="xl9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cs="Times New Roman"/>
    </w:rPr>
  </w:style>
  <w:style w:type="paragraph" w:customStyle="1" w:styleId="708">
    <w:name w:val="Fließtext"/>
    <w:basedOn w:val="1"/>
    <w:qFormat/>
    <w:uiPriority w:val="0"/>
    <w:pPr>
      <w:widowControl w:val="0"/>
      <w:overflowPunct w:val="0"/>
      <w:autoSpaceDE w:val="0"/>
      <w:autoSpaceDN w:val="0"/>
      <w:adjustRightInd w:val="0"/>
      <w:jc w:val="both"/>
      <w:textAlignment w:val="baseline"/>
    </w:pPr>
    <w:rPr>
      <w:rFonts w:ascii="Times New Roman" w:hAnsi="Times New Roman" w:cs="Times New Roman"/>
      <w:kern w:val="28"/>
      <w:sz w:val="21"/>
      <w:szCs w:val="20"/>
    </w:rPr>
  </w:style>
  <w:style w:type="paragraph" w:customStyle="1" w:styleId="709">
    <w:name w:val="Char Char Char Char Char Char1 Char Char Char Char Char Char1 Char Char Char"/>
    <w:basedOn w:val="1"/>
    <w:qFormat/>
    <w:uiPriority w:val="0"/>
    <w:pPr>
      <w:widowControl w:val="0"/>
      <w:jc w:val="both"/>
    </w:pPr>
    <w:rPr>
      <w:rFonts w:ascii="Tahoma" w:hAnsi="Tahoma" w:cs="Times New Roman"/>
      <w:kern w:val="2"/>
      <w:sz w:val="21"/>
      <w:szCs w:val="20"/>
    </w:rPr>
  </w:style>
  <w:style w:type="paragraph" w:customStyle="1" w:styleId="710">
    <w:name w:val="features1"/>
    <w:basedOn w:val="1"/>
    <w:qFormat/>
    <w:uiPriority w:val="0"/>
    <w:pPr>
      <w:spacing w:before="100" w:beforeAutospacing="1" w:after="100" w:afterAutospacing="1"/>
    </w:pPr>
    <w:rPr>
      <w:b/>
      <w:bCs/>
      <w:sz w:val="18"/>
      <w:szCs w:val="18"/>
    </w:rPr>
  </w:style>
  <w:style w:type="paragraph" w:customStyle="1" w:styleId="711">
    <w:name w:val="xl13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sz w:val="20"/>
      <w:szCs w:val="20"/>
    </w:rPr>
  </w:style>
  <w:style w:type="paragraph" w:customStyle="1" w:styleId="712">
    <w:name w:val="样式 标题 3 + 黑色 段前: 5 磅 段后: 5 磅 行距: 1.5 倍行距"/>
    <w:basedOn w:val="1"/>
    <w:qFormat/>
    <w:uiPriority w:val="0"/>
    <w:pPr>
      <w:widowControl w:val="0"/>
      <w:ind w:left="855" w:hanging="855"/>
      <w:jc w:val="both"/>
    </w:pPr>
    <w:rPr>
      <w:rFonts w:ascii="Times New Roman" w:hAnsi="Times New Roman" w:cs="Times New Roman"/>
      <w:kern w:val="2"/>
      <w:szCs w:val="20"/>
    </w:rPr>
  </w:style>
  <w:style w:type="paragraph" w:customStyle="1" w:styleId="713">
    <w:name w:val="xl11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b/>
      <w:bCs/>
    </w:rPr>
  </w:style>
  <w:style w:type="paragraph" w:customStyle="1" w:styleId="714">
    <w:name w:val=" Char Char Char Char"/>
    <w:basedOn w:val="1"/>
    <w:qFormat/>
    <w:uiPriority w:val="0"/>
    <w:rPr>
      <w:rFonts w:ascii="Tahoma" w:hAnsi="Tahoma"/>
      <w:sz w:val="24"/>
      <w:szCs w:val="20"/>
    </w:rPr>
  </w:style>
  <w:style w:type="paragraph" w:customStyle="1" w:styleId="715">
    <w:name w:val="Char Char8 Char Char"/>
    <w:basedOn w:val="1"/>
    <w:qFormat/>
    <w:uiPriority w:val="0"/>
    <w:pPr>
      <w:widowControl w:val="0"/>
      <w:jc w:val="both"/>
    </w:pPr>
    <w:rPr>
      <w:rFonts w:ascii="Times New Roman" w:hAnsi="Times New Roman" w:cs="Times New Roman"/>
      <w:b/>
      <w:bCs/>
      <w:color w:val="000000"/>
      <w:sz w:val="21"/>
      <w:szCs w:val="21"/>
    </w:rPr>
  </w:style>
  <w:style w:type="paragraph" w:customStyle="1" w:styleId="716">
    <w:name w:val="GP标题1"/>
    <w:basedOn w:val="1"/>
    <w:next w:val="552"/>
    <w:qFormat/>
    <w:uiPriority w:val="0"/>
    <w:pPr>
      <w:widowControl w:val="0"/>
      <w:numPr>
        <w:ilvl w:val="0"/>
        <w:numId w:val="6"/>
      </w:numPr>
      <w:tabs>
        <w:tab w:val="left" w:pos="397"/>
        <w:tab w:val="clear" w:pos="567"/>
      </w:tabs>
      <w:spacing w:before="312" w:beforeLines="100" w:after="312" w:afterLines="100" w:line="360" w:lineRule="auto"/>
      <w:jc w:val="center"/>
      <w:outlineLvl w:val="0"/>
    </w:pPr>
    <w:rPr>
      <w:rFonts w:ascii="黑体" w:hAnsi="黑体" w:eastAsia="黑体" w:cs="Times New Roman"/>
      <w:b/>
      <w:sz w:val="36"/>
      <w:szCs w:val="20"/>
    </w:rPr>
  </w:style>
  <w:style w:type="paragraph" w:customStyle="1" w:styleId="717">
    <w:name w:val="正文缩近"/>
    <w:basedOn w:val="1"/>
    <w:qFormat/>
    <w:uiPriority w:val="0"/>
    <w:pPr>
      <w:widowControl w:val="0"/>
      <w:adjustRightInd w:val="0"/>
      <w:snapToGrid w:val="0"/>
      <w:spacing w:line="540" w:lineRule="atLeast"/>
      <w:ind w:firstLine="608"/>
      <w:jc w:val="both"/>
      <w:textAlignment w:val="baseline"/>
    </w:pPr>
    <w:rPr>
      <w:rFonts w:ascii="Times New Roman" w:hAnsi="Times New Roman" w:cs="Times New Roman"/>
      <w:sz w:val="30"/>
      <w:szCs w:val="20"/>
    </w:rPr>
  </w:style>
  <w:style w:type="paragraph" w:customStyle="1" w:styleId="718">
    <w:name w:val="++标题3"/>
    <w:basedOn w:val="10"/>
    <w:qFormat/>
    <w:uiPriority w:val="0"/>
    <w:pPr>
      <w:keepLines w:val="0"/>
      <w:widowControl w:val="0"/>
      <w:tabs>
        <w:tab w:val="left" w:pos="432"/>
      </w:tabs>
      <w:spacing w:before="0" w:after="0" w:line="360" w:lineRule="auto"/>
      <w:jc w:val="both"/>
    </w:pPr>
    <w:rPr>
      <w:rFonts w:ascii="宋体" w:hAnsi="宋体" w:cs="Arial"/>
      <w:b w:val="0"/>
      <w:color w:val="000000"/>
      <w:kern w:val="0"/>
      <w:sz w:val="24"/>
      <w:szCs w:val="24"/>
    </w:rPr>
  </w:style>
  <w:style w:type="paragraph" w:customStyle="1" w:styleId="719">
    <w:name w:val="pic"/>
    <w:basedOn w:val="1"/>
    <w:next w:val="1"/>
    <w:qFormat/>
    <w:uiPriority w:val="0"/>
    <w:pPr>
      <w:spacing w:line="360" w:lineRule="auto"/>
      <w:jc w:val="center"/>
    </w:pPr>
    <w:rPr>
      <w:rFonts w:ascii="仿宋_GB2312" w:hAnsi="Calibri" w:cs="宋体"/>
      <w:szCs w:val="20"/>
    </w:rPr>
  </w:style>
  <w:style w:type="paragraph" w:customStyle="1" w:styleId="720">
    <w:name w:val="四级条标题"/>
    <w:basedOn w:val="721"/>
    <w:next w:val="138"/>
    <w:qFormat/>
    <w:uiPriority w:val="0"/>
    <w:pPr>
      <w:tabs>
        <w:tab w:val="left" w:pos="360"/>
      </w:tabs>
      <w:ind w:left="0"/>
      <w:outlineLvl w:val="5"/>
    </w:pPr>
  </w:style>
  <w:style w:type="paragraph" w:customStyle="1" w:styleId="721">
    <w:name w:val="三级条标题"/>
    <w:basedOn w:val="722"/>
    <w:next w:val="138"/>
    <w:qFormat/>
    <w:uiPriority w:val="0"/>
    <w:pPr>
      <w:ind w:left="720"/>
      <w:outlineLvl w:val="4"/>
    </w:pPr>
  </w:style>
  <w:style w:type="paragraph" w:customStyle="1" w:styleId="722">
    <w:name w:val="二级条标题"/>
    <w:basedOn w:val="723"/>
    <w:next w:val="138"/>
    <w:qFormat/>
    <w:uiPriority w:val="0"/>
    <w:pPr>
      <w:ind w:left="540"/>
      <w:outlineLvl w:val="3"/>
    </w:pPr>
  </w:style>
  <w:style w:type="paragraph" w:customStyle="1" w:styleId="723">
    <w:name w:val="一级条标题"/>
    <w:basedOn w:val="8"/>
    <w:next w:val="138"/>
    <w:qFormat/>
    <w:uiPriority w:val="0"/>
    <w:pPr>
      <w:keepNext w:val="0"/>
      <w:widowControl/>
      <w:jc w:val="both"/>
      <w:outlineLvl w:val="2"/>
    </w:pPr>
    <w:rPr>
      <w:rFonts w:ascii="黑体" w:eastAsia="黑体"/>
      <w:kern w:val="0"/>
      <w:sz w:val="21"/>
      <w:szCs w:val="20"/>
    </w:rPr>
  </w:style>
  <w:style w:type="paragraph" w:customStyle="1" w:styleId="724">
    <w:name w:val="Char Char1 Char Char Char Char Char Char Char Char Char Char"/>
    <w:basedOn w:val="1"/>
    <w:qFormat/>
    <w:uiPriority w:val="0"/>
    <w:pPr>
      <w:widowControl w:val="0"/>
      <w:jc w:val="both"/>
    </w:pPr>
    <w:rPr>
      <w:rFonts w:ascii="Tahoma" w:hAnsi="Tahoma" w:cs="Times New Roman"/>
      <w:b/>
      <w:bCs/>
      <w:color w:val="000000"/>
      <w:szCs w:val="20"/>
    </w:rPr>
  </w:style>
  <w:style w:type="paragraph" w:customStyle="1" w:styleId="725">
    <w:name w:val="xl3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726">
    <w:name w:val="xl23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727">
    <w:name w:val="NICMAN Body Text"/>
    <w:basedOn w:val="1"/>
    <w:next w:val="4"/>
    <w:qFormat/>
    <w:uiPriority w:val="0"/>
    <w:pPr>
      <w:widowControl w:val="0"/>
      <w:autoSpaceDE w:val="0"/>
      <w:autoSpaceDN w:val="0"/>
      <w:adjustRightInd w:val="0"/>
      <w:spacing w:after="120"/>
    </w:pPr>
    <w:rPr>
      <w:rFonts w:ascii="Times New Roman" w:hAnsi="Times New Roman" w:cs="Times New Roman"/>
      <w:sz w:val="20"/>
      <w:szCs w:val="20"/>
    </w:rPr>
  </w:style>
  <w:style w:type="paragraph" w:customStyle="1" w:styleId="728">
    <w:name w:val="条文レベル1"/>
    <w:next w:val="1"/>
    <w:qFormat/>
    <w:uiPriority w:val="0"/>
    <w:pPr>
      <w:tabs>
        <w:tab w:val="left" w:pos="2187"/>
      </w:tabs>
      <w:spacing w:before="60" w:line="280" w:lineRule="exact"/>
      <w:ind w:left="2187" w:right="1276" w:hanging="567"/>
      <w:outlineLvl w:val="4"/>
    </w:pPr>
    <w:rPr>
      <w:rFonts w:ascii="MS Mincho" w:hAnsi="Century" w:eastAsia="MS Mincho" w:cs="Times New Roman"/>
      <w:lang w:val="en-US" w:eastAsia="ja-JP" w:bidi="ar-SA"/>
    </w:rPr>
  </w:style>
  <w:style w:type="paragraph" w:customStyle="1" w:styleId="729">
    <w:name w:val="四号 居中"/>
    <w:basedOn w:val="1"/>
    <w:qFormat/>
    <w:uiPriority w:val="0"/>
    <w:pPr>
      <w:widowControl w:val="0"/>
      <w:snapToGrid w:val="0"/>
      <w:spacing w:beforeLines="50" w:line="360" w:lineRule="auto"/>
      <w:jc w:val="center"/>
    </w:pPr>
    <w:rPr>
      <w:rFonts w:ascii="黑体" w:hAnsi="Calibri" w:eastAsia="黑体" w:cs="Times New Roman"/>
      <w:b/>
      <w:spacing w:val="1"/>
      <w:sz w:val="28"/>
      <w:szCs w:val="20"/>
    </w:rPr>
  </w:style>
  <w:style w:type="paragraph" w:customStyle="1" w:styleId="730">
    <w:name w:val="Char Char Char Char"/>
    <w:basedOn w:val="1"/>
    <w:qFormat/>
    <w:uiPriority w:val="0"/>
    <w:pPr>
      <w:widowControl w:val="0"/>
      <w:jc w:val="both"/>
    </w:pPr>
    <w:rPr>
      <w:rFonts w:ascii="Tahoma" w:hAnsi="Tahoma" w:cs="Times New Roman"/>
      <w:kern w:val="2"/>
      <w:sz w:val="21"/>
      <w:szCs w:val="20"/>
    </w:rPr>
  </w:style>
  <w:style w:type="paragraph" w:customStyle="1" w:styleId="731">
    <w:name w:val="font7"/>
    <w:basedOn w:val="1"/>
    <w:qFormat/>
    <w:uiPriority w:val="0"/>
    <w:pPr>
      <w:spacing w:before="100" w:beforeAutospacing="1" w:after="100" w:afterAutospacing="1"/>
    </w:pPr>
    <w:rPr>
      <w:rFonts w:hAnsi="Times New Roman" w:cs="Times New Roman"/>
      <w:color w:val="000000"/>
      <w:sz w:val="22"/>
      <w:szCs w:val="22"/>
    </w:rPr>
  </w:style>
  <w:style w:type="paragraph" w:customStyle="1" w:styleId="732">
    <w:name w:val="Normal Paragraph"/>
    <w:qFormat/>
    <w:uiPriority w:val="0"/>
    <w:pPr>
      <w:overflowPunct w:val="0"/>
      <w:autoSpaceDE w:val="0"/>
      <w:autoSpaceDN w:val="0"/>
      <w:adjustRightInd w:val="0"/>
      <w:spacing w:before="120"/>
      <w:ind w:left="1800"/>
      <w:textAlignment w:val="baseline"/>
    </w:pPr>
    <w:rPr>
      <w:rFonts w:ascii="宋体" w:hAnsi="Times New Roman" w:eastAsia="宋体" w:cs="Times New Roman"/>
      <w:color w:val="000000"/>
      <w:lang w:val="en-US" w:eastAsia="zh-CN" w:bidi="ar-SA"/>
    </w:rPr>
  </w:style>
  <w:style w:type="paragraph" w:customStyle="1" w:styleId="733">
    <w:name w:val="Char"/>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734">
    <w:name w:val="样式 标题 3 + 黑体 小四 非加粗"/>
    <w:basedOn w:val="10"/>
    <w:qFormat/>
    <w:uiPriority w:val="0"/>
    <w:pPr>
      <w:widowControl w:val="0"/>
      <w:numPr>
        <w:ilvl w:val="2"/>
        <w:numId w:val="0"/>
      </w:numPr>
      <w:spacing w:line="415" w:lineRule="auto"/>
      <w:jc w:val="both"/>
    </w:pPr>
    <w:rPr>
      <w:rFonts w:ascii="黑体" w:hAnsi="黑体" w:eastAsia="黑体"/>
      <w:b w:val="0"/>
      <w:bCs w:val="0"/>
      <w:kern w:val="0"/>
      <w:sz w:val="24"/>
    </w:rPr>
  </w:style>
  <w:style w:type="paragraph" w:customStyle="1" w:styleId="735">
    <w:name w:val="列表段落1"/>
    <w:basedOn w:val="1"/>
    <w:qFormat/>
    <w:uiPriority w:val="34"/>
    <w:pPr>
      <w:widowControl w:val="0"/>
      <w:ind w:firstLine="420" w:firstLineChars="200"/>
      <w:jc w:val="both"/>
    </w:pPr>
    <w:rPr>
      <w:rFonts w:ascii="等线" w:hAnsi="等线" w:eastAsia="等线" w:cs="Times New Roman"/>
      <w:kern w:val="2"/>
      <w:sz w:val="21"/>
      <w:szCs w:val="22"/>
    </w:rPr>
  </w:style>
  <w:style w:type="paragraph" w:customStyle="1" w:styleId="736">
    <w:name w:val="列出段落3"/>
    <w:basedOn w:val="1"/>
    <w:qFormat/>
    <w:uiPriority w:val="0"/>
    <w:pPr>
      <w:widowControl w:val="0"/>
      <w:ind w:firstLine="420" w:firstLineChars="200"/>
      <w:jc w:val="both"/>
    </w:pPr>
    <w:rPr>
      <w:rFonts w:ascii="Times New Roman" w:hAnsi="Times New Roman" w:cs="Times New Roman"/>
      <w:kern w:val="2"/>
      <w:sz w:val="21"/>
      <w:szCs w:val="21"/>
    </w:rPr>
  </w:style>
  <w:style w:type="paragraph" w:customStyle="1" w:styleId="737">
    <w:name w:val="Char Char Char Char Char Char Char Char"/>
    <w:basedOn w:val="738"/>
    <w:qFormat/>
    <w:uiPriority w:val="0"/>
    <w:pPr>
      <w:widowControl w:val="0"/>
      <w:shd w:val="clear" w:color="auto" w:fill="000080"/>
      <w:spacing w:line="240" w:lineRule="auto"/>
      <w:ind w:firstLine="0" w:firstLineChars="0"/>
      <w:jc w:val="both"/>
    </w:pPr>
    <w:rPr>
      <w:rFonts w:ascii="Tahoma" w:hAnsi="Tahoma"/>
      <w:sz w:val="24"/>
    </w:rPr>
  </w:style>
  <w:style w:type="paragraph" w:customStyle="1" w:styleId="738">
    <w:name w:val="文档结构图1"/>
    <w:basedOn w:val="1"/>
    <w:qFormat/>
    <w:uiPriority w:val="0"/>
    <w:pPr>
      <w:spacing w:line="360" w:lineRule="auto"/>
      <w:ind w:firstLine="200" w:firstLineChars="200"/>
    </w:pPr>
    <w:rPr>
      <w:rFonts w:hAnsi="Times New Roman" w:cs="Times New Roman"/>
      <w:kern w:val="2"/>
      <w:sz w:val="18"/>
      <w:szCs w:val="18"/>
    </w:rPr>
  </w:style>
  <w:style w:type="paragraph" w:customStyle="1" w:styleId="739">
    <w:name w:val="style16"/>
    <w:basedOn w:val="1"/>
    <w:qFormat/>
    <w:uiPriority w:val="0"/>
    <w:pPr>
      <w:spacing w:before="100" w:beforeAutospacing="1" w:after="100" w:afterAutospacing="1"/>
    </w:pPr>
    <w:rPr>
      <w:rFonts w:ascii="Calibri" w:hAnsi="Calibri" w:cs="Times New Roman"/>
      <w:sz w:val="21"/>
      <w:szCs w:val="21"/>
    </w:rPr>
  </w:style>
  <w:style w:type="paragraph" w:customStyle="1" w:styleId="740">
    <w:name w:val="Char Char Char Char Char Char1 Char Char Char Char Char Char1 Char Char Char1"/>
    <w:basedOn w:val="1"/>
    <w:qFormat/>
    <w:uiPriority w:val="0"/>
    <w:pPr>
      <w:widowControl w:val="0"/>
      <w:jc w:val="both"/>
    </w:pPr>
    <w:rPr>
      <w:rFonts w:ascii="Tahoma" w:hAnsi="Tahoma" w:cs="Times New Roman"/>
      <w:kern w:val="2"/>
      <w:sz w:val="21"/>
      <w:szCs w:val="20"/>
    </w:rPr>
  </w:style>
  <w:style w:type="paragraph" w:customStyle="1" w:styleId="741">
    <w:name w:val="表格标题"/>
    <w:basedOn w:val="1"/>
    <w:next w:val="1"/>
    <w:qFormat/>
    <w:uiPriority w:val="0"/>
    <w:pPr>
      <w:jc w:val="center"/>
    </w:pPr>
    <w:rPr>
      <w:rFonts w:cs="宋体"/>
      <w:b/>
      <w:bCs/>
      <w:szCs w:val="20"/>
    </w:rPr>
  </w:style>
  <w:style w:type="paragraph" w:customStyle="1" w:styleId="742">
    <w:name w:val="索引 81"/>
    <w:basedOn w:val="1"/>
    <w:next w:val="1"/>
    <w:qFormat/>
    <w:uiPriority w:val="0"/>
    <w:pPr>
      <w:widowControl w:val="0"/>
      <w:snapToGrid w:val="0"/>
      <w:spacing w:line="360" w:lineRule="auto"/>
      <w:ind w:left="1400" w:leftChars="1400"/>
      <w:jc w:val="center"/>
    </w:pPr>
    <w:rPr>
      <w:rFonts w:ascii="Calibri" w:hAnsi="Calibri" w:cs="Times New Roman"/>
      <w:b/>
      <w:kern w:val="2"/>
      <w:sz w:val="32"/>
      <w:szCs w:val="32"/>
    </w:rPr>
  </w:style>
  <w:style w:type="paragraph" w:customStyle="1" w:styleId="743">
    <w:name w:val="xl9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color w:val="000000"/>
    </w:rPr>
  </w:style>
  <w:style w:type="paragraph" w:customStyle="1" w:styleId="744">
    <w:name w:val="reader-word-layer reader-word-s1-8"/>
    <w:basedOn w:val="1"/>
    <w:qFormat/>
    <w:uiPriority w:val="0"/>
    <w:pPr>
      <w:spacing w:before="100" w:beforeAutospacing="1" w:after="100" w:afterAutospacing="1"/>
    </w:pPr>
    <w:rPr>
      <w:rFonts w:hAnsi="Times New Roman" w:cs="Times New Roman"/>
    </w:rPr>
  </w:style>
  <w:style w:type="paragraph" w:customStyle="1" w:styleId="745">
    <w:name w:val="xl22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746">
    <w:name w:val="Char14 Char Char Char"/>
    <w:basedOn w:val="1"/>
    <w:qFormat/>
    <w:uiPriority w:val="0"/>
    <w:pPr>
      <w:widowControl w:val="0"/>
      <w:jc w:val="both"/>
    </w:pPr>
    <w:rPr>
      <w:rFonts w:ascii="Times New Roman" w:hAnsi="Times New Roman" w:cs="Times New Roman"/>
      <w:kern w:val="2"/>
      <w:sz w:val="21"/>
      <w:szCs w:val="20"/>
    </w:rPr>
  </w:style>
  <w:style w:type="paragraph" w:customStyle="1" w:styleId="747">
    <w:name w:val="Char Char Char Char Char Char Char Char Char Char"/>
    <w:basedOn w:val="1"/>
    <w:qFormat/>
    <w:uiPriority w:val="0"/>
    <w:pPr>
      <w:widowControl w:val="0"/>
      <w:jc w:val="both"/>
    </w:pPr>
    <w:rPr>
      <w:rFonts w:ascii="Tahoma" w:hAnsi="Tahoma" w:cs="Times New Roman"/>
      <w:kern w:val="2"/>
      <w:szCs w:val="20"/>
    </w:rPr>
  </w:style>
  <w:style w:type="paragraph" w:customStyle="1" w:styleId="748">
    <w:name w:val="索引 21"/>
    <w:basedOn w:val="1"/>
    <w:next w:val="1"/>
    <w:qFormat/>
    <w:uiPriority w:val="0"/>
    <w:pPr>
      <w:widowControl w:val="0"/>
      <w:snapToGrid w:val="0"/>
      <w:spacing w:line="360" w:lineRule="auto"/>
      <w:ind w:left="200" w:leftChars="200"/>
      <w:jc w:val="center"/>
    </w:pPr>
    <w:rPr>
      <w:rFonts w:ascii="Calibri" w:hAnsi="Calibri" w:cs="Times New Roman"/>
      <w:b/>
      <w:kern w:val="2"/>
      <w:sz w:val="32"/>
      <w:szCs w:val="32"/>
    </w:rPr>
  </w:style>
  <w:style w:type="paragraph" w:customStyle="1" w:styleId="749">
    <w:name w:val="样式 标题 1 + 黑体 (符号) 宋体 三号 段前: 7.8 磅 段后: 7.8 磅 行距: 1.5 倍行距"/>
    <w:basedOn w:val="8"/>
    <w:qFormat/>
    <w:uiPriority w:val="0"/>
    <w:pPr>
      <w:keepLines/>
      <w:tabs>
        <w:tab w:val="left" w:pos="567"/>
      </w:tabs>
      <w:adjustRightInd w:val="0"/>
      <w:snapToGrid w:val="0"/>
      <w:spacing w:beforeLines="50" w:afterLines="50" w:line="360" w:lineRule="auto"/>
      <w:ind w:left="431" w:hanging="431"/>
      <w:jc w:val="left"/>
    </w:pPr>
    <w:rPr>
      <w:rFonts w:ascii="Calibri" w:hAnsi="Calibri"/>
      <w:b/>
      <w:bCs/>
      <w:kern w:val="44"/>
      <w:sz w:val="24"/>
      <w:szCs w:val="21"/>
      <w:lang w:val="zh-CN"/>
    </w:rPr>
  </w:style>
  <w:style w:type="paragraph" w:customStyle="1" w:styleId="750">
    <w:name w:val="Blockquote"/>
    <w:basedOn w:val="1"/>
    <w:qFormat/>
    <w:uiPriority w:val="0"/>
    <w:pPr>
      <w:widowControl w:val="0"/>
      <w:autoSpaceDE w:val="0"/>
      <w:autoSpaceDN w:val="0"/>
      <w:adjustRightInd w:val="0"/>
      <w:spacing w:before="100" w:after="100"/>
      <w:ind w:left="360" w:right="360"/>
    </w:pPr>
    <w:rPr>
      <w:rFonts w:ascii="Times New Roman" w:hAnsi="Times New Roman" w:cs="Times New Roman"/>
      <w:szCs w:val="20"/>
    </w:rPr>
  </w:style>
  <w:style w:type="paragraph" w:customStyle="1" w:styleId="751">
    <w:name w:val="_Style 257"/>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2">
    <w:name w:val="_Style 131"/>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53">
    <w:name w:val="无间隔1"/>
    <w:qFormat/>
    <w:uiPriority w:val="0"/>
    <w:pPr>
      <w:widowControl w:val="0"/>
      <w:spacing w:line="300" w:lineRule="auto"/>
    </w:pPr>
    <w:rPr>
      <w:rFonts w:ascii="楷体_GB2312" w:hAnsi="宋体" w:eastAsia="楷体_GB2312" w:cs="Times New Roman"/>
      <w:bCs/>
      <w:kern w:val="2"/>
      <w:sz w:val="24"/>
      <w:szCs w:val="24"/>
      <w:u w:val="single"/>
      <w:lang w:val="en-US" w:eastAsia="zh-CN" w:bidi="ar-SA"/>
    </w:rPr>
  </w:style>
  <w:style w:type="paragraph" w:customStyle="1" w:styleId="754">
    <w:name w:val="xl11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rPr>
  </w:style>
  <w:style w:type="paragraph" w:customStyle="1" w:styleId="755">
    <w:name w:val="xl11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756">
    <w:name w:val=" Char Char Char Char Char Char Char Char Char Char Char Char1 Char Char"/>
    <w:basedOn w:val="1"/>
    <w:qFormat/>
    <w:uiPriority w:val="0"/>
    <w:rPr>
      <w:rFonts w:ascii="Tahoma" w:hAnsi="Tahoma"/>
      <w:sz w:val="24"/>
      <w:szCs w:val="20"/>
    </w:rPr>
  </w:style>
  <w:style w:type="paragraph" w:customStyle="1" w:styleId="757">
    <w:name w:val="xl9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758">
    <w:name w:val="XHH标题6"/>
    <w:qFormat/>
    <w:uiPriority w:val="0"/>
    <w:pPr>
      <w:ind w:left="3260" w:hanging="1134"/>
    </w:pPr>
    <w:rPr>
      <w:rFonts w:ascii="黑体" w:hAnsi="黑体" w:eastAsia="黑体" w:cs="宋体"/>
      <w:kern w:val="2"/>
      <w:sz w:val="28"/>
      <w:szCs w:val="28"/>
      <w:lang w:val="en-US" w:eastAsia="zh-CN" w:bidi="ar-SA"/>
    </w:rPr>
  </w:style>
  <w:style w:type="paragraph" w:customStyle="1" w:styleId="759">
    <w:name w:val="xl3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760">
    <w:name w:val="样式 左侧:  0.85 厘米 首行缩进:  0.85 厘米"/>
    <w:basedOn w:val="1"/>
    <w:qFormat/>
    <w:uiPriority w:val="0"/>
    <w:pPr>
      <w:widowControl w:val="0"/>
      <w:autoSpaceDE w:val="0"/>
      <w:autoSpaceDN w:val="0"/>
      <w:adjustRightInd w:val="0"/>
      <w:spacing w:line="360" w:lineRule="auto"/>
      <w:ind w:firstLine="482"/>
    </w:pPr>
    <w:rPr>
      <w:rFonts w:ascii="Times New Roman" w:hAnsi="Times New Roman"/>
      <w:szCs w:val="20"/>
    </w:rPr>
  </w:style>
  <w:style w:type="paragraph" w:customStyle="1" w:styleId="761">
    <w:name w:val="xl7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sz w:val="20"/>
      <w:szCs w:val="20"/>
    </w:rPr>
  </w:style>
  <w:style w:type="paragraph" w:customStyle="1" w:styleId="762">
    <w:name w:val="正文首行缩进两字符"/>
    <w:basedOn w:val="1"/>
    <w:qFormat/>
    <w:uiPriority w:val="0"/>
    <w:pPr>
      <w:widowControl w:val="0"/>
      <w:spacing w:line="360" w:lineRule="auto"/>
      <w:ind w:firstLine="200" w:firstLineChars="200"/>
      <w:jc w:val="both"/>
    </w:pPr>
    <w:rPr>
      <w:rFonts w:ascii="Times New Roman" w:hAnsi="Times New Roman" w:cs="Times New Roman"/>
      <w:kern w:val="2"/>
      <w:sz w:val="21"/>
      <w:szCs w:val="21"/>
    </w:rPr>
  </w:style>
  <w:style w:type="paragraph" w:customStyle="1" w:styleId="763">
    <w:name w:val="xl22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764">
    <w:name w:val="Char Char Char11"/>
    <w:basedOn w:val="1"/>
    <w:qFormat/>
    <w:uiPriority w:val="0"/>
    <w:pPr>
      <w:widowControl w:val="0"/>
      <w:jc w:val="both"/>
    </w:pPr>
    <w:rPr>
      <w:rFonts w:ascii="Times New Roman" w:hAnsi="Times New Roman" w:cs="Times New Roman"/>
      <w:kern w:val="2"/>
      <w:sz w:val="21"/>
    </w:rPr>
  </w:style>
  <w:style w:type="paragraph" w:customStyle="1" w:styleId="765">
    <w:name w:val=" Char Char7 Char"/>
    <w:basedOn w:val="1"/>
    <w:qFormat/>
    <w:uiPriority w:val="0"/>
    <w:pPr>
      <w:tabs>
        <w:tab w:val="left" w:pos="425"/>
      </w:tabs>
      <w:ind w:left="420" w:leftChars="200" w:firstLine="270" w:firstLineChars="150"/>
    </w:pPr>
    <w:rPr>
      <w:rFonts w:ascii="宋体" w:hAnsi="宋体" w:cs="Arial"/>
      <w:color w:val="5E5E5E"/>
      <w:kern w:val="0"/>
      <w:szCs w:val="21"/>
    </w:rPr>
  </w:style>
  <w:style w:type="paragraph" w:customStyle="1" w:styleId="766">
    <w:name w:val="xl240"/>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Arial" w:hAnsi="Arial" w:cs="Arial"/>
      <w:color w:val="000000"/>
      <w:sz w:val="20"/>
      <w:szCs w:val="20"/>
    </w:rPr>
  </w:style>
  <w:style w:type="paragraph" w:customStyle="1" w:styleId="767">
    <w:name w:val="_Style 256"/>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8">
    <w:name w:val="xl13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sz w:val="20"/>
      <w:szCs w:val="20"/>
    </w:rPr>
  </w:style>
  <w:style w:type="paragraph" w:customStyle="1" w:styleId="769">
    <w:name w:val="正文缩进2"/>
    <w:basedOn w:val="1"/>
    <w:qFormat/>
    <w:uiPriority w:val="0"/>
    <w:pPr>
      <w:widowControl w:val="0"/>
      <w:spacing w:before="60"/>
      <w:ind w:firstLine="476"/>
      <w:jc w:val="both"/>
    </w:pPr>
    <w:rPr>
      <w:rFonts w:ascii="Times New Roman" w:hAnsi="Times New Roman" w:cs="Times New Roman"/>
      <w:kern w:val="2"/>
      <w:szCs w:val="20"/>
    </w:rPr>
  </w:style>
  <w:style w:type="paragraph" w:customStyle="1" w:styleId="770">
    <w:name w:val="Char1 Char Char Char Char Char Char"/>
    <w:basedOn w:val="1"/>
    <w:qFormat/>
    <w:uiPriority w:val="0"/>
    <w:pPr>
      <w:widowControl w:val="0"/>
      <w:jc w:val="both"/>
    </w:pPr>
    <w:rPr>
      <w:rFonts w:ascii="Tahoma" w:hAnsi="Tahoma" w:cs="Times New Roman"/>
      <w:kern w:val="2"/>
      <w:szCs w:val="20"/>
    </w:rPr>
  </w:style>
  <w:style w:type="paragraph" w:customStyle="1" w:styleId="771">
    <w:name w:val="正文 首行缩进:  2 字符 Char"/>
    <w:basedOn w:val="1"/>
    <w:qFormat/>
    <w:uiPriority w:val="0"/>
    <w:pPr>
      <w:widowControl w:val="0"/>
      <w:spacing w:line="360" w:lineRule="auto"/>
      <w:ind w:firstLine="480"/>
      <w:jc w:val="both"/>
    </w:pPr>
    <w:rPr>
      <w:rFonts w:ascii="Times New Roman" w:hAnsi="Times New Roman"/>
      <w:kern w:val="2"/>
      <w:szCs w:val="20"/>
    </w:rPr>
  </w:style>
  <w:style w:type="paragraph" w:customStyle="1" w:styleId="772">
    <w:name w:val="List Paragraph11"/>
    <w:basedOn w:val="1"/>
    <w:qFormat/>
    <w:uiPriority w:val="34"/>
    <w:pPr>
      <w:ind w:firstLine="420" w:firstLineChars="200"/>
    </w:pPr>
    <w:rPr>
      <w:rFonts w:cs="Arial"/>
    </w:rPr>
  </w:style>
  <w:style w:type="paragraph" w:customStyle="1" w:styleId="77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774">
    <w:name w:val="xl8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b/>
      <w:bCs/>
      <w:color w:val="FF0000"/>
      <w:sz w:val="20"/>
      <w:szCs w:val="20"/>
    </w:rPr>
  </w:style>
  <w:style w:type="paragraph" w:customStyle="1" w:styleId="775">
    <w:name w:val="目录3"/>
    <w:basedOn w:val="1"/>
    <w:next w:val="1"/>
    <w:qFormat/>
    <w:uiPriority w:val="0"/>
    <w:pPr>
      <w:tabs>
        <w:tab w:val="left" w:leader="dot" w:pos="8503"/>
      </w:tabs>
      <w:spacing w:line="317" w:lineRule="atLeast"/>
      <w:ind w:firstLine="419"/>
      <w:jc w:val="both"/>
    </w:pPr>
    <w:rPr>
      <w:rFonts w:ascii="Times New Roman" w:hAnsi="Times New Roman" w:cs="Times New Roman"/>
      <w:color w:val="000000"/>
      <w:sz w:val="21"/>
      <w:szCs w:val="20"/>
    </w:rPr>
  </w:style>
  <w:style w:type="paragraph" w:customStyle="1" w:styleId="776">
    <w:name w:val="图格式"/>
    <w:basedOn w:val="1"/>
    <w:qFormat/>
    <w:uiPriority w:val="0"/>
    <w:pPr>
      <w:widowControl w:val="0"/>
      <w:jc w:val="center"/>
    </w:pPr>
    <w:rPr>
      <w:rFonts w:ascii="Arial" w:hAnsi="Arial" w:eastAsia="微软雅黑" w:cs="Times New Roman"/>
      <w:kern w:val="2"/>
      <w:sz w:val="21"/>
    </w:rPr>
  </w:style>
  <w:style w:type="paragraph" w:customStyle="1" w:styleId="777">
    <w:name w:val="xl11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0"/>
      <w:szCs w:val="20"/>
    </w:rPr>
  </w:style>
  <w:style w:type="paragraph" w:customStyle="1" w:styleId="778">
    <w:name w:val=" Char Char Char Char Char Char Char"/>
    <w:basedOn w:val="1"/>
    <w:qFormat/>
    <w:uiPriority w:val="0"/>
    <w:rPr>
      <w:rFonts w:ascii="仿宋_GB2312" w:eastAsia="仿宋_GB2312"/>
      <w:b/>
      <w:sz w:val="32"/>
      <w:szCs w:val="32"/>
    </w:rPr>
  </w:style>
  <w:style w:type="paragraph" w:customStyle="1" w:styleId="779">
    <w:name w:val="List Paragraph1"/>
    <w:basedOn w:val="1"/>
    <w:qFormat/>
    <w:uiPriority w:val="0"/>
    <w:pPr>
      <w:spacing w:line="300" w:lineRule="auto"/>
      <w:ind w:firstLine="420" w:firstLineChars="200"/>
      <w:jc w:val="both"/>
    </w:pPr>
    <w:rPr>
      <w:rFonts w:ascii="Arial" w:hAnsi="Arial" w:cs="Times New Roman"/>
      <w:sz w:val="18"/>
      <w:szCs w:val="20"/>
    </w:rPr>
  </w:style>
  <w:style w:type="paragraph" w:customStyle="1" w:styleId="780">
    <w:name w:val="p0"/>
    <w:basedOn w:val="1"/>
    <w:qFormat/>
    <w:uiPriority w:val="0"/>
    <w:pPr>
      <w:jc w:val="both"/>
    </w:pPr>
    <w:rPr>
      <w:rFonts w:ascii="Times New Roman" w:hAnsi="Times New Roman" w:cs="Times New Roman"/>
      <w:b/>
      <w:bCs/>
      <w:color w:val="000000"/>
      <w:sz w:val="21"/>
      <w:szCs w:val="21"/>
    </w:rPr>
  </w:style>
  <w:style w:type="paragraph" w:customStyle="1" w:styleId="781">
    <w:name w:val="xl115"/>
    <w:basedOn w:val="1"/>
    <w:qFormat/>
    <w:uiPriority w:val="0"/>
    <w:pPr>
      <w:pBdr>
        <w:top w:val="single" w:color="auto" w:sz="4" w:space="0"/>
        <w:left w:val="single" w:color="auto" w:sz="4" w:space="0"/>
        <w:bottom w:val="single" w:color="auto" w:sz="4" w:space="0"/>
      </w:pBdr>
      <w:spacing w:before="100" w:beforeAutospacing="1" w:after="100" w:afterAutospacing="1"/>
      <w:jc w:val="center"/>
    </w:pPr>
    <w:rPr>
      <w:rFonts w:hAnsi="Times New Roman" w:cs="Times New Roman"/>
      <w:b/>
      <w:bCs/>
    </w:rPr>
  </w:style>
  <w:style w:type="paragraph" w:customStyle="1" w:styleId="782">
    <w:name w:val="正文-首行"/>
    <w:basedOn w:val="1"/>
    <w:qFormat/>
    <w:uiPriority w:val="0"/>
    <w:pPr>
      <w:widowControl w:val="0"/>
      <w:spacing w:line="360" w:lineRule="auto"/>
      <w:ind w:firstLine="420"/>
      <w:jc w:val="both"/>
    </w:pPr>
    <w:rPr>
      <w:rFonts w:hAnsi="Times New Roman" w:cs="Times New Roman"/>
      <w:kern w:val="2"/>
      <w:sz w:val="22"/>
    </w:rPr>
  </w:style>
  <w:style w:type="paragraph" w:customStyle="1" w:styleId="783">
    <w:name w:val="xl21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784">
    <w:name w:val="条文レベル3-個条書き"/>
    <w:basedOn w:val="785"/>
    <w:qFormat/>
    <w:uiPriority w:val="0"/>
    <w:pPr>
      <w:tabs>
        <w:tab w:val="left" w:pos="2187"/>
        <w:tab w:val="left" w:pos="5954"/>
      </w:tabs>
      <w:outlineLvl w:val="6"/>
    </w:pPr>
  </w:style>
  <w:style w:type="paragraph" w:customStyle="1" w:styleId="785">
    <w:name w:val="条文レベル2"/>
    <w:basedOn w:val="728"/>
    <w:qFormat/>
    <w:uiPriority w:val="0"/>
    <w:pPr>
      <w:outlineLvl w:val="5"/>
    </w:pPr>
    <w:rPr>
      <w:rFonts w:ascii="Times New Roman" w:hAnsi="Times New Roman" w:eastAsia="宋体"/>
    </w:rPr>
  </w:style>
  <w:style w:type="paragraph" w:customStyle="1" w:styleId="786">
    <w:name w:val="xl66"/>
    <w:basedOn w:val="1"/>
    <w:qFormat/>
    <w:uiPriority w:val="0"/>
    <w:pPr>
      <w:spacing w:before="100" w:beforeAutospacing="1" w:after="100" w:afterAutospacing="1"/>
      <w:jc w:val="center"/>
      <w:textAlignment w:val="center"/>
    </w:pPr>
    <w:rPr>
      <w:rFonts w:ascii="仿宋" w:hAnsi="仿宋" w:eastAsia="仿宋" w:cs="Times New Roman"/>
    </w:rPr>
  </w:style>
  <w:style w:type="paragraph" w:customStyle="1" w:styleId="787">
    <w:name w:val="font9"/>
    <w:basedOn w:val="1"/>
    <w:qFormat/>
    <w:uiPriority w:val="0"/>
    <w:pPr>
      <w:spacing w:before="100" w:beforeAutospacing="1" w:after="100" w:afterAutospacing="1"/>
    </w:pPr>
    <w:rPr>
      <w:rFonts w:ascii="Arial" w:hAnsi="Arial" w:cs="Arial"/>
      <w:color w:val="000000"/>
      <w:sz w:val="20"/>
      <w:szCs w:val="20"/>
    </w:rPr>
  </w:style>
  <w:style w:type="paragraph" w:customStyle="1" w:styleId="788">
    <w:name w:val="xl24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sz w:val="20"/>
      <w:szCs w:val="20"/>
    </w:rPr>
  </w:style>
  <w:style w:type="paragraph" w:customStyle="1" w:styleId="789">
    <w:name w:val="样式 标题 1Level 1Level 11h1II+IHeading1H1-Heading 1Header 1..."/>
    <w:basedOn w:val="8"/>
    <w:qFormat/>
    <w:uiPriority w:val="0"/>
    <w:pPr>
      <w:keepLines/>
      <w:pageBreakBefore/>
      <w:widowControl w:val="0"/>
      <w:spacing w:before="100" w:after="100" w:line="360" w:lineRule="auto"/>
      <w:ind w:left="1680" w:hanging="420"/>
      <w:jc w:val="left"/>
    </w:pPr>
    <w:rPr>
      <w:rFonts w:ascii="Arial" w:hAnsi="Arial" w:eastAsia="黑体" w:cs="宋体"/>
      <w:b/>
      <w:bCs/>
      <w:kern w:val="44"/>
      <w:sz w:val="44"/>
      <w:szCs w:val="20"/>
    </w:rPr>
  </w:style>
  <w:style w:type="paragraph" w:customStyle="1" w:styleId="790">
    <w:name w:val="xl4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Arial Unicode MS"/>
    </w:rPr>
  </w:style>
  <w:style w:type="paragraph" w:customStyle="1" w:styleId="791">
    <w:name w:val="xl22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792">
    <w:name w:val="Char4"/>
    <w:basedOn w:val="1"/>
    <w:qFormat/>
    <w:uiPriority w:val="0"/>
    <w:pPr>
      <w:spacing w:after="160" w:line="240" w:lineRule="exact"/>
    </w:pPr>
    <w:rPr>
      <w:rFonts w:ascii="Verdana" w:hAnsi="Verdana" w:cs="Times New Roman"/>
      <w:szCs w:val="20"/>
      <w:lang w:eastAsia="en-US"/>
    </w:rPr>
  </w:style>
  <w:style w:type="paragraph" w:customStyle="1" w:styleId="793">
    <w:name w:val="正文 1.5 倍行距"/>
    <w:basedOn w:val="1"/>
    <w:qFormat/>
    <w:uiPriority w:val="0"/>
    <w:pPr>
      <w:widowControl w:val="0"/>
      <w:autoSpaceDE w:val="0"/>
      <w:autoSpaceDN w:val="0"/>
      <w:adjustRightInd w:val="0"/>
      <w:spacing w:line="360" w:lineRule="auto"/>
      <w:ind w:firstLine="480" w:firstLineChars="200"/>
      <w:jc w:val="both"/>
      <w:textAlignment w:val="baseline"/>
    </w:pPr>
    <w:rPr>
      <w:rFonts w:ascii="Times New Roman" w:hAnsi="Times New Roman" w:cs="Times New Roman"/>
      <w:szCs w:val="20"/>
    </w:rPr>
  </w:style>
  <w:style w:type="paragraph" w:customStyle="1" w:styleId="794">
    <w:name w:val="msolistparagraph"/>
    <w:basedOn w:val="1"/>
    <w:qFormat/>
    <w:uiPriority w:val="0"/>
    <w:pPr>
      <w:widowControl w:val="0"/>
      <w:ind w:firstLine="420" w:firstLineChars="200"/>
      <w:jc w:val="both"/>
    </w:pPr>
    <w:rPr>
      <w:rFonts w:ascii="Times New Roman" w:hAnsi="Times New Roman" w:cs="Times New Roman"/>
      <w:kern w:val="2"/>
      <w:sz w:val="21"/>
      <w:szCs w:val="21"/>
    </w:rPr>
  </w:style>
  <w:style w:type="paragraph" w:customStyle="1" w:styleId="795">
    <w:name w:val="xl124"/>
    <w:basedOn w:val="1"/>
    <w:qFormat/>
    <w:uiPriority w:val="0"/>
    <w:pPr>
      <w:spacing w:before="100" w:beforeAutospacing="1" w:after="100" w:afterAutospacing="1"/>
      <w:jc w:val="center"/>
    </w:pPr>
    <w:rPr>
      <w:sz w:val="20"/>
      <w:szCs w:val="20"/>
    </w:rPr>
  </w:style>
  <w:style w:type="paragraph" w:customStyle="1" w:styleId="796">
    <w:name w:val="保留正文"/>
    <w:basedOn w:val="4"/>
    <w:qFormat/>
    <w:uiPriority w:val="0"/>
    <w:pPr>
      <w:keepNext/>
      <w:widowControl w:val="0"/>
      <w:spacing w:after="160"/>
      <w:jc w:val="both"/>
    </w:pPr>
    <w:rPr>
      <w:rFonts w:ascii="Times New Roman" w:hAnsi="Times New Roman"/>
      <w:bCs w:val="0"/>
      <w:sz w:val="21"/>
      <w:szCs w:val="20"/>
    </w:rPr>
  </w:style>
  <w:style w:type="paragraph" w:customStyle="1" w:styleId="797">
    <w:name w:val="标准段落"/>
    <w:basedOn w:val="1"/>
    <w:qFormat/>
    <w:uiPriority w:val="0"/>
    <w:pPr>
      <w:widowControl w:val="0"/>
      <w:topLinePunct/>
      <w:autoSpaceDE w:val="0"/>
      <w:autoSpaceDN w:val="0"/>
      <w:spacing w:line="360" w:lineRule="auto"/>
      <w:ind w:firstLine="560" w:firstLineChars="200"/>
      <w:jc w:val="both"/>
    </w:pPr>
    <w:rPr>
      <w:rFonts w:ascii="Times New Roman" w:cs="Times New Roman"/>
      <w:color w:val="FF0000"/>
      <w:kern w:val="2"/>
      <w:sz w:val="28"/>
      <w:lang w:bidi="th-TH"/>
    </w:rPr>
  </w:style>
  <w:style w:type="paragraph" w:customStyle="1" w:styleId="798">
    <w:name w:val="Char Char Char2 Char"/>
    <w:basedOn w:val="1"/>
    <w:qFormat/>
    <w:uiPriority w:val="0"/>
    <w:pPr>
      <w:widowControl w:val="0"/>
      <w:tabs>
        <w:tab w:val="left" w:pos="360"/>
      </w:tabs>
      <w:ind w:left="360" w:hanging="360"/>
      <w:jc w:val="both"/>
    </w:pPr>
    <w:rPr>
      <w:rFonts w:ascii="Times New Roman" w:hAnsi="Times New Roman" w:cs="Times New Roman"/>
      <w:kern w:val="2"/>
      <w:sz w:val="21"/>
      <w:szCs w:val="20"/>
    </w:rPr>
  </w:style>
  <w:style w:type="paragraph" w:customStyle="1" w:styleId="799">
    <w:name w:val="xl24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color w:val="000000"/>
    </w:rPr>
  </w:style>
  <w:style w:type="paragraph" w:customStyle="1" w:styleId="800">
    <w:name w:val="xl141"/>
    <w:basedOn w:val="1"/>
    <w:qFormat/>
    <w:uiPriority w:val="0"/>
    <w:pPr>
      <w:spacing w:before="100" w:beforeAutospacing="1" w:after="100" w:afterAutospacing="1"/>
      <w:jc w:val="center"/>
    </w:pPr>
    <w:rPr>
      <w:b/>
      <w:bCs/>
      <w:sz w:val="32"/>
      <w:szCs w:val="32"/>
    </w:rPr>
  </w:style>
  <w:style w:type="paragraph" w:customStyle="1" w:styleId="801">
    <w:name w:val="索引 31"/>
    <w:basedOn w:val="1"/>
    <w:next w:val="1"/>
    <w:qFormat/>
    <w:uiPriority w:val="0"/>
    <w:pPr>
      <w:widowControl w:val="0"/>
      <w:snapToGrid w:val="0"/>
      <w:spacing w:line="360" w:lineRule="auto"/>
      <w:ind w:left="400" w:leftChars="400"/>
      <w:jc w:val="center"/>
    </w:pPr>
    <w:rPr>
      <w:rFonts w:ascii="Calibri" w:hAnsi="Calibri" w:cs="Times New Roman"/>
      <w:b/>
      <w:kern w:val="2"/>
      <w:sz w:val="32"/>
      <w:szCs w:val="32"/>
    </w:rPr>
  </w:style>
  <w:style w:type="paragraph" w:customStyle="1" w:styleId="802">
    <w:name w:val="msonormal"/>
    <w:basedOn w:val="1"/>
    <w:qFormat/>
    <w:uiPriority w:val="0"/>
    <w:pPr>
      <w:spacing w:before="100" w:beforeAutospacing="1" w:after="100" w:afterAutospacing="1"/>
    </w:pPr>
    <w:rPr>
      <w:rFonts w:hAnsi="Times New Roman" w:cs="Times New Roman"/>
    </w:rPr>
  </w:style>
  <w:style w:type="paragraph" w:customStyle="1" w:styleId="803">
    <w:name w:val="Char Char Char Char Char Char1 Char Char Char1 Char Char Char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804">
    <w:name w:val="样式 加粗 居中11"/>
    <w:basedOn w:val="1"/>
    <w:next w:val="805"/>
    <w:qFormat/>
    <w:uiPriority w:val="0"/>
    <w:pPr>
      <w:widowControl w:val="0"/>
      <w:snapToGrid w:val="0"/>
      <w:spacing w:line="360" w:lineRule="auto"/>
      <w:jc w:val="center"/>
    </w:pPr>
    <w:rPr>
      <w:rFonts w:ascii="Calibri" w:hAnsi="Calibri" w:cs="Times New Roman"/>
      <w:b/>
      <w:bCs/>
      <w:spacing w:val="1"/>
      <w:sz w:val="32"/>
      <w:szCs w:val="20"/>
    </w:rPr>
  </w:style>
  <w:style w:type="paragraph" w:customStyle="1" w:styleId="805">
    <w:name w:val="样式 加粗 居中1"/>
    <w:next w:val="529"/>
    <w:qFormat/>
    <w:uiPriority w:val="0"/>
    <w:pPr>
      <w:jc w:val="center"/>
    </w:pPr>
    <w:rPr>
      <w:rFonts w:ascii="Times New Roman" w:hAnsi="Times New Roman" w:eastAsia="宋体" w:cs="宋体"/>
      <w:b/>
      <w:bCs/>
      <w:spacing w:val="1"/>
      <w:sz w:val="32"/>
      <w:lang w:val="en-US" w:eastAsia="zh-CN" w:bidi="ar-SA"/>
    </w:rPr>
  </w:style>
  <w:style w:type="paragraph" w:customStyle="1" w:styleId="806">
    <w:name w:val="Bullets"/>
    <w:basedOn w:val="1"/>
    <w:qFormat/>
    <w:uiPriority w:val="0"/>
    <w:pPr>
      <w:tabs>
        <w:tab w:val="left" w:pos="360"/>
        <w:tab w:val="left" w:pos="720"/>
      </w:tabs>
      <w:spacing w:after="160" w:line="320" w:lineRule="atLeast"/>
      <w:ind w:left="720" w:hanging="360"/>
    </w:pPr>
    <w:rPr>
      <w:rFonts w:ascii="High Tower Text" w:hAnsi="High Tower Text" w:eastAsia="Times New Roman" w:cs="Times New Roman"/>
      <w:szCs w:val="20"/>
      <w:lang w:eastAsia="en-US"/>
    </w:rPr>
  </w:style>
  <w:style w:type="paragraph" w:customStyle="1" w:styleId="807">
    <w:name w:val="タイトル-L3-項"/>
    <w:basedOn w:val="1"/>
    <w:next w:val="4"/>
    <w:qFormat/>
    <w:uiPriority w:val="0"/>
    <w:pPr>
      <w:keepNext/>
      <w:keepLines/>
      <w:tabs>
        <w:tab w:val="left" w:pos="948"/>
      </w:tabs>
      <w:spacing w:before="120" w:after="10"/>
      <w:ind w:left="948" w:right="85" w:hanging="720"/>
      <w:outlineLvl w:val="2"/>
    </w:pPr>
    <w:rPr>
      <w:rFonts w:ascii="Arial" w:hAnsi="Arial" w:eastAsia="MS Gothic" w:cs="Times New Roman"/>
      <w:kern w:val="2"/>
      <w:sz w:val="28"/>
    </w:rPr>
  </w:style>
  <w:style w:type="paragraph" w:customStyle="1" w:styleId="808">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809">
    <w:name w:val="Style Heading 1H1Heading 0R1H11h1Level 1 Topic HeadingSectio..."/>
    <w:basedOn w:val="8"/>
    <w:next w:val="810"/>
    <w:qFormat/>
    <w:uiPriority w:val="0"/>
    <w:pPr>
      <w:keepLines/>
      <w:pageBreakBefore/>
      <w:numPr>
        <w:ilvl w:val="0"/>
        <w:numId w:val="11"/>
      </w:numPr>
      <w:tabs>
        <w:tab w:val="left" w:pos="432"/>
      </w:tabs>
      <w:spacing w:before="120" w:after="120" w:line="360" w:lineRule="auto"/>
      <w:jc w:val="left"/>
    </w:pPr>
    <w:rPr>
      <w:rFonts w:ascii="宋体" w:hAnsi="宋体"/>
      <w:b/>
      <w:sz w:val="32"/>
      <w:szCs w:val="32"/>
    </w:rPr>
  </w:style>
  <w:style w:type="paragraph" w:customStyle="1" w:styleId="810">
    <w:name w:val="样式 正文缩进特点表正文正文非缩进正文（首行缩进两字） + Tahoma 两端对齐"/>
    <w:basedOn w:val="14"/>
    <w:qFormat/>
    <w:uiPriority w:val="0"/>
    <w:pPr>
      <w:widowControl w:val="0"/>
      <w:spacing w:line="360" w:lineRule="auto"/>
      <w:ind w:firstLine="510" w:firstLineChars="0"/>
      <w:jc w:val="both"/>
    </w:pPr>
    <w:rPr>
      <w:rFonts w:ascii="Tahoma" w:hAnsi="Tahoma"/>
      <w:b/>
      <w:bCs/>
      <w:sz w:val="24"/>
    </w:rPr>
  </w:style>
  <w:style w:type="paragraph" w:customStyle="1" w:styleId="811">
    <w:name w:val="_Style 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2">
    <w:name w:val="样式 标题 3 + (中文) 黑体 小四 非加粗 段前: 7.8 磅 段后: 0 磅 行距: 固定值 20 磅"/>
    <w:basedOn w:val="10"/>
    <w:qFormat/>
    <w:uiPriority w:val="0"/>
    <w:pPr>
      <w:keepNext w:val="0"/>
      <w:keepLines w:val="0"/>
      <w:widowControl w:val="0"/>
      <w:tabs>
        <w:tab w:val="left" w:pos="432"/>
      </w:tabs>
      <w:adjustRightInd w:val="0"/>
      <w:snapToGrid w:val="0"/>
      <w:spacing w:before="0" w:after="0" w:line="400" w:lineRule="exact"/>
      <w:jc w:val="both"/>
    </w:pPr>
    <w:rPr>
      <w:rFonts w:ascii="Times New Roman" w:hAnsi="Times New Roman"/>
      <w:bCs w:val="0"/>
      <w:sz w:val="24"/>
      <w:szCs w:val="20"/>
      <w:lang w:val="zh-CN"/>
    </w:rPr>
  </w:style>
  <w:style w:type="paragraph" w:customStyle="1" w:styleId="813">
    <w:name w:val="样式 列出段落 + 首行缩进:  2 字符"/>
    <w:basedOn w:val="1"/>
    <w:qFormat/>
    <w:uiPriority w:val="0"/>
    <w:pPr>
      <w:widowControl w:val="0"/>
      <w:spacing w:line="300" w:lineRule="auto"/>
      <w:ind w:firstLine="200" w:firstLineChars="200"/>
      <w:jc w:val="both"/>
    </w:pPr>
    <w:rPr>
      <w:rFonts w:ascii="Times New Roman" w:hAnsi="Times New Roman"/>
      <w:kern w:val="2"/>
      <w:szCs w:val="20"/>
    </w:rPr>
  </w:style>
  <w:style w:type="paragraph" w:customStyle="1" w:styleId="814">
    <w:name w:val="说正文文字"/>
    <w:basedOn w:val="4"/>
    <w:qFormat/>
    <w:uiPriority w:val="0"/>
    <w:pPr>
      <w:spacing w:line="360" w:lineRule="auto"/>
      <w:ind w:left="320" w:leftChars="200" w:firstLine="460" w:firstLineChars="200"/>
      <w:jc w:val="both"/>
    </w:pPr>
    <w:rPr>
      <w:rFonts w:ascii="宋体" w:hAnsi="宋体"/>
      <w:bCs w:val="0"/>
      <w:spacing w:val="-5"/>
      <w:kern w:val="0"/>
    </w:rPr>
  </w:style>
  <w:style w:type="paragraph" w:customStyle="1" w:styleId="815">
    <w:name w:val="111"/>
    <w:basedOn w:val="609"/>
    <w:qFormat/>
    <w:uiPriority w:val="0"/>
    <w:pPr>
      <w:spacing w:after="0" w:line="440" w:lineRule="exact"/>
      <w:ind w:firstLine="480"/>
    </w:pPr>
  </w:style>
  <w:style w:type="paragraph" w:customStyle="1" w:styleId="816">
    <w:name w:val="blue"/>
    <w:basedOn w:val="1"/>
    <w:qFormat/>
    <w:uiPriority w:val="0"/>
    <w:pPr>
      <w:spacing w:before="100" w:beforeAutospacing="1" w:after="100" w:afterAutospacing="1"/>
    </w:pPr>
    <w:rPr>
      <w:rFonts w:ascii="Arial Unicode MS" w:hAnsi="Arial Unicode MS" w:eastAsia="Arial Unicode MS" w:cs="Times New Roman"/>
      <w:szCs w:val="20"/>
    </w:rPr>
  </w:style>
  <w:style w:type="paragraph" w:customStyle="1" w:styleId="817">
    <w:name w:val="列出段落111"/>
    <w:basedOn w:val="1"/>
    <w:qFormat/>
    <w:uiPriority w:val="0"/>
    <w:pPr>
      <w:widowControl w:val="0"/>
      <w:ind w:firstLine="420" w:firstLineChars="200"/>
      <w:jc w:val="both"/>
    </w:pPr>
    <w:rPr>
      <w:rFonts w:ascii="Calibri" w:hAnsi="Calibri" w:cs="Times New Roman"/>
      <w:kern w:val="2"/>
      <w:sz w:val="21"/>
      <w:szCs w:val="21"/>
    </w:rPr>
  </w:style>
  <w:style w:type="paragraph" w:customStyle="1" w:styleId="818">
    <w:name w:val="样式3"/>
    <w:basedOn w:val="1"/>
    <w:qFormat/>
    <w:uiPriority w:val="0"/>
    <w:pPr>
      <w:widowControl w:val="0"/>
      <w:spacing w:line="0" w:lineRule="atLeast"/>
      <w:jc w:val="both"/>
      <w:outlineLvl w:val="0"/>
    </w:pPr>
    <w:rPr>
      <w:rFonts w:hAnsi="Courier New" w:cs="Times New Roman"/>
      <w:kern w:val="2"/>
      <w:sz w:val="28"/>
      <w:szCs w:val="20"/>
    </w:rPr>
  </w:style>
  <w:style w:type="paragraph" w:customStyle="1" w:styleId="819">
    <w:name w:val="reader-word-layer"/>
    <w:basedOn w:val="1"/>
    <w:qFormat/>
    <w:uiPriority w:val="0"/>
    <w:pPr>
      <w:spacing w:before="100" w:beforeAutospacing="1" w:after="100" w:afterAutospacing="1"/>
    </w:pPr>
    <w:rPr>
      <w:rFonts w:hAnsi="Times New Roman" w:cs="Times New Roman"/>
    </w:rPr>
  </w:style>
  <w:style w:type="paragraph" w:customStyle="1" w:styleId="820">
    <w:name w:val="px12l140"/>
    <w:basedOn w:val="1"/>
    <w:qFormat/>
    <w:uiPriority w:val="0"/>
    <w:pPr>
      <w:widowControl/>
      <w:spacing w:before="100" w:beforeAutospacing="1" w:after="100" w:afterAutospacing="1" w:line="336" w:lineRule="auto"/>
      <w:jc w:val="left"/>
    </w:pPr>
    <w:rPr>
      <w:rFonts w:ascii="_x000B__x000C_" w:hAnsi="_x000B__x000C_"/>
      <w:kern w:val="0"/>
      <w:sz w:val="20"/>
      <w:szCs w:val="20"/>
    </w:rPr>
  </w:style>
  <w:style w:type="paragraph" w:customStyle="1" w:styleId="821">
    <w:name w:val="节标题"/>
    <w:basedOn w:val="1"/>
    <w:next w:val="822"/>
    <w:qFormat/>
    <w:uiPriority w:val="0"/>
    <w:pPr>
      <w:spacing w:line="289" w:lineRule="atLeast"/>
      <w:jc w:val="center"/>
    </w:pPr>
    <w:rPr>
      <w:rFonts w:ascii="Times New Roman" w:hAnsi="Times New Roman" w:cs="Times New Roman"/>
      <w:color w:val="000000"/>
      <w:sz w:val="28"/>
      <w:szCs w:val="20"/>
    </w:rPr>
  </w:style>
  <w:style w:type="paragraph" w:customStyle="1" w:styleId="822">
    <w:name w:val="小节标题"/>
    <w:basedOn w:val="1"/>
    <w:next w:val="1"/>
    <w:qFormat/>
    <w:uiPriority w:val="0"/>
    <w:pPr>
      <w:spacing w:before="175" w:after="102" w:line="351" w:lineRule="atLeast"/>
      <w:jc w:val="both"/>
    </w:pPr>
    <w:rPr>
      <w:rFonts w:ascii="Times New Roman" w:hAnsi="Times New Roman" w:eastAsia="黑体" w:cs="Times New Roman"/>
      <w:color w:val="000000"/>
      <w:sz w:val="21"/>
      <w:szCs w:val="20"/>
    </w:rPr>
  </w:style>
  <w:style w:type="paragraph" w:customStyle="1" w:styleId="823">
    <w:name w:val="Char2"/>
    <w:basedOn w:val="1"/>
    <w:qFormat/>
    <w:uiPriority w:val="0"/>
    <w:pPr>
      <w:widowControl w:val="0"/>
      <w:jc w:val="both"/>
    </w:pPr>
    <w:rPr>
      <w:rFonts w:ascii="Times New Roman" w:hAnsi="Times New Roman" w:cs="Times New Roman"/>
      <w:b/>
      <w:kern w:val="2"/>
      <w:sz w:val="32"/>
      <w:szCs w:val="32"/>
    </w:rPr>
  </w:style>
  <w:style w:type="paragraph" w:customStyle="1" w:styleId="824">
    <w:name w:val="xl8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b/>
      <w:bCs/>
      <w:sz w:val="20"/>
      <w:szCs w:val="20"/>
    </w:rPr>
  </w:style>
  <w:style w:type="paragraph" w:customStyle="1" w:styleId="825">
    <w:name w:val="l正文"/>
    <w:basedOn w:val="1"/>
    <w:qFormat/>
    <w:uiPriority w:val="0"/>
    <w:pPr>
      <w:widowControl w:val="0"/>
      <w:spacing w:line="300" w:lineRule="auto"/>
      <w:ind w:firstLine="200" w:firstLineChars="200"/>
    </w:pPr>
    <w:rPr>
      <w:rFonts w:ascii="楷体_GB2312" w:hAnsi="Times" w:eastAsia="楷体_GB2312" w:cs="等线"/>
      <w:kern w:val="2"/>
    </w:rPr>
  </w:style>
  <w:style w:type="paragraph" w:customStyle="1" w:styleId="826">
    <w:name w:val="xl23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827">
    <w:name w:val="Char Char Char Char Char Char1"/>
    <w:basedOn w:val="1"/>
    <w:qFormat/>
    <w:uiPriority w:val="0"/>
    <w:pPr>
      <w:widowControl w:val="0"/>
      <w:jc w:val="both"/>
    </w:pPr>
    <w:rPr>
      <w:rFonts w:ascii="Tahoma" w:hAnsi="Tahoma" w:cs="Times New Roman"/>
      <w:kern w:val="2"/>
      <w:sz w:val="21"/>
      <w:szCs w:val="20"/>
    </w:rPr>
  </w:style>
  <w:style w:type="paragraph" w:customStyle="1" w:styleId="828">
    <w:name w:val=" Char2"/>
    <w:basedOn w:val="1"/>
    <w:qFormat/>
    <w:uiPriority w:val="0"/>
    <w:pPr>
      <w:widowControl w:val="0"/>
      <w:jc w:val="both"/>
    </w:pPr>
    <w:rPr>
      <w:rFonts w:ascii="仿宋_GB2312" w:hAnsi="Times New Roman" w:eastAsia="仿宋_GB2312" w:cs="Times New Roman"/>
      <w:b/>
      <w:kern w:val="2"/>
      <w:sz w:val="32"/>
      <w:szCs w:val="32"/>
    </w:rPr>
  </w:style>
  <w:style w:type="paragraph" w:customStyle="1" w:styleId="829">
    <w:name w:val="目录2"/>
    <w:basedOn w:val="1"/>
    <w:next w:val="1"/>
    <w:qFormat/>
    <w:uiPriority w:val="0"/>
    <w:pPr>
      <w:tabs>
        <w:tab w:val="left" w:leader="dot" w:pos="8503"/>
      </w:tabs>
      <w:spacing w:line="317" w:lineRule="atLeast"/>
      <w:ind w:firstLine="209"/>
      <w:jc w:val="both"/>
    </w:pPr>
    <w:rPr>
      <w:rFonts w:ascii="Times New Roman" w:hAnsi="Times New Roman" w:cs="Times New Roman"/>
      <w:color w:val="000000"/>
      <w:sz w:val="21"/>
      <w:szCs w:val="20"/>
    </w:rPr>
  </w:style>
  <w:style w:type="paragraph" w:customStyle="1" w:styleId="830">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31">
    <w:name w:val="paragraph"/>
    <w:basedOn w:val="1"/>
    <w:qFormat/>
    <w:uiPriority w:val="0"/>
    <w:pPr>
      <w:spacing w:before="60" w:after="60"/>
    </w:pPr>
    <w:rPr>
      <w:rFonts w:ascii="Times New Roman" w:hAnsi="Times New Roman" w:cs="Times New Roman"/>
      <w:szCs w:val="20"/>
      <w:lang w:eastAsia="en-US"/>
    </w:rPr>
  </w:style>
  <w:style w:type="paragraph" w:customStyle="1" w:styleId="832">
    <w:name w:val="样式 标题 3h3H3sect1.2.3HeadCHeading 3 - oldMapH31Level 3 To..."/>
    <w:basedOn w:val="10"/>
    <w:next w:val="810"/>
    <w:qFormat/>
    <w:uiPriority w:val="0"/>
    <w:pPr>
      <w:tabs>
        <w:tab w:val="left" w:pos="432"/>
        <w:tab w:val="left" w:pos="851"/>
      </w:tabs>
      <w:spacing w:before="120" w:after="120" w:line="360" w:lineRule="auto"/>
    </w:pPr>
    <w:rPr>
      <w:rFonts w:ascii="Tahoma" w:hAnsi="Tahoma"/>
      <w:kern w:val="0"/>
      <w:sz w:val="24"/>
      <w:szCs w:val="24"/>
    </w:rPr>
  </w:style>
  <w:style w:type="paragraph" w:customStyle="1" w:styleId="833">
    <w:name w:val="操作ステップ"/>
    <w:basedOn w:val="1"/>
    <w:next w:val="660"/>
    <w:qFormat/>
    <w:uiPriority w:val="0"/>
    <w:pPr>
      <w:widowControl w:val="0"/>
      <w:tabs>
        <w:tab w:val="left" w:pos="1984"/>
      </w:tabs>
      <w:spacing w:line="340" w:lineRule="exact"/>
      <w:ind w:left="1984" w:right="-62" w:hanging="283"/>
      <w:outlineLvl w:val="7"/>
    </w:pPr>
    <w:rPr>
      <w:rFonts w:ascii="Century" w:hAnsi="Century" w:cs="Times New Roman"/>
      <w:color w:val="000000"/>
      <w:kern w:val="2"/>
      <w:sz w:val="20"/>
    </w:rPr>
  </w:style>
  <w:style w:type="paragraph" w:customStyle="1" w:styleId="834">
    <w:name w:val="1级列表"/>
    <w:basedOn w:val="1"/>
    <w:qFormat/>
    <w:uiPriority w:val="0"/>
    <w:pPr>
      <w:widowControl w:val="0"/>
      <w:adjustRightInd w:val="0"/>
      <w:snapToGrid w:val="0"/>
      <w:spacing w:line="360" w:lineRule="auto"/>
      <w:jc w:val="both"/>
    </w:pPr>
    <w:rPr>
      <w:rFonts w:ascii="Calibri" w:hAnsi="Calibri" w:cs="Times New Roman"/>
      <w:kern w:val="2"/>
      <w:szCs w:val="21"/>
    </w:rPr>
  </w:style>
  <w:style w:type="paragraph" w:customStyle="1" w:styleId="835">
    <w:name w:val=" Char Char Char Char Char Char Char Char Char Char Char Char Char"/>
    <w:basedOn w:val="1"/>
    <w:qFormat/>
    <w:uiPriority w:val="0"/>
    <w:rPr>
      <w:rFonts w:ascii="Tahoma" w:hAnsi="Tahoma"/>
      <w:sz w:val="24"/>
      <w:szCs w:val="20"/>
    </w:rPr>
  </w:style>
  <w:style w:type="paragraph" w:customStyle="1" w:styleId="836">
    <w:name w:val="xl22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837">
    <w:name w:val="xl24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838">
    <w:name w:val="_Style 2"/>
    <w:basedOn w:val="1"/>
    <w:qFormat/>
    <w:uiPriority w:val="0"/>
    <w:pPr>
      <w:spacing w:after="160" w:line="240" w:lineRule="exact"/>
    </w:pPr>
    <w:rPr>
      <w:rFonts w:ascii="Times New Roman" w:hAnsi="Times New Roman" w:cs="Times New Roman"/>
      <w:b/>
      <w:bCs/>
      <w:kern w:val="2"/>
      <w:sz w:val="21"/>
    </w:rPr>
  </w:style>
  <w:style w:type="paragraph" w:customStyle="1" w:styleId="839">
    <w:name w:val="xl13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sz w:val="20"/>
      <w:szCs w:val="20"/>
    </w:rPr>
  </w:style>
  <w:style w:type="paragraph" w:customStyle="1" w:styleId="840">
    <w:name w:val="xl12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color w:val="FF0000"/>
      <w:sz w:val="20"/>
      <w:szCs w:val="20"/>
    </w:rPr>
  </w:style>
  <w:style w:type="paragraph" w:customStyle="1" w:styleId="841">
    <w:name w:val="列表编号 51"/>
    <w:basedOn w:val="1"/>
    <w:qFormat/>
    <w:uiPriority w:val="0"/>
    <w:pPr>
      <w:widowControl w:val="0"/>
      <w:tabs>
        <w:tab w:val="left" w:pos="900"/>
      </w:tabs>
      <w:snapToGrid w:val="0"/>
      <w:spacing w:line="360" w:lineRule="auto"/>
      <w:ind w:left="900" w:hanging="420"/>
    </w:pPr>
    <w:rPr>
      <w:rFonts w:ascii="Calibri" w:hAnsi="Calibri" w:cs="Times New Roman"/>
      <w:b/>
      <w:kern w:val="2"/>
      <w:sz w:val="32"/>
      <w:szCs w:val="20"/>
    </w:rPr>
  </w:style>
  <w:style w:type="paragraph" w:customStyle="1" w:styleId="842">
    <w:name w:val="xl22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843">
    <w:name w:val="xl143"/>
    <w:basedOn w:val="1"/>
    <w:qFormat/>
    <w:uiPriority w:val="0"/>
    <w:pPr>
      <w:spacing w:before="100" w:beforeAutospacing="1" w:after="100" w:afterAutospacing="1"/>
      <w:jc w:val="center"/>
    </w:pPr>
    <w:rPr>
      <w:sz w:val="32"/>
      <w:szCs w:val="32"/>
    </w:rPr>
  </w:style>
  <w:style w:type="paragraph" w:customStyle="1" w:styleId="844">
    <w:name w:val="WPS Plain"/>
    <w:qFormat/>
    <w:uiPriority w:val="0"/>
    <w:rPr>
      <w:rFonts w:ascii="Times New Roman" w:hAnsi="Times New Roman" w:eastAsia="宋体" w:cs="Times New Roman"/>
      <w:kern w:val="2"/>
      <w:sz w:val="21"/>
      <w:szCs w:val="22"/>
      <w:lang w:val="en-US" w:eastAsia="zh-CN" w:bidi="ar-SA"/>
    </w:rPr>
  </w:style>
  <w:style w:type="paragraph" w:customStyle="1" w:styleId="845">
    <w:name w:val="Char Char1 Char Char Char Char Char Char1"/>
    <w:basedOn w:val="1"/>
    <w:qFormat/>
    <w:uiPriority w:val="0"/>
    <w:pPr>
      <w:spacing w:after="160" w:line="240" w:lineRule="exact"/>
    </w:pPr>
    <w:rPr>
      <w:rFonts w:ascii="Verdana" w:hAnsi="Verdana" w:cs="Times New Roman"/>
      <w:szCs w:val="20"/>
      <w:lang w:eastAsia="en-US"/>
    </w:rPr>
  </w:style>
  <w:style w:type="paragraph" w:customStyle="1" w:styleId="846">
    <w:name w:val="索引标题1"/>
    <w:basedOn w:val="1"/>
    <w:next w:val="847"/>
    <w:qFormat/>
    <w:uiPriority w:val="0"/>
    <w:pPr>
      <w:widowControl w:val="0"/>
      <w:snapToGrid w:val="0"/>
      <w:spacing w:line="360" w:lineRule="auto"/>
      <w:jc w:val="center"/>
    </w:pPr>
    <w:rPr>
      <w:rFonts w:ascii="Arial" w:hAnsi="Arial" w:cs="Arial"/>
      <w:b/>
      <w:bCs/>
      <w:kern w:val="2"/>
      <w:sz w:val="32"/>
      <w:szCs w:val="32"/>
    </w:rPr>
  </w:style>
  <w:style w:type="paragraph" w:customStyle="1" w:styleId="847">
    <w:name w:val="索引 11"/>
    <w:basedOn w:val="1"/>
    <w:next w:val="1"/>
    <w:qFormat/>
    <w:uiPriority w:val="0"/>
    <w:pPr>
      <w:widowControl w:val="0"/>
      <w:jc w:val="both"/>
    </w:pPr>
    <w:rPr>
      <w:rFonts w:ascii="Times New Roman" w:hAnsi="Times New Roman" w:cs="Times New Roman"/>
      <w:kern w:val="2"/>
      <w:sz w:val="21"/>
      <w:szCs w:val="21"/>
    </w:rPr>
  </w:style>
  <w:style w:type="paragraph" w:customStyle="1" w:styleId="848">
    <w:name w:val="xl3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849">
    <w:name w:val="xl13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0"/>
      <w:szCs w:val="20"/>
    </w:rPr>
  </w:style>
  <w:style w:type="paragraph" w:customStyle="1" w:styleId="850">
    <w:name w:val="Char Char Char"/>
    <w:basedOn w:val="1"/>
    <w:qFormat/>
    <w:uiPriority w:val="0"/>
    <w:rPr>
      <w:rFonts w:ascii="宋体" w:hAnsi="宋体" w:cs="宋体"/>
      <w:b/>
      <w:bCs/>
      <w:color w:val="000000"/>
      <w:sz w:val="22"/>
      <w:szCs w:val="22"/>
    </w:rPr>
  </w:style>
  <w:style w:type="paragraph" w:customStyle="1" w:styleId="851">
    <w:name w:val="正文 A"/>
    <w:qFormat/>
    <w:uiPriority w:val="0"/>
    <w:pPr>
      <w:widowControl w:val="0"/>
      <w:jc w:val="both"/>
    </w:pPr>
    <w:rPr>
      <w:rFonts w:hint="eastAsia" w:ascii="Arial Unicode MS" w:hAnsi="Arial Unicode MS" w:eastAsia="Arial Unicode MS" w:cs="Arial Unicode MS"/>
      <w:color w:val="000000"/>
      <w:kern w:val="2"/>
      <w:sz w:val="21"/>
      <w:szCs w:val="21"/>
      <w:lang w:val="zh-TW" w:eastAsia="zh-TW" w:bidi="ar-SA"/>
    </w:rPr>
  </w:style>
  <w:style w:type="paragraph" w:customStyle="1" w:styleId="852">
    <w:name w:val="Tabelle Wartung"/>
    <w:qFormat/>
    <w:uiPriority w:val="0"/>
    <w:pPr>
      <w:tabs>
        <w:tab w:val="left" w:pos="4536"/>
      </w:tabs>
      <w:spacing w:before="120"/>
      <w:ind w:left="4536" w:hanging="3969"/>
    </w:pPr>
    <w:rPr>
      <w:rFonts w:ascii="Helvetica" w:hAnsi="Helvetica" w:eastAsia="宋体" w:cs="Times New Roman"/>
      <w:sz w:val="22"/>
      <w:lang w:val="de-DE" w:eastAsia="zh-CN" w:bidi="ar-SA"/>
    </w:rPr>
  </w:style>
  <w:style w:type="paragraph" w:customStyle="1" w:styleId="853">
    <w:name w:val="xl11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color w:val="000000"/>
    </w:rPr>
  </w:style>
  <w:style w:type="paragraph" w:customStyle="1" w:styleId="854">
    <w:name w:val="Body Text 21"/>
    <w:basedOn w:val="1"/>
    <w:qFormat/>
    <w:uiPriority w:val="0"/>
    <w:pPr>
      <w:tabs>
        <w:tab w:val="left" w:pos="1260"/>
        <w:tab w:val="left" w:pos="2160"/>
        <w:tab w:val="left" w:pos="7920"/>
      </w:tabs>
      <w:overflowPunct w:val="0"/>
      <w:autoSpaceDE w:val="0"/>
      <w:autoSpaceDN w:val="0"/>
      <w:adjustRightInd w:val="0"/>
      <w:ind w:left="720"/>
      <w:textAlignment w:val="baseline"/>
    </w:pPr>
    <w:rPr>
      <w:kern w:val="0"/>
      <w:sz w:val="24"/>
      <w:szCs w:val="20"/>
    </w:rPr>
  </w:style>
  <w:style w:type="paragraph" w:customStyle="1" w:styleId="855">
    <w:name w:val="xl11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sz w:val="22"/>
      <w:szCs w:val="21"/>
    </w:rPr>
  </w:style>
  <w:style w:type="paragraph" w:customStyle="1" w:styleId="856">
    <w:name w:val="Default Paragraph Font Para Char Char Char Char Char Char"/>
    <w:basedOn w:val="1"/>
    <w:qFormat/>
    <w:uiPriority w:val="0"/>
    <w:pPr>
      <w:spacing w:after="160" w:line="240" w:lineRule="exact"/>
    </w:pPr>
    <w:rPr>
      <w:rFonts w:ascii="Verdana" w:hAnsi="Verdana" w:cs="Times New Roman"/>
      <w:sz w:val="20"/>
      <w:szCs w:val="20"/>
      <w:lang w:eastAsia="en-US"/>
    </w:rPr>
  </w:style>
  <w:style w:type="paragraph" w:customStyle="1" w:styleId="857">
    <w:name w:val="五级条标题"/>
    <w:basedOn w:val="720"/>
    <w:next w:val="138"/>
    <w:qFormat/>
    <w:uiPriority w:val="0"/>
    <w:pPr>
      <w:tabs>
        <w:tab w:val="left" w:pos="0"/>
        <w:tab w:val="clear" w:pos="360"/>
      </w:tabs>
      <w:outlineLvl w:val="6"/>
    </w:pPr>
  </w:style>
  <w:style w:type="paragraph" w:customStyle="1" w:styleId="858">
    <w:name w:val="样式 Arial 小四 首行缩进:  0.85 厘米"/>
    <w:basedOn w:val="1"/>
    <w:qFormat/>
    <w:uiPriority w:val="0"/>
    <w:pPr>
      <w:spacing w:line="400" w:lineRule="exact"/>
      <w:ind w:firstLine="440" w:firstLineChars="200"/>
    </w:pPr>
    <w:rPr>
      <w:rFonts w:ascii="宋体" w:hAnsi="宋体" w:cs="仿宋_GB2312"/>
      <w:sz w:val="22"/>
      <w:szCs w:val="22"/>
      <w:lang w:val="zh-CN"/>
    </w:rPr>
  </w:style>
  <w:style w:type="paragraph" w:customStyle="1" w:styleId="859">
    <w:name w:val="xl9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color w:val="000000"/>
    </w:rPr>
  </w:style>
  <w:style w:type="paragraph" w:customStyle="1" w:styleId="860">
    <w:name w:val="样式 正文首行缩进 + 首行缩进:  1 字符"/>
    <w:basedOn w:val="1"/>
    <w:next w:val="733"/>
    <w:qFormat/>
    <w:uiPriority w:val="0"/>
    <w:pPr>
      <w:spacing w:line="360" w:lineRule="auto"/>
      <w:ind w:firstLine="200" w:firstLineChars="200"/>
    </w:pPr>
    <w:rPr>
      <w:rFonts w:cs="宋体"/>
      <w:sz w:val="24"/>
      <w:szCs w:val="20"/>
    </w:rPr>
  </w:style>
  <w:style w:type="paragraph" w:customStyle="1" w:styleId="861">
    <w:name w:val="font5"/>
    <w:basedOn w:val="1"/>
    <w:qFormat/>
    <w:uiPriority w:val="0"/>
    <w:pPr>
      <w:spacing w:before="100" w:beforeAutospacing="1" w:after="100" w:afterAutospacing="1"/>
    </w:pPr>
    <w:rPr>
      <w:rFonts w:ascii="Times New Roman" w:hAnsi="Times New Roman" w:cs="Times New Roman"/>
      <w:color w:val="000000"/>
      <w:sz w:val="20"/>
      <w:szCs w:val="20"/>
    </w:rPr>
  </w:style>
  <w:style w:type="paragraph" w:customStyle="1" w:styleId="862">
    <w:name w:val="Char Char9 Char Char"/>
    <w:basedOn w:val="14"/>
    <w:qFormat/>
    <w:uiPriority w:val="0"/>
    <w:pPr>
      <w:spacing w:line="360" w:lineRule="auto"/>
      <w:ind w:firstLine="480"/>
    </w:pPr>
    <w:rPr>
      <w:b/>
      <w:bCs/>
      <w:sz w:val="24"/>
      <w:szCs w:val="20"/>
    </w:rPr>
  </w:style>
  <w:style w:type="paragraph" w:customStyle="1" w:styleId="863">
    <w:name w:val=" Char1 Char Char Char Char Char Char"/>
    <w:basedOn w:val="1"/>
    <w:qFormat/>
    <w:uiPriority w:val="0"/>
    <w:rPr>
      <w:rFonts w:ascii="Tahoma" w:hAnsi="Tahoma"/>
      <w:sz w:val="24"/>
      <w:szCs w:val="20"/>
    </w:rPr>
  </w:style>
  <w:style w:type="paragraph" w:customStyle="1" w:styleId="864">
    <w:name w:val="HTML 预设格式1"/>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53" w:lineRule="atLeast"/>
    </w:pPr>
    <w:rPr>
      <w:rFonts w:ascii="Courier New" w:hAnsi="Courier New" w:cs="Courier New"/>
      <w:kern w:val="2"/>
      <w:sz w:val="20"/>
      <w:szCs w:val="20"/>
    </w:rPr>
  </w:style>
  <w:style w:type="paragraph" w:customStyle="1" w:styleId="865">
    <w:name w:val="样式 左侧:  1 厘米"/>
    <w:basedOn w:val="1"/>
    <w:qFormat/>
    <w:uiPriority w:val="0"/>
    <w:pPr>
      <w:spacing w:line="360" w:lineRule="auto"/>
      <w:ind w:left="567"/>
    </w:pPr>
    <w:rPr>
      <w:rFonts w:cs="宋体"/>
      <w:color w:val="000000"/>
      <w:sz w:val="24"/>
    </w:rPr>
  </w:style>
  <w:style w:type="paragraph" w:customStyle="1" w:styleId="866">
    <w:name w:val="附录章标题"/>
    <w:next w:val="1"/>
    <w:qFormat/>
    <w:uiPriority w:val="0"/>
    <w:pPr>
      <w:numPr>
        <w:ilvl w:val="1"/>
        <w:numId w:val="12"/>
      </w:num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67">
    <w:name w:val="xl10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868">
    <w:name w:val="XHH标题5"/>
    <w:basedOn w:val="1"/>
    <w:next w:val="354"/>
    <w:qFormat/>
    <w:uiPriority w:val="0"/>
    <w:pPr>
      <w:widowControl w:val="0"/>
      <w:spacing w:before="120" w:after="120" w:line="360" w:lineRule="auto"/>
      <w:ind w:left="2551" w:hanging="850"/>
      <w:outlineLvl w:val="4"/>
    </w:pPr>
    <w:rPr>
      <w:rFonts w:hAnsi="黑体"/>
      <w:b/>
      <w:kern w:val="2"/>
      <w:szCs w:val="28"/>
    </w:rPr>
  </w:style>
  <w:style w:type="paragraph" w:customStyle="1" w:styleId="869">
    <w:name w:val="WW-正文文字缩进 2"/>
    <w:basedOn w:val="1"/>
    <w:qFormat/>
    <w:uiPriority w:val="0"/>
    <w:pPr>
      <w:widowControl w:val="0"/>
      <w:suppressAutoHyphens/>
      <w:ind w:firstLine="420"/>
      <w:jc w:val="both"/>
    </w:pPr>
    <w:rPr>
      <w:rFonts w:ascii="Times New Roman" w:hAnsi="Times New Roman" w:cs="Times New Roman"/>
      <w:kern w:val="1"/>
      <w:sz w:val="21"/>
      <w:szCs w:val="20"/>
    </w:rPr>
  </w:style>
  <w:style w:type="paragraph" w:customStyle="1" w:styleId="870">
    <w:name w:val="南通方案正文"/>
    <w:basedOn w:val="1"/>
    <w:qFormat/>
    <w:uiPriority w:val="0"/>
    <w:pPr>
      <w:widowControl w:val="0"/>
      <w:spacing w:line="360" w:lineRule="auto"/>
      <w:ind w:firstLine="480" w:firstLineChars="200"/>
      <w:jc w:val="both"/>
    </w:pPr>
    <w:rPr>
      <w:rFonts w:ascii="Times New Roman" w:hAnsi="Times New Roman" w:cs="Times New Roman"/>
      <w:kern w:val="2"/>
      <w:szCs w:val="20"/>
    </w:rPr>
  </w:style>
  <w:style w:type="paragraph" w:customStyle="1" w:styleId="871">
    <w:name w:val="xl4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eastAsia="Arial Unicode MS" w:cs="Times New Roman"/>
    </w:rPr>
  </w:style>
  <w:style w:type="paragraph" w:customStyle="1" w:styleId="872">
    <w:name w:val="xl38"/>
    <w:basedOn w:val="1"/>
    <w:qFormat/>
    <w:uiPriority w:val="0"/>
    <w:pPr>
      <w:spacing w:before="100" w:beforeAutospacing="1" w:after="100" w:afterAutospacing="1"/>
      <w:jc w:val="center"/>
    </w:pPr>
    <w:rPr>
      <w:rFonts w:ascii="Arial Unicode MS" w:hAnsi="Arial Unicode MS" w:eastAsia="Arial Unicode MS" w:cs="Arial Unicode MS"/>
    </w:rPr>
  </w:style>
  <w:style w:type="paragraph" w:customStyle="1" w:styleId="873">
    <w:name w:val="0"/>
    <w:basedOn w:val="1"/>
    <w:qFormat/>
    <w:uiPriority w:val="0"/>
    <w:pPr>
      <w:snapToGrid w:val="0"/>
      <w:spacing w:line="360" w:lineRule="auto"/>
      <w:ind w:hanging="1" w:firstLineChars="200"/>
      <w:jc w:val="both"/>
    </w:pPr>
    <w:rPr>
      <w:rFonts w:ascii="Times New Roman" w:hAnsi="Times New Roman" w:cs="Times New Roman"/>
      <w:sz w:val="21"/>
      <w:szCs w:val="21"/>
    </w:rPr>
  </w:style>
  <w:style w:type="paragraph" w:customStyle="1" w:styleId="874">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75">
    <w:name w:val="样式 正文首行缩进 + 首行缩进:  2 字符5"/>
    <w:basedOn w:val="5"/>
    <w:qFormat/>
    <w:uiPriority w:val="0"/>
    <w:pPr>
      <w:widowControl w:val="0"/>
      <w:spacing w:after="0" w:line="300" w:lineRule="auto"/>
      <w:ind w:firstLine="200" w:firstLineChars="200"/>
      <w:jc w:val="both"/>
    </w:pPr>
    <w:rPr>
      <w:rFonts w:ascii="Times New Roman" w:hAnsi="Times New Roman" w:cs="宋体"/>
      <w:bCs w:val="0"/>
      <w:sz w:val="24"/>
      <w:szCs w:val="20"/>
    </w:rPr>
  </w:style>
  <w:style w:type="paragraph" w:customStyle="1" w:styleId="876">
    <w:name w:val="正文文本缩进 21"/>
    <w:basedOn w:val="1"/>
    <w:qFormat/>
    <w:uiPriority w:val="0"/>
    <w:pPr>
      <w:widowControl w:val="0"/>
      <w:ind w:firstLine="480" w:firstLineChars="200"/>
      <w:jc w:val="both"/>
    </w:pPr>
    <w:rPr>
      <w:rFonts w:ascii="Times New Roman" w:hAnsi="Times New Roman" w:cs="Times New Roman"/>
      <w:sz w:val="21"/>
      <w:szCs w:val="21"/>
    </w:rPr>
  </w:style>
  <w:style w:type="paragraph" w:customStyle="1" w:styleId="877">
    <w:name w:val="_Style 586"/>
    <w:basedOn w:val="1"/>
    <w:next w:val="1"/>
    <w:qFormat/>
    <w:uiPriority w:val="99"/>
  </w:style>
  <w:style w:type="paragraph" w:customStyle="1" w:styleId="878">
    <w:name w:val="XHH标题7"/>
    <w:qFormat/>
    <w:uiPriority w:val="0"/>
    <w:pPr>
      <w:ind w:left="3827" w:hanging="1276"/>
    </w:pPr>
    <w:rPr>
      <w:rFonts w:ascii="黑体" w:hAnsi="黑体" w:eastAsia="黑体" w:cs="宋体"/>
      <w:kern w:val="2"/>
      <w:sz w:val="28"/>
      <w:szCs w:val="28"/>
      <w:lang w:val="en-US" w:eastAsia="zh-CN" w:bidi="ar-SA"/>
    </w:rPr>
  </w:style>
  <w:style w:type="paragraph" w:customStyle="1" w:styleId="879">
    <w:name w:val="Char Char3 Char Char"/>
    <w:basedOn w:val="1"/>
    <w:qFormat/>
    <w:uiPriority w:val="0"/>
    <w:pPr>
      <w:widowControl w:val="0"/>
      <w:jc w:val="both"/>
    </w:pPr>
    <w:rPr>
      <w:rFonts w:ascii="Times New Roman" w:hAnsi="Times New Roman" w:cs="Times New Roman"/>
      <w:kern w:val="2"/>
      <w:sz w:val="21"/>
    </w:rPr>
  </w:style>
  <w:style w:type="paragraph" w:customStyle="1" w:styleId="880">
    <w:name w:val="Char Char16 Char Char"/>
    <w:basedOn w:val="1"/>
    <w:qFormat/>
    <w:uiPriority w:val="0"/>
    <w:pPr>
      <w:widowControl w:val="0"/>
      <w:jc w:val="both"/>
    </w:pPr>
    <w:rPr>
      <w:rFonts w:ascii="Times New Roman" w:hAnsi="Times New Roman" w:cs="Times New Roman"/>
      <w:kern w:val="2"/>
      <w:sz w:val="21"/>
      <w:szCs w:val="21"/>
    </w:rPr>
  </w:style>
  <w:style w:type="paragraph" w:customStyle="1" w:styleId="881">
    <w:name w:val="Char Char Char1 Char"/>
    <w:basedOn w:val="1"/>
    <w:qFormat/>
    <w:uiPriority w:val="0"/>
    <w:pPr>
      <w:spacing w:after="160" w:line="240" w:lineRule="exact"/>
    </w:pPr>
    <w:rPr>
      <w:rFonts w:ascii="Verdana" w:hAnsi="Verdana" w:cs="Times New Roman"/>
      <w:szCs w:val="20"/>
      <w:lang w:eastAsia="en-US"/>
    </w:rPr>
  </w:style>
  <w:style w:type="paragraph" w:customStyle="1" w:styleId="882">
    <w:name w:val="_Style 11"/>
    <w:basedOn w:val="1"/>
    <w:qFormat/>
    <w:uiPriority w:val="0"/>
    <w:pPr>
      <w:widowControl w:val="0"/>
      <w:jc w:val="both"/>
    </w:pPr>
    <w:rPr>
      <w:rFonts w:ascii="Times New Roman" w:hAnsi="Times New Roman" w:cs="Times New Roman"/>
      <w:kern w:val="2"/>
      <w:sz w:val="21"/>
    </w:rPr>
  </w:style>
  <w:style w:type="paragraph" w:customStyle="1" w:styleId="883">
    <w:name w:val="xl3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eastAsia="Arial Unicode MS" w:cs="Times New Roman"/>
    </w:rPr>
  </w:style>
  <w:style w:type="paragraph" w:customStyle="1" w:styleId="884">
    <w:name w:val="xl23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885">
    <w:name w:val="xl22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886">
    <w:name w:val="Char Char1 Char Char Char Char Char Char Char Char Char Char1"/>
    <w:basedOn w:val="1"/>
    <w:qFormat/>
    <w:uiPriority w:val="0"/>
    <w:pPr>
      <w:spacing w:after="160" w:line="240" w:lineRule="exact"/>
    </w:pPr>
    <w:rPr>
      <w:rFonts w:ascii="Verdana" w:hAnsi="Verdana" w:cs="Times New Roman"/>
      <w:szCs w:val="20"/>
      <w:lang w:eastAsia="en-US"/>
    </w:rPr>
  </w:style>
  <w:style w:type="paragraph" w:customStyle="1" w:styleId="887">
    <w:name w:val="Char Char Char1 Char Char Char1 Char Char Char Char"/>
    <w:basedOn w:val="1"/>
    <w:qFormat/>
    <w:uiPriority w:val="0"/>
    <w:pPr>
      <w:widowControl w:val="0"/>
      <w:jc w:val="both"/>
    </w:pPr>
    <w:rPr>
      <w:rFonts w:ascii="Times New Roman" w:hAnsi="Times New Roman" w:cs="Times New Roman"/>
      <w:kern w:val="2"/>
      <w:sz w:val="21"/>
    </w:rPr>
  </w:style>
  <w:style w:type="paragraph" w:customStyle="1" w:styleId="888">
    <w:name w:val="xl12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sz w:val="20"/>
      <w:szCs w:val="20"/>
    </w:rPr>
  </w:style>
  <w:style w:type="paragraph" w:customStyle="1" w:styleId="889">
    <w:name w:val="页脚左端（绿盟科技）"/>
    <w:basedOn w:val="515"/>
    <w:qFormat/>
    <w:uiPriority w:val="0"/>
    <w:pPr>
      <w:tabs>
        <w:tab w:val="clear" w:pos="4153"/>
        <w:tab w:val="clear" w:pos="8306"/>
      </w:tabs>
    </w:pPr>
  </w:style>
  <w:style w:type="paragraph" w:customStyle="1" w:styleId="890">
    <w:name w:val="xl22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891">
    <w:name w:val="正文文本 22"/>
    <w:basedOn w:val="1"/>
    <w:qFormat/>
    <w:uiPriority w:val="0"/>
    <w:pPr>
      <w:spacing w:after="120" w:line="360" w:lineRule="auto"/>
      <w:ind w:firstLine="510"/>
    </w:pPr>
    <w:rPr>
      <w:rFonts w:ascii="Times New Roman" w:hAnsi="Times New Roman" w:cs="Times New Roman"/>
    </w:rPr>
  </w:style>
  <w:style w:type="paragraph" w:customStyle="1" w:styleId="892">
    <w:name w:val="xl2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cs="Times New Roman"/>
      <w:sz w:val="18"/>
      <w:szCs w:val="18"/>
    </w:rPr>
  </w:style>
  <w:style w:type="paragraph" w:customStyle="1" w:styleId="893">
    <w:name w:val="xl30"/>
    <w:basedOn w:val="1"/>
    <w:qFormat/>
    <w:uiPriority w:val="0"/>
    <w:pPr>
      <w:spacing w:before="100" w:beforeAutospacing="1" w:after="100" w:afterAutospacing="1"/>
      <w:textAlignment w:val="center"/>
    </w:pPr>
    <w:rPr>
      <w:rFonts w:ascii="Arial Unicode MS" w:hAnsi="Arial Unicode MS" w:cs="Times New Roman"/>
      <w:sz w:val="18"/>
      <w:szCs w:val="18"/>
    </w:rPr>
  </w:style>
  <w:style w:type="paragraph" w:customStyle="1" w:styleId="894">
    <w:name w:val="Char Char Char Char Char Char Char Char Char Char Char Char Char Char Char Char Char Char Char"/>
    <w:basedOn w:val="1"/>
    <w:qFormat/>
    <w:uiPriority w:val="0"/>
    <w:pPr>
      <w:widowControl w:val="0"/>
      <w:jc w:val="both"/>
    </w:pPr>
    <w:rPr>
      <w:rFonts w:ascii="仿宋_GB2312" w:hAnsi="Times New Roman" w:eastAsia="仿宋_GB2312" w:cs="Times New Roman"/>
      <w:b/>
      <w:kern w:val="2"/>
      <w:sz w:val="32"/>
      <w:szCs w:val="32"/>
    </w:rPr>
  </w:style>
  <w:style w:type="paragraph" w:customStyle="1" w:styleId="895">
    <w:name w:val="列出段落1"/>
    <w:basedOn w:val="1"/>
    <w:qFormat/>
    <w:uiPriority w:val="34"/>
    <w:pPr>
      <w:ind w:firstLine="420" w:firstLineChars="200"/>
    </w:pPr>
  </w:style>
  <w:style w:type="paragraph" w:customStyle="1" w:styleId="896">
    <w:name w:val="xl23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rPr>
  </w:style>
  <w:style w:type="paragraph" w:customStyle="1" w:styleId="897">
    <w:name w:val="GP标题3"/>
    <w:basedOn w:val="1"/>
    <w:next w:val="552"/>
    <w:qFormat/>
    <w:uiPriority w:val="0"/>
    <w:pPr>
      <w:widowControl w:val="0"/>
      <w:numPr>
        <w:ilvl w:val="2"/>
        <w:numId w:val="6"/>
      </w:numPr>
      <w:tabs>
        <w:tab w:val="left" w:pos="1260"/>
        <w:tab w:val="clear" w:pos="720"/>
      </w:tabs>
      <w:spacing w:before="156" w:beforeLines="50" w:after="156" w:afterLines="50" w:line="360" w:lineRule="auto"/>
      <w:outlineLvl w:val="2"/>
    </w:pPr>
    <w:rPr>
      <w:rFonts w:ascii="华文细黑" w:hAnsi="华文细黑" w:eastAsia="华文细黑" w:cs="Times New Roman"/>
      <w:b/>
      <w:sz w:val="30"/>
      <w:szCs w:val="20"/>
    </w:rPr>
  </w:style>
  <w:style w:type="paragraph" w:customStyle="1" w:styleId="898">
    <w:name w:val="xl8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b/>
      <w:bCs/>
    </w:rPr>
  </w:style>
  <w:style w:type="paragraph" w:customStyle="1" w:styleId="899">
    <w:name w:val="页脚页码（绿盟科技）"/>
    <w:basedOn w:val="46"/>
    <w:qFormat/>
    <w:uiPriority w:val="0"/>
    <w:pPr>
      <w:widowControl w:val="0"/>
      <w:autoSpaceDE w:val="0"/>
      <w:autoSpaceDN w:val="0"/>
      <w:adjustRightInd w:val="0"/>
      <w:jc w:val="center"/>
    </w:pPr>
    <w:rPr>
      <w:rFonts w:cs="宋体"/>
      <w:b/>
      <w:bCs/>
      <w:szCs w:val="20"/>
    </w:rPr>
  </w:style>
  <w:style w:type="paragraph" w:customStyle="1" w:styleId="900">
    <w:name w:val="xl12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0"/>
      <w:szCs w:val="20"/>
    </w:rPr>
  </w:style>
  <w:style w:type="paragraph" w:customStyle="1" w:styleId="901">
    <w:name w:val="xl20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90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903">
    <w:name w:val="legal"/>
    <w:basedOn w:val="1"/>
    <w:qFormat/>
    <w:uiPriority w:val="0"/>
    <w:pPr>
      <w:spacing w:before="100" w:beforeAutospacing="1" w:after="100" w:afterAutospacing="1"/>
    </w:pPr>
  </w:style>
  <w:style w:type="paragraph" w:customStyle="1" w:styleId="904">
    <w:name w:val="文章总标题"/>
    <w:basedOn w:val="1"/>
    <w:next w:val="676"/>
    <w:qFormat/>
    <w:uiPriority w:val="0"/>
    <w:pPr>
      <w:spacing w:before="566" w:after="544" w:line="566" w:lineRule="atLeast"/>
      <w:jc w:val="center"/>
    </w:pPr>
    <w:rPr>
      <w:rFonts w:ascii="Arial" w:hAnsi="Times New Roman" w:eastAsia="黑体" w:cs="Times New Roman"/>
      <w:color w:val="000000"/>
      <w:sz w:val="54"/>
      <w:szCs w:val="20"/>
    </w:rPr>
  </w:style>
  <w:style w:type="paragraph" w:customStyle="1" w:styleId="905">
    <w:name w:val="模板普通正文"/>
    <w:basedOn w:val="30"/>
    <w:qFormat/>
    <w:uiPriority w:val="0"/>
    <w:pPr>
      <w:widowControl w:val="0"/>
      <w:spacing w:beforeLines="50" w:after="10" w:line="360" w:lineRule="auto"/>
      <w:ind w:left="0" w:leftChars="0" w:firstLine="175" w:firstLineChars="175"/>
    </w:pPr>
    <w:rPr>
      <w:sz w:val="24"/>
      <w:lang w:val="en-US" w:eastAsia="zh-CN"/>
    </w:rPr>
  </w:style>
  <w:style w:type="paragraph" w:customStyle="1" w:styleId="906">
    <w:name w:val="样式 加粗 居中2"/>
    <w:basedOn w:val="1"/>
    <w:next w:val="544"/>
    <w:qFormat/>
    <w:uiPriority w:val="0"/>
    <w:pPr>
      <w:widowControl w:val="0"/>
      <w:snapToGrid w:val="0"/>
      <w:spacing w:line="360" w:lineRule="auto"/>
      <w:jc w:val="center"/>
    </w:pPr>
    <w:rPr>
      <w:rFonts w:ascii="Calibri" w:hAnsi="Calibri" w:cs="Times New Roman"/>
      <w:b/>
      <w:bCs/>
      <w:spacing w:val="1"/>
      <w:sz w:val="32"/>
      <w:szCs w:val="20"/>
    </w:rPr>
  </w:style>
  <w:style w:type="paragraph" w:customStyle="1" w:styleId="907">
    <w:name w:val="部分1"/>
    <w:basedOn w:val="1"/>
    <w:qFormat/>
    <w:uiPriority w:val="0"/>
    <w:pPr>
      <w:keepNext/>
      <w:pageBreakBefore/>
      <w:widowControl w:val="0"/>
      <w:tabs>
        <w:tab w:val="left" w:pos="720"/>
      </w:tabs>
      <w:spacing w:line="360" w:lineRule="auto"/>
      <w:jc w:val="center"/>
      <w:outlineLvl w:val="0"/>
    </w:pPr>
    <w:rPr>
      <w:rFonts w:ascii="Times New Roman" w:hAnsi="Times New Roman" w:eastAsia="黑体" w:cs="Times New Roman"/>
      <w:b/>
      <w:kern w:val="44"/>
      <w:sz w:val="36"/>
      <w:szCs w:val="20"/>
    </w:rPr>
  </w:style>
  <w:style w:type="paragraph" w:customStyle="1" w:styleId="908">
    <w:name w:val="XHH标题1"/>
    <w:next w:val="1"/>
    <w:qFormat/>
    <w:uiPriority w:val="0"/>
    <w:pPr>
      <w:pageBreakBefore/>
      <w:widowControl w:val="0"/>
      <w:spacing w:before="120" w:after="120" w:line="360" w:lineRule="auto"/>
      <w:ind w:left="425" w:hanging="425"/>
      <w:jc w:val="center"/>
      <w:outlineLvl w:val="0"/>
    </w:pPr>
    <w:rPr>
      <w:rFonts w:ascii="黑体" w:hAnsi="宋体" w:eastAsia="黑体" w:cs="Times New Roman"/>
      <w:b/>
      <w:kern w:val="2"/>
      <w:sz w:val="32"/>
      <w:szCs w:val="24"/>
      <w:lang w:val="en-US" w:eastAsia="zh-CN" w:bidi="ar-SA"/>
    </w:rPr>
  </w:style>
  <w:style w:type="paragraph" w:customStyle="1" w:styleId="909">
    <w:name w:val="列项——（一级）"/>
    <w:qFormat/>
    <w:uiPriority w:val="0"/>
    <w:pPr>
      <w:widowControl w:val="0"/>
      <w:tabs>
        <w:tab w:val="left" w:pos="854"/>
        <w:tab w:val="left" w:pos="1260"/>
      </w:tabs>
      <w:ind w:left="1260" w:hanging="420"/>
      <w:jc w:val="both"/>
    </w:pPr>
    <w:rPr>
      <w:rFonts w:ascii="宋体" w:hAnsi="Times New Roman" w:eastAsia="宋体" w:cs="Times New Roman"/>
      <w:sz w:val="21"/>
      <w:lang w:val="en-US" w:eastAsia="zh-CN" w:bidi="ar-SA"/>
    </w:rPr>
  </w:style>
  <w:style w:type="paragraph" w:customStyle="1" w:styleId="910">
    <w:name w:val="font10"/>
    <w:basedOn w:val="1"/>
    <w:qFormat/>
    <w:uiPriority w:val="0"/>
    <w:pPr>
      <w:spacing w:before="100" w:beforeAutospacing="1" w:after="100" w:afterAutospacing="1"/>
    </w:pPr>
    <w:rPr>
      <w:rFonts w:ascii="Arial" w:hAnsi="Arial" w:cs="Arial"/>
      <w:color w:val="000000"/>
      <w:sz w:val="20"/>
      <w:szCs w:val="20"/>
    </w:rPr>
  </w:style>
  <w:style w:type="paragraph" w:customStyle="1" w:styleId="911">
    <w:name w:val="xl116"/>
    <w:basedOn w:val="1"/>
    <w:qFormat/>
    <w:uiPriority w:val="0"/>
    <w:pPr>
      <w:pBdr>
        <w:top w:val="single" w:color="auto" w:sz="4" w:space="0"/>
        <w:bottom w:val="single" w:color="auto" w:sz="4" w:space="0"/>
      </w:pBdr>
      <w:spacing w:before="100" w:beforeAutospacing="1" w:after="100" w:afterAutospacing="1"/>
      <w:jc w:val="center"/>
    </w:pPr>
    <w:rPr>
      <w:rFonts w:hAnsi="Times New Roman" w:cs="Times New Roman"/>
      <w:b/>
      <w:bCs/>
    </w:rPr>
  </w:style>
  <w:style w:type="paragraph" w:customStyle="1" w:styleId="912">
    <w:name w:val="+标题2"/>
    <w:basedOn w:val="9"/>
    <w:qFormat/>
    <w:uiPriority w:val="0"/>
    <w:pPr>
      <w:widowControl w:val="0"/>
      <w:tabs>
        <w:tab w:val="left" w:pos="432"/>
      </w:tabs>
      <w:spacing w:before="120" w:after="120" w:line="360" w:lineRule="auto"/>
      <w:jc w:val="both"/>
    </w:pPr>
    <w:rPr>
      <w:rFonts w:ascii="Times New Roman" w:hAnsi="Times New Roman" w:eastAsia="宋体"/>
      <w:sz w:val="24"/>
      <w:szCs w:val="28"/>
    </w:rPr>
  </w:style>
  <w:style w:type="paragraph" w:customStyle="1" w:styleId="913">
    <w:name w:val="表内文字"/>
    <w:basedOn w:val="1"/>
    <w:qFormat/>
    <w:uiPriority w:val="0"/>
    <w:pPr>
      <w:spacing w:line="500" w:lineRule="atLeast"/>
      <w:jc w:val="center"/>
    </w:pPr>
    <w:rPr>
      <w:rFonts w:ascii="Arial" w:hAnsi="Arial" w:eastAsia="楷体_GB2312" w:cs="Arial"/>
      <w:sz w:val="28"/>
    </w:rPr>
  </w:style>
  <w:style w:type="paragraph" w:customStyle="1" w:styleId="914">
    <w:name w:val="正文文字表格居中"/>
    <w:basedOn w:val="1"/>
    <w:next w:val="58"/>
    <w:qFormat/>
    <w:uiPriority w:val="0"/>
    <w:pPr>
      <w:widowControl w:val="0"/>
      <w:autoSpaceDE w:val="0"/>
      <w:autoSpaceDN w:val="0"/>
      <w:adjustRightInd w:val="0"/>
      <w:snapToGrid w:val="0"/>
      <w:spacing w:line="360" w:lineRule="auto"/>
    </w:pPr>
    <w:rPr>
      <w:rFonts w:hAnsi="Times New Roman" w:cs="Times New Roman"/>
      <w:b/>
      <w:szCs w:val="20"/>
    </w:rPr>
  </w:style>
  <w:style w:type="paragraph" w:customStyle="1" w:styleId="915">
    <w:name w:val="前言、引言标题"/>
    <w:next w:val="1"/>
    <w:qFormat/>
    <w:uiPriority w:val="0"/>
    <w:pPr>
      <w:shd w:val="clear" w:color="FFFFFF" w:fill="FFFFFF"/>
      <w:spacing w:before="640" w:after="560"/>
      <w:ind w:left="360" w:hanging="360"/>
      <w:jc w:val="center"/>
      <w:outlineLvl w:val="0"/>
    </w:pPr>
    <w:rPr>
      <w:rFonts w:ascii="黑体" w:hAnsi="Times New Roman" w:eastAsia="黑体" w:cs="Times New Roman"/>
      <w:sz w:val="32"/>
      <w:lang w:val="en-US" w:eastAsia="zh-CN" w:bidi="ar-SA"/>
    </w:rPr>
  </w:style>
  <w:style w:type="paragraph" w:customStyle="1" w:styleId="916">
    <w:name w:val="引文目录标题1"/>
    <w:basedOn w:val="1"/>
    <w:next w:val="1"/>
    <w:qFormat/>
    <w:uiPriority w:val="0"/>
    <w:pPr>
      <w:widowControl w:val="0"/>
      <w:snapToGrid w:val="0"/>
      <w:spacing w:before="120" w:line="360" w:lineRule="auto"/>
      <w:jc w:val="center"/>
    </w:pPr>
    <w:rPr>
      <w:rFonts w:ascii="Arial" w:hAnsi="Arial" w:cs="Arial"/>
      <w:b/>
      <w:kern w:val="2"/>
      <w:sz w:val="32"/>
      <w:szCs w:val="32"/>
    </w:rPr>
  </w:style>
  <w:style w:type="paragraph" w:customStyle="1" w:styleId="917">
    <w:name w:val="普通(网站)1"/>
    <w:basedOn w:val="1"/>
    <w:qFormat/>
    <w:uiPriority w:val="0"/>
    <w:pPr>
      <w:spacing w:before="100" w:beforeAutospacing="1" w:after="100" w:afterAutospacing="1"/>
      <w:ind w:firstLine="200" w:firstLineChars="200"/>
    </w:pPr>
    <w:rPr>
      <w:rFonts w:ascii="Calibri" w:hAnsi="Calibri" w:cs="Times New Roman"/>
      <w:sz w:val="21"/>
      <w:szCs w:val="21"/>
    </w:rPr>
  </w:style>
  <w:style w:type="paragraph" w:customStyle="1" w:styleId="918">
    <w:name w:val="索引 91"/>
    <w:basedOn w:val="1"/>
    <w:next w:val="1"/>
    <w:qFormat/>
    <w:uiPriority w:val="0"/>
    <w:pPr>
      <w:widowControl w:val="0"/>
      <w:snapToGrid w:val="0"/>
      <w:spacing w:line="360" w:lineRule="auto"/>
      <w:ind w:left="1600" w:leftChars="1600"/>
      <w:jc w:val="center"/>
    </w:pPr>
    <w:rPr>
      <w:rFonts w:ascii="Calibri" w:hAnsi="Calibri" w:cs="Times New Roman"/>
      <w:b/>
      <w:kern w:val="2"/>
      <w:sz w:val="32"/>
      <w:szCs w:val="32"/>
    </w:rPr>
  </w:style>
  <w:style w:type="paragraph" w:customStyle="1" w:styleId="919">
    <w:name w:val="Bullet"/>
    <w:basedOn w:val="920"/>
    <w:qFormat/>
    <w:uiPriority w:val="0"/>
    <w:pPr>
      <w:tabs>
        <w:tab w:val="left" w:pos="900"/>
      </w:tabs>
    </w:pPr>
    <w:rPr>
      <w:rFonts w:ascii="Times New Roman" w:hAnsi="Times New Roman"/>
    </w:rPr>
  </w:style>
  <w:style w:type="paragraph" w:customStyle="1" w:styleId="920">
    <w:name w:val="Body"/>
    <w:qFormat/>
    <w:uiPriority w:val="0"/>
    <w:pPr>
      <w:spacing w:after="60"/>
      <w:ind w:left="567" w:right="2835"/>
    </w:pPr>
    <w:rPr>
      <w:rFonts w:ascii="Helvetica" w:hAnsi="Helvetica" w:eastAsia="宋体" w:cs="Times New Roman"/>
      <w:kern w:val="2"/>
      <w:sz w:val="21"/>
      <w:szCs w:val="24"/>
      <w:lang w:val="en-US" w:eastAsia="de-CH" w:bidi="ar-SA"/>
    </w:rPr>
  </w:style>
  <w:style w:type="paragraph" w:customStyle="1" w:styleId="921">
    <w:name w:val="列表编号 21"/>
    <w:basedOn w:val="1"/>
    <w:qFormat/>
    <w:uiPriority w:val="0"/>
    <w:pPr>
      <w:widowControl w:val="0"/>
      <w:snapToGrid w:val="0"/>
      <w:spacing w:line="360" w:lineRule="auto"/>
    </w:pPr>
    <w:rPr>
      <w:rFonts w:ascii="Calibri" w:hAnsi="Calibri" w:cs="Times New Roman"/>
      <w:b/>
      <w:kern w:val="2"/>
      <w:sz w:val="32"/>
      <w:szCs w:val="20"/>
    </w:rPr>
  </w:style>
  <w:style w:type="paragraph" w:customStyle="1" w:styleId="922">
    <w:name w:val="项目标号"/>
    <w:qFormat/>
    <w:uiPriority w:val="0"/>
    <w:pPr>
      <w:numPr>
        <w:ilvl w:val="1"/>
        <w:numId w:val="1"/>
      </w:numPr>
      <w:tabs>
        <w:tab w:val="left" w:pos="780"/>
      </w:tabs>
      <w:spacing w:line="360" w:lineRule="auto"/>
    </w:pPr>
    <w:rPr>
      <w:rFonts w:ascii="Times New Roman" w:hAnsi="Times New Roman" w:eastAsia="宋体" w:cs="Times New Roman"/>
      <w:sz w:val="24"/>
      <w:szCs w:val="22"/>
      <w:lang w:val="en-US" w:eastAsia="zh-CN" w:bidi="ar-SA"/>
    </w:rPr>
  </w:style>
  <w:style w:type="paragraph" w:customStyle="1" w:styleId="923">
    <w:name w:val="font0"/>
    <w:basedOn w:val="1"/>
    <w:qFormat/>
    <w:uiPriority w:val="0"/>
    <w:pPr>
      <w:spacing w:before="100" w:beforeAutospacing="1" w:after="100" w:afterAutospacing="1"/>
    </w:pPr>
    <w:rPr>
      <w:rFonts w:ascii="Arial" w:hAnsi="Arial" w:eastAsia="Arial Unicode MS" w:cs="Arial"/>
      <w:sz w:val="20"/>
      <w:szCs w:val="20"/>
    </w:rPr>
  </w:style>
  <w:style w:type="paragraph" w:customStyle="1" w:styleId="924">
    <w:name w:val="Char Char27"/>
    <w:basedOn w:val="1"/>
    <w:qFormat/>
    <w:uiPriority w:val="0"/>
    <w:pPr>
      <w:widowControl w:val="0"/>
      <w:snapToGrid w:val="0"/>
      <w:spacing w:line="360" w:lineRule="auto"/>
      <w:jc w:val="both"/>
    </w:pPr>
    <w:rPr>
      <w:rFonts w:ascii="Arial" w:hAnsi="Arial" w:eastAsia="黑体" w:cs="Times New Roman"/>
      <w:snapToGrid w:val="0"/>
      <w:sz w:val="20"/>
      <w:szCs w:val="21"/>
    </w:rPr>
  </w:style>
  <w:style w:type="paragraph" w:customStyle="1" w:styleId="925">
    <w:name w:val="目录标题1"/>
    <w:basedOn w:val="8"/>
    <w:next w:val="1"/>
    <w:qFormat/>
    <w:uiPriority w:val="0"/>
    <w:pPr>
      <w:keepLines/>
      <w:tabs>
        <w:tab w:val="left" w:pos="432"/>
      </w:tabs>
      <w:spacing w:before="480" w:line="276" w:lineRule="auto"/>
      <w:jc w:val="left"/>
      <w:outlineLvl w:val="9"/>
    </w:pPr>
    <w:rPr>
      <w:rFonts w:ascii="Cambria" w:hAnsi="Cambria"/>
      <w:b/>
      <w:bCs/>
      <w:color w:val="365F91"/>
      <w:kern w:val="0"/>
      <w:szCs w:val="28"/>
    </w:rPr>
  </w:style>
  <w:style w:type="paragraph" w:customStyle="1" w:styleId="926">
    <w:name w:val="_Style 925"/>
    <w:basedOn w:val="8"/>
    <w:next w:val="1"/>
    <w:qFormat/>
    <w:uiPriority w:val="0"/>
    <w:pPr>
      <w:keepLines/>
      <w:tabs>
        <w:tab w:val="left" w:pos="2782"/>
      </w:tabs>
      <w:spacing w:before="156" w:beforeLines="50" w:line="276" w:lineRule="auto"/>
      <w:jc w:val="left"/>
      <w:outlineLvl w:val="9"/>
    </w:pPr>
    <w:rPr>
      <w:rFonts w:ascii="Cambria" w:hAnsi="Cambria"/>
      <w:b/>
      <w:bCs/>
      <w:color w:val="365F91"/>
      <w:kern w:val="0"/>
      <w:szCs w:val="28"/>
    </w:rPr>
  </w:style>
  <w:style w:type="paragraph" w:customStyle="1" w:styleId="927">
    <w:name w:val="Char Char Char Char Char Char1 Char Char Char1 Char Char Char Char Char Char"/>
    <w:basedOn w:val="1"/>
    <w:qFormat/>
    <w:uiPriority w:val="0"/>
    <w:pPr>
      <w:widowControl w:val="0"/>
      <w:jc w:val="both"/>
    </w:pPr>
    <w:rPr>
      <w:rFonts w:ascii="Tahoma" w:hAnsi="Tahoma" w:cs="Times New Roman"/>
      <w:kern w:val="2"/>
      <w:sz w:val="21"/>
      <w:szCs w:val="20"/>
    </w:rPr>
  </w:style>
  <w:style w:type="paragraph" w:customStyle="1" w:styleId="928">
    <w:name w:val="标准小四"/>
    <w:basedOn w:val="1"/>
    <w:qFormat/>
    <w:uiPriority w:val="0"/>
    <w:pPr>
      <w:widowControl w:val="0"/>
      <w:autoSpaceDE w:val="0"/>
      <w:autoSpaceDN w:val="0"/>
      <w:adjustRightInd w:val="0"/>
      <w:spacing w:line="360" w:lineRule="auto"/>
      <w:ind w:firstLine="480" w:firstLineChars="200"/>
    </w:pPr>
    <w:rPr>
      <w:rFonts w:ascii="Arial" w:hAnsi="Arial" w:cs="Times New Roman"/>
      <w:szCs w:val="21"/>
    </w:rPr>
  </w:style>
  <w:style w:type="paragraph" w:customStyle="1" w:styleId="929">
    <w:name w:val="正文【标】"/>
    <w:basedOn w:val="1"/>
    <w:next w:val="1"/>
    <w:qFormat/>
    <w:uiPriority w:val="0"/>
    <w:pPr>
      <w:ind w:firstLine="480" w:firstLineChars="200"/>
    </w:pPr>
    <w:rPr>
      <w:szCs w:val="21"/>
    </w:rPr>
  </w:style>
  <w:style w:type="paragraph" w:customStyle="1" w:styleId="930">
    <w:name w:val="xl8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Times New Roman" w:cs="Times New Roman"/>
      <w:b/>
      <w:bCs/>
    </w:rPr>
  </w:style>
  <w:style w:type="paragraph" w:customStyle="1" w:styleId="931">
    <w:name w:val=" Char Char8"/>
    <w:basedOn w:val="1"/>
    <w:qFormat/>
    <w:uiPriority w:val="0"/>
    <w:rPr>
      <w:rFonts w:ascii="Tahoma" w:hAnsi="Tahoma"/>
      <w:sz w:val="24"/>
      <w:szCs w:val="20"/>
    </w:rPr>
  </w:style>
  <w:style w:type="paragraph" w:customStyle="1" w:styleId="932">
    <w:name w:val="Char Char7 Char"/>
    <w:basedOn w:val="1"/>
    <w:qFormat/>
    <w:uiPriority w:val="0"/>
    <w:pPr>
      <w:widowControl w:val="0"/>
      <w:tabs>
        <w:tab w:val="left" w:pos="425"/>
      </w:tabs>
      <w:ind w:left="420" w:leftChars="200" w:firstLine="270" w:firstLineChars="150"/>
      <w:jc w:val="both"/>
    </w:pPr>
    <w:rPr>
      <w:rFonts w:hAnsi="Times New Roman" w:cs="Arial"/>
      <w:color w:val="5E5E5E"/>
      <w:sz w:val="21"/>
      <w:szCs w:val="21"/>
    </w:rPr>
  </w:style>
  <w:style w:type="paragraph" w:customStyle="1" w:styleId="933">
    <w:name w:val="xl79"/>
    <w:basedOn w:val="1"/>
    <w:qFormat/>
    <w:uiPriority w:val="0"/>
    <w:pPr>
      <w:pBdr>
        <w:top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sz w:val="20"/>
      <w:szCs w:val="20"/>
    </w:rPr>
  </w:style>
  <w:style w:type="paragraph" w:customStyle="1" w:styleId="934">
    <w:name w:val="样式 目录 3 + 左侧:  2 字符"/>
    <w:basedOn w:val="36"/>
    <w:qFormat/>
    <w:uiPriority w:val="0"/>
    <w:pPr>
      <w:widowControl w:val="0"/>
      <w:tabs>
        <w:tab w:val="left" w:pos="1560"/>
        <w:tab w:val="left" w:pos="1701"/>
        <w:tab w:val="right" w:leader="dot" w:pos="8296"/>
      </w:tabs>
      <w:snapToGrid w:val="0"/>
      <w:spacing w:line="360" w:lineRule="auto"/>
      <w:ind w:left="400" w:leftChars="0"/>
    </w:pPr>
    <w:rPr>
      <w:rFonts w:ascii="Calibri" w:hAnsi="Calibri" w:cs="Calibri"/>
      <w:b/>
      <w:i/>
      <w:iCs/>
      <w:kern w:val="2"/>
      <w:sz w:val="20"/>
    </w:rPr>
  </w:style>
  <w:style w:type="paragraph" w:customStyle="1" w:styleId="935">
    <w:name w:val="xl9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w:hAnsi="Arial" w:cs="Arial"/>
      <w:b/>
      <w:bCs/>
      <w:color w:val="000000"/>
    </w:rPr>
  </w:style>
  <w:style w:type="paragraph" w:customStyle="1" w:styleId="936">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937">
    <w:name w:val="列表编号 41"/>
    <w:basedOn w:val="1"/>
    <w:qFormat/>
    <w:uiPriority w:val="0"/>
    <w:pPr>
      <w:widowControl w:val="0"/>
      <w:tabs>
        <w:tab w:val="left" w:pos="1620"/>
      </w:tabs>
      <w:snapToGrid w:val="0"/>
      <w:spacing w:line="360" w:lineRule="auto"/>
      <w:ind w:left="1620" w:leftChars="600" w:hanging="360" w:hangingChars="200"/>
    </w:pPr>
    <w:rPr>
      <w:rFonts w:ascii="Calibri" w:hAnsi="Calibri" w:cs="Times New Roman"/>
      <w:b/>
      <w:kern w:val="2"/>
      <w:sz w:val="32"/>
      <w:szCs w:val="20"/>
    </w:rPr>
  </w:style>
  <w:style w:type="paragraph" w:customStyle="1" w:styleId="938">
    <w:name w:val="xl21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939">
    <w:name w:val="表格正文"/>
    <w:basedOn w:val="1"/>
    <w:qFormat/>
    <w:uiPriority w:val="0"/>
    <w:pPr>
      <w:widowControl w:val="0"/>
      <w:adjustRightInd w:val="0"/>
      <w:snapToGrid w:val="0"/>
      <w:spacing w:before="60" w:after="60"/>
      <w:jc w:val="center"/>
      <w:textAlignment w:val="baseline"/>
    </w:pPr>
    <w:rPr>
      <w:rFonts w:ascii="Times New Roman" w:hAnsi="Times New Roman" w:cs="Times New Roman"/>
      <w:szCs w:val="20"/>
    </w:rPr>
  </w:style>
  <w:style w:type="paragraph" w:customStyle="1" w:styleId="940">
    <w:name w:val="Char Char1 Char Char Char Char Char Char Char Char Char Char Char Char Char Char"/>
    <w:basedOn w:val="1"/>
    <w:qFormat/>
    <w:uiPriority w:val="0"/>
    <w:pPr>
      <w:autoSpaceDE w:val="0"/>
      <w:autoSpaceDN w:val="0"/>
      <w:adjustRightInd w:val="0"/>
      <w:spacing w:after="160" w:line="240" w:lineRule="exact"/>
    </w:pPr>
    <w:rPr>
      <w:rFonts w:ascii="Times New Roman" w:hAnsi="Times New Roman" w:cs="Times New Roman"/>
      <w:sz w:val="20"/>
      <w:szCs w:val="20"/>
    </w:rPr>
  </w:style>
  <w:style w:type="paragraph" w:customStyle="1" w:styleId="941">
    <w:name w:val="xl6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both"/>
    </w:pPr>
    <w:rPr>
      <w:rFonts w:ascii="Times New Roman" w:hAnsi="Times New Roman" w:cs="Times New Roman"/>
      <w:color w:val="000000"/>
      <w:sz w:val="18"/>
      <w:szCs w:val="18"/>
    </w:rPr>
  </w:style>
  <w:style w:type="paragraph" w:customStyle="1" w:styleId="942">
    <w:name w:val="表格(五号)"/>
    <w:basedOn w:val="1"/>
    <w:qFormat/>
    <w:uiPriority w:val="0"/>
    <w:pPr>
      <w:adjustRightInd w:val="0"/>
      <w:snapToGrid w:val="0"/>
      <w:spacing w:before="60" w:after="60"/>
      <w:ind w:left="11"/>
      <w:jc w:val="center"/>
    </w:pPr>
    <w:rPr>
      <w:kern w:val="0"/>
      <w:szCs w:val="20"/>
    </w:rPr>
  </w:style>
  <w:style w:type="paragraph" w:customStyle="1" w:styleId="943">
    <w:name w:val="xl6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Calibri" w:hAnsi="Calibri" w:cs="Times New Roman"/>
      <w:sz w:val="20"/>
      <w:szCs w:val="20"/>
    </w:rPr>
  </w:style>
  <w:style w:type="paragraph" w:customStyle="1" w:styleId="944">
    <w:name w:val="纯文本1"/>
    <w:basedOn w:val="1"/>
    <w:qFormat/>
    <w:uiPriority w:val="0"/>
    <w:rPr>
      <w:rFonts w:ascii="Calibri" w:hAnsi="Courier New" w:cs="Courier New"/>
      <w:kern w:val="2"/>
      <w:sz w:val="21"/>
      <w:szCs w:val="21"/>
    </w:rPr>
  </w:style>
  <w:style w:type="paragraph" w:customStyle="1" w:styleId="945">
    <w:name w:val="Char Char Char Char1 Char Char Char Char Char"/>
    <w:basedOn w:val="1"/>
    <w:qFormat/>
    <w:uiPriority w:val="0"/>
    <w:pPr>
      <w:spacing w:after="160" w:line="240" w:lineRule="exact"/>
    </w:pPr>
    <w:rPr>
      <w:rFonts w:ascii="Verdana" w:hAnsi="Verdana" w:eastAsia="仿宋_GB2312" w:cs="Times New Roman"/>
      <w:szCs w:val="20"/>
      <w:lang w:eastAsia="en-US"/>
    </w:rPr>
  </w:style>
  <w:style w:type="paragraph" w:customStyle="1" w:styleId="946">
    <w:name w:val=" Char Char Char Char Char Char Char Char Char Char Char Char Char Char Char Char Char Char Char"/>
    <w:basedOn w:val="1"/>
    <w:qFormat/>
    <w:uiPriority w:val="0"/>
    <w:pPr>
      <w:spacing w:after="160" w:line="240" w:lineRule="exact"/>
      <w:ind w:firstLine="560" w:firstLineChars="200"/>
    </w:pPr>
    <w:rPr>
      <w:rFonts w:cs="Times New Roman"/>
      <w:sz w:val="28"/>
      <w:szCs w:val="28"/>
      <w:lang w:eastAsia="en-US"/>
    </w:rPr>
  </w:style>
  <w:style w:type="paragraph" w:customStyle="1" w:styleId="947">
    <w:name w:val="xl29"/>
    <w:basedOn w:val="1"/>
    <w:qFormat/>
    <w:uiPriority w:val="0"/>
    <w:pPr>
      <w:spacing w:before="100" w:beforeAutospacing="1" w:after="100" w:afterAutospacing="1"/>
      <w:textAlignment w:val="center"/>
    </w:pPr>
    <w:rPr>
      <w:rFonts w:ascii="Arial Unicode MS" w:hAnsi="Arial Unicode MS" w:cs="Times New Roman"/>
      <w:sz w:val="18"/>
      <w:szCs w:val="18"/>
    </w:rPr>
  </w:style>
  <w:style w:type="paragraph" w:customStyle="1" w:styleId="948">
    <w:name w:val="xl7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color w:val="000000"/>
      <w:sz w:val="20"/>
      <w:szCs w:val="20"/>
    </w:rPr>
  </w:style>
  <w:style w:type="paragraph" w:customStyle="1" w:styleId="949">
    <w:name w:val="font14"/>
    <w:basedOn w:val="1"/>
    <w:qFormat/>
    <w:uiPriority w:val="0"/>
    <w:pPr>
      <w:spacing w:before="100" w:beforeAutospacing="1" w:after="100" w:afterAutospacing="1"/>
    </w:pPr>
    <w:rPr>
      <w:rFonts w:hAnsi="Times New Roman" w:cs="Times New Roman"/>
      <w:sz w:val="20"/>
      <w:szCs w:val="20"/>
    </w:rPr>
  </w:style>
  <w:style w:type="paragraph" w:customStyle="1" w:styleId="950">
    <w:name w:val="xl23"/>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pPr>
    <w:rPr>
      <w:rFonts w:ascii="Times New Roman" w:hAnsi="Times New Roman" w:cs="Times New Roman"/>
      <w:color w:val="000000"/>
      <w:sz w:val="18"/>
      <w:szCs w:val="18"/>
    </w:rPr>
  </w:style>
  <w:style w:type="paragraph" w:customStyle="1" w:styleId="951">
    <w:name w:val="xl10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color w:val="000000"/>
    </w:rPr>
  </w:style>
  <w:style w:type="paragraph" w:customStyle="1" w:styleId="952">
    <w:name w:val=" Char Char Char Char Char Char Char Char Char1 Char"/>
    <w:basedOn w:val="1"/>
    <w:qFormat/>
    <w:uiPriority w:val="0"/>
    <w:pPr>
      <w:widowControl w:val="0"/>
      <w:jc w:val="both"/>
    </w:pPr>
    <w:rPr>
      <w:rFonts w:ascii="仿宋_GB2312" w:hAnsi="Times New Roman" w:eastAsia="仿宋_GB2312" w:cs="Times New Roman"/>
      <w:b/>
      <w:kern w:val="2"/>
      <w:sz w:val="32"/>
      <w:szCs w:val="32"/>
    </w:rPr>
  </w:style>
  <w:style w:type="paragraph" w:customStyle="1" w:styleId="953">
    <w:name w:val="xl123"/>
    <w:basedOn w:val="1"/>
    <w:qFormat/>
    <w:uiPriority w:val="0"/>
    <w:pPr>
      <w:spacing w:before="100" w:beforeAutospacing="1" w:after="100" w:afterAutospacing="1"/>
      <w:textAlignment w:val="bottom"/>
    </w:pPr>
  </w:style>
  <w:style w:type="paragraph" w:customStyle="1" w:styleId="954">
    <w:name w:val=" Char Char1 Char Char Char Char1 Char Char Char"/>
    <w:basedOn w:val="1"/>
    <w:qFormat/>
    <w:uiPriority w:val="0"/>
    <w:pPr>
      <w:adjustRightInd w:val="0"/>
      <w:spacing w:line="360" w:lineRule="atLeast"/>
      <w:textAlignment w:val="baseline"/>
    </w:pPr>
    <w:rPr>
      <w:rFonts w:ascii="Tahoma" w:hAnsi="Tahoma"/>
      <w:sz w:val="24"/>
      <w:szCs w:val="20"/>
    </w:rPr>
  </w:style>
  <w:style w:type="paragraph" w:customStyle="1" w:styleId="955">
    <w:name w:val=" Char Char9"/>
    <w:basedOn w:val="1"/>
    <w:qFormat/>
    <w:uiPriority w:val="0"/>
    <w:pPr>
      <w:widowControl w:val="0"/>
      <w:jc w:val="both"/>
    </w:pPr>
    <w:rPr>
      <w:b/>
      <w:bCs/>
      <w:color w:val="000000"/>
      <w:kern w:val="2"/>
      <w:sz w:val="22"/>
      <w:szCs w:val="22"/>
    </w:rPr>
  </w:style>
  <w:style w:type="paragraph" w:customStyle="1" w:styleId="956">
    <w:name w:val=" Char Char Char"/>
    <w:basedOn w:val="1"/>
    <w:qFormat/>
    <w:uiPriority w:val="0"/>
    <w:pPr>
      <w:keepNext/>
      <w:keepLines/>
      <w:pageBreakBefore/>
      <w:tabs>
        <w:tab w:val="left" w:pos="432"/>
      </w:tabs>
      <w:adjustRightInd w:val="0"/>
      <w:ind w:left="432" w:hanging="432"/>
      <w:textAlignment w:val="baseline"/>
    </w:pPr>
    <w:rPr>
      <w:kern w:val="0"/>
      <w:sz w:val="22"/>
    </w:rPr>
  </w:style>
  <w:style w:type="paragraph" w:customStyle="1" w:styleId="957">
    <w:name w:val="!我的正文 Ctr+Q"/>
    <w:basedOn w:val="1"/>
    <w:qFormat/>
    <w:uiPriority w:val="0"/>
    <w:pPr>
      <w:widowControl w:val="0"/>
      <w:adjustRightInd w:val="0"/>
      <w:snapToGrid w:val="0"/>
      <w:spacing w:beforeLines="50" w:afterLines="50" w:line="360" w:lineRule="auto"/>
      <w:ind w:firstLine="200" w:firstLineChars="200"/>
    </w:pPr>
    <w:rPr>
      <w:rFonts w:hAnsi="Times New Roman" w:cs="Times New Roman"/>
      <w:kern w:val="2"/>
      <w:szCs w:val="21"/>
    </w:rPr>
  </w:style>
  <w:style w:type="paragraph" w:customStyle="1" w:styleId="958">
    <w:name w:val="Char Char Char Char Char Char Char"/>
    <w:basedOn w:val="1"/>
    <w:qFormat/>
    <w:uiPriority w:val="0"/>
    <w:pPr>
      <w:widowControl w:val="0"/>
      <w:snapToGrid w:val="0"/>
      <w:spacing w:line="360" w:lineRule="auto"/>
      <w:ind w:firstLine="200" w:firstLineChars="200"/>
      <w:jc w:val="both"/>
    </w:pPr>
    <w:rPr>
      <w:rFonts w:ascii="Times New Roman" w:hAnsi="Times New Roman" w:cs="Times New Roman"/>
      <w:kern w:val="2"/>
      <w:sz w:val="21"/>
      <w:szCs w:val="21"/>
    </w:rPr>
  </w:style>
  <w:style w:type="paragraph" w:customStyle="1" w:styleId="959">
    <w:name w:val="xl21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960">
    <w:name w:val="样式 标题 3 + 行距: 1.5 倍行距"/>
    <w:basedOn w:val="10"/>
    <w:qFormat/>
    <w:uiPriority w:val="0"/>
    <w:pPr>
      <w:keepNext w:val="0"/>
      <w:keepLines w:val="0"/>
      <w:widowControl w:val="0"/>
      <w:tabs>
        <w:tab w:val="left" w:pos="432"/>
      </w:tabs>
      <w:adjustRightInd w:val="0"/>
      <w:snapToGrid w:val="0"/>
      <w:spacing w:before="0" w:after="0" w:line="360" w:lineRule="auto"/>
      <w:ind w:firstLine="200" w:firstLineChars="200"/>
      <w:jc w:val="both"/>
    </w:pPr>
    <w:rPr>
      <w:b w:val="0"/>
      <w:sz w:val="28"/>
      <w:szCs w:val="20"/>
      <w:lang w:val="zh-CN"/>
    </w:rPr>
  </w:style>
  <w:style w:type="paragraph" w:customStyle="1" w:styleId="961">
    <w:name w:val="_Style 104"/>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962">
    <w:name w:val="xl9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color w:val="000000"/>
    </w:rPr>
  </w:style>
  <w:style w:type="paragraph" w:customStyle="1" w:styleId="963">
    <w:name w:val="ÕýÎÄÊ×ÐÐËõ½ø"/>
    <w:basedOn w:val="1"/>
    <w:qFormat/>
    <w:uiPriority w:val="0"/>
    <w:pPr>
      <w:overflowPunct w:val="0"/>
      <w:autoSpaceDE w:val="0"/>
      <w:autoSpaceDN w:val="0"/>
      <w:adjustRightInd w:val="0"/>
      <w:spacing w:line="360" w:lineRule="auto"/>
      <w:ind w:left="1134"/>
      <w:textAlignment w:val="baseline"/>
    </w:pPr>
    <w:rPr>
      <w:rFonts w:ascii="Times New Roman" w:hAnsi="Times New Roman" w:eastAsia="Times New Roman" w:cs="Times New Roman"/>
      <w:sz w:val="20"/>
      <w:szCs w:val="20"/>
    </w:rPr>
  </w:style>
  <w:style w:type="paragraph" w:customStyle="1" w:styleId="964">
    <w:name w:val="xl27"/>
    <w:basedOn w:val="1"/>
    <w:qFormat/>
    <w:uiPriority w:val="0"/>
    <w:pPr>
      <w:spacing w:before="100" w:beforeAutospacing="1" w:after="100" w:afterAutospacing="1"/>
      <w:jc w:val="center"/>
      <w:textAlignment w:val="center"/>
    </w:pPr>
    <w:rPr>
      <w:rFonts w:hint="eastAsia" w:ascii="黑体" w:hAnsi="Arial Unicode MS" w:eastAsia="黑体" w:cs="Times New Roman"/>
      <w:sz w:val="36"/>
      <w:szCs w:val="36"/>
    </w:rPr>
  </w:style>
  <w:style w:type="paragraph" w:customStyle="1" w:styleId="965">
    <w:name w:val="Char Char5 Char"/>
    <w:basedOn w:val="1"/>
    <w:qFormat/>
    <w:uiPriority w:val="0"/>
    <w:pPr>
      <w:widowControl w:val="0"/>
      <w:jc w:val="both"/>
    </w:pPr>
    <w:rPr>
      <w:rFonts w:ascii="Times New Roman" w:hAnsi="Times New Roman" w:cs="Times New Roman"/>
      <w:kern w:val="2"/>
      <w:sz w:val="21"/>
      <w:szCs w:val="20"/>
    </w:rPr>
  </w:style>
  <w:style w:type="paragraph" w:customStyle="1" w:styleId="966">
    <w:name w:val="Char1 Char Char"/>
    <w:basedOn w:val="1"/>
    <w:qFormat/>
    <w:uiPriority w:val="0"/>
    <w:pPr>
      <w:widowControl w:val="0"/>
      <w:jc w:val="both"/>
    </w:pPr>
    <w:rPr>
      <w:rFonts w:ascii="Tahoma" w:hAnsi="Tahoma" w:cs="Times New Roman"/>
      <w:kern w:val="2"/>
      <w:sz w:val="21"/>
      <w:szCs w:val="20"/>
    </w:rPr>
  </w:style>
  <w:style w:type="paragraph" w:customStyle="1" w:styleId="967">
    <w:name w:val="编10号"/>
    <w:basedOn w:val="1"/>
    <w:qFormat/>
    <w:uiPriority w:val="0"/>
    <w:pPr>
      <w:widowControl w:val="0"/>
      <w:tabs>
        <w:tab w:val="left" w:pos="1620"/>
      </w:tabs>
      <w:ind w:left="1620" w:hanging="360"/>
      <w:jc w:val="both"/>
    </w:pPr>
    <w:rPr>
      <w:rFonts w:ascii="Times New Roman" w:hAnsi="Times New Roman" w:cs="Times New Roman"/>
      <w:kern w:val="2"/>
      <w:sz w:val="21"/>
    </w:rPr>
  </w:style>
  <w:style w:type="paragraph" w:customStyle="1" w:styleId="968">
    <w:name w:val="样式 列表编号 + 段后: 0.5 行"/>
    <w:basedOn w:val="21"/>
    <w:qFormat/>
    <w:uiPriority w:val="0"/>
    <w:pPr>
      <w:tabs>
        <w:tab w:val="clear" w:pos="720"/>
      </w:tabs>
      <w:spacing w:afterLines="0"/>
      <w:ind w:left="425" w:hanging="425"/>
    </w:pPr>
    <w:rPr>
      <w:rFonts w:cs="宋体"/>
      <w:sz w:val="24"/>
    </w:rPr>
  </w:style>
  <w:style w:type="paragraph" w:customStyle="1" w:styleId="969">
    <w:name w:val="正文文本缩进 31"/>
    <w:basedOn w:val="1"/>
    <w:qFormat/>
    <w:uiPriority w:val="0"/>
    <w:pPr>
      <w:widowControl w:val="0"/>
      <w:autoSpaceDE w:val="0"/>
      <w:autoSpaceDN w:val="0"/>
      <w:adjustRightInd w:val="0"/>
      <w:spacing w:before="120" w:line="22" w:lineRule="atLeast"/>
      <w:ind w:left="720" w:firstLine="480"/>
    </w:pPr>
    <w:rPr>
      <w:rFonts w:ascii="Calibri" w:hAnsi="Times New Roman" w:cs="Times New Roman"/>
      <w:sz w:val="21"/>
      <w:szCs w:val="20"/>
    </w:rPr>
  </w:style>
  <w:style w:type="paragraph" w:customStyle="1" w:styleId="970">
    <w:name w:val="button"/>
    <w:basedOn w:val="1"/>
    <w:qFormat/>
    <w:uiPriority w:val="0"/>
    <w:pPr>
      <w:autoSpaceDE w:val="0"/>
      <w:autoSpaceDN w:val="0"/>
      <w:adjustRightInd w:val="0"/>
      <w:spacing w:before="100" w:beforeAutospacing="1" w:after="100" w:afterAutospacing="1"/>
    </w:pPr>
    <w:rPr>
      <w:rFonts w:ascii="Arial Unicode MS" w:hAnsi="Arial Unicode MS" w:cs="Times New Roman"/>
      <w:color w:val="000000"/>
      <w:szCs w:val="20"/>
    </w:rPr>
  </w:style>
  <w:style w:type="paragraph" w:customStyle="1" w:styleId="971">
    <w:name w:val="xl7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sz w:val="20"/>
      <w:szCs w:val="20"/>
    </w:rPr>
  </w:style>
  <w:style w:type="paragraph" w:customStyle="1" w:styleId="972">
    <w:name w:val="a0"/>
    <w:basedOn w:val="1"/>
    <w:qFormat/>
    <w:uiPriority w:val="0"/>
    <w:pPr>
      <w:widowControl/>
      <w:spacing w:before="100" w:beforeAutospacing="1" w:after="100" w:afterAutospacing="1"/>
      <w:jc w:val="left"/>
    </w:pPr>
    <w:rPr>
      <w:rFonts w:ascii="宋体" w:hAnsi="宋体" w:cs="宋体"/>
      <w:kern w:val="0"/>
      <w:sz w:val="24"/>
    </w:rPr>
  </w:style>
  <w:style w:type="paragraph" w:customStyle="1" w:styleId="973">
    <w:name w:val="列表编号 31"/>
    <w:basedOn w:val="1"/>
    <w:qFormat/>
    <w:uiPriority w:val="0"/>
    <w:pPr>
      <w:widowControl w:val="0"/>
      <w:tabs>
        <w:tab w:val="left" w:pos="1200"/>
      </w:tabs>
      <w:snapToGrid w:val="0"/>
      <w:spacing w:line="360" w:lineRule="auto"/>
      <w:ind w:left="1200" w:leftChars="400" w:hanging="360" w:hangingChars="200"/>
    </w:pPr>
    <w:rPr>
      <w:rFonts w:ascii="Calibri" w:hAnsi="Calibri" w:cs="Times New Roman"/>
      <w:b/>
      <w:kern w:val="2"/>
      <w:sz w:val="32"/>
      <w:szCs w:val="20"/>
    </w:rPr>
  </w:style>
  <w:style w:type="paragraph" w:customStyle="1" w:styleId="974">
    <w:name w:val="页脚 Char Char"/>
    <w:basedOn w:val="1"/>
    <w:qFormat/>
    <w:uiPriority w:val="0"/>
    <w:pPr>
      <w:widowControl w:val="0"/>
      <w:suppressLineNumbers/>
      <w:tabs>
        <w:tab w:val="center" w:pos="4153"/>
        <w:tab w:val="right" w:pos="8306"/>
      </w:tabs>
      <w:suppressAutoHyphens/>
      <w:overflowPunct w:val="0"/>
    </w:pPr>
    <w:rPr>
      <w:rFonts w:ascii="Times New Roman" w:hAnsi="Times New Roman" w:cs="Times New Roman"/>
      <w:color w:val="00000A"/>
      <w:sz w:val="18"/>
      <w:szCs w:val="21"/>
    </w:rPr>
  </w:style>
  <w:style w:type="paragraph" w:customStyle="1" w:styleId="975">
    <w:name w:val="xl7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b/>
      <w:bCs/>
      <w:sz w:val="20"/>
      <w:szCs w:val="20"/>
    </w:rPr>
  </w:style>
  <w:style w:type="paragraph" w:customStyle="1" w:styleId="976">
    <w:name w:val="批注主题1"/>
    <w:basedOn w:val="26"/>
    <w:next w:val="26"/>
    <w:qFormat/>
    <w:uiPriority w:val="0"/>
    <w:pPr>
      <w:spacing w:line="360" w:lineRule="auto"/>
      <w:ind w:firstLine="200" w:firstLineChars="200"/>
    </w:pPr>
    <w:rPr>
      <w:b/>
      <w:bCs/>
      <w:szCs w:val="21"/>
    </w:rPr>
  </w:style>
  <w:style w:type="paragraph" w:customStyle="1" w:styleId="977">
    <w:name w:val="Char Char Char Char Char Char1 Char Char Char1 Char Char Char Char Char Char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978">
    <w:name w:val="Char1 Char Char Char Char Char"/>
    <w:basedOn w:val="1"/>
    <w:qFormat/>
    <w:uiPriority w:val="0"/>
    <w:pPr>
      <w:widowControl w:val="0"/>
      <w:jc w:val="both"/>
    </w:pPr>
    <w:rPr>
      <w:rFonts w:ascii="Times New Roman" w:hAnsi="Times New Roman" w:cs="Times New Roman"/>
      <w:sz w:val="21"/>
      <w:szCs w:val="20"/>
    </w:rPr>
  </w:style>
  <w:style w:type="paragraph" w:customStyle="1" w:styleId="979">
    <w:name w:val="Char11"/>
    <w:basedOn w:val="1"/>
    <w:qFormat/>
    <w:uiPriority w:val="0"/>
    <w:pPr>
      <w:widowControl w:val="0"/>
      <w:jc w:val="both"/>
    </w:pPr>
    <w:rPr>
      <w:rFonts w:ascii="Times New Roman" w:hAnsi="Times New Roman" w:cs="Times New Roman"/>
      <w:b/>
      <w:kern w:val="2"/>
      <w:sz w:val="32"/>
      <w:szCs w:val="32"/>
    </w:rPr>
  </w:style>
  <w:style w:type="paragraph" w:customStyle="1" w:styleId="980">
    <w:name w:val="indent 5"/>
    <w:basedOn w:val="874"/>
    <w:next w:val="874"/>
    <w:qFormat/>
    <w:uiPriority w:val="0"/>
    <w:pPr>
      <w:spacing w:before="60" w:after="60"/>
    </w:pPr>
    <w:rPr>
      <w:color w:val="auto"/>
    </w:rPr>
  </w:style>
  <w:style w:type="paragraph" w:customStyle="1" w:styleId="981">
    <w:name w:val="正文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82">
    <w:name w:val="TOC 标题1"/>
    <w:basedOn w:val="8"/>
    <w:next w:val="1"/>
    <w:qFormat/>
    <w:uiPriority w:val="39"/>
    <w:pPr>
      <w:keepLines/>
      <w:tabs>
        <w:tab w:val="left" w:pos="432"/>
        <w:tab w:val="left" w:pos="567"/>
      </w:tabs>
      <w:adjustRightInd w:val="0"/>
      <w:snapToGrid w:val="0"/>
      <w:spacing w:beforeLines="50" w:afterLines="50" w:line="276" w:lineRule="auto"/>
      <w:jc w:val="left"/>
      <w:outlineLvl w:val="9"/>
    </w:pPr>
    <w:rPr>
      <w:rFonts w:ascii="Cambria" w:hAnsi="Cambria"/>
      <w:b/>
      <w:bCs/>
      <w:color w:val="365F91"/>
      <w:kern w:val="0"/>
      <w:sz w:val="24"/>
      <w:szCs w:val="21"/>
      <w:lang w:val="zh-CN"/>
    </w:rPr>
  </w:style>
  <w:style w:type="paragraph" w:customStyle="1" w:styleId="983">
    <w:name w:val="Plain Text"/>
    <w:basedOn w:val="1"/>
    <w:qFormat/>
    <w:uiPriority w:val="0"/>
    <w:pPr>
      <w:widowControl w:val="0"/>
      <w:adjustRightInd w:val="0"/>
      <w:jc w:val="both"/>
      <w:textAlignment w:val="baseline"/>
    </w:pPr>
    <w:rPr>
      <w:rFonts w:hAnsi="Courier New" w:eastAsia="楷体_GB2312" w:cs="Times New Roman"/>
      <w:kern w:val="2"/>
      <w:sz w:val="28"/>
      <w:szCs w:val="20"/>
    </w:rPr>
  </w:style>
  <w:style w:type="paragraph" w:customStyle="1" w:styleId="984">
    <w:name w:val="Char Char Char Char Char Char1 Char Char Char Char Char Char1 Char Char Char Char Char Char Char"/>
    <w:basedOn w:val="1"/>
    <w:qFormat/>
    <w:uiPriority w:val="0"/>
    <w:pPr>
      <w:widowControl w:val="0"/>
      <w:jc w:val="both"/>
    </w:pPr>
    <w:rPr>
      <w:rFonts w:ascii="Tahoma" w:hAnsi="Tahoma" w:cs="Times New Roman"/>
      <w:kern w:val="2"/>
      <w:sz w:val="21"/>
      <w:szCs w:val="20"/>
    </w:rPr>
  </w:style>
  <w:style w:type="paragraph" w:customStyle="1" w:styleId="985">
    <w:name w:val="_Style 23"/>
    <w:basedOn w:val="1"/>
    <w:qFormat/>
    <w:uiPriority w:val="0"/>
    <w:pPr>
      <w:widowControl w:val="0"/>
      <w:jc w:val="both"/>
    </w:pPr>
    <w:rPr>
      <w:rFonts w:ascii="Times New Roman" w:hAnsi="Times New Roman" w:cs="Times New Roman"/>
      <w:kern w:val="2"/>
      <w:sz w:val="21"/>
    </w:rPr>
  </w:style>
  <w:style w:type="paragraph" w:customStyle="1" w:styleId="986">
    <w:name w:val="タイトル-L4-目"/>
    <w:basedOn w:val="1"/>
    <w:qFormat/>
    <w:uiPriority w:val="0"/>
    <w:pPr>
      <w:keepNext/>
      <w:keepLines/>
      <w:spacing w:before="480" w:after="10"/>
      <w:ind w:left="720" w:right="1276" w:hanging="663"/>
      <w:outlineLvl w:val="3"/>
    </w:pPr>
    <w:rPr>
      <w:rFonts w:ascii="Arial" w:hAnsi="Arial" w:eastAsia="MS Gothic" w:cs="Times New Roman"/>
      <w:bCs/>
      <w:kern w:val="2"/>
    </w:rPr>
  </w:style>
  <w:style w:type="paragraph" w:customStyle="1" w:styleId="987">
    <w:name w:val="正文-缩进"/>
    <w:basedOn w:val="1"/>
    <w:qFormat/>
    <w:uiPriority w:val="0"/>
    <w:pPr>
      <w:widowControl w:val="0"/>
      <w:spacing w:line="360" w:lineRule="auto"/>
      <w:ind w:firstLine="420" w:firstLineChars="200"/>
      <w:jc w:val="both"/>
    </w:pPr>
    <w:rPr>
      <w:rFonts w:hAnsi="Calibri" w:cs="Times New Roman"/>
      <w:bCs/>
      <w:kern w:val="2"/>
      <w:szCs w:val="22"/>
    </w:rPr>
  </w:style>
  <w:style w:type="paragraph" w:customStyle="1" w:styleId="988">
    <w:name w:val="正文符号4"/>
    <w:basedOn w:val="1"/>
    <w:qFormat/>
    <w:uiPriority w:val="0"/>
    <w:pPr>
      <w:widowControl w:val="0"/>
      <w:tabs>
        <w:tab w:val="left" w:pos="360"/>
      </w:tabs>
      <w:jc w:val="both"/>
    </w:pPr>
    <w:rPr>
      <w:rFonts w:ascii="Times New Roman" w:hAnsi="Times New Roman" w:eastAsia="楷体_GB2312" w:cs="Times New Roman"/>
      <w:sz w:val="28"/>
      <w:szCs w:val="21"/>
    </w:rPr>
  </w:style>
  <w:style w:type="paragraph" w:customStyle="1" w:styleId="989">
    <w:name w:val="Char Char Char Char1"/>
    <w:basedOn w:val="1"/>
    <w:qFormat/>
    <w:uiPriority w:val="0"/>
    <w:pPr>
      <w:widowControl w:val="0"/>
      <w:jc w:val="both"/>
    </w:pPr>
    <w:rPr>
      <w:rFonts w:ascii="Tahoma" w:hAnsi="Tahoma" w:cs="Times New Roman"/>
      <w:kern w:val="2"/>
      <w:szCs w:val="20"/>
    </w:rPr>
  </w:style>
  <w:style w:type="paragraph" w:customStyle="1" w:styleId="990">
    <w:name w:val="xl21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991">
    <w:name w:val="xl31"/>
    <w:basedOn w:val="1"/>
    <w:qFormat/>
    <w:uiPriority w:val="0"/>
    <w:pPr>
      <w:spacing w:before="100" w:beforeAutospacing="1" w:after="100" w:afterAutospacing="1"/>
      <w:textAlignment w:val="center"/>
    </w:pPr>
    <w:rPr>
      <w:rFonts w:ascii="Arial Unicode MS" w:hAnsi="Arial Unicode MS" w:cs="Times New Roman"/>
    </w:rPr>
  </w:style>
  <w:style w:type="paragraph" w:customStyle="1" w:styleId="992">
    <w:name w:val="样式 小四 行距: 1.5 倍行距 首行缩进:  2 字符"/>
    <w:basedOn w:val="1"/>
    <w:qFormat/>
    <w:uiPriority w:val="0"/>
    <w:pPr>
      <w:widowControl w:val="0"/>
      <w:spacing w:line="360" w:lineRule="auto"/>
      <w:ind w:firstLine="480" w:firstLineChars="200"/>
      <w:jc w:val="both"/>
    </w:pPr>
    <w:rPr>
      <w:rFonts w:ascii="Times New Roman" w:hAnsi="Times New Roman" w:cs="Times New Roman"/>
      <w:kern w:val="2"/>
      <w:sz w:val="21"/>
      <w:szCs w:val="20"/>
    </w:rPr>
  </w:style>
  <w:style w:type="paragraph" w:customStyle="1" w:styleId="993">
    <w:name w:val="自定义表格文字"/>
    <w:basedOn w:val="1"/>
    <w:qFormat/>
    <w:uiPriority w:val="0"/>
    <w:pPr>
      <w:widowControl w:val="0"/>
      <w:spacing w:before="60" w:after="60" w:line="320" w:lineRule="exact"/>
    </w:pPr>
    <w:rPr>
      <w:rFonts w:hAnsi="Times New Roman" w:eastAsia="楷体_GB2312" w:cs="Times New Roman"/>
      <w:kern w:val="2"/>
      <w:sz w:val="21"/>
    </w:rPr>
  </w:style>
  <w:style w:type="paragraph" w:customStyle="1" w:styleId="994">
    <w:name w:val="引文目录1"/>
    <w:basedOn w:val="1"/>
    <w:next w:val="1"/>
    <w:qFormat/>
    <w:uiPriority w:val="0"/>
    <w:pPr>
      <w:widowControl w:val="0"/>
      <w:snapToGrid w:val="0"/>
      <w:spacing w:line="360" w:lineRule="auto"/>
      <w:ind w:left="420" w:leftChars="200"/>
      <w:jc w:val="center"/>
    </w:pPr>
    <w:rPr>
      <w:rFonts w:ascii="Calibri" w:hAnsi="Calibri" w:cs="Times New Roman"/>
      <w:b/>
      <w:kern w:val="2"/>
      <w:sz w:val="32"/>
      <w:szCs w:val="32"/>
    </w:rPr>
  </w:style>
  <w:style w:type="paragraph" w:customStyle="1" w:styleId="995">
    <w:name w:val="招标文件》"/>
    <w:basedOn w:val="1"/>
    <w:qFormat/>
    <w:uiPriority w:val="0"/>
    <w:pPr>
      <w:tabs>
        <w:tab w:val="left" w:pos="560"/>
      </w:tabs>
      <w:spacing w:before="120" w:after="120" w:line="300" w:lineRule="auto"/>
      <w:ind w:left="420" w:hanging="420"/>
    </w:pPr>
    <w:rPr>
      <w:rFonts w:ascii="Calibri" w:hAnsi="Times New Roman" w:cs="Times New Roman"/>
      <w:spacing w:val="10"/>
      <w:w w:val="95"/>
      <w:sz w:val="21"/>
      <w:szCs w:val="20"/>
    </w:rPr>
  </w:style>
  <w:style w:type="paragraph" w:customStyle="1" w:styleId="996">
    <w:name w:val="++标题1"/>
    <w:basedOn w:val="8"/>
    <w:qFormat/>
    <w:uiPriority w:val="0"/>
    <w:pPr>
      <w:keepLines/>
      <w:widowControl w:val="0"/>
      <w:tabs>
        <w:tab w:val="left" w:pos="432"/>
      </w:tabs>
      <w:spacing w:before="340" w:beforeLines="100" w:after="330" w:afterLines="100" w:line="360" w:lineRule="auto"/>
      <w:outlineLvl w:val="1"/>
    </w:pPr>
    <w:rPr>
      <w:b/>
      <w:bCs/>
      <w:kern w:val="44"/>
      <w:sz w:val="32"/>
      <w:szCs w:val="32"/>
    </w:rPr>
  </w:style>
  <w:style w:type="paragraph" w:customStyle="1" w:styleId="997">
    <w:name w:val="表样式"/>
    <w:basedOn w:val="1"/>
    <w:qFormat/>
    <w:uiPriority w:val="0"/>
    <w:pPr>
      <w:spacing w:line="360" w:lineRule="auto"/>
      <w:jc w:val="both"/>
    </w:pPr>
    <w:rPr>
      <w:rFonts w:ascii="Calibri" w:hAnsi="Calibri" w:eastAsia="仿宋_GB2312" w:cs="Times New Roman"/>
      <w:kern w:val="2"/>
      <w:sz w:val="28"/>
    </w:rPr>
  </w:style>
  <w:style w:type="paragraph" w:customStyle="1" w:styleId="998">
    <w:name w:val=" Char13"/>
    <w:basedOn w:val="1"/>
    <w:qFormat/>
    <w:uiPriority w:val="0"/>
    <w:pPr>
      <w:spacing w:after="160" w:line="240" w:lineRule="exact"/>
    </w:pPr>
    <w:rPr>
      <w:rFonts w:ascii="Verdana" w:hAnsi="Verdana" w:cs="Times New Roman"/>
      <w:sz w:val="20"/>
      <w:szCs w:val="20"/>
      <w:lang w:eastAsia="en-US"/>
    </w:rPr>
  </w:style>
  <w:style w:type="paragraph" w:customStyle="1" w:styleId="999">
    <w:name w:val="日期1"/>
    <w:basedOn w:val="1"/>
    <w:next w:val="1"/>
    <w:qFormat/>
    <w:uiPriority w:val="0"/>
    <w:pPr>
      <w:widowControl w:val="0"/>
      <w:ind w:left="100" w:leftChars="2500"/>
      <w:jc w:val="both"/>
    </w:pPr>
    <w:rPr>
      <w:rFonts w:ascii="Times New Roman" w:hAnsi="Calibri" w:cs="Times New Roman"/>
      <w:color w:val="000000"/>
      <w:sz w:val="21"/>
      <w:szCs w:val="21"/>
    </w:rPr>
  </w:style>
  <w:style w:type="paragraph" w:customStyle="1" w:styleId="1000">
    <w:name w:val="xl7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sz w:val="20"/>
      <w:szCs w:val="20"/>
    </w:rPr>
  </w:style>
  <w:style w:type="paragraph" w:customStyle="1" w:styleId="1001">
    <w:name w:val="xl8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color w:val="FF0000"/>
      <w:sz w:val="20"/>
      <w:szCs w:val="20"/>
    </w:rPr>
  </w:style>
  <w:style w:type="paragraph" w:customStyle="1" w:styleId="1002">
    <w:name w:val="5"/>
    <w:basedOn w:val="1"/>
    <w:next w:val="37"/>
    <w:qFormat/>
    <w:uiPriority w:val="0"/>
    <w:pPr>
      <w:widowControl w:val="0"/>
      <w:snapToGrid w:val="0"/>
      <w:jc w:val="both"/>
    </w:pPr>
    <w:rPr>
      <w:rFonts w:hAnsi="Courier New" w:cs="Times New Roman"/>
      <w:kern w:val="2"/>
      <w:sz w:val="21"/>
      <w:szCs w:val="20"/>
    </w:rPr>
  </w:style>
  <w:style w:type="paragraph" w:customStyle="1" w:styleId="1003">
    <w:name w:val="正文—缩进"/>
    <w:basedOn w:val="1"/>
    <w:qFormat/>
    <w:uiPriority w:val="0"/>
    <w:pPr>
      <w:widowControl w:val="0"/>
      <w:spacing w:line="360" w:lineRule="auto"/>
      <w:jc w:val="both"/>
    </w:pPr>
    <w:rPr>
      <w:rFonts w:ascii="等线" w:hAnsi="等线" w:cs="Times New Roman"/>
      <w:kern w:val="2"/>
      <w:szCs w:val="22"/>
    </w:rPr>
  </w:style>
  <w:style w:type="paragraph" w:customStyle="1" w:styleId="1004">
    <w:name w:val="xl23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1005">
    <w:name w:val="xl13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0"/>
      <w:szCs w:val="20"/>
    </w:rPr>
  </w:style>
  <w:style w:type="paragraph" w:customStyle="1" w:styleId="1006">
    <w:name w:val="xl45"/>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textAlignment w:val="center"/>
    </w:pPr>
    <w:rPr>
      <w:rFonts w:ascii="Arial Unicode MS" w:hAnsi="Arial Unicode MS" w:eastAsia="Arial Unicode MS" w:cs="Arial Unicode MS"/>
    </w:rPr>
  </w:style>
  <w:style w:type="paragraph" w:customStyle="1" w:styleId="1007">
    <w:name w:val="a"/>
    <w:basedOn w:val="1"/>
    <w:qFormat/>
    <w:uiPriority w:val="0"/>
    <w:pPr>
      <w:spacing w:before="100" w:beforeAutospacing="1" w:after="100" w:afterAutospacing="1"/>
    </w:pPr>
  </w:style>
  <w:style w:type="paragraph" w:customStyle="1" w:styleId="1008">
    <w:name w:val="xl24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Times New Roman" w:cs="Times New Roman"/>
      <w:sz w:val="20"/>
      <w:szCs w:val="20"/>
    </w:rPr>
  </w:style>
  <w:style w:type="paragraph" w:customStyle="1" w:styleId="1009">
    <w:name w:val="xl23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1010">
    <w:name w:val="1 Char"/>
    <w:basedOn w:val="14"/>
    <w:qFormat/>
    <w:uiPriority w:val="0"/>
    <w:pPr>
      <w:widowControl w:val="0"/>
      <w:spacing w:line="360" w:lineRule="auto"/>
      <w:ind w:firstLine="200"/>
      <w:jc w:val="both"/>
    </w:pPr>
    <w:rPr>
      <w:rFonts w:ascii="Times New Roman" w:hAnsi="Times New Roman"/>
    </w:rPr>
  </w:style>
  <w:style w:type="paragraph" w:customStyle="1" w:styleId="1011">
    <w:name w:val="项目1"/>
    <w:basedOn w:val="1"/>
    <w:qFormat/>
    <w:uiPriority w:val="0"/>
    <w:pPr>
      <w:widowControl w:val="0"/>
      <w:tabs>
        <w:tab w:val="left" w:pos="840"/>
      </w:tabs>
      <w:spacing w:after="60"/>
      <w:ind w:left="840" w:hanging="420"/>
      <w:jc w:val="both"/>
    </w:pPr>
    <w:rPr>
      <w:rFonts w:hAnsi="Times New Roman" w:cs="Times New Roman"/>
      <w:spacing w:val="4"/>
      <w:kern w:val="2"/>
      <w:sz w:val="21"/>
      <w:szCs w:val="20"/>
    </w:rPr>
  </w:style>
  <w:style w:type="paragraph" w:customStyle="1" w:styleId="1012">
    <w:name w:val="xl13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0"/>
      <w:szCs w:val="20"/>
    </w:rPr>
  </w:style>
  <w:style w:type="paragraph" w:customStyle="1" w:styleId="1013">
    <w:name w:val="正文（首行缩进）"/>
    <w:basedOn w:val="30"/>
    <w:qFormat/>
    <w:uiPriority w:val="0"/>
    <w:pPr>
      <w:overflowPunct w:val="0"/>
      <w:autoSpaceDE w:val="0"/>
      <w:autoSpaceDN w:val="0"/>
      <w:adjustRightInd w:val="0"/>
      <w:spacing w:before="156" w:beforeLines="50" w:line="400" w:lineRule="exact"/>
      <w:ind w:left="200" w:firstLine="200" w:firstLineChars="200"/>
      <w:textAlignment w:val="baseline"/>
    </w:pPr>
    <w:rPr>
      <w:rFonts w:ascii="Times New Roman" w:hAnsi="Times New Roman"/>
      <w:spacing w:val="10"/>
      <w:kern w:val="0"/>
      <w:sz w:val="24"/>
      <w:szCs w:val="20"/>
    </w:rPr>
  </w:style>
  <w:style w:type="paragraph" w:customStyle="1" w:styleId="1014">
    <w:name w:val="xl24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Times New Roman" w:cs="Times New Roman"/>
      <w:b/>
      <w:bCs/>
      <w:color w:val="000000"/>
    </w:rPr>
  </w:style>
  <w:style w:type="paragraph" w:customStyle="1" w:styleId="1015">
    <w:name w:val="xl21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1016">
    <w:name w:val="样式 标题 3 + (西文) 黑体 (中文) 黑体 (符号) 宋体 小四 段前: 5 磅 段后: 5 磅 行距: 1..."/>
    <w:basedOn w:val="10"/>
    <w:qFormat/>
    <w:uiPriority w:val="0"/>
    <w:pPr>
      <w:keepNext w:val="0"/>
      <w:keepLines w:val="0"/>
      <w:tabs>
        <w:tab w:val="left" w:pos="432"/>
        <w:tab w:val="left" w:pos="567"/>
      </w:tabs>
      <w:adjustRightInd w:val="0"/>
      <w:snapToGrid w:val="0"/>
      <w:spacing w:before="100" w:after="100" w:line="360" w:lineRule="auto"/>
      <w:ind w:left="840" w:hanging="420"/>
    </w:pPr>
    <w:rPr>
      <w:b w:val="0"/>
      <w:sz w:val="21"/>
      <w:szCs w:val="21"/>
      <w:lang w:val="zh-CN"/>
    </w:rPr>
  </w:style>
  <w:style w:type="paragraph" w:customStyle="1" w:styleId="1017">
    <w:name w:val="Char Char Char Char Char Char Char Char Char1 Char"/>
    <w:basedOn w:val="1"/>
    <w:qFormat/>
    <w:uiPriority w:val="0"/>
    <w:pPr>
      <w:widowControl w:val="0"/>
      <w:jc w:val="both"/>
    </w:pPr>
    <w:rPr>
      <w:rFonts w:ascii="仿宋_GB2312" w:hAnsi="Times New Roman" w:eastAsia="仿宋_GB2312" w:cs="Times New Roman"/>
      <w:b/>
      <w:kern w:val="2"/>
      <w:sz w:val="32"/>
      <w:szCs w:val="32"/>
    </w:rPr>
  </w:style>
  <w:style w:type="paragraph" w:customStyle="1" w:styleId="1018">
    <w:name w:val="font13"/>
    <w:basedOn w:val="1"/>
    <w:qFormat/>
    <w:uiPriority w:val="0"/>
    <w:pPr>
      <w:spacing w:before="100" w:beforeAutospacing="1" w:after="100" w:afterAutospacing="1"/>
    </w:pPr>
    <w:rPr>
      <w:rFonts w:hAnsi="Times New Roman" w:cs="Times New Roman"/>
      <w:b/>
      <w:bCs/>
      <w:color w:val="000000"/>
    </w:rPr>
  </w:style>
  <w:style w:type="paragraph" w:customStyle="1" w:styleId="1019">
    <w:name w:val="Char Char Char 字元 字元"/>
    <w:basedOn w:val="1"/>
    <w:qFormat/>
    <w:uiPriority w:val="0"/>
    <w:pPr>
      <w:widowControl w:val="0"/>
      <w:spacing w:line="360" w:lineRule="auto"/>
      <w:ind w:firstLine="200" w:firstLineChars="200"/>
      <w:jc w:val="both"/>
    </w:pPr>
    <w:rPr>
      <w:rFonts w:ascii="Times New Roman" w:hAnsi="Times New Roman" w:cs="Times New Roman"/>
      <w:kern w:val="2"/>
      <w:sz w:val="21"/>
      <w:szCs w:val="20"/>
    </w:rPr>
  </w:style>
  <w:style w:type="paragraph" w:customStyle="1" w:styleId="1020">
    <w:name w:val="xl12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0"/>
      <w:szCs w:val="20"/>
    </w:rPr>
  </w:style>
  <w:style w:type="paragraph" w:customStyle="1" w:styleId="1021">
    <w:name w:val="font8"/>
    <w:basedOn w:val="1"/>
    <w:qFormat/>
    <w:uiPriority w:val="0"/>
    <w:pPr>
      <w:spacing w:before="100" w:beforeAutospacing="1" w:after="100" w:afterAutospacing="1"/>
    </w:pPr>
    <w:rPr>
      <w:rFonts w:ascii="Arial" w:hAnsi="Arial" w:cs="Arial"/>
      <w:sz w:val="20"/>
      <w:szCs w:val="20"/>
    </w:rPr>
  </w:style>
  <w:style w:type="paragraph" w:customStyle="1" w:styleId="1022">
    <w:name w:val="Body Text First Indent1"/>
    <w:basedOn w:val="1"/>
    <w:qFormat/>
    <w:uiPriority w:val="0"/>
    <w:pPr>
      <w:autoSpaceDE w:val="0"/>
      <w:autoSpaceDN w:val="0"/>
      <w:adjustRightInd w:val="0"/>
      <w:spacing w:beforeLines="30" w:line="360" w:lineRule="auto"/>
      <w:ind w:firstLine="200" w:firstLineChars="200"/>
    </w:pPr>
    <w:rPr>
      <w:rFonts w:ascii="Times New Roman" w:hAnsi="Times New Roman" w:cs="Times New Roman"/>
      <w:szCs w:val="20"/>
      <w:lang w:val="zh-CN"/>
    </w:rPr>
  </w:style>
  <w:style w:type="paragraph" w:customStyle="1" w:styleId="1023">
    <w:name w:val="xl12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sz w:val="20"/>
      <w:szCs w:val="20"/>
    </w:rPr>
  </w:style>
  <w:style w:type="paragraph" w:customStyle="1" w:styleId="1024">
    <w:name w:val="小点说明"/>
    <w:basedOn w:val="1"/>
    <w:qFormat/>
    <w:uiPriority w:val="0"/>
    <w:pPr>
      <w:adjustRightInd w:val="0"/>
      <w:snapToGrid w:val="0"/>
    </w:pPr>
    <w:rPr>
      <w:rFonts w:ascii="仿宋_GB2312" w:eastAsia="仿宋_GB2312"/>
      <w:color w:val="000000"/>
      <w:szCs w:val="18"/>
    </w:rPr>
  </w:style>
  <w:style w:type="paragraph" w:customStyle="1" w:styleId="1025">
    <w:name w:val="xl2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cs="Times New Roman"/>
      <w:sz w:val="18"/>
      <w:szCs w:val="18"/>
    </w:rPr>
  </w:style>
  <w:style w:type="paragraph" w:customStyle="1" w:styleId="1026">
    <w:name w:val="xl142"/>
    <w:basedOn w:val="1"/>
    <w:qFormat/>
    <w:uiPriority w:val="0"/>
    <w:pPr>
      <w:spacing w:before="100" w:beforeAutospacing="1" w:after="100" w:afterAutospacing="1"/>
      <w:jc w:val="center"/>
    </w:pPr>
    <w:rPr>
      <w:sz w:val="32"/>
      <w:szCs w:val="32"/>
    </w:rPr>
  </w:style>
  <w:style w:type="paragraph" w:customStyle="1" w:styleId="1027">
    <w:name w:val="表格文字（大）"/>
    <w:basedOn w:val="1"/>
    <w:qFormat/>
    <w:uiPriority w:val="0"/>
    <w:pPr>
      <w:widowControl w:val="0"/>
      <w:autoSpaceDE w:val="0"/>
      <w:autoSpaceDN w:val="0"/>
      <w:adjustRightInd w:val="0"/>
      <w:spacing w:before="20" w:after="20"/>
    </w:pPr>
    <w:rPr>
      <w:rFonts w:ascii="Century Gothic" w:hAnsi="Century Gothic" w:cs="Century Gothic"/>
      <w:szCs w:val="20"/>
    </w:rPr>
  </w:style>
  <w:style w:type="paragraph" w:customStyle="1" w:styleId="1028">
    <w:name w:val="Char Char8 Char Char Char Char"/>
    <w:basedOn w:val="1"/>
    <w:qFormat/>
    <w:uiPriority w:val="0"/>
    <w:pPr>
      <w:widowControl w:val="0"/>
      <w:jc w:val="both"/>
    </w:pPr>
    <w:rPr>
      <w:rFonts w:ascii="Times New Roman" w:hAnsi="Times New Roman" w:cs="Times New Roman"/>
      <w:b/>
      <w:bCs/>
      <w:color w:val="000000"/>
      <w:sz w:val="21"/>
      <w:szCs w:val="21"/>
    </w:rPr>
  </w:style>
  <w:style w:type="paragraph" w:customStyle="1" w:styleId="1029">
    <w:name w:val="xl7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b/>
      <w:bCs/>
      <w:u w:val="single"/>
    </w:rPr>
  </w:style>
  <w:style w:type="paragraph" w:customStyle="1" w:styleId="1030">
    <w:name w:val="xl12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0"/>
      <w:szCs w:val="20"/>
    </w:rPr>
  </w:style>
  <w:style w:type="paragraph" w:customStyle="1" w:styleId="1031">
    <w:name w:val="xl11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rPr>
  </w:style>
  <w:style w:type="paragraph" w:customStyle="1" w:styleId="1032">
    <w:name w:val="Char Char Char Char Char Char Char Char Char Char Char Char Char Char Char"/>
    <w:basedOn w:val="1"/>
    <w:qFormat/>
    <w:uiPriority w:val="0"/>
    <w:pPr>
      <w:spacing w:line="400" w:lineRule="exact"/>
      <w:jc w:val="center"/>
    </w:pPr>
    <w:rPr>
      <w:rFonts w:ascii="Verdana" w:hAnsi="Verdana" w:cs="Times New Roman"/>
      <w:sz w:val="21"/>
      <w:szCs w:val="20"/>
      <w:lang w:eastAsia="en-US"/>
    </w:rPr>
  </w:style>
  <w:style w:type="paragraph" w:customStyle="1" w:styleId="1033">
    <w:name w:val="正文文字"/>
    <w:basedOn w:val="4"/>
    <w:qFormat/>
    <w:uiPriority w:val="0"/>
    <w:pPr>
      <w:widowControl w:val="0"/>
      <w:spacing w:after="120"/>
      <w:ind w:firstLine="480"/>
      <w:jc w:val="both"/>
    </w:pPr>
    <w:rPr>
      <w:rFonts w:ascii="Times New Roman" w:hAnsi="Times New Roman"/>
      <w:bCs w:val="0"/>
      <w:sz w:val="21"/>
    </w:rPr>
  </w:style>
  <w:style w:type="paragraph" w:customStyle="1" w:styleId="1034">
    <w:name w:val="xl28"/>
    <w:basedOn w:val="1"/>
    <w:qFormat/>
    <w:uiPriority w:val="0"/>
    <w:pPr>
      <w:spacing w:before="100" w:beforeAutospacing="1" w:after="100" w:afterAutospacing="1"/>
      <w:jc w:val="center"/>
      <w:textAlignment w:val="center"/>
    </w:pPr>
    <w:rPr>
      <w:rFonts w:hint="eastAsia" w:ascii="黑体" w:hAnsi="Arial Unicode MS" w:eastAsia="黑体" w:cs="Times New Roman"/>
      <w:sz w:val="32"/>
      <w:szCs w:val="32"/>
    </w:rPr>
  </w:style>
  <w:style w:type="paragraph" w:customStyle="1" w:styleId="1035">
    <w:name w:val="xl44"/>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Times New Roman" w:hAnsi="Times New Roman" w:eastAsia="Arial Unicode MS" w:cs="Times New Roman"/>
    </w:rPr>
  </w:style>
  <w:style w:type="paragraph" w:customStyle="1" w:styleId="1036">
    <w:name w:val="Char Char3"/>
    <w:basedOn w:val="1"/>
    <w:qFormat/>
    <w:uiPriority w:val="0"/>
    <w:pPr>
      <w:widowControl w:val="0"/>
      <w:jc w:val="both"/>
    </w:pPr>
    <w:rPr>
      <w:rFonts w:ascii="Times New Roman" w:hAnsi="Times New Roman" w:cs="Times New Roman"/>
      <w:kern w:val="2"/>
      <w:sz w:val="21"/>
    </w:rPr>
  </w:style>
  <w:style w:type="paragraph" w:customStyle="1" w:styleId="1037">
    <w:name w:val="简单回函地址"/>
    <w:basedOn w:val="1"/>
    <w:qFormat/>
    <w:uiPriority w:val="0"/>
    <w:pPr>
      <w:widowControl w:val="0"/>
      <w:jc w:val="both"/>
    </w:pPr>
    <w:rPr>
      <w:rFonts w:ascii="Times New Roman" w:hAnsi="Times New Roman" w:cs="Times New Roman"/>
      <w:kern w:val="2"/>
      <w:sz w:val="21"/>
    </w:rPr>
  </w:style>
  <w:style w:type="paragraph" w:customStyle="1" w:styleId="1038">
    <w:name w:val="xl21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1039">
    <w:name w:val="缺省文本"/>
    <w:basedOn w:val="1"/>
    <w:qFormat/>
    <w:uiPriority w:val="0"/>
    <w:pPr>
      <w:widowControl w:val="0"/>
      <w:autoSpaceDE w:val="0"/>
      <w:autoSpaceDN w:val="0"/>
      <w:adjustRightInd w:val="0"/>
    </w:pPr>
    <w:rPr>
      <w:rFonts w:ascii="Times New Roman" w:hAnsi="Times New Roman" w:cs="Times New Roman"/>
      <w:szCs w:val="20"/>
    </w:rPr>
  </w:style>
  <w:style w:type="paragraph" w:customStyle="1" w:styleId="1040">
    <w:name w:val="Body Text(ch)"/>
    <w:basedOn w:val="1"/>
    <w:next w:val="4"/>
    <w:qFormat/>
    <w:uiPriority w:val="0"/>
    <w:pPr>
      <w:spacing w:line="500" w:lineRule="exact"/>
      <w:jc w:val="center"/>
    </w:pPr>
  </w:style>
  <w:style w:type="paragraph" w:customStyle="1" w:styleId="1041">
    <w:name w:val="列表框2"/>
    <w:basedOn w:val="461"/>
    <w:qFormat/>
    <w:uiPriority w:val="0"/>
    <w:pPr>
      <w:numPr>
        <w:ilvl w:val="0"/>
        <w:numId w:val="13"/>
      </w:numPr>
      <w:tabs>
        <w:tab w:val="left" w:pos="360"/>
        <w:tab w:val="left" w:pos="567"/>
      </w:tabs>
      <w:ind w:left="0" w:leftChars="700" w:firstLine="0"/>
    </w:pPr>
    <w:rPr>
      <w:rFonts w:ascii="Times New Roman" w:hAnsi="Times New Roman"/>
    </w:rPr>
  </w:style>
  <w:style w:type="paragraph" w:customStyle="1" w:styleId="1042">
    <w:name w:val="font17"/>
    <w:basedOn w:val="1"/>
    <w:qFormat/>
    <w:uiPriority w:val="0"/>
    <w:pPr>
      <w:spacing w:before="100" w:beforeAutospacing="1" w:after="100" w:afterAutospacing="1"/>
    </w:pPr>
    <w:rPr>
      <w:rFonts w:hAnsi="Times New Roman" w:cs="Times New Roman"/>
      <w:sz w:val="19"/>
      <w:szCs w:val="19"/>
    </w:rPr>
  </w:style>
  <w:style w:type="paragraph" w:customStyle="1" w:styleId="1043">
    <w:name w:val="No Spacing1"/>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1044">
    <w:name w:val="xl13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sz w:val="20"/>
      <w:szCs w:val="20"/>
    </w:rPr>
  </w:style>
  <w:style w:type="paragraph" w:customStyle="1" w:styleId="1045">
    <w:name w:val="XHH标题3"/>
    <w:basedOn w:val="607"/>
    <w:next w:val="354"/>
    <w:qFormat/>
    <w:uiPriority w:val="0"/>
    <w:pPr>
      <w:ind w:left="1418"/>
      <w:outlineLvl w:val="2"/>
    </w:pPr>
    <w:rPr>
      <w:sz w:val="28"/>
    </w:rPr>
  </w:style>
  <w:style w:type="paragraph" w:customStyle="1" w:styleId="1046">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1047">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paragraph" w:customStyle="1" w:styleId="1048">
    <w:name w:val="索引 41"/>
    <w:basedOn w:val="1"/>
    <w:next w:val="1"/>
    <w:qFormat/>
    <w:uiPriority w:val="0"/>
    <w:pPr>
      <w:widowControl w:val="0"/>
      <w:snapToGrid w:val="0"/>
      <w:spacing w:line="360" w:lineRule="auto"/>
      <w:ind w:left="600" w:leftChars="600"/>
      <w:jc w:val="center"/>
    </w:pPr>
    <w:rPr>
      <w:rFonts w:ascii="Calibri" w:hAnsi="Calibri" w:cs="Times New Roman"/>
      <w:b/>
      <w:kern w:val="2"/>
      <w:sz w:val="32"/>
      <w:szCs w:val="32"/>
    </w:rPr>
  </w:style>
  <w:style w:type="paragraph" w:customStyle="1" w:styleId="1049">
    <w:name w:val=" Char Char1 Char Char Char Char Char Char Char Char Char Char"/>
    <w:basedOn w:val="1"/>
    <w:qFormat/>
    <w:uiPriority w:val="0"/>
    <w:pPr>
      <w:widowControl w:val="0"/>
      <w:jc w:val="both"/>
    </w:pPr>
    <w:rPr>
      <w:rFonts w:ascii="Tahoma" w:hAnsi="Tahoma" w:cs="Times New Roman"/>
      <w:kern w:val="2"/>
      <w:szCs w:val="20"/>
    </w:rPr>
  </w:style>
  <w:style w:type="paragraph" w:customStyle="1" w:styleId="1050">
    <w:name w:val="Char Char2 Char Char Char Char"/>
    <w:basedOn w:val="24"/>
    <w:qFormat/>
    <w:uiPriority w:val="0"/>
    <w:pPr>
      <w:widowControl w:val="0"/>
      <w:shd w:val="clear" w:color="auto" w:fill="000080"/>
      <w:jc w:val="both"/>
    </w:pPr>
    <w:rPr>
      <w:rFonts w:ascii="Tahoma" w:hAnsi="Tahoma"/>
      <w:sz w:val="24"/>
      <w:szCs w:val="24"/>
    </w:rPr>
  </w:style>
  <w:style w:type="paragraph" w:customStyle="1" w:styleId="1051">
    <w:name w:val="xl10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color w:val="000000"/>
    </w:rPr>
  </w:style>
  <w:style w:type="paragraph" w:customStyle="1" w:styleId="1052">
    <w:name w:val="金保标题1"/>
    <w:basedOn w:val="8"/>
    <w:next w:val="1"/>
    <w:qFormat/>
    <w:uiPriority w:val="0"/>
    <w:pPr>
      <w:keepLines/>
      <w:pageBreakBefore/>
      <w:tabs>
        <w:tab w:val="left" w:pos="720"/>
      </w:tabs>
      <w:spacing w:before="340" w:after="330"/>
      <w:ind w:left="144" w:hanging="144"/>
    </w:pPr>
    <w:rPr>
      <w:rFonts w:ascii="黑体" w:hAnsi="Tahoma" w:eastAsia="黑体"/>
      <w:bCs/>
      <w:kern w:val="44"/>
      <w:sz w:val="44"/>
      <w:szCs w:val="44"/>
    </w:rPr>
  </w:style>
  <w:style w:type="paragraph" w:customStyle="1" w:styleId="1053">
    <w:name w:val="Char Char Char Char Char Char1 Char Char Char1 Char"/>
    <w:basedOn w:val="1"/>
    <w:qFormat/>
    <w:uiPriority w:val="0"/>
    <w:pPr>
      <w:widowControl w:val="0"/>
      <w:jc w:val="both"/>
    </w:pPr>
    <w:rPr>
      <w:rFonts w:ascii="Tahoma" w:hAnsi="Tahoma" w:cs="Times New Roman"/>
      <w:kern w:val="2"/>
      <w:sz w:val="21"/>
      <w:szCs w:val="20"/>
    </w:rPr>
  </w:style>
  <w:style w:type="paragraph" w:customStyle="1" w:styleId="1054">
    <w:name w:val="xl14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b/>
      <w:bCs/>
      <w:sz w:val="20"/>
      <w:szCs w:val="20"/>
    </w:rPr>
  </w:style>
  <w:style w:type="paragraph" w:customStyle="1" w:styleId="1055">
    <w:name w:val="xl8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sz w:val="20"/>
      <w:szCs w:val="20"/>
    </w:rPr>
  </w:style>
  <w:style w:type="paragraph" w:customStyle="1" w:styleId="1056">
    <w:name w:val="xl8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rPr>
  </w:style>
  <w:style w:type="table" w:customStyle="1" w:styleId="1057">
    <w:name w:val="网格型9"/>
    <w:basedOn w:val="6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58">
    <w:name w:val="网格型10"/>
    <w:basedOn w:val="6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59">
    <w:name w:val="网格型7"/>
    <w:basedOn w:val="6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60">
    <w:name w:val="网格型3"/>
    <w:basedOn w:val="6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61">
    <w:name w:val="Table Normal1"/>
    <w:qFormat/>
    <w:uiPriority w:val="0"/>
    <w:rPr>
      <w:lang w:val="en-US" w:eastAsia="zh-CN" w:bidi="ar-SA"/>
    </w:rPr>
    <w:tblPr>
      <w:tblCellMar>
        <w:top w:w="0" w:type="dxa"/>
        <w:left w:w="0" w:type="dxa"/>
        <w:bottom w:w="0" w:type="dxa"/>
        <w:right w:w="0" w:type="dxa"/>
      </w:tblCellMar>
    </w:tblPr>
  </w:style>
  <w:style w:type="table" w:customStyle="1" w:styleId="1062">
    <w:name w:val="网格型4"/>
    <w:basedOn w:val="6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63">
    <w:name w:val="网格型6"/>
    <w:basedOn w:val="6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64">
    <w:name w:val="网格型8"/>
    <w:basedOn w:val="6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65">
    <w:name w:val="网格型2"/>
    <w:basedOn w:val="6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66">
    <w:name w:val="网格型5"/>
    <w:basedOn w:val="6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67">
    <w:name w:val="网格型1"/>
    <w:basedOn w:val="66"/>
    <w:qFormat/>
    <w:uiPriority w:val="59"/>
    <w:rPr>
      <w:rFonts w:ascii="Calibri" w:hAnsi="Calibri" w:cs="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1068">
    <w:name w:val="[Normal]"/>
    <w:qFormat/>
    <w:uiPriority w:val="0"/>
    <w:rPr>
      <w:rFonts w:ascii="宋体" w:hAnsi="宋体" w:eastAsia="宋体" w:cs="Times New Roman"/>
      <w:sz w:val="24"/>
      <w:szCs w:val="22"/>
      <w:lang w:val="zh-CN" w:eastAsia="zh-CN" w:bidi="ar-SA"/>
    </w:rPr>
  </w:style>
  <w:style w:type="paragraph" w:customStyle="1" w:styleId="1069">
    <w:name w:val="AONormal"/>
    <w:qFormat/>
    <w:uiPriority w:val="0"/>
    <w:pPr>
      <w:autoSpaceDE w:val="0"/>
      <w:autoSpaceDN w:val="0"/>
      <w:adjustRightInd w:val="0"/>
      <w:spacing w:line="400" w:lineRule="exact"/>
      <w:ind w:firstLine="200" w:firstLineChars="200"/>
    </w:pPr>
    <w:rPr>
      <w:rFonts w:ascii="华文楷体" w:hAnsi="Times New Roman"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microsoft.com/office/2011/relationships/commentsExtended" Target="commentsExtended.xml"/><Relationship Id="rId3" Type="http://schemas.openxmlformats.org/officeDocument/2006/relationships/comments" Target="comments.xml"/><Relationship Id="rId23" Type="http://schemas.microsoft.com/office/2011/relationships/people" Target="people.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png"/><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header" Target="header5.xml"/><Relationship Id="rId15" Type="http://schemas.openxmlformats.org/officeDocument/2006/relationships/footer" Target="footer7.xml"/><Relationship Id="rId14" Type="http://schemas.openxmlformats.org/officeDocument/2006/relationships/header" Target="header4.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93</Pages>
  <Words>3394</Words>
  <Characters>3794</Characters>
  <Lines>355</Lines>
  <Paragraphs>100</Paragraphs>
  <TotalTime>22</TotalTime>
  <ScaleCrop>false</ScaleCrop>
  <LinksUpToDate>false</LinksUpToDate>
  <CharactersWithSpaces>3986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2023-02-03T07:20:00Z</dcterms:created>
  <dc:creator>Administrator</dc:creator>
  <cp:lastModifiedBy>戴尔</cp:lastModifiedBy>
  <cp:lastPrinted>2024-03-25T00:57:00Z</cp:lastPrinted>
  <dcterms:modified xsi:type="dcterms:W3CDTF">2025-03-05T07:22:32Z</dcterms:modified>
  <dc:title>平阳县政府采购中心招 标 文 件</dc:title>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CDA2954542574D7183B6B0A1DA77A4EC_13</vt:lpwstr>
  </property>
  <property fmtid="{D5CDD505-2E9C-101B-9397-08002B2CF9AE}" pid="4" name="KSOTemplateDocerSaveRecord">
    <vt:lpwstr>eyJoZGlkIjoiYjBhNWM3YTMyMWZmMGNmMTE5YWRlMjVlZmU5NGEzYzQiLCJ1c2VySWQiOiI0Mzc2ODY5MDkifQ==</vt:lpwstr>
  </property>
</Properties>
</file>