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CF99D">
      <w:pPr>
        <w:spacing w:before="120" w:beforeLines="50"/>
        <w:jc w:val="center"/>
        <w:rPr>
          <w:rFonts w:hint="eastAsia" w:ascii="仿宋" w:hAnsi="仿宋" w:eastAsia="仿宋" w:cs="仿宋"/>
          <w:color w:val="auto"/>
          <w:sz w:val="44"/>
          <w:szCs w:val="44"/>
          <w:highlight w:val="none"/>
        </w:rPr>
      </w:pPr>
      <w:r>
        <w:rPr>
          <w:highlight w:val="none"/>
        </w:rPr>
        <w:drawing>
          <wp:inline distT="0" distB="0" distL="114300" distR="114300">
            <wp:extent cx="5937250" cy="7917815"/>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937250" cy="7917815"/>
                    </a:xfrm>
                    <a:prstGeom prst="rect">
                      <a:avLst/>
                    </a:prstGeom>
                    <a:noFill/>
                    <a:ln>
                      <a:noFill/>
                    </a:ln>
                  </pic:spPr>
                </pic:pic>
              </a:graphicData>
            </a:graphic>
          </wp:inline>
        </w:drawing>
      </w:r>
      <w:r>
        <w:rPr>
          <w:rFonts w:hint="eastAsia" w:ascii="仿宋" w:hAnsi="仿宋" w:eastAsia="仿宋" w:cs="仿宋"/>
          <w:color w:val="auto"/>
          <w:highlight w:val="none"/>
        </w:rPr>
        <w:br w:type="page"/>
      </w:r>
      <w:r>
        <w:rPr>
          <w:rFonts w:hint="eastAsia" w:ascii="仿宋" w:hAnsi="仿宋" w:eastAsia="仿宋" w:cs="仿宋"/>
          <w:color w:val="auto"/>
          <w:sz w:val="44"/>
          <w:szCs w:val="44"/>
          <w:highlight w:val="none"/>
        </w:rPr>
        <w:t>目    录</w:t>
      </w:r>
    </w:p>
    <w:sdt>
      <w:sdtPr>
        <w:rPr>
          <w:rFonts w:hint="eastAsia" w:ascii="仿宋" w:hAnsi="仿宋" w:eastAsia="仿宋" w:cs="仿宋"/>
          <w:color w:val="auto"/>
          <w:kern w:val="2"/>
          <w:sz w:val="21"/>
          <w:szCs w:val="24"/>
          <w:highlight w:val="none"/>
          <w:lang w:val="zh-CN"/>
        </w:rPr>
        <w:id w:val="-1965958848"/>
        <w:docPartObj>
          <w:docPartGallery w:val="Table of Contents"/>
          <w:docPartUnique/>
        </w:docPartObj>
      </w:sdtPr>
      <w:sdtEndPr>
        <w:rPr>
          <w:rFonts w:hint="eastAsia" w:ascii="仿宋" w:hAnsi="仿宋" w:eastAsia="仿宋" w:cs="仿宋"/>
          <w:b/>
          <w:bCs/>
          <w:color w:val="auto"/>
          <w:kern w:val="2"/>
          <w:sz w:val="24"/>
          <w:szCs w:val="24"/>
          <w:highlight w:val="none"/>
          <w:lang w:val="zh-CN"/>
        </w:rPr>
      </w:sdtEndPr>
      <w:sdtContent>
        <w:p w14:paraId="0F00BEBA">
          <w:pPr>
            <w:pStyle w:val="151"/>
            <w:jc w:val="center"/>
            <w:rPr>
              <w:rFonts w:hint="eastAsia" w:ascii="仿宋" w:hAnsi="仿宋" w:eastAsia="仿宋" w:cs="仿宋"/>
              <w:color w:val="auto"/>
              <w:highlight w:val="none"/>
            </w:rPr>
          </w:pPr>
        </w:p>
        <w:p w14:paraId="2AA18C03">
          <w:pPr>
            <w:pStyle w:val="35"/>
            <w:tabs>
              <w:tab w:val="right" w:leader="dot" w:pos="8835"/>
            </w:tabs>
            <w:spacing w:line="480" w:lineRule="auto"/>
            <w:rPr>
              <w:rFonts w:hint="eastAsia" w:ascii="仿宋" w:hAnsi="仿宋" w:eastAsia="仿宋" w:cs="仿宋"/>
              <w:b/>
              <w:bCs/>
              <w:color w:val="auto"/>
              <w:sz w:val="24"/>
              <w:szCs w:val="28"/>
              <w:highlight w:val="none"/>
              <w14:ligatures w14:val="standardContextual"/>
            </w:rPr>
          </w:pPr>
          <w:r>
            <w:rPr>
              <w:rFonts w:hint="eastAsia" w:ascii="仿宋" w:hAnsi="仿宋" w:eastAsia="仿宋" w:cs="仿宋"/>
              <w:b/>
              <w:bCs/>
              <w:color w:val="auto"/>
              <w:sz w:val="24"/>
              <w:szCs w:val="32"/>
              <w:highlight w:val="none"/>
            </w:rPr>
            <w:fldChar w:fldCharType="begin"/>
          </w:r>
          <w:r>
            <w:rPr>
              <w:rFonts w:hint="eastAsia" w:ascii="仿宋" w:hAnsi="仿宋" w:eastAsia="仿宋" w:cs="仿宋"/>
              <w:b/>
              <w:bCs/>
              <w:color w:val="auto"/>
              <w:sz w:val="24"/>
              <w:szCs w:val="32"/>
              <w:highlight w:val="none"/>
            </w:rPr>
            <w:instrText xml:space="preserve"> TOC \o "1-3" \h \z \u </w:instrText>
          </w:r>
          <w:r>
            <w:rPr>
              <w:rFonts w:hint="eastAsia" w:ascii="仿宋" w:hAnsi="仿宋" w:eastAsia="仿宋" w:cs="仿宋"/>
              <w:b/>
              <w:bCs/>
              <w:color w:val="auto"/>
              <w:sz w:val="24"/>
              <w:szCs w:val="32"/>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"_Toc180597574" </w:instrText>
          </w:r>
          <w:r>
            <w:rPr>
              <w:rFonts w:hint="eastAsia" w:ascii="仿宋" w:hAnsi="仿宋" w:eastAsia="仿宋" w:cs="仿宋"/>
              <w:color w:val="auto"/>
              <w:highlight w:val="none"/>
            </w:rPr>
            <w:fldChar w:fldCharType="separate"/>
          </w:r>
          <w:r>
            <w:rPr>
              <w:rStyle w:val="60"/>
              <w:rFonts w:hint="eastAsia" w:ascii="仿宋" w:hAnsi="仿宋" w:eastAsia="仿宋" w:cs="仿宋"/>
              <w:b/>
              <w:bCs/>
              <w:color w:val="auto"/>
              <w:sz w:val="24"/>
              <w:szCs w:val="32"/>
              <w:highlight w:val="none"/>
            </w:rPr>
            <w:t>第一章  公开招标采购公告</w:t>
          </w:r>
          <w:r>
            <w:rPr>
              <w:rFonts w:hint="eastAsia" w:ascii="仿宋" w:hAnsi="仿宋" w:eastAsia="仿宋" w:cs="仿宋"/>
              <w:b/>
              <w:bCs/>
              <w:color w:val="auto"/>
              <w:sz w:val="24"/>
              <w:szCs w:val="32"/>
              <w:highlight w:val="none"/>
            </w:rPr>
            <w:tab/>
          </w:r>
          <w:r>
            <w:rPr>
              <w:rFonts w:hint="eastAsia" w:ascii="仿宋" w:hAnsi="仿宋" w:eastAsia="仿宋" w:cs="仿宋"/>
              <w:b/>
              <w:bCs/>
              <w:color w:val="auto"/>
              <w:sz w:val="24"/>
              <w:szCs w:val="32"/>
              <w:highlight w:val="none"/>
            </w:rPr>
            <w:fldChar w:fldCharType="begin"/>
          </w:r>
          <w:r>
            <w:rPr>
              <w:rFonts w:hint="eastAsia" w:ascii="仿宋" w:hAnsi="仿宋" w:eastAsia="仿宋" w:cs="仿宋"/>
              <w:b/>
              <w:bCs/>
              <w:color w:val="auto"/>
              <w:sz w:val="24"/>
              <w:szCs w:val="32"/>
              <w:highlight w:val="none"/>
            </w:rPr>
            <w:instrText xml:space="preserve"> PAGEREF _Toc180597574 \h </w:instrText>
          </w:r>
          <w:r>
            <w:rPr>
              <w:rFonts w:hint="eastAsia" w:ascii="仿宋" w:hAnsi="仿宋" w:eastAsia="仿宋" w:cs="仿宋"/>
              <w:b/>
              <w:bCs/>
              <w:color w:val="auto"/>
              <w:sz w:val="24"/>
              <w:szCs w:val="32"/>
              <w:highlight w:val="none"/>
            </w:rPr>
            <w:fldChar w:fldCharType="separate"/>
          </w:r>
          <w:r>
            <w:rPr>
              <w:rFonts w:hint="eastAsia" w:ascii="仿宋" w:hAnsi="仿宋" w:eastAsia="仿宋" w:cs="仿宋"/>
              <w:b/>
              <w:bCs/>
              <w:color w:val="auto"/>
              <w:sz w:val="24"/>
              <w:szCs w:val="32"/>
              <w:highlight w:val="none"/>
            </w:rPr>
            <w:t>3</w:t>
          </w:r>
          <w:r>
            <w:rPr>
              <w:rFonts w:hint="eastAsia" w:ascii="仿宋" w:hAnsi="仿宋" w:eastAsia="仿宋" w:cs="仿宋"/>
              <w:b/>
              <w:bCs/>
              <w:color w:val="auto"/>
              <w:sz w:val="24"/>
              <w:szCs w:val="32"/>
              <w:highlight w:val="none"/>
            </w:rPr>
            <w:fldChar w:fldCharType="end"/>
          </w:r>
          <w:r>
            <w:rPr>
              <w:rFonts w:hint="eastAsia" w:ascii="仿宋" w:hAnsi="仿宋" w:eastAsia="仿宋" w:cs="仿宋"/>
              <w:b/>
              <w:bCs/>
              <w:color w:val="auto"/>
              <w:sz w:val="24"/>
              <w:szCs w:val="32"/>
              <w:highlight w:val="none"/>
            </w:rPr>
            <w:fldChar w:fldCharType="end"/>
          </w:r>
        </w:p>
        <w:p w14:paraId="12850989">
          <w:pPr>
            <w:pStyle w:val="35"/>
            <w:tabs>
              <w:tab w:val="right" w:leader="dot" w:pos="8835"/>
            </w:tabs>
            <w:spacing w:line="480" w:lineRule="auto"/>
            <w:rPr>
              <w:rFonts w:hint="eastAsia" w:ascii="仿宋" w:hAnsi="仿宋" w:eastAsia="仿宋" w:cs="仿宋"/>
              <w:b/>
              <w:bCs/>
              <w:color w:val="auto"/>
              <w:sz w:val="24"/>
              <w:szCs w:val="28"/>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"_Toc180597575" </w:instrText>
          </w:r>
          <w:r>
            <w:rPr>
              <w:rFonts w:hint="eastAsia" w:ascii="仿宋" w:hAnsi="仿宋" w:eastAsia="仿宋" w:cs="仿宋"/>
              <w:color w:val="auto"/>
              <w:highlight w:val="none"/>
            </w:rPr>
            <w:fldChar w:fldCharType="separate"/>
          </w:r>
          <w:r>
            <w:rPr>
              <w:rStyle w:val="60"/>
              <w:rFonts w:hint="eastAsia" w:ascii="仿宋" w:hAnsi="仿宋" w:eastAsia="仿宋" w:cs="仿宋"/>
              <w:b/>
              <w:bCs/>
              <w:color w:val="auto"/>
              <w:sz w:val="24"/>
              <w:szCs w:val="32"/>
              <w:highlight w:val="none"/>
            </w:rPr>
            <w:t xml:space="preserve">第二章  </w:t>
          </w:r>
          <w:r>
            <w:rPr>
              <w:rStyle w:val="60"/>
              <w:rFonts w:hint="eastAsia" w:ascii="仿宋" w:hAnsi="仿宋" w:eastAsia="仿宋" w:cs="仿宋"/>
              <w:b/>
              <w:bCs/>
              <w:color w:val="auto"/>
              <w:sz w:val="24"/>
              <w:szCs w:val="32"/>
              <w:highlight w:val="none"/>
              <w:lang w:val="en-US" w:eastAsia="zh-CN"/>
            </w:rPr>
            <w:t>采购</w:t>
          </w:r>
          <w:r>
            <w:rPr>
              <w:rStyle w:val="60"/>
              <w:rFonts w:hint="eastAsia" w:ascii="仿宋" w:hAnsi="仿宋" w:eastAsia="仿宋" w:cs="仿宋"/>
              <w:b/>
              <w:bCs/>
              <w:color w:val="auto"/>
              <w:sz w:val="24"/>
              <w:szCs w:val="32"/>
              <w:highlight w:val="none"/>
            </w:rPr>
            <w:t>需求</w:t>
          </w:r>
          <w:r>
            <w:rPr>
              <w:rFonts w:hint="eastAsia" w:ascii="仿宋" w:hAnsi="仿宋" w:eastAsia="仿宋" w:cs="仿宋"/>
              <w:b/>
              <w:bCs/>
              <w:color w:val="auto"/>
              <w:sz w:val="24"/>
              <w:szCs w:val="32"/>
              <w:highlight w:val="none"/>
            </w:rPr>
            <w:tab/>
          </w:r>
          <w:r>
            <w:rPr>
              <w:rFonts w:hint="eastAsia" w:ascii="仿宋" w:hAnsi="仿宋" w:eastAsia="仿宋" w:cs="仿宋"/>
              <w:b/>
              <w:bCs/>
              <w:color w:val="auto"/>
              <w:sz w:val="24"/>
              <w:szCs w:val="32"/>
              <w:highlight w:val="none"/>
            </w:rPr>
            <w:fldChar w:fldCharType="begin"/>
          </w:r>
          <w:r>
            <w:rPr>
              <w:rFonts w:hint="eastAsia" w:ascii="仿宋" w:hAnsi="仿宋" w:eastAsia="仿宋" w:cs="仿宋"/>
              <w:b/>
              <w:bCs/>
              <w:color w:val="auto"/>
              <w:sz w:val="24"/>
              <w:szCs w:val="32"/>
              <w:highlight w:val="none"/>
            </w:rPr>
            <w:instrText xml:space="preserve"> PAGEREF _Toc180597575 \h </w:instrText>
          </w:r>
          <w:r>
            <w:rPr>
              <w:rFonts w:hint="eastAsia" w:ascii="仿宋" w:hAnsi="仿宋" w:eastAsia="仿宋" w:cs="仿宋"/>
              <w:b/>
              <w:bCs/>
              <w:color w:val="auto"/>
              <w:sz w:val="24"/>
              <w:szCs w:val="32"/>
              <w:highlight w:val="none"/>
            </w:rPr>
            <w:fldChar w:fldCharType="separate"/>
          </w:r>
          <w:r>
            <w:rPr>
              <w:rFonts w:hint="eastAsia" w:ascii="仿宋" w:hAnsi="仿宋" w:eastAsia="仿宋" w:cs="仿宋"/>
              <w:b/>
              <w:bCs/>
              <w:color w:val="auto"/>
              <w:sz w:val="24"/>
              <w:szCs w:val="32"/>
              <w:highlight w:val="none"/>
            </w:rPr>
            <w:t>7</w:t>
          </w:r>
          <w:r>
            <w:rPr>
              <w:rFonts w:hint="eastAsia" w:ascii="仿宋" w:hAnsi="仿宋" w:eastAsia="仿宋" w:cs="仿宋"/>
              <w:b/>
              <w:bCs/>
              <w:color w:val="auto"/>
              <w:sz w:val="24"/>
              <w:szCs w:val="32"/>
              <w:highlight w:val="none"/>
            </w:rPr>
            <w:fldChar w:fldCharType="end"/>
          </w:r>
          <w:r>
            <w:rPr>
              <w:rFonts w:hint="eastAsia" w:ascii="仿宋" w:hAnsi="仿宋" w:eastAsia="仿宋" w:cs="仿宋"/>
              <w:b/>
              <w:bCs/>
              <w:color w:val="auto"/>
              <w:sz w:val="24"/>
              <w:szCs w:val="32"/>
              <w:highlight w:val="none"/>
            </w:rPr>
            <w:fldChar w:fldCharType="end"/>
          </w:r>
        </w:p>
        <w:p w14:paraId="14CB9A53">
          <w:pPr>
            <w:pStyle w:val="35"/>
            <w:tabs>
              <w:tab w:val="right" w:leader="dot" w:pos="8835"/>
            </w:tabs>
            <w:spacing w:line="480" w:lineRule="auto"/>
            <w:rPr>
              <w:rFonts w:hint="eastAsia" w:ascii="仿宋" w:hAnsi="仿宋" w:eastAsia="仿宋" w:cs="仿宋"/>
              <w:b/>
              <w:bCs/>
              <w:color w:val="auto"/>
              <w:sz w:val="24"/>
              <w:szCs w:val="28"/>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"_Toc180597599" </w:instrText>
          </w:r>
          <w:r>
            <w:rPr>
              <w:rFonts w:hint="eastAsia" w:ascii="仿宋" w:hAnsi="仿宋" w:eastAsia="仿宋" w:cs="仿宋"/>
              <w:color w:val="auto"/>
              <w:highlight w:val="none"/>
            </w:rPr>
            <w:fldChar w:fldCharType="separate"/>
          </w:r>
          <w:r>
            <w:rPr>
              <w:rStyle w:val="60"/>
              <w:rFonts w:hint="eastAsia" w:ascii="仿宋" w:hAnsi="仿宋" w:eastAsia="仿宋" w:cs="仿宋"/>
              <w:b/>
              <w:bCs/>
              <w:color w:val="auto"/>
              <w:sz w:val="24"/>
              <w:szCs w:val="32"/>
              <w:highlight w:val="none"/>
            </w:rPr>
            <w:t>第三章  投标人须知</w:t>
          </w:r>
          <w:r>
            <w:rPr>
              <w:rFonts w:hint="eastAsia" w:ascii="仿宋" w:hAnsi="仿宋" w:eastAsia="仿宋" w:cs="仿宋"/>
              <w:b/>
              <w:bCs/>
              <w:color w:val="auto"/>
              <w:sz w:val="24"/>
              <w:szCs w:val="32"/>
              <w:highlight w:val="none"/>
            </w:rPr>
            <w:tab/>
          </w:r>
          <w:r>
            <w:rPr>
              <w:rFonts w:hint="eastAsia" w:ascii="仿宋" w:hAnsi="仿宋" w:eastAsia="仿宋" w:cs="仿宋"/>
              <w:b/>
              <w:bCs/>
              <w:color w:val="auto"/>
              <w:sz w:val="24"/>
              <w:szCs w:val="32"/>
              <w:highlight w:val="none"/>
            </w:rPr>
            <w:fldChar w:fldCharType="begin"/>
          </w:r>
          <w:r>
            <w:rPr>
              <w:rFonts w:hint="eastAsia" w:ascii="仿宋" w:hAnsi="仿宋" w:eastAsia="仿宋" w:cs="仿宋"/>
              <w:b/>
              <w:bCs/>
              <w:color w:val="auto"/>
              <w:sz w:val="24"/>
              <w:szCs w:val="32"/>
              <w:highlight w:val="none"/>
            </w:rPr>
            <w:instrText xml:space="preserve"> PAGEREF _Toc180597599 \h </w:instrText>
          </w:r>
          <w:r>
            <w:rPr>
              <w:rFonts w:hint="eastAsia" w:ascii="仿宋" w:hAnsi="仿宋" w:eastAsia="仿宋" w:cs="仿宋"/>
              <w:b/>
              <w:bCs/>
              <w:color w:val="auto"/>
              <w:sz w:val="24"/>
              <w:szCs w:val="32"/>
              <w:highlight w:val="none"/>
            </w:rPr>
            <w:fldChar w:fldCharType="separate"/>
          </w:r>
          <w:r>
            <w:rPr>
              <w:rFonts w:hint="eastAsia" w:ascii="仿宋" w:hAnsi="仿宋" w:eastAsia="仿宋" w:cs="仿宋"/>
              <w:b/>
              <w:bCs/>
              <w:color w:val="auto"/>
              <w:sz w:val="24"/>
              <w:szCs w:val="32"/>
              <w:highlight w:val="none"/>
            </w:rPr>
            <w:t>17</w:t>
          </w:r>
          <w:r>
            <w:rPr>
              <w:rFonts w:hint="eastAsia" w:ascii="仿宋" w:hAnsi="仿宋" w:eastAsia="仿宋" w:cs="仿宋"/>
              <w:b/>
              <w:bCs/>
              <w:color w:val="auto"/>
              <w:sz w:val="24"/>
              <w:szCs w:val="32"/>
              <w:highlight w:val="none"/>
            </w:rPr>
            <w:fldChar w:fldCharType="end"/>
          </w:r>
          <w:r>
            <w:rPr>
              <w:rFonts w:hint="eastAsia" w:ascii="仿宋" w:hAnsi="仿宋" w:eastAsia="仿宋" w:cs="仿宋"/>
              <w:b/>
              <w:bCs/>
              <w:color w:val="auto"/>
              <w:sz w:val="24"/>
              <w:szCs w:val="32"/>
              <w:highlight w:val="none"/>
            </w:rPr>
            <w:fldChar w:fldCharType="end"/>
          </w:r>
        </w:p>
        <w:p w14:paraId="61EC158D">
          <w:pPr>
            <w:pStyle w:val="35"/>
            <w:tabs>
              <w:tab w:val="right" w:leader="dot" w:pos="8835"/>
            </w:tabs>
            <w:spacing w:line="480" w:lineRule="auto"/>
            <w:rPr>
              <w:rFonts w:hint="eastAsia" w:ascii="仿宋" w:hAnsi="仿宋" w:eastAsia="仿宋" w:cs="仿宋"/>
              <w:b/>
              <w:bCs/>
              <w:color w:val="auto"/>
              <w:sz w:val="24"/>
              <w:szCs w:val="28"/>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"_Toc180597609" </w:instrText>
          </w:r>
          <w:r>
            <w:rPr>
              <w:rFonts w:hint="eastAsia" w:ascii="仿宋" w:hAnsi="仿宋" w:eastAsia="仿宋" w:cs="仿宋"/>
              <w:color w:val="auto"/>
              <w:highlight w:val="none"/>
            </w:rPr>
            <w:fldChar w:fldCharType="separate"/>
          </w:r>
          <w:r>
            <w:rPr>
              <w:rStyle w:val="60"/>
              <w:rFonts w:hint="eastAsia" w:ascii="仿宋" w:hAnsi="仿宋" w:eastAsia="仿宋" w:cs="仿宋"/>
              <w:b/>
              <w:bCs/>
              <w:color w:val="auto"/>
              <w:sz w:val="24"/>
              <w:szCs w:val="32"/>
              <w:highlight w:val="none"/>
            </w:rPr>
            <w:t>第四章 评标办法及评分标准</w:t>
          </w:r>
          <w:r>
            <w:rPr>
              <w:rFonts w:hint="eastAsia" w:ascii="仿宋" w:hAnsi="仿宋" w:eastAsia="仿宋" w:cs="仿宋"/>
              <w:b/>
              <w:bCs/>
              <w:color w:val="auto"/>
              <w:sz w:val="24"/>
              <w:szCs w:val="32"/>
              <w:highlight w:val="none"/>
            </w:rPr>
            <w:tab/>
          </w:r>
          <w:r>
            <w:rPr>
              <w:rFonts w:hint="eastAsia" w:ascii="仿宋" w:hAnsi="仿宋" w:eastAsia="仿宋" w:cs="仿宋"/>
              <w:b/>
              <w:bCs/>
              <w:color w:val="auto"/>
              <w:sz w:val="24"/>
              <w:szCs w:val="32"/>
              <w:highlight w:val="none"/>
            </w:rPr>
            <w:fldChar w:fldCharType="begin"/>
          </w:r>
          <w:r>
            <w:rPr>
              <w:rFonts w:hint="eastAsia" w:ascii="仿宋" w:hAnsi="仿宋" w:eastAsia="仿宋" w:cs="仿宋"/>
              <w:b/>
              <w:bCs/>
              <w:color w:val="auto"/>
              <w:sz w:val="24"/>
              <w:szCs w:val="32"/>
              <w:highlight w:val="none"/>
            </w:rPr>
            <w:instrText xml:space="preserve"> PAGEREF _Toc180597609 \h </w:instrText>
          </w:r>
          <w:r>
            <w:rPr>
              <w:rFonts w:hint="eastAsia" w:ascii="仿宋" w:hAnsi="仿宋" w:eastAsia="仿宋" w:cs="仿宋"/>
              <w:b/>
              <w:bCs/>
              <w:color w:val="auto"/>
              <w:sz w:val="24"/>
              <w:szCs w:val="32"/>
              <w:highlight w:val="none"/>
            </w:rPr>
            <w:fldChar w:fldCharType="separate"/>
          </w:r>
          <w:r>
            <w:rPr>
              <w:rFonts w:hint="eastAsia" w:ascii="仿宋" w:hAnsi="仿宋" w:eastAsia="仿宋" w:cs="仿宋"/>
              <w:b/>
              <w:bCs/>
              <w:color w:val="auto"/>
              <w:sz w:val="24"/>
              <w:szCs w:val="32"/>
              <w:highlight w:val="none"/>
            </w:rPr>
            <w:t>28</w:t>
          </w:r>
          <w:r>
            <w:rPr>
              <w:rFonts w:hint="eastAsia" w:ascii="仿宋" w:hAnsi="仿宋" w:eastAsia="仿宋" w:cs="仿宋"/>
              <w:b/>
              <w:bCs/>
              <w:color w:val="auto"/>
              <w:sz w:val="24"/>
              <w:szCs w:val="32"/>
              <w:highlight w:val="none"/>
            </w:rPr>
            <w:fldChar w:fldCharType="end"/>
          </w:r>
          <w:r>
            <w:rPr>
              <w:rFonts w:hint="eastAsia" w:ascii="仿宋" w:hAnsi="仿宋" w:eastAsia="仿宋" w:cs="仿宋"/>
              <w:b/>
              <w:bCs/>
              <w:color w:val="auto"/>
              <w:sz w:val="24"/>
              <w:szCs w:val="32"/>
              <w:highlight w:val="none"/>
            </w:rPr>
            <w:fldChar w:fldCharType="end"/>
          </w:r>
        </w:p>
        <w:p w14:paraId="3903B34A">
          <w:pPr>
            <w:pStyle w:val="35"/>
            <w:tabs>
              <w:tab w:val="right" w:leader="dot" w:pos="8835"/>
            </w:tabs>
            <w:spacing w:line="480" w:lineRule="auto"/>
            <w:rPr>
              <w:rFonts w:hint="eastAsia" w:ascii="仿宋" w:hAnsi="仿宋" w:eastAsia="仿宋" w:cs="仿宋"/>
              <w:b/>
              <w:bCs/>
              <w:color w:val="auto"/>
              <w:sz w:val="24"/>
              <w:szCs w:val="28"/>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"_Toc180597610" </w:instrText>
          </w:r>
          <w:r>
            <w:rPr>
              <w:rFonts w:hint="eastAsia" w:ascii="仿宋" w:hAnsi="仿宋" w:eastAsia="仿宋" w:cs="仿宋"/>
              <w:color w:val="auto"/>
              <w:highlight w:val="none"/>
            </w:rPr>
            <w:fldChar w:fldCharType="separate"/>
          </w:r>
          <w:r>
            <w:rPr>
              <w:rStyle w:val="60"/>
              <w:rFonts w:hint="eastAsia" w:ascii="仿宋" w:hAnsi="仿宋" w:eastAsia="仿宋" w:cs="仿宋"/>
              <w:b/>
              <w:bCs/>
              <w:color w:val="auto"/>
              <w:sz w:val="24"/>
              <w:szCs w:val="32"/>
              <w:highlight w:val="none"/>
            </w:rPr>
            <w:t>第五章 合同条款</w:t>
          </w:r>
          <w:r>
            <w:rPr>
              <w:rFonts w:hint="eastAsia" w:ascii="仿宋" w:hAnsi="仿宋" w:eastAsia="仿宋" w:cs="仿宋"/>
              <w:b/>
              <w:bCs/>
              <w:color w:val="auto"/>
              <w:sz w:val="24"/>
              <w:szCs w:val="32"/>
              <w:highlight w:val="none"/>
            </w:rPr>
            <w:tab/>
          </w:r>
          <w:r>
            <w:rPr>
              <w:rFonts w:hint="eastAsia" w:ascii="仿宋" w:hAnsi="仿宋" w:eastAsia="仿宋" w:cs="仿宋"/>
              <w:b/>
              <w:bCs/>
              <w:color w:val="auto"/>
              <w:sz w:val="24"/>
              <w:szCs w:val="32"/>
              <w:highlight w:val="none"/>
            </w:rPr>
            <w:fldChar w:fldCharType="begin"/>
          </w:r>
          <w:r>
            <w:rPr>
              <w:rFonts w:hint="eastAsia" w:ascii="仿宋" w:hAnsi="仿宋" w:eastAsia="仿宋" w:cs="仿宋"/>
              <w:b/>
              <w:bCs/>
              <w:color w:val="auto"/>
              <w:sz w:val="24"/>
              <w:szCs w:val="32"/>
              <w:highlight w:val="none"/>
            </w:rPr>
            <w:instrText xml:space="preserve"> PAGEREF _Toc180597610 \h </w:instrText>
          </w:r>
          <w:r>
            <w:rPr>
              <w:rFonts w:hint="eastAsia" w:ascii="仿宋" w:hAnsi="仿宋" w:eastAsia="仿宋" w:cs="仿宋"/>
              <w:b/>
              <w:bCs/>
              <w:color w:val="auto"/>
              <w:sz w:val="24"/>
              <w:szCs w:val="32"/>
              <w:highlight w:val="none"/>
            </w:rPr>
            <w:fldChar w:fldCharType="separate"/>
          </w:r>
          <w:r>
            <w:rPr>
              <w:rFonts w:hint="eastAsia" w:ascii="仿宋" w:hAnsi="仿宋" w:eastAsia="仿宋" w:cs="仿宋"/>
              <w:b/>
              <w:bCs/>
              <w:color w:val="auto"/>
              <w:sz w:val="24"/>
              <w:szCs w:val="32"/>
              <w:highlight w:val="none"/>
            </w:rPr>
            <w:t>37</w:t>
          </w:r>
          <w:r>
            <w:rPr>
              <w:rFonts w:hint="eastAsia" w:ascii="仿宋" w:hAnsi="仿宋" w:eastAsia="仿宋" w:cs="仿宋"/>
              <w:b/>
              <w:bCs/>
              <w:color w:val="auto"/>
              <w:sz w:val="24"/>
              <w:szCs w:val="32"/>
              <w:highlight w:val="none"/>
            </w:rPr>
            <w:fldChar w:fldCharType="end"/>
          </w:r>
          <w:r>
            <w:rPr>
              <w:rFonts w:hint="eastAsia" w:ascii="仿宋" w:hAnsi="仿宋" w:eastAsia="仿宋" w:cs="仿宋"/>
              <w:b/>
              <w:bCs/>
              <w:color w:val="auto"/>
              <w:sz w:val="24"/>
              <w:szCs w:val="32"/>
              <w:highlight w:val="none"/>
            </w:rPr>
            <w:fldChar w:fldCharType="end"/>
          </w:r>
        </w:p>
        <w:p w14:paraId="5E01FB64">
          <w:pPr>
            <w:pStyle w:val="35"/>
            <w:tabs>
              <w:tab w:val="right" w:leader="dot" w:pos="8835"/>
            </w:tabs>
            <w:spacing w:line="480" w:lineRule="auto"/>
            <w:rPr>
              <w:rFonts w:hint="eastAsia" w:ascii="仿宋" w:hAnsi="仿宋" w:eastAsia="仿宋" w:cs="仿宋"/>
              <w:b/>
              <w:bCs/>
              <w:color w:val="auto"/>
              <w:sz w:val="24"/>
              <w:szCs w:val="28"/>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"_Toc180597744" </w:instrText>
          </w:r>
          <w:r>
            <w:rPr>
              <w:rFonts w:hint="eastAsia" w:ascii="仿宋" w:hAnsi="仿宋" w:eastAsia="仿宋" w:cs="仿宋"/>
              <w:color w:val="auto"/>
              <w:highlight w:val="none"/>
            </w:rPr>
            <w:fldChar w:fldCharType="separate"/>
          </w:r>
          <w:r>
            <w:rPr>
              <w:rStyle w:val="60"/>
              <w:rFonts w:hint="eastAsia" w:ascii="仿宋" w:hAnsi="仿宋" w:eastAsia="仿宋" w:cs="仿宋"/>
              <w:b/>
              <w:bCs/>
              <w:color w:val="auto"/>
              <w:sz w:val="24"/>
              <w:szCs w:val="32"/>
              <w:highlight w:val="none"/>
            </w:rPr>
            <w:t>第六章 投标文件格式</w:t>
          </w:r>
          <w:r>
            <w:rPr>
              <w:rFonts w:hint="eastAsia" w:ascii="仿宋" w:hAnsi="仿宋" w:eastAsia="仿宋" w:cs="仿宋"/>
              <w:b/>
              <w:bCs/>
              <w:color w:val="auto"/>
              <w:sz w:val="24"/>
              <w:szCs w:val="32"/>
              <w:highlight w:val="none"/>
            </w:rPr>
            <w:tab/>
          </w:r>
          <w:r>
            <w:rPr>
              <w:rFonts w:hint="eastAsia" w:ascii="仿宋" w:hAnsi="仿宋" w:eastAsia="仿宋" w:cs="仿宋"/>
              <w:b/>
              <w:bCs/>
              <w:color w:val="auto"/>
              <w:sz w:val="24"/>
              <w:szCs w:val="32"/>
              <w:highlight w:val="none"/>
            </w:rPr>
            <w:fldChar w:fldCharType="begin"/>
          </w:r>
          <w:r>
            <w:rPr>
              <w:rFonts w:hint="eastAsia" w:ascii="仿宋" w:hAnsi="仿宋" w:eastAsia="仿宋" w:cs="仿宋"/>
              <w:b/>
              <w:bCs/>
              <w:color w:val="auto"/>
              <w:sz w:val="24"/>
              <w:szCs w:val="32"/>
              <w:highlight w:val="none"/>
            </w:rPr>
            <w:instrText xml:space="preserve"> PAGEREF _Toc180597744 \h </w:instrText>
          </w:r>
          <w:r>
            <w:rPr>
              <w:rFonts w:hint="eastAsia" w:ascii="仿宋" w:hAnsi="仿宋" w:eastAsia="仿宋" w:cs="仿宋"/>
              <w:b/>
              <w:bCs/>
              <w:color w:val="auto"/>
              <w:sz w:val="24"/>
              <w:szCs w:val="32"/>
              <w:highlight w:val="none"/>
            </w:rPr>
            <w:fldChar w:fldCharType="separate"/>
          </w:r>
          <w:r>
            <w:rPr>
              <w:rFonts w:hint="eastAsia" w:ascii="仿宋" w:hAnsi="仿宋" w:eastAsia="仿宋" w:cs="仿宋"/>
              <w:b/>
              <w:bCs/>
              <w:color w:val="auto"/>
              <w:sz w:val="24"/>
              <w:szCs w:val="32"/>
              <w:highlight w:val="none"/>
            </w:rPr>
            <w:t>41</w:t>
          </w:r>
          <w:r>
            <w:rPr>
              <w:rFonts w:hint="eastAsia" w:ascii="仿宋" w:hAnsi="仿宋" w:eastAsia="仿宋" w:cs="仿宋"/>
              <w:b/>
              <w:bCs/>
              <w:color w:val="auto"/>
              <w:sz w:val="24"/>
              <w:szCs w:val="32"/>
              <w:highlight w:val="none"/>
            </w:rPr>
            <w:fldChar w:fldCharType="end"/>
          </w:r>
          <w:r>
            <w:rPr>
              <w:rFonts w:hint="eastAsia" w:ascii="仿宋" w:hAnsi="仿宋" w:eastAsia="仿宋" w:cs="仿宋"/>
              <w:b/>
              <w:bCs/>
              <w:color w:val="auto"/>
              <w:sz w:val="24"/>
              <w:szCs w:val="32"/>
              <w:highlight w:val="none"/>
            </w:rPr>
            <w:fldChar w:fldCharType="end"/>
          </w:r>
        </w:p>
        <w:p w14:paraId="0D161F8C">
          <w:pPr>
            <w:spacing w:line="48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lang w:val="zh-CN"/>
            </w:rPr>
            <w:fldChar w:fldCharType="end"/>
          </w:r>
        </w:p>
      </w:sdtContent>
    </w:sdt>
    <w:p w14:paraId="24C4E6C6">
      <w:pPr>
        <w:pStyle w:val="28"/>
        <w:spacing w:before="120" w:after="120" w:line="360" w:lineRule="auto"/>
        <w:jc w:val="center"/>
        <w:rPr>
          <w:rFonts w:hint="eastAsia" w:ascii="仿宋" w:hAnsi="仿宋" w:eastAsia="仿宋" w:cs="仿宋"/>
          <w:color w:val="auto"/>
          <w:sz w:val="44"/>
          <w:szCs w:val="44"/>
          <w:highlight w:val="none"/>
        </w:rPr>
      </w:pPr>
    </w:p>
    <w:p w14:paraId="30D5F426">
      <w:pPr>
        <w:pStyle w:val="28"/>
        <w:keepNext w:val="0"/>
        <w:keepLines w:val="0"/>
        <w:pageBreakBefore w:val="0"/>
        <w:kinsoku/>
        <w:wordWrap/>
        <w:overflowPunct/>
        <w:topLinePunct w:val="0"/>
        <w:bidi w:val="0"/>
        <w:snapToGrid w:val="0"/>
        <w:spacing w:before="120" w:after="120" w:line="404" w:lineRule="exact"/>
        <w:jc w:val="center"/>
        <w:textAlignment w:val="auto"/>
        <w:outlineLvl w:val="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br w:type="page"/>
      </w:r>
      <w:bookmarkStart w:id="0" w:name="_Toc180597574"/>
      <w:r>
        <w:rPr>
          <w:rFonts w:hint="eastAsia" w:ascii="仿宋" w:hAnsi="仿宋" w:eastAsia="仿宋" w:cs="仿宋"/>
          <w:b/>
          <w:bCs/>
          <w:color w:val="auto"/>
          <w:sz w:val="30"/>
          <w:szCs w:val="30"/>
          <w:highlight w:val="none"/>
        </w:rPr>
        <w:t>第一章  公开招标采购公告</w:t>
      </w:r>
      <w:bookmarkEnd w:id="0"/>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14:paraId="154F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noWrap w:val="0"/>
            <w:vAlign w:val="top"/>
          </w:tcPr>
          <w:p w14:paraId="7921A786">
            <w:pPr>
              <w:keepNext w:val="0"/>
              <w:keepLines w:val="0"/>
              <w:pageBreakBefore w:val="0"/>
              <w:kinsoku/>
              <w:wordWrap/>
              <w:overflowPunct/>
              <w:topLinePunct w:val="0"/>
              <w:bidi w:val="0"/>
              <w:snapToGrid w:val="0"/>
              <w:spacing w:line="404" w:lineRule="exac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项目概况</w:t>
            </w:r>
          </w:p>
          <w:p w14:paraId="679E8278">
            <w:pPr>
              <w:keepNext w:val="0"/>
              <w:keepLines w:val="0"/>
              <w:pageBreakBefore w:val="0"/>
              <w:kinsoku/>
              <w:wordWrap/>
              <w:overflowPunct/>
              <w:topLinePunct w:val="0"/>
              <w:bidi w:val="0"/>
              <w:snapToGrid w:val="0"/>
              <w:spacing w:line="404" w:lineRule="exact"/>
              <w:ind w:firstLine="431" w:firstLineChars="196"/>
              <w:textAlignment w:val="auto"/>
              <w:rPr>
                <w:rFonts w:hint="eastAsia" w:ascii="仿宋" w:hAnsi="仿宋" w:eastAsia="仿宋" w:cs="仿宋"/>
                <w:color w:val="auto"/>
                <w:kern w:val="0"/>
                <w:szCs w:val="21"/>
                <w:highlight w:val="none"/>
              </w:rPr>
            </w:pPr>
            <w:r>
              <w:rPr>
                <w:rFonts w:hint="eastAsia" w:ascii="仿宋" w:hAnsi="仿宋" w:eastAsia="仿宋" w:cs="仿宋"/>
                <w:color w:val="auto"/>
                <w:sz w:val="22"/>
                <w:szCs w:val="22"/>
                <w:highlight w:val="none"/>
                <w:lang w:eastAsia="zh-CN"/>
              </w:rPr>
              <w:t>2025年度江北区白蚁防治第三方服务采购项目</w:t>
            </w:r>
            <w:r>
              <w:rPr>
                <w:rFonts w:hint="eastAsia" w:ascii="仿宋" w:hAnsi="仿宋" w:eastAsia="仿宋" w:cs="仿宋"/>
                <w:color w:val="auto"/>
                <w:sz w:val="22"/>
                <w:szCs w:val="22"/>
                <w:highlight w:val="none"/>
              </w:rPr>
              <w:t>的潜在投标人应在浙江政府采购云平台（http://zfcg.czt.zj.gov.cn/）获取（下载）招标文件，并于202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日13:30（北京时间）前递交（上传）投标文件。</w:t>
            </w:r>
          </w:p>
        </w:tc>
      </w:tr>
    </w:tbl>
    <w:p w14:paraId="216050E2">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b/>
          <w:color w:val="auto"/>
          <w:sz w:val="22"/>
          <w:szCs w:val="22"/>
          <w:highlight w:val="none"/>
        </w:rPr>
      </w:pPr>
      <w:bookmarkStart w:id="1" w:name="_Toc35393621"/>
      <w:bookmarkStart w:id="2" w:name="_Toc35393790"/>
      <w:bookmarkStart w:id="3" w:name="_Toc28359002"/>
      <w:bookmarkStart w:id="4" w:name="_Toc28359079"/>
      <w:bookmarkStart w:id="5" w:name="_Hlk24379207"/>
      <w:r>
        <w:rPr>
          <w:rFonts w:hint="eastAsia" w:ascii="仿宋" w:hAnsi="仿宋" w:eastAsia="仿宋" w:cs="仿宋"/>
          <w:b/>
          <w:color w:val="auto"/>
          <w:sz w:val="22"/>
          <w:szCs w:val="22"/>
          <w:highlight w:val="none"/>
        </w:rPr>
        <w:t>一、项目基本情况</w:t>
      </w:r>
      <w:bookmarkEnd w:id="1"/>
      <w:bookmarkEnd w:id="2"/>
      <w:bookmarkEnd w:id="3"/>
      <w:bookmarkEnd w:id="4"/>
    </w:p>
    <w:p w14:paraId="070BAFD1">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项目编号：</w:t>
      </w:r>
      <w:r>
        <w:rPr>
          <w:rFonts w:hint="eastAsia" w:ascii="仿宋" w:hAnsi="仿宋" w:eastAsia="仿宋" w:cs="仿宋"/>
          <w:color w:val="auto"/>
          <w:sz w:val="22"/>
          <w:szCs w:val="22"/>
          <w:highlight w:val="none"/>
          <w:lang w:eastAsia="zh-CN"/>
        </w:rPr>
        <w:t>NSCG[2025]0023号</w:t>
      </w:r>
      <w:r>
        <w:rPr>
          <w:rFonts w:hint="eastAsia" w:ascii="仿宋" w:hAnsi="仿宋" w:eastAsia="仿宋" w:cs="仿宋"/>
          <w:color w:val="auto"/>
          <w:sz w:val="22"/>
          <w:szCs w:val="22"/>
          <w:highlight w:val="none"/>
        </w:rPr>
        <w:t xml:space="preserve"> </w:t>
      </w:r>
    </w:p>
    <w:p w14:paraId="6664A3DD">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项目名称：</w:t>
      </w:r>
      <w:bookmarkEnd w:id="5"/>
      <w:r>
        <w:rPr>
          <w:rFonts w:hint="eastAsia" w:ascii="仿宋" w:hAnsi="仿宋" w:eastAsia="仿宋" w:cs="仿宋"/>
          <w:color w:val="auto"/>
          <w:sz w:val="22"/>
          <w:szCs w:val="22"/>
          <w:highlight w:val="none"/>
          <w:lang w:eastAsia="zh-CN"/>
        </w:rPr>
        <w:t>2025年度江北区白蚁防治第三方服务采购项目</w:t>
      </w:r>
    </w:p>
    <w:p w14:paraId="3DEF454E">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预算金额（元）：1329800元/年 </w:t>
      </w:r>
    </w:p>
    <w:p w14:paraId="1F428A05">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最高限价（元）：1196820元/年 </w:t>
      </w:r>
    </w:p>
    <w:p w14:paraId="56B59CA2">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采购需求：</w:t>
      </w:r>
    </w:p>
    <w:p w14:paraId="1046E33F">
      <w:pPr>
        <w:keepNext w:val="0"/>
        <w:keepLines w:val="0"/>
        <w:pageBreakBefore w:val="0"/>
        <w:kinsoku/>
        <w:wordWrap/>
        <w:overflowPunct/>
        <w:topLinePunct w:val="0"/>
        <w:bidi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标项名称：</w:t>
      </w:r>
      <w:r>
        <w:rPr>
          <w:rFonts w:hint="eastAsia" w:ascii="仿宋" w:hAnsi="仿宋" w:eastAsia="仿宋" w:cs="仿宋"/>
          <w:color w:val="auto"/>
          <w:sz w:val="22"/>
          <w:szCs w:val="22"/>
          <w:highlight w:val="none"/>
          <w:lang w:eastAsia="zh-CN"/>
        </w:rPr>
        <w:t>2025年度江北区白蚁防治第三方服务采购项目</w:t>
      </w:r>
      <w:r>
        <w:rPr>
          <w:rFonts w:hint="eastAsia" w:ascii="仿宋" w:hAnsi="仿宋" w:eastAsia="仿宋" w:cs="仿宋"/>
          <w:color w:val="auto"/>
          <w:sz w:val="22"/>
          <w:szCs w:val="22"/>
          <w:highlight w:val="none"/>
        </w:rPr>
        <w:t xml:space="preserve"> </w:t>
      </w:r>
    </w:p>
    <w:p w14:paraId="0A88AD0D">
      <w:pPr>
        <w:keepNext w:val="0"/>
        <w:keepLines w:val="0"/>
        <w:pageBreakBefore w:val="0"/>
        <w:kinsoku/>
        <w:wordWrap/>
        <w:overflowPunct/>
        <w:topLinePunct w:val="0"/>
        <w:bidi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数量：1  </w:t>
      </w:r>
    </w:p>
    <w:p w14:paraId="386371F0">
      <w:pPr>
        <w:keepNext w:val="0"/>
        <w:keepLines w:val="0"/>
        <w:pageBreakBefore w:val="0"/>
        <w:kinsoku/>
        <w:wordWrap/>
        <w:overflowPunct/>
        <w:topLinePunct w:val="0"/>
        <w:bidi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预算金额（元）：1329800元/年</w:t>
      </w:r>
    </w:p>
    <w:p w14:paraId="5A16D017">
      <w:pPr>
        <w:keepNext w:val="0"/>
        <w:keepLines w:val="0"/>
        <w:pageBreakBefore w:val="0"/>
        <w:kinsoku/>
        <w:wordWrap/>
        <w:overflowPunct/>
        <w:topLinePunct w:val="0"/>
        <w:bidi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简要规格描述或项目基本概况介绍、用途：详见</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sz w:val="22"/>
          <w:szCs w:val="22"/>
          <w:highlight w:val="none"/>
        </w:rPr>
        <w:t>需求。</w:t>
      </w:r>
    </w:p>
    <w:p w14:paraId="09CC226F">
      <w:pPr>
        <w:keepNext w:val="0"/>
        <w:keepLines w:val="0"/>
        <w:pageBreakBefore w:val="0"/>
        <w:kinsoku/>
        <w:wordWrap/>
        <w:overflowPunct/>
        <w:topLinePunct w:val="0"/>
        <w:bidi w:val="0"/>
        <w:spacing w:line="400" w:lineRule="exact"/>
        <w:ind w:firstLine="440" w:firstLineChars="200"/>
        <w:jc w:val="left"/>
        <w:textAlignment w:val="auto"/>
        <w:rPr>
          <w:rFonts w:hint="eastAsia" w:ascii="仿宋" w:hAnsi="仿宋" w:eastAsia="仿宋" w:cs="仿宋"/>
          <w:bCs/>
          <w:color w:val="auto"/>
          <w:sz w:val="22"/>
          <w:szCs w:val="22"/>
          <w:highlight w:val="none"/>
          <w:lang w:eastAsia="zh-CN"/>
        </w:rPr>
      </w:pPr>
      <w:r>
        <w:rPr>
          <w:rFonts w:hint="eastAsia" w:ascii="仿宋" w:hAnsi="仿宋" w:eastAsia="仿宋" w:cs="仿宋"/>
          <w:color w:val="auto"/>
          <w:sz w:val="22"/>
          <w:szCs w:val="22"/>
          <w:highlight w:val="none"/>
        </w:rPr>
        <w:t>合同履约期限：标项 1，</w:t>
      </w:r>
      <w:r>
        <w:rPr>
          <w:rFonts w:hint="eastAsia" w:ascii="仿宋" w:hAnsi="仿宋" w:eastAsia="仿宋" w:cs="仿宋"/>
          <w:color w:val="auto"/>
          <w:sz w:val="22"/>
          <w:szCs w:val="22"/>
          <w:highlight w:val="none"/>
          <w:lang w:val="en-US" w:eastAsia="zh-CN"/>
        </w:rPr>
        <w:t>自合同签订之日起3年。</w:t>
      </w:r>
      <w:r>
        <w:rPr>
          <w:rFonts w:hint="eastAsia" w:ascii="仿宋" w:hAnsi="仿宋" w:eastAsia="仿宋" w:cs="仿宋"/>
          <w:bCs/>
          <w:color w:val="auto"/>
          <w:sz w:val="22"/>
          <w:szCs w:val="22"/>
          <w:highlight w:val="none"/>
          <w:lang w:val="en-US" w:eastAsia="zh-CN"/>
        </w:rPr>
        <w:t>合同一年一签，采购人根据中标人在上一阶段合同履约及考核情况、财政资金审批及相关政策情况决定是否续签。</w:t>
      </w:r>
    </w:p>
    <w:p w14:paraId="3DF09C1A">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bookmarkStart w:id="6" w:name="_Toc28359080"/>
      <w:bookmarkStart w:id="7" w:name="_Toc35393622"/>
      <w:bookmarkStart w:id="8" w:name="_Toc35393791"/>
      <w:bookmarkStart w:id="9" w:name="_Toc28359003"/>
      <w:r>
        <w:rPr>
          <w:rFonts w:hint="eastAsia" w:ascii="仿宋" w:hAnsi="仿宋" w:eastAsia="仿宋" w:cs="仿宋"/>
          <w:color w:val="auto"/>
          <w:sz w:val="22"/>
          <w:szCs w:val="22"/>
          <w:highlight w:val="none"/>
        </w:rPr>
        <w:t>本项目（是/否）接受联合体投标：否</w:t>
      </w:r>
    </w:p>
    <w:p w14:paraId="28B73439">
      <w:pPr>
        <w:keepNext w:val="0"/>
        <w:keepLines w:val="0"/>
        <w:pageBreakBefore w:val="0"/>
        <w:kinsoku/>
        <w:wordWrap/>
        <w:overflowPunct/>
        <w:topLinePunct w:val="0"/>
        <w:bidi w:val="0"/>
        <w:snapToGrid w:val="0"/>
        <w:spacing w:line="400" w:lineRule="exact"/>
        <w:ind w:firstLine="440" w:firstLineChars="200"/>
        <w:textAlignment w:val="auto"/>
        <w:rPr>
          <w:rFonts w:hint="eastAsia" w:ascii="仿宋" w:hAnsi="仿宋" w:eastAsia="仿宋" w:cs="仿宋"/>
          <w:b w:val="0"/>
          <w:bCs/>
          <w:color w:val="auto"/>
          <w:sz w:val="22"/>
          <w:szCs w:val="22"/>
          <w:highlight w:val="none"/>
        </w:rPr>
      </w:pPr>
      <w:r>
        <w:rPr>
          <w:rFonts w:hint="eastAsia" w:ascii="仿宋" w:hAnsi="仿宋" w:eastAsia="仿宋" w:cs="仿宋"/>
          <w:b w:val="0"/>
          <w:bCs/>
          <w:color w:val="auto"/>
          <w:sz w:val="22"/>
          <w:szCs w:val="22"/>
          <w:highlight w:val="none"/>
        </w:rPr>
        <w:t>备注：</w:t>
      </w:r>
      <w:r>
        <w:rPr>
          <w:rFonts w:hint="eastAsia" w:ascii="仿宋" w:hAnsi="仿宋" w:eastAsia="仿宋" w:cs="仿宋"/>
          <w:b w:val="0"/>
          <w:bCs/>
          <w:color w:val="auto"/>
          <w:sz w:val="22"/>
          <w:szCs w:val="22"/>
          <w:highlight w:val="none"/>
          <w:lang w:val="en-US" w:eastAsia="zh-CN"/>
        </w:rPr>
        <w:t>综合折扣率</w:t>
      </w:r>
      <w:r>
        <w:rPr>
          <w:rFonts w:hint="eastAsia" w:ascii="仿宋" w:hAnsi="仿宋" w:eastAsia="仿宋" w:cs="仿宋"/>
          <w:b w:val="0"/>
          <w:bCs/>
          <w:color w:val="auto"/>
          <w:sz w:val="22"/>
          <w:szCs w:val="22"/>
          <w:highlight w:val="none"/>
        </w:rPr>
        <w:t>最高限价为</w:t>
      </w:r>
      <w:r>
        <w:rPr>
          <w:rFonts w:hint="eastAsia" w:ascii="仿宋" w:hAnsi="仿宋" w:eastAsia="仿宋" w:cs="仿宋"/>
          <w:b w:val="0"/>
          <w:bCs/>
          <w:color w:val="auto"/>
          <w:sz w:val="22"/>
          <w:szCs w:val="22"/>
          <w:highlight w:val="none"/>
          <w:lang w:val="en-US" w:eastAsia="zh-CN"/>
        </w:rPr>
        <w:t>100%</w:t>
      </w:r>
      <w:r>
        <w:rPr>
          <w:rFonts w:hint="eastAsia" w:ascii="仿宋" w:hAnsi="仿宋" w:eastAsia="仿宋" w:cs="仿宋"/>
          <w:b w:val="0"/>
          <w:bCs/>
          <w:color w:val="auto"/>
          <w:sz w:val="22"/>
          <w:szCs w:val="22"/>
          <w:highlight w:val="none"/>
        </w:rPr>
        <w:t>（含），投标</w:t>
      </w:r>
      <w:r>
        <w:rPr>
          <w:rFonts w:hint="eastAsia" w:ascii="仿宋" w:hAnsi="仿宋" w:eastAsia="仿宋" w:cs="仿宋"/>
          <w:b w:val="0"/>
          <w:bCs/>
          <w:color w:val="auto"/>
          <w:sz w:val="22"/>
          <w:szCs w:val="22"/>
          <w:highlight w:val="none"/>
          <w:lang w:val="en-US" w:eastAsia="zh-CN"/>
        </w:rPr>
        <w:t>综合折扣率</w:t>
      </w:r>
      <w:r>
        <w:rPr>
          <w:rFonts w:hint="eastAsia" w:ascii="仿宋" w:hAnsi="仿宋" w:eastAsia="仿宋" w:cs="仿宋"/>
          <w:b w:val="0"/>
          <w:bCs/>
          <w:color w:val="auto"/>
          <w:sz w:val="22"/>
          <w:szCs w:val="22"/>
          <w:highlight w:val="none"/>
        </w:rPr>
        <w:t>报价超过最高限价的作无效标处理。投标</w:t>
      </w:r>
      <w:r>
        <w:rPr>
          <w:rFonts w:hint="eastAsia" w:ascii="仿宋" w:hAnsi="仿宋" w:eastAsia="仿宋" w:cs="仿宋"/>
          <w:b w:val="0"/>
          <w:bCs/>
          <w:color w:val="auto"/>
          <w:sz w:val="22"/>
          <w:szCs w:val="22"/>
          <w:highlight w:val="none"/>
          <w:lang w:val="en-US" w:eastAsia="zh-CN"/>
        </w:rPr>
        <w:t>综合</w:t>
      </w:r>
      <w:r>
        <w:rPr>
          <w:rFonts w:hint="eastAsia" w:ascii="仿宋" w:hAnsi="仿宋" w:eastAsia="仿宋" w:cs="仿宋"/>
          <w:b w:val="0"/>
          <w:bCs/>
          <w:color w:val="auto"/>
          <w:sz w:val="22"/>
          <w:szCs w:val="22"/>
          <w:highlight w:val="none"/>
          <w:lang w:eastAsia="zh-CN"/>
        </w:rPr>
        <w:t>折扣率</w:t>
      </w:r>
      <w:r>
        <w:rPr>
          <w:rFonts w:hint="eastAsia" w:ascii="仿宋" w:hAnsi="仿宋" w:eastAsia="仿宋" w:cs="仿宋"/>
          <w:b w:val="0"/>
          <w:bCs/>
          <w:color w:val="auto"/>
          <w:sz w:val="22"/>
          <w:szCs w:val="22"/>
          <w:highlight w:val="none"/>
        </w:rPr>
        <w:t>报价百分比保留两位小数，第三位小数四舍五入。</w:t>
      </w:r>
    </w:p>
    <w:p w14:paraId="6467C405">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二、申请人的资格要求：</w:t>
      </w:r>
      <w:bookmarkEnd w:id="6"/>
      <w:bookmarkEnd w:id="7"/>
      <w:bookmarkEnd w:id="8"/>
      <w:bookmarkEnd w:id="9"/>
    </w:p>
    <w:p w14:paraId="7BD7E8C7">
      <w:pPr>
        <w:keepNext w:val="0"/>
        <w:keepLines w:val="0"/>
        <w:pageBreakBefore w:val="0"/>
        <w:kinsoku/>
        <w:wordWrap/>
        <w:overflowPunct/>
        <w:topLinePunct w:val="0"/>
        <w:bidi w:val="0"/>
        <w:snapToGrid w:val="0"/>
        <w:spacing w:before="120" w:beforeLines="50" w:line="400" w:lineRule="exact"/>
        <w:ind w:firstLine="431" w:firstLineChars="196"/>
        <w:textAlignment w:val="auto"/>
        <w:rPr>
          <w:rFonts w:hint="eastAsia" w:ascii="仿宋" w:hAnsi="仿宋" w:eastAsia="仿宋" w:cs="仿宋"/>
          <w:color w:val="auto"/>
          <w:sz w:val="22"/>
          <w:szCs w:val="22"/>
          <w:highlight w:val="none"/>
        </w:rPr>
      </w:pPr>
      <w:bookmarkStart w:id="10" w:name="_Toc28359004"/>
      <w:bookmarkStart w:id="11" w:name="_Toc35393792"/>
      <w:bookmarkStart w:id="12" w:name="_Toc35393623"/>
      <w:bookmarkStart w:id="13" w:name="_Toc28359081"/>
      <w:r>
        <w:rPr>
          <w:rFonts w:hint="eastAsia" w:ascii="仿宋" w:hAnsi="仿宋" w:eastAsia="仿宋" w:cs="仿宋"/>
          <w:color w:val="auto"/>
          <w:sz w:val="22"/>
          <w:szCs w:val="22"/>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50A08E4">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落实政府采购政策需满足的资格要求：标项1：本项目属于专门面向中小微企业采购的项目，供应商应符合《政府采购促进中小企业发展管理办法》（财库﹝2020﹞46号）规定的中小微企业（其中，中小微企业包括视同为小型、微型企业的监狱企业、残疾人福利性单位）</w:t>
      </w:r>
    </w:p>
    <w:p w14:paraId="0D03CA34">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3.本项目的特定资格要求：无。</w:t>
      </w:r>
    </w:p>
    <w:p w14:paraId="6570E948">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三、获取招标文件</w:t>
      </w:r>
      <w:bookmarkEnd w:id="10"/>
      <w:bookmarkEnd w:id="11"/>
      <w:bookmarkEnd w:id="12"/>
      <w:bookmarkEnd w:id="13"/>
    </w:p>
    <w:p w14:paraId="37B2586E">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bookmarkStart w:id="14" w:name="_Toc28359005"/>
      <w:bookmarkStart w:id="15" w:name="_Toc28359082"/>
      <w:bookmarkStart w:id="16" w:name="_Toc35393624"/>
      <w:bookmarkStart w:id="17" w:name="_Toc35393793"/>
      <w:r>
        <w:rPr>
          <w:rFonts w:hint="eastAsia" w:ascii="仿宋" w:hAnsi="仿宋" w:eastAsia="仿宋" w:cs="仿宋"/>
          <w:color w:val="auto"/>
          <w:sz w:val="22"/>
          <w:szCs w:val="22"/>
          <w:highlight w:val="none"/>
        </w:rPr>
        <w:t>时间：/至202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19</w:t>
      </w:r>
      <w:r>
        <w:rPr>
          <w:rFonts w:hint="eastAsia" w:ascii="仿宋" w:hAnsi="仿宋" w:eastAsia="仿宋" w:cs="仿宋"/>
          <w:color w:val="auto"/>
          <w:sz w:val="22"/>
          <w:szCs w:val="22"/>
          <w:highlight w:val="none"/>
        </w:rPr>
        <w:t>日，每天上午00:00至12:00 ，下午12:00至23:59（北京时间，线上获取法定节假日均可，线下获取文件法定节假日除外）</w:t>
      </w:r>
    </w:p>
    <w:p w14:paraId="4FF755AB">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地点（网址）：浙江政府采购云平台（http://zfcg.czt.zj.gov.cn/）</w:t>
      </w:r>
    </w:p>
    <w:p w14:paraId="5E9E5590">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方式：1.本项目招标文件实行“政府采购云平台”在线获取，不提供招标文件纸质版。供应商获取招标文件前应先完成“政府采购云平台”的账号注册；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3.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 </w:t>
      </w:r>
    </w:p>
    <w:p w14:paraId="7B456A59">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注：请供应商按上述要求获取招标文件，如未在“政采云”系统内完成相关流程，引起的投标无效责任自负。 </w:t>
      </w:r>
    </w:p>
    <w:p w14:paraId="310DCDE5">
      <w:pPr>
        <w:keepNext w:val="0"/>
        <w:keepLines w:val="0"/>
        <w:pageBreakBefore w:val="0"/>
        <w:kinsoku/>
        <w:wordWrap/>
        <w:overflowPunct/>
        <w:topLinePunct w:val="0"/>
        <w:bidi w:val="0"/>
        <w:snapToGrid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售价（元）：0</w:t>
      </w:r>
    </w:p>
    <w:p w14:paraId="79A0A3E1">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四、提交投标文件</w:t>
      </w:r>
      <w:bookmarkEnd w:id="14"/>
      <w:bookmarkEnd w:id="15"/>
      <w:r>
        <w:rPr>
          <w:rFonts w:hint="eastAsia" w:ascii="仿宋" w:hAnsi="仿宋" w:eastAsia="仿宋" w:cs="仿宋"/>
          <w:b/>
          <w:color w:val="auto"/>
          <w:sz w:val="22"/>
          <w:szCs w:val="22"/>
          <w:highlight w:val="none"/>
        </w:rPr>
        <w:t>截止时间、开标时间和地点</w:t>
      </w:r>
      <w:bookmarkEnd w:id="16"/>
      <w:bookmarkEnd w:id="17"/>
    </w:p>
    <w:p w14:paraId="22BBD8D7">
      <w:pPr>
        <w:keepNext w:val="0"/>
        <w:keepLines w:val="0"/>
        <w:pageBreakBefore w:val="0"/>
        <w:kinsoku/>
        <w:wordWrap/>
        <w:overflowPunct/>
        <w:topLinePunct w:val="0"/>
        <w:bidi w:val="0"/>
        <w:snapToGrid w:val="0"/>
        <w:spacing w:before="120" w:beforeLines="50" w:line="400" w:lineRule="exact"/>
        <w:ind w:firstLine="433" w:firstLineChars="196"/>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提交投标文件截止时间</w:t>
      </w:r>
      <w:r>
        <w:rPr>
          <w:rFonts w:hint="eastAsia" w:ascii="仿宋" w:hAnsi="仿宋" w:eastAsia="仿宋" w:cs="仿宋"/>
          <w:color w:val="auto"/>
          <w:sz w:val="22"/>
          <w:szCs w:val="22"/>
          <w:highlight w:val="none"/>
        </w:rPr>
        <w:t>：202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5</w:t>
      </w:r>
      <w:bookmarkStart w:id="96" w:name="_GoBack"/>
      <w:bookmarkEnd w:id="96"/>
      <w:r>
        <w:rPr>
          <w:rFonts w:hint="eastAsia" w:ascii="仿宋" w:hAnsi="仿宋" w:eastAsia="仿宋" w:cs="仿宋"/>
          <w:color w:val="auto"/>
          <w:sz w:val="22"/>
          <w:szCs w:val="22"/>
          <w:highlight w:val="none"/>
        </w:rPr>
        <w:t>日13:30（北京时间）</w:t>
      </w:r>
    </w:p>
    <w:p w14:paraId="1B7A6B60">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投标地点（网址）</w:t>
      </w:r>
      <w:r>
        <w:rPr>
          <w:rFonts w:hint="eastAsia" w:ascii="仿宋" w:hAnsi="仿宋" w:eastAsia="仿宋" w:cs="仿宋"/>
          <w:b/>
          <w:color w:val="auto"/>
          <w:sz w:val="22"/>
          <w:szCs w:val="22"/>
          <w:highlight w:val="none"/>
        </w:rPr>
        <w:t>：</w:t>
      </w:r>
      <w:r>
        <w:rPr>
          <w:rFonts w:hint="eastAsia" w:ascii="仿宋" w:hAnsi="仿宋" w:eastAsia="仿宋" w:cs="仿宋"/>
          <w:color w:val="auto"/>
          <w:sz w:val="22"/>
          <w:szCs w:val="22"/>
          <w:highlight w:val="none"/>
        </w:rPr>
        <w:t xml:space="preserve">（1）“电子加密投标文件”：https://www.zcygov.cn在线提交；（2）“电子备份投标文件”：宁波市江北区政务服务中心开标室（江北区育才路138号北投大厦南楼7楼）。 </w:t>
      </w:r>
    </w:p>
    <w:p w14:paraId="42760F5A">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开标时间：202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日13:30（北京时间）</w:t>
      </w:r>
    </w:p>
    <w:p w14:paraId="4637C27E">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bookmarkStart w:id="18" w:name="_Toc28359007"/>
      <w:bookmarkStart w:id="19" w:name="_Toc28359084"/>
      <w:bookmarkStart w:id="20" w:name="_Toc35393794"/>
      <w:bookmarkStart w:id="21" w:name="_Toc35393625"/>
      <w:r>
        <w:rPr>
          <w:rFonts w:hint="eastAsia" w:ascii="仿宋" w:hAnsi="仿宋" w:eastAsia="仿宋" w:cs="仿宋"/>
          <w:color w:val="auto"/>
          <w:sz w:val="22"/>
          <w:szCs w:val="22"/>
          <w:highlight w:val="none"/>
        </w:rPr>
        <w:t>开标地点（网址）：宁波市江北区政务服务中心开标室（江北区育才路138号北投大厦南楼7楼）。本项目通过“政府采购云平台”实行在线电子投标，供应商应在线参加开标。（政采云（http://www.zcygov.cn/））  </w:t>
      </w:r>
    </w:p>
    <w:p w14:paraId="642D2A99">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五、公告期限</w:t>
      </w:r>
      <w:bookmarkEnd w:id="18"/>
      <w:bookmarkEnd w:id="19"/>
      <w:bookmarkEnd w:id="20"/>
      <w:bookmarkEnd w:id="21"/>
    </w:p>
    <w:p w14:paraId="33C80CB8">
      <w:pPr>
        <w:keepNext w:val="0"/>
        <w:keepLines w:val="0"/>
        <w:pageBreakBefore w:val="0"/>
        <w:kinsoku/>
        <w:wordWrap/>
        <w:overflowPunct/>
        <w:topLinePunct w:val="0"/>
        <w:bidi w:val="0"/>
        <w:snapToGrid w:val="0"/>
        <w:spacing w:before="120" w:beforeLines="50"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自本公告发布之日起5个工作日。</w:t>
      </w:r>
    </w:p>
    <w:p w14:paraId="1C9CC038">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b/>
          <w:color w:val="auto"/>
          <w:sz w:val="22"/>
          <w:szCs w:val="22"/>
          <w:highlight w:val="none"/>
        </w:rPr>
      </w:pPr>
      <w:bookmarkStart w:id="22" w:name="_Toc35393795"/>
      <w:bookmarkStart w:id="23" w:name="_Toc35393626"/>
      <w:r>
        <w:rPr>
          <w:rFonts w:hint="eastAsia" w:ascii="仿宋" w:hAnsi="仿宋" w:eastAsia="仿宋" w:cs="仿宋"/>
          <w:b/>
          <w:color w:val="auto"/>
          <w:sz w:val="22"/>
          <w:szCs w:val="22"/>
          <w:highlight w:val="none"/>
        </w:rPr>
        <w:t>六、其他补充事宜</w:t>
      </w:r>
      <w:bookmarkEnd w:id="22"/>
      <w:bookmarkEnd w:id="23"/>
    </w:p>
    <w:p w14:paraId="4486E1DC">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bookmarkStart w:id="24" w:name="_Toc28359008"/>
      <w:bookmarkStart w:id="25" w:name="_Toc35393796"/>
      <w:bookmarkStart w:id="26" w:name="_Toc28359085"/>
      <w:bookmarkStart w:id="27" w:name="_Toc35393627"/>
      <w:r>
        <w:rPr>
          <w:rFonts w:hint="eastAsia" w:ascii="仿宋" w:hAnsi="仿宋" w:eastAsia="仿宋" w:cs="仿宋"/>
          <w:color w:val="auto"/>
          <w:sz w:val="22"/>
          <w:szCs w:val="22"/>
          <w:highlight w:val="none"/>
        </w:rPr>
        <w:t>1.供应商认为采购文件使自己的权益受到损害的，可以自获取采购文件之日或者采购文件公告期限届满之日起7个工作日内，以书面形式向采购人</w:t>
      </w:r>
      <w:r>
        <w:rPr>
          <w:rFonts w:hint="eastAsia" w:ascii="仿宋" w:hAnsi="仿宋" w:eastAsia="仿宋" w:cs="仿宋"/>
          <w:color w:val="auto"/>
          <w:sz w:val="22"/>
          <w:szCs w:val="22"/>
          <w:highlight w:val="none"/>
          <w:lang w:val="en-US" w:eastAsia="zh-CN"/>
        </w:rPr>
        <w:t>和</w:t>
      </w:r>
      <w:r>
        <w:rPr>
          <w:rFonts w:hint="eastAsia" w:ascii="仿宋" w:hAnsi="仿宋" w:eastAsia="仿宋" w:cs="仿宋"/>
          <w:color w:val="auto"/>
          <w:sz w:val="22"/>
          <w:szCs w:val="22"/>
          <w:highlight w:val="none"/>
        </w:rPr>
        <w:t>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9393A3">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2.其他事项：</w:t>
      </w:r>
    </w:p>
    <w:p w14:paraId="0993781C">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EB0BA96">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落实的政策：《政府采购促进中小企业发展管理办法》（财库〔2020〕46 号）、《财政部司法部关于政府采购支持监狱企业发展有关问题的通知》（财库〔2014〕68号）、《关于促进残疾人就业政府采购政策的通知》（财库[2017]141号）等。</w:t>
      </w:r>
    </w:p>
    <w:p w14:paraId="3CF2FFF5">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参加投标的供应商应于投标前到“浙江政府采购网(zfcg.czt.zj.gov.cn)”上进行供应商注册申请，并通过财政部门的终审后登记加入到“浙江省政府采购供应商库”。 中标供应商必须注册并登记加入“浙江省政府采购供应商库”。具体要求及注册申请流程详见《浙江省政府采购供应商注册及诚信管理暂行办法》(浙财采监字〔2009〕28号)和浙江政府采购网“网上办事指南”的“供应商注册申请”。如未注册的供应商，请注意注册所需时间。</w:t>
      </w:r>
    </w:p>
    <w:p w14:paraId="51523052">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投标与开标注意事项</w:t>
      </w:r>
    </w:p>
    <w:p w14:paraId="59149D38">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 xml:space="preserve">.1本项目实行网上投标，采用电子投标文件。若供应商参与投标，自行承担投标一切费用。 </w:t>
      </w:r>
    </w:p>
    <w:p w14:paraId="06E0489C">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2标前准备：各供应商应在投标截止时间前确保成为浙江政府采购网正式注册入库供应商，并完成CA数字证书办理。因未注册入库、未办理CA数字证书等原因造成无法投标或投标失败等后果由供应商自行承担（具体操作详见供应商-CA申领操作指南https://help.zcygov.cn/web/site_2/2018/11-29/2452.html），完成CA数字证书办理预计一周左右，请供应商自行把握时间。</w:t>
      </w:r>
    </w:p>
    <w:p w14:paraId="654E4549">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 xml:space="preserve">.3投标文件制作： </w:t>
      </w:r>
    </w:p>
    <w:p w14:paraId="06C4FFB4">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.3.1应按照本项目招标文件和政府采购云平台的要求编制、加密并递交投标文件。供应商在使用系统进行投标的过程中遇到涉及平台使用的任何问题，可致电政府采购云平台技术支持热线咨询，联系方式：95763。</w:t>
      </w:r>
    </w:p>
    <w:p w14:paraId="4E924B5F">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.3.2供应商通过政府采购云平台电子投标工具制作投标文件，电子投标工具请供应商自行前往浙江政府采购网下载并安装，投标文件制作具体流程详见政采云供应商-政府采购项目电子交易操作指南。</w:t>
      </w:r>
    </w:p>
    <w:p w14:paraId="5D625114">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.3.3以U盘或光盘存储的电子备份投标文件1份，按政府采购云平台要求制作的电子备份文件，以用于异常情况处理。（如有）</w:t>
      </w:r>
    </w:p>
    <w:p w14:paraId="1FCD56BE">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供应商应于投标截止时间前将电子投标文件上传到政府采购云平台www.zcygov.cn，未上传电子投标文件，视为供应商放弃投标。</w:t>
      </w:r>
    </w:p>
    <w:p w14:paraId="23856EC6">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供应商如提供备份投标文件的，应于提交投标文件截止时间前，将以U盘或光盘存储的电子备份投标文件密封后送至开标地点：宁波市江北区政务服务中心开标室（江北区育才路138号北投大厦南楼7楼）。供应商仅提供备份投标文件的，投标无效。</w:t>
      </w:r>
    </w:p>
    <w:p w14:paraId="50F75ACD">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采购代理机构将在采购文件规定的开标时间通过政府采购云平台组织开标、开启投标文件，所有供应商均应准时在线参加。开标时间后30分钟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供应商在截止时间前未提交电子备份响应文件的，视为供应商放弃投标。无论是否启用备份电子投标文件，均不退还供应商。</w:t>
      </w:r>
    </w:p>
    <w:p w14:paraId="3C633F24">
      <w:pPr>
        <w:keepNext w:val="0"/>
        <w:keepLines w:val="0"/>
        <w:pageBreakBefore w:val="0"/>
        <w:kinsoku/>
        <w:wordWrap/>
        <w:overflowPunct/>
        <w:topLinePunct w:val="0"/>
        <w:bidi w:val="0"/>
        <w:snapToGrid w:val="0"/>
        <w:spacing w:line="400" w:lineRule="exact"/>
        <w:ind w:firstLine="431" w:firstLineChars="196"/>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3.发布本次招标公告、中标公告的媒体:浙江政府采购网：https://zfcg.czt.zj.gov.cn/；宁波市公共资源交易电子服务系统：https://jyxt.zwb.ningbo.gov.cn:4011/website/home。</w:t>
      </w:r>
    </w:p>
    <w:p w14:paraId="467A2BA8">
      <w:pPr>
        <w:keepNext w:val="0"/>
        <w:keepLines w:val="0"/>
        <w:pageBreakBefore w:val="0"/>
        <w:kinsoku/>
        <w:wordWrap/>
        <w:overflowPunct/>
        <w:topLinePunct w:val="0"/>
        <w:bidi w:val="0"/>
        <w:snapToGrid w:val="0"/>
        <w:spacing w:before="120" w:beforeLines="50" w:line="400" w:lineRule="exac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七、对本次招标提出询问，请按以下方式联系。</w:t>
      </w:r>
      <w:bookmarkEnd w:id="24"/>
      <w:bookmarkEnd w:id="25"/>
      <w:bookmarkEnd w:id="26"/>
      <w:bookmarkEnd w:id="27"/>
    </w:p>
    <w:p w14:paraId="57E9B53B">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1.采购人信息</w:t>
      </w:r>
    </w:p>
    <w:p w14:paraId="4EB901FC">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 称：宁波市江北区房屋安全和物业管理中心</w:t>
      </w:r>
    </w:p>
    <w:p w14:paraId="2A8DFD89">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 址： 浙江省宁波市江北区育才路118号北投大厦南楼13楼</w:t>
      </w:r>
    </w:p>
    <w:p w14:paraId="24443435">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传真：/</w:t>
      </w:r>
    </w:p>
    <w:p w14:paraId="67939B03">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项目联系人（询问）：</w:t>
      </w:r>
      <w:r>
        <w:rPr>
          <w:rFonts w:hint="eastAsia" w:ascii="仿宋" w:hAnsi="仿宋" w:eastAsia="仿宋" w:cs="仿宋"/>
          <w:color w:val="auto"/>
          <w:sz w:val="22"/>
          <w:szCs w:val="22"/>
          <w:highlight w:val="none"/>
          <w:lang w:val="en-US" w:eastAsia="zh-CN"/>
        </w:rPr>
        <w:t>周老师</w:t>
      </w:r>
    </w:p>
    <w:p w14:paraId="24AEA00D">
      <w:pPr>
        <w:keepNext w:val="0"/>
        <w:keepLines w:val="0"/>
        <w:pageBreakBefore w:val="0"/>
        <w:widowControl/>
        <w:kinsoku/>
        <w:wordWrap/>
        <w:overflowPunct/>
        <w:topLinePunct w:val="0"/>
        <w:autoSpaceDE w:val="0"/>
        <w:autoSpaceDN w:val="0"/>
        <w:bidi w:val="0"/>
        <w:adjustRightInd w:val="0"/>
        <w:spacing w:line="400" w:lineRule="exact"/>
        <w:ind w:firstLine="440" w:firstLineChars="200"/>
        <w:textAlignment w:val="auto"/>
        <w:rPr>
          <w:rFonts w:hint="eastAsia" w:ascii="仿宋" w:hAnsi="仿宋" w:eastAsia="仿宋" w:cs="仿宋"/>
          <w:color w:val="auto"/>
          <w:highlight w:val="none"/>
        </w:rPr>
      </w:pPr>
      <w:r>
        <w:rPr>
          <w:rFonts w:hint="eastAsia" w:ascii="仿宋" w:hAnsi="仿宋" w:eastAsia="仿宋" w:cs="仿宋"/>
          <w:color w:val="auto"/>
          <w:sz w:val="22"/>
          <w:szCs w:val="22"/>
          <w:highlight w:val="none"/>
        </w:rPr>
        <w:t>项目联系方式（询问）：</w:t>
      </w:r>
      <w:r>
        <w:rPr>
          <w:rFonts w:hint="eastAsia" w:ascii="仿宋" w:hAnsi="仿宋" w:eastAsia="仿宋" w:cs="仿宋"/>
          <w:color w:val="auto"/>
          <w:szCs w:val="21"/>
          <w:highlight w:val="none"/>
        </w:rPr>
        <w:t>0574-</w:t>
      </w:r>
      <w:r>
        <w:rPr>
          <w:rFonts w:hint="eastAsia" w:ascii="仿宋" w:hAnsi="仿宋" w:eastAsia="仿宋" w:cs="仿宋"/>
          <w:color w:val="auto"/>
          <w:szCs w:val="21"/>
          <w:highlight w:val="none"/>
          <w:lang w:val="en-US" w:eastAsia="zh-CN"/>
        </w:rPr>
        <w:t>87638120</w:t>
      </w:r>
      <w:r>
        <w:rPr>
          <w:rFonts w:hint="eastAsia" w:ascii="仿宋" w:hAnsi="仿宋" w:eastAsia="仿宋" w:cs="仿宋"/>
          <w:color w:val="auto"/>
          <w:sz w:val="22"/>
          <w:szCs w:val="22"/>
          <w:highlight w:val="none"/>
        </w:rPr>
        <w:t> </w:t>
      </w:r>
    </w:p>
    <w:p w14:paraId="5A3EE405">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质疑联系人：徐</w:t>
      </w:r>
      <w:r>
        <w:rPr>
          <w:rFonts w:hint="eastAsia" w:ascii="仿宋" w:hAnsi="仿宋" w:eastAsia="仿宋" w:cs="仿宋"/>
          <w:color w:val="auto"/>
          <w:sz w:val="22"/>
          <w:szCs w:val="22"/>
          <w:highlight w:val="none"/>
          <w:lang w:val="en-US" w:eastAsia="zh-CN"/>
        </w:rPr>
        <w:t>老师</w:t>
      </w:r>
    </w:p>
    <w:p w14:paraId="6CC1DFDC">
      <w:pPr>
        <w:keepNext w:val="0"/>
        <w:keepLines w:val="0"/>
        <w:pageBreakBefore w:val="0"/>
        <w:widowControl/>
        <w:kinsoku/>
        <w:wordWrap/>
        <w:overflowPunct/>
        <w:topLinePunct w:val="0"/>
        <w:autoSpaceDE w:val="0"/>
        <w:autoSpaceDN w:val="0"/>
        <w:bidi w:val="0"/>
        <w:adjustRightInd w:val="0"/>
        <w:spacing w:line="400" w:lineRule="exact"/>
        <w:ind w:firstLine="44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 w:val="22"/>
          <w:szCs w:val="22"/>
          <w:highlight w:val="none"/>
        </w:rPr>
        <w:t>质疑联系方式：</w:t>
      </w:r>
      <w:r>
        <w:rPr>
          <w:rFonts w:hint="eastAsia" w:ascii="仿宋" w:hAnsi="仿宋" w:eastAsia="仿宋" w:cs="仿宋"/>
          <w:color w:val="auto"/>
          <w:szCs w:val="21"/>
          <w:highlight w:val="none"/>
        </w:rPr>
        <w:t>0574-</w:t>
      </w:r>
      <w:r>
        <w:rPr>
          <w:rFonts w:hint="eastAsia" w:ascii="仿宋" w:hAnsi="仿宋" w:eastAsia="仿宋" w:cs="仿宋"/>
          <w:color w:val="auto"/>
          <w:sz w:val="22"/>
          <w:szCs w:val="22"/>
          <w:highlight w:val="none"/>
        </w:rPr>
        <w:t>87633947</w:t>
      </w:r>
    </w:p>
    <w:p w14:paraId="39BE70BA">
      <w:pPr>
        <w:keepNext w:val="0"/>
        <w:keepLines w:val="0"/>
        <w:pageBreakBefore w:val="0"/>
        <w:widowControl/>
        <w:kinsoku/>
        <w:wordWrap/>
        <w:overflowPunct/>
        <w:topLinePunct w:val="0"/>
        <w:autoSpaceDE w:val="0"/>
        <w:autoSpaceDN w:val="0"/>
        <w:bidi w:val="0"/>
        <w:adjustRightInd w:val="0"/>
        <w:spacing w:line="400" w:lineRule="exact"/>
        <w:ind w:firstLine="420" w:firstLineChars="200"/>
        <w:textAlignment w:val="auto"/>
        <w:rPr>
          <w:rFonts w:hint="eastAsia" w:ascii="仿宋" w:hAnsi="仿宋" w:eastAsia="仿宋" w:cs="仿宋"/>
          <w:color w:val="auto"/>
          <w:highlight w:val="none"/>
        </w:rPr>
      </w:pPr>
    </w:p>
    <w:p w14:paraId="2CEFDC47">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2.采购代理机构信息            </w:t>
      </w:r>
    </w:p>
    <w:p w14:paraId="08E24AB1">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名称：宁波安全三江工程咨询招标代理有限公司</w:t>
      </w:r>
    </w:p>
    <w:p w14:paraId="6C5812EF">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地址：宁波市江北区新义路218号凯德上江邑5楼          </w:t>
      </w:r>
    </w:p>
    <w:p w14:paraId="09DB423B">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传真：0574-87896118            </w:t>
      </w:r>
    </w:p>
    <w:p w14:paraId="3B887806">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项目联系人（询问）：</w:t>
      </w:r>
      <w:r>
        <w:rPr>
          <w:rFonts w:hint="eastAsia" w:ascii="仿宋" w:hAnsi="仿宋" w:eastAsia="仿宋" w:cs="仿宋"/>
          <w:color w:val="auto"/>
          <w:sz w:val="22"/>
          <w:szCs w:val="22"/>
          <w:highlight w:val="none"/>
          <w:lang w:val="en-US" w:eastAsia="zh-CN"/>
        </w:rPr>
        <w:t>刘丹丹</w:t>
      </w:r>
      <w:r>
        <w:rPr>
          <w:rFonts w:hint="eastAsia" w:ascii="仿宋" w:hAnsi="仿宋" w:eastAsia="仿宋" w:cs="仿宋"/>
          <w:color w:val="auto"/>
          <w:sz w:val="22"/>
          <w:szCs w:val="22"/>
          <w:highlight w:val="none"/>
        </w:rPr>
        <w:t xml:space="preserve">      </w:t>
      </w:r>
    </w:p>
    <w:p w14:paraId="7D71468F">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项目联系方式（询问）：0574-87</w:t>
      </w:r>
      <w:r>
        <w:rPr>
          <w:rFonts w:hint="eastAsia" w:ascii="仿宋" w:hAnsi="仿宋" w:eastAsia="仿宋" w:cs="仿宋"/>
          <w:color w:val="auto"/>
          <w:sz w:val="22"/>
          <w:szCs w:val="22"/>
          <w:highlight w:val="none"/>
          <w:lang w:val="en-US" w:eastAsia="zh-CN"/>
        </w:rPr>
        <w:t>280763</w:t>
      </w:r>
    </w:p>
    <w:p w14:paraId="7DACC79E">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质疑联系人：任晓云、刘瑜</w:t>
      </w:r>
    </w:p>
    <w:p w14:paraId="6872F959">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质疑联系方式：0574-87384499</w:t>
      </w:r>
    </w:p>
    <w:p w14:paraId="1DD4BC67">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p>
    <w:p w14:paraId="054C7292">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3.同级政府采购监督管理部门            </w:t>
      </w:r>
    </w:p>
    <w:p w14:paraId="60D3F286">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名称：宁波市江北区财政局             </w:t>
      </w:r>
    </w:p>
    <w:p w14:paraId="3E0BF451">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地址：宁波市江北区财政局                   </w:t>
      </w:r>
    </w:p>
    <w:p w14:paraId="6BA8A802">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联系人 ：张老师             </w:t>
      </w:r>
    </w:p>
    <w:p w14:paraId="404233BC">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监督投诉电话：0574-87388062</w:t>
      </w:r>
    </w:p>
    <w:p w14:paraId="46C7996D">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p>
    <w:p w14:paraId="7255B42D">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若对项目采购电子交易系统操作有疑问，可登录政采云（https://www.zcygov.cn/），点击右侧咨询小采，获取采小蜜智能服务管家帮助，或拨打政采云服务热线400-881-7190获取热线服务帮助。       </w:t>
      </w:r>
    </w:p>
    <w:p w14:paraId="0874C42E">
      <w:pPr>
        <w:keepNext w:val="0"/>
        <w:keepLines w:val="0"/>
        <w:pageBreakBefore w:val="0"/>
        <w:kinsoku/>
        <w:wordWrap/>
        <w:overflowPunct/>
        <w:topLinePunct w:val="0"/>
        <w:bidi w:val="0"/>
        <w:spacing w:line="400" w:lineRule="exact"/>
        <w:ind w:firstLine="44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22"/>
          <w:szCs w:val="22"/>
          <w:highlight w:val="none"/>
        </w:rPr>
        <w:t xml:space="preserve">CA问题联系电话（人工）：汇信CA 400-888-4636；天谷CA 400-087-8198。    </w:t>
      </w:r>
    </w:p>
    <w:p w14:paraId="7B1C1CFE">
      <w:pPr>
        <w:pStyle w:val="6"/>
        <w:ind w:firstLine="0"/>
        <w:jc w:val="center"/>
        <w:rPr>
          <w:rFonts w:hint="eastAsia" w:ascii="仿宋" w:hAnsi="仿宋" w:eastAsia="仿宋" w:cs="仿宋"/>
          <w:color w:val="auto"/>
          <w:sz w:val="30"/>
          <w:szCs w:val="30"/>
          <w:highlight w:val="none"/>
        </w:rPr>
        <w:sectPr>
          <w:headerReference r:id="rId3" w:type="default"/>
          <w:footerReference r:id="rId4" w:type="default"/>
          <w:footerReference r:id="rId5" w:type="even"/>
          <w:pgSz w:w="11907" w:h="16840"/>
          <w:pgMar w:top="1474" w:right="1474" w:bottom="1474" w:left="1588" w:header="426" w:footer="707" w:gutter="0"/>
          <w:cols w:space="720" w:num="1"/>
          <w:docGrid w:linePitch="285" w:charSpace="0"/>
        </w:sectPr>
      </w:pPr>
    </w:p>
    <w:p w14:paraId="3251A75A">
      <w:pPr>
        <w:pStyle w:val="28"/>
        <w:snapToGrid w:val="0"/>
        <w:spacing w:before="159" w:after="159" w:line="440" w:lineRule="exact"/>
        <w:jc w:val="center"/>
        <w:outlineLvl w:val="0"/>
        <w:rPr>
          <w:rFonts w:hint="eastAsia" w:ascii="仿宋" w:hAnsi="仿宋" w:eastAsia="仿宋" w:cs="仿宋"/>
          <w:b/>
          <w:bCs/>
          <w:color w:val="auto"/>
          <w:sz w:val="30"/>
          <w:szCs w:val="30"/>
          <w:highlight w:val="none"/>
        </w:rPr>
      </w:pPr>
      <w:bookmarkStart w:id="28" w:name="_Toc180597575"/>
      <w:r>
        <w:rPr>
          <w:rFonts w:hint="eastAsia" w:ascii="仿宋" w:hAnsi="仿宋" w:eastAsia="仿宋" w:cs="仿宋"/>
          <w:b/>
          <w:bCs/>
          <w:color w:val="auto"/>
          <w:sz w:val="30"/>
          <w:szCs w:val="30"/>
          <w:highlight w:val="none"/>
        </w:rPr>
        <w:t xml:space="preserve">第二章  </w:t>
      </w:r>
      <w:bookmarkEnd w:id="28"/>
      <w:r>
        <w:rPr>
          <w:rFonts w:hint="eastAsia" w:ascii="仿宋" w:hAnsi="仿宋" w:eastAsia="仿宋" w:cs="仿宋"/>
          <w:b/>
          <w:bCs/>
          <w:color w:val="auto"/>
          <w:sz w:val="30"/>
          <w:szCs w:val="30"/>
          <w:highlight w:val="none"/>
        </w:rPr>
        <w:t>采购需求</w:t>
      </w:r>
    </w:p>
    <w:p w14:paraId="266E9542">
      <w:pPr>
        <w:pStyle w:val="28"/>
        <w:snapToGrid w:val="0"/>
        <w:spacing w:before="159" w:after="159" w:line="440" w:lineRule="exact"/>
        <w:jc w:val="left"/>
        <w:outlineLvl w:val="0"/>
        <w:rPr>
          <w:rFonts w:hint="eastAsia" w:ascii="仿宋" w:hAnsi="仿宋" w:eastAsia="仿宋" w:cs="仿宋"/>
          <w:b/>
          <w:bCs/>
          <w:color w:val="auto"/>
          <w:sz w:val="22"/>
          <w:szCs w:val="22"/>
          <w:highlight w:val="none"/>
          <w:shd w:val="clear" w:color="auto" w:fill="auto"/>
          <w:lang w:val="en-US"/>
        </w:rPr>
      </w:pPr>
      <w:r>
        <w:rPr>
          <w:rFonts w:hint="eastAsia" w:ascii="仿宋" w:hAnsi="仿宋" w:eastAsia="仿宋" w:cs="仿宋"/>
          <w:color w:val="auto"/>
          <w:sz w:val="22"/>
          <w:szCs w:val="22"/>
          <w:highlight w:val="none"/>
          <w:shd w:val="clear" w:color="auto" w:fill="auto"/>
        </w:rPr>
        <w:t>▲</w:t>
      </w:r>
      <w:r>
        <w:rPr>
          <w:rFonts w:hint="eastAsia" w:ascii="仿宋" w:hAnsi="仿宋" w:eastAsia="仿宋" w:cs="仿宋"/>
          <w:b/>
          <w:bCs/>
          <w:color w:val="auto"/>
          <w:sz w:val="22"/>
          <w:szCs w:val="22"/>
          <w:highlight w:val="none"/>
          <w:shd w:val="clear" w:color="auto" w:fill="auto"/>
          <w:lang w:val="en-US"/>
        </w:rPr>
        <w:t>一、商务要求</w:t>
      </w:r>
    </w:p>
    <w:tbl>
      <w:tblPr>
        <w:tblStyle w:val="51"/>
        <w:tblW w:w="5666" w:type="pct"/>
        <w:jc w:val="center"/>
        <w:tblLayout w:type="autofit"/>
        <w:tblCellMar>
          <w:top w:w="0" w:type="dxa"/>
          <w:left w:w="57" w:type="dxa"/>
          <w:bottom w:w="0" w:type="dxa"/>
          <w:right w:w="0" w:type="dxa"/>
        </w:tblCellMar>
      </w:tblPr>
      <w:tblGrid>
        <w:gridCol w:w="2082"/>
        <w:gridCol w:w="7393"/>
      </w:tblGrid>
      <w:tr w14:paraId="7693443C">
        <w:tblPrEx>
          <w:tblCellMar>
            <w:top w:w="0" w:type="dxa"/>
            <w:left w:w="57" w:type="dxa"/>
            <w:bottom w:w="0" w:type="dxa"/>
            <w:right w:w="0" w:type="dxa"/>
          </w:tblCellMar>
        </w:tblPrEx>
        <w:trPr>
          <w:trHeight w:val="923" w:hRule="atLeast"/>
          <w:jc w:val="center"/>
        </w:trPr>
        <w:tc>
          <w:tcPr>
            <w:tcW w:w="2081" w:type="dxa"/>
            <w:tcBorders>
              <w:top w:val="single" w:color="000000" w:sz="4" w:space="0"/>
              <w:left w:val="single" w:color="000000" w:sz="4" w:space="0"/>
              <w:bottom w:val="single" w:color="000000" w:sz="4" w:space="0"/>
              <w:right w:val="single" w:color="000000" w:sz="4" w:space="0"/>
            </w:tcBorders>
            <w:noWrap w:val="0"/>
            <w:vAlign w:val="center"/>
          </w:tcPr>
          <w:p w14:paraId="1A2B9D6D">
            <w:pPr>
              <w:keepNext w:val="0"/>
              <w:keepLines w:val="0"/>
              <w:pageBreakBefore w:val="0"/>
              <w:widowControl w:val="0"/>
              <w:kinsoku/>
              <w:wordWrap/>
              <w:overflowPunct/>
              <w:topLinePunct w:val="0"/>
              <w:autoSpaceDE/>
              <w:autoSpaceDN/>
              <w:bidi w:val="0"/>
              <w:adjustRightInd/>
              <w:snapToGrid/>
              <w:spacing w:line="390" w:lineRule="exact"/>
              <w:jc w:val="center"/>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rPr>
              <w:t>合同履约期限</w:t>
            </w:r>
          </w:p>
          <w:p w14:paraId="74BF405F">
            <w:pPr>
              <w:keepNext w:val="0"/>
              <w:keepLines w:val="0"/>
              <w:pageBreakBefore w:val="0"/>
              <w:widowControl w:val="0"/>
              <w:kinsoku/>
              <w:wordWrap/>
              <w:overflowPunct/>
              <w:topLinePunct w:val="0"/>
              <w:autoSpaceDE/>
              <w:autoSpaceDN/>
              <w:bidi w:val="0"/>
              <w:adjustRightInd/>
              <w:snapToGrid/>
              <w:spacing w:line="390" w:lineRule="exact"/>
              <w:jc w:val="center"/>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lang w:eastAsia="zh-CN"/>
              </w:rPr>
              <w:t>（</w:t>
            </w:r>
            <w:r>
              <w:rPr>
                <w:rFonts w:hint="eastAsia" w:ascii="仿宋" w:hAnsi="仿宋" w:eastAsia="仿宋" w:cs="仿宋"/>
                <w:bCs/>
                <w:color w:val="auto"/>
                <w:sz w:val="22"/>
                <w:szCs w:val="22"/>
                <w:highlight w:val="none"/>
                <w:shd w:val="clear" w:color="auto" w:fill="auto"/>
              </w:rPr>
              <w:t>服务期限</w:t>
            </w:r>
            <w:r>
              <w:rPr>
                <w:rFonts w:hint="eastAsia" w:ascii="仿宋" w:hAnsi="仿宋" w:eastAsia="仿宋" w:cs="仿宋"/>
                <w:bCs/>
                <w:color w:val="auto"/>
                <w:sz w:val="22"/>
                <w:szCs w:val="22"/>
                <w:highlight w:val="none"/>
                <w:shd w:val="clear" w:color="auto" w:fill="auto"/>
                <w:lang w:eastAsia="zh-CN"/>
              </w:rPr>
              <w:t>）</w:t>
            </w:r>
          </w:p>
        </w:tc>
        <w:tc>
          <w:tcPr>
            <w:tcW w:w="7389" w:type="dxa"/>
            <w:tcBorders>
              <w:top w:val="single" w:color="000000" w:sz="4" w:space="0"/>
              <w:left w:val="single" w:color="000000" w:sz="4" w:space="0"/>
              <w:bottom w:val="single" w:color="000000" w:sz="4" w:space="0"/>
              <w:right w:val="single" w:color="000000" w:sz="4" w:space="0"/>
            </w:tcBorders>
            <w:noWrap w:val="0"/>
            <w:vAlign w:val="center"/>
          </w:tcPr>
          <w:p w14:paraId="36483D29">
            <w:pPr>
              <w:keepNext w:val="0"/>
              <w:keepLines w:val="0"/>
              <w:pageBreakBefore w:val="0"/>
              <w:widowControl w:val="0"/>
              <w:kinsoku/>
              <w:wordWrap/>
              <w:overflowPunct/>
              <w:topLinePunct w:val="0"/>
              <w:autoSpaceDE/>
              <w:autoSpaceDN/>
              <w:bidi w:val="0"/>
              <w:adjustRightInd/>
              <w:snapToGrid/>
              <w:spacing w:before="0" w:beforeLines="-2147483648" w:line="390" w:lineRule="exact"/>
              <w:ind w:left="0" w:leftChars="0" w:right="0" w:rightChars="0"/>
              <w:jc w:val="left"/>
              <w:textAlignment w:val="auto"/>
              <w:rPr>
                <w:rFonts w:hint="eastAsia" w:ascii="仿宋" w:hAnsi="仿宋" w:eastAsia="仿宋" w:cs="仿宋"/>
                <w:color w:val="auto"/>
                <w:sz w:val="22"/>
                <w:szCs w:val="22"/>
                <w:highlight w:val="none"/>
                <w:shd w:val="clear" w:color="auto" w:fill="auto"/>
              </w:rPr>
            </w:pPr>
            <w:r>
              <w:rPr>
                <w:rFonts w:hint="eastAsia" w:ascii="仿宋" w:hAnsi="仿宋" w:eastAsia="仿宋" w:cs="仿宋"/>
                <w:color w:val="auto"/>
                <w:sz w:val="22"/>
                <w:szCs w:val="22"/>
                <w:highlight w:val="none"/>
                <w:lang w:val="en-US" w:eastAsia="zh-CN"/>
              </w:rPr>
              <w:t>自合同签订之日起3年。</w:t>
            </w:r>
            <w:r>
              <w:rPr>
                <w:rFonts w:hint="eastAsia" w:ascii="仿宋" w:hAnsi="仿宋" w:eastAsia="仿宋" w:cs="仿宋"/>
                <w:bCs/>
                <w:color w:val="auto"/>
                <w:sz w:val="22"/>
                <w:szCs w:val="22"/>
                <w:highlight w:val="none"/>
                <w:lang w:val="en-US" w:eastAsia="zh-CN"/>
              </w:rPr>
              <w:t>合同一年一签，采购人根据中标人在上一阶段合同履约及考核情况、财政资金审批及相关政策情况决定是否续签。</w:t>
            </w:r>
          </w:p>
        </w:tc>
      </w:tr>
      <w:tr w14:paraId="616E8FA4">
        <w:tblPrEx>
          <w:tblCellMar>
            <w:top w:w="0" w:type="dxa"/>
            <w:left w:w="57" w:type="dxa"/>
            <w:bottom w:w="0" w:type="dxa"/>
            <w:right w:w="0" w:type="dxa"/>
          </w:tblCellMar>
        </w:tblPrEx>
        <w:trPr>
          <w:trHeight w:val="471" w:hRule="atLeast"/>
          <w:jc w:val="center"/>
        </w:trPr>
        <w:tc>
          <w:tcPr>
            <w:tcW w:w="2081" w:type="dxa"/>
            <w:tcBorders>
              <w:top w:val="single" w:color="000000" w:sz="4" w:space="0"/>
              <w:left w:val="single" w:color="000000" w:sz="4" w:space="0"/>
              <w:bottom w:val="single" w:color="000000" w:sz="4" w:space="0"/>
              <w:right w:val="single" w:color="000000" w:sz="4" w:space="0"/>
            </w:tcBorders>
            <w:noWrap w:val="0"/>
            <w:vAlign w:val="center"/>
          </w:tcPr>
          <w:p w14:paraId="2E69C7F7">
            <w:pPr>
              <w:keepNext w:val="0"/>
              <w:keepLines w:val="0"/>
              <w:pageBreakBefore w:val="0"/>
              <w:widowControl w:val="0"/>
              <w:kinsoku/>
              <w:wordWrap/>
              <w:overflowPunct/>
              <w:topLinePunct w:val="0"/>
              <w:autoSpaceDE/>
              <w:autoSpaceDN/>
              <w:bidi w:val="0"/>
              <w:adjustRightInd/>
              <w:snapToGrid/>
              <w:spacing w:line="390" w:lineRule="exact"/>
              <w:jc w:val="center"/>
              <w:textAlignment w:val="auto"/>
              <w:outlineLvl w:val="1"/>
              <w:rPr>
                <w:rFonts w:hint="eastAsia" w:ascii="仿宋" w:hAnsi="仿宋" w:eastAsia="仿宋" w:cs="仿宋"/>
                <w:bCs/>
                <w:color w:val="auto"/>
                <w:sz w:val="22"/>
                <w:szCs w:val="22"/>
                <w:highlight w:val="none"/>
                <w:shd w:val="clear" w:color="auto" w:fill="auto"/>
                <w:lang w:val="en-US" w:eastAsia="zh-CN"/>
              </w:rPr>
            </w:pPr>
            <w:r>
              <w:rPr>
                <w:rFonts w:hint="eastAsia" w:ascii="仿宋" w:hAnsi="仿宋" w:eastAsia="仿宋" w:cs="仿宋"/>
                <w:bCs/>
                <w:color w:val="auto"/>
                <w:sz w:val="22"/>
                <w:szCs w:val="22"/>
                <w:highlight w:val="none"/>
                <w:shd w:val="clear" w:color="auto" w:fill="auto"/>
                <w:lang w:val="en-US" w:eastAsia="zh-CN"/>
              </w:rPr>
              <w:t>服务地点</w:t>
            </w:r>
          </w:p>
        </w:tc>
        <w:tc>
          <w:tcPr>
            <w:tcW w:w="7389" w:type="dxa"/>
            <w:tcBorders>
              <w:top w:val="single" w:color="000000" w:sz="4" w:space="0"/>
              <w:left w:val="single" w:color="000000" w:sz="4" w:space="0"/>
              <w:bottom w:val="single" w:color="000000" w:sz="4" w:space="0"/>
              <w:right w:val="single" w:color="000000" w:sz="4" w:space="0"/>
            </w:tcBorders>
            <w:noWrap w:val="0"/>
            <w:vAlign w:val="center"/>
          </w:tcPr>
          <w:p w14:paraId="5E57CF51">
            <w:pPr>
              <w:keepNext w:val="0"/>
              <w:keepLines w:val="0"/>
              <w:pageBreakBefore w:val="0"/>
              <w:widowControl w:val="0"/>
              <w:kinsoku/>
              <w:wordWrap/>
              <w:overflowPunct/>
              <w:topLinePunct w:val="0"/>
              <w:autoSpaceDE/>
              <w:autoSpaceDN/>
              <w:bidi w:val="0"/>
              <w:adjustRightInd/>
              <w:snapToGrid/>
              <w:spacing w:before="0" w:beforeLines="-2147483648" w:line="390" w:lineRule="exact"/>
              <w:ind w:left="0" w:leftChars="0" w:right="0" w:rightChars="0"/>
              <w:jc w:val="left"/>
              <w:textAlignment w:val="auto"/>
              <w:rPr>
                <w:rFonts w:hint="eastAsia" w:ascii="仿宋" w:hAnsi="仿宋" w:eastAsia="仿宋" w:cs="仿宋"/>
                <w:color w:val="auto"/>
                <w:sz w:val="22"/>
                <w:szCs w:val="22"/>
                <w:highlight w:val="none"/>
                <w:shd w:val="clear" w:color="auto" w:fill="auto"/>
                <w:lang w:val="en-US" w:eastAsia="zh-CN" w:bidi="ar-SA"/>
              </w:rPr>
            </w:pPr>
            <w:r>
              <w:rPr>
                <w:rFonts w:hint="eastAsia" w:ascii="仿宋" w:hAnsi="仿宋" w:eastAsia="仿宋" w:cs="仿宋"/>
                <w:bCs/>
                <w:color w:val="auto"/>
                <w:sz w:val="22"/>
                <w:szCs w:val="22"/>
                <w:highlight w:val="none"/>
                <w:shd w:val="clear" w:color="auto" w:fill="auto"/>
              </w:rPr>
              <w:t>江北区（不包含慈城镇）</w:t>
            </w:r>
          </w:p>
        </w:tc>
      </w:tr>
      <w:tr w14:paraId="28D40979">
        <w:tblPrEx>
          <w:tblCellMar>
            <w:top w:w="0" w:type="dxa"/>
            <w:left w:w="57" w:type="dxa"/>
            <w:bottom w:w="0" w:type="dxa"/>
            <w:right w:w="0" w:type="dxa"/>
          </w:tblCellMar>
        </w:tblPrEx>
        <w:trPr>
          <w:trHeight w:val="90" w:hRule="atLeast"/>
          <w:jc w:val="center"/>
        </w:trPr>
        <w:tc>
          <w:tcPr>
            <w:tcW w:w="2081" w:type="dxa"/>
            <w:tcBorders>
              <w:top w:val="single" w:color="000000" w:sz="4" w:space="0"/>
              <w:left w:val="single" w:color="000000" w:sz="4" w:space="0"/>
              <w:bottom w:val="single" w:color="000000" w:sz="4" w:space="0"/>
              <w:right w:val="single" w:color="000000" w:sz="4" w:space="0"/>
            </w:tcBorders>
            <w:noWrap w:val="0"/>
            <w:vAlign w:val="center"/>
          </w:tcPr>
          <w:p w14:paraId="1D3CEDAA">
            <w:pPr>
              <w:keepNext w:val="0"/>
              <w:keepLines w:val="0"/>
              <w:pageBreakBefore w:val="0"/>
              <w:widowControl w:val="0"/>
              <w:kinsoku/>
              <w:wordWrap/>
              <w:overflowPunct/>
              <w:topLinePunct w:val="0"/>
              <w:autoSpaceDE/>
              <w:autoSpaceDN/>
              <w:bidi w:val="0"/>
              <w:adjustRightInd/>
              <w:snapToGrid/>
              <w:spacing w:line="390" w:lineRule="exact"/>
              <w:jc w:val="center"/>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rPr>
              <w:t>付款方式</w:t>
            </w:r>
          </w:p>
        </w:tc>
        <w:tc>
          <w:tcPr>
            <w:tcW w:w="7389" w:type="dxa"/>
            <w:tcBorders>
              <w:top w:val="single" w:color="000000" w:sz="4" w:space="0"/>
              <w:left w:val="single" w:color="000000" w:sz="4" w:space="0"/>
              <w:bottom w:val="single" w:color="000000" w:sz="4" w:space="0"/>
              <w:right w:val="single" w:color="000000" w:sz="4" w:space="0"/>
            </w:tcBorders>
            <w:noWrap w:val="0"/>
            <w:vAlign w:val="center"/>
          </w:tcPr>
          <w:p w14:paraId="75D96400">
            <w:pPr>
              <w:keepNext w:val="0"/>
              <w:keepLines w:val="0"/>
              <w:pageBreakBefore w:val="0"/>
              <w:widowControl w:val="0"/>
              <w:kinsoku/>
              <w:wordWrap/>
              <w:overflowPunct/>
              <w:topLinePunct w:val="0"/>
              <w:autoSpaceDE/>
              <w:autoSpaceDN/>
              <w:bidi w:val="0"/>
              <w:adjustRightInd/>
              <w:snapToGrid/>
              <w:spacing w:line="390" w:lineRule="exact"/>
              <w:jc w:val="left"/>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rPr>
              <w:t>（1）在合同生效以及具备实施条件后7个工作日内支付合同暂定总额的20%作为预付款；</w:t>
            </w:r>
          </w:p>
          <w:p w14:paraId="33AE714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eastAsia" w:ascii="仿宋" w:hAnsi="仿宋" w:eastAsia="仿宋" w:cs="仿宋"/>
                <w:bCs/>
                <w:color w:val="auto"/>
                <w:sz w:val="22"/>
                <w:szCs w:val="22"/>
                <w:highlight w:val="none"/>
                <w:shd w:val="clear" w:color="auto" w:fill="auto"/>
                <w:lang w:eastAsia="zh-CN"/>
              </w:rPr>
            </w:pPr>
            <w:r>
              <w:rPr>
                <w:rFonts w:hint="eastAsia" w:ascii="仿宋" w:hAnsi="仿宋" w:eastAsia="仿宋" w:cs="仿宋"/>
                <w:bCs/>
                <w:color w:val="auto"/>
                <w:sz w:val="22"/>
                <w:szCs w:val="22"/>
                <w:highlight w:val="none"/>
                <w:shd w:val="clear" w:color="auto" w:fill="auto"/>
              </w:rPr>
              <w:t>（2）服务费用按季</w:t>
            </w:r>
            <w:r>
              <w:rPr>
                <w:rFonts w:hint="eastAsia" w:ascii="仿宋" w:hAnsi="仿宋" w:eastAsia="仿宋" w:cs="仿宋"/>
                <w:bCs/>
                <w:color w:val="auto"/>
                <w:sz w:val="22"/>
                <w:szCs w:val="22"/>
                <w:highlight w:val="none"/>
                <w:shd w:val="clear" w:color="auto" w:fill="auto"/>
                <w:lang w:val="en-US" w:eastAsia="zh-CN"/>
              </w:rPr>
              <w:t>度</w:t>
            </w:r>
            <w:r>
              <w:rPr>
                <w:rFonts w:hint="eastAsia" w:ascii="仿宋" w:hAnsi="仿宋" w:eastAsia="仿宋" w:cs="仿宋"/>
                <w:bCs/>
                <w:color w:val="auto"/>
                <w:sz w:val="22"/>
                <w:szCs w:val="22"/>
                <w:highlight w:val="none"/>
                <w:shd w:val="clear" w:color="auto" w:fill="auto"/>
              </w:rPr>
              <w:t>支付，根据考核情况（详见附件1：《宁波市江北区房屋白蚁防治服务考核表》）支付每季度服务费。</w:t>
            </w:r>
            <w:r>
              <w:rPr>
                <w:rFonts w:hint="eastAsia" w:ascii="仿宋" w:hAnsi="仿宋" w:eastAsia="仿宋" w:cs="仿宋"/>
                <w:bCs/>
                <w:color w:val="auto"/>
                <w:sz w:val="22"/>
                <w:szCs w:val="22"/>
                <w:highlight w:val="none"/>
                <w:shd w:val="clear" w:color="auto" w:fill="auto"/>
                <w:lang w:val="en-US" w:eastAsia="zh-CN"/>
              </w:rPr>
              <w:t>第一季度</w:t>
            </w:r>
            <w:r>
              <w:rPr>
                <w:rFonts w:hint="eastAsia" w:ascii="仿宋" w:hAnsi="仿宋" w:eastAsia="仿宋" w:cs="仿宋"/>
                <w:bCs/>
                <w:color w:val="auto"/>
                <w:sz w:val="22"/>
                <w:szCs w:val="22"/>
                <w:highlight w:val="none"/>
                <w:shd w:val="clear" w:color="auto" w:fill="auto"/>
              </w:rPr>
              <w:t>服务费</w:t>
            </w:r>
            <w:r>
              <w:rPr>
                <w:rFonts w:hint="eastAsia" w:ascii="仿宋" w:hAnsi="仿宋" w:eastAsia="仿宋" w:cs="仿宋"/>
                <w:bCs/>
                <w:color w:val="auto"/>
                <w:sz w:val="22"/>
                <w:szCs w:val="22"/>
                <w:highlight w:val="none"/>
                <w:shd w:val="clear" w:color="auto" w:fill="auto"/>
                <w:lang w:val="en-US" w:eastAsia="zh-CN"/>
              </w:rPr>
              <w:t>在</w:t>
            </w:r>
            <w:r>
              <w:rPr>
                <w:rFonts w:hint="eastAsia" w:ascii="仿宋" w:hAnsi="仿宋" w:eastAsia="仿宋" w:cs="仿宋"/>
                <w:bCs/>
                <w:color w:val="auto"/>
                <w:sz w:val="22"/>
                <w:szCs w:val="22"/>
                <w:highlight w:val="none"/>
                <w:shd w:val="clear" w:color="auto" w:fill="auto"/>
              </w:rPr>
              <w:t>预付款中</w:t>
            </w:r>
            <w:r>
              <w:rPr>
                <w:rFonts w:hint="eastAsia" w:ascii="仿宋" w:hAnsi="仿宋" w:eastAsia="仿宋" w:cs="仿宋"/>
                <w:bCs/>
                <w:color w:val="auto"/>
                <w:sz w:val="22"/>
                <w:szCs w:val="22"/>
                <w:highlight w:val="none"/>
                <w:shd w:val="clear" w:color="auto" w:fill="auto"/>
                <w:lang w:val="en-US" w:eastAsia="zh-CN"/>
              </w:rPr>
              <w:t>全额扣除，不足部分顺延到下一季度，以此类推。</w:t>
            </w:r>
          </w:p>
          <w:p w14:paraId="61900F86">
            <w:pPr>
              <w:keepNext w:val="0"/>
              <w:keepLines w:val="0"/>
              <w:pageBreakBefore w:val="0"/>
              <w:widowControl w:val="0"/>
              <w:kinsoku/>
              <w:wordWrap/>
              <w:overflowPunct/>
              <w:topLinePunct w:val="0"/>
              <w:autoSpaceDE/>
              <w:autoSpaceDN/>
              <w:bidi w:val="0"/>
              <w:adjustRightInd/>
              <w:snapToGrid/>
              <w:spacing w:line="390" w:lineRule="exact"/>
              <w:jc w:val="left"/>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rPr>
              <w:t>每季度的服务费用与每季度的考核结果挂钩，具体如下：</w:t>
            </w:r>
          </w:p>
          <w:p w14:paraId="32EDC1A3">
            <w:pPr>
              <w:keepNext w:val="0"/>
              <w:keepLines w:val="0"/>
              <w:pageBreakBefore w:val="0"/>
              <w:widowControl w:val="0"/>
              <w:kinsoku/>
              <w:wordWrap/>
              <w:overflowPunct/>
              <w:topLinePunct w:val="0"/>
              <w:autoSpaceDE/>
              <w:autoSpaceDN/>
              <w:bidi w:val="0"/>
              <w:adjustRightInd/>
              <w:snapToGrid/>
              <w:spacing w:line="390" w:lineRule="exact"/>
              <w:jc w:val="left"/>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rPr>
              <w:t>季度考核得分≥9</w:t>
            </w:r>
            <w:r>
              <w:rPr>
                <w:rFonts w:hint="eastAsia" w:ascii="仿宋" w:hAnsi="仿宋" w:eastAsia="仿宋" w:cs="仿宋"/>
                <w:bCs/>
                <w:color w:val="auto"/>
                <w:sz w:val="22"/>
                <w:szCs w:val="22"/>
                <w:highlight w:val="none"/>
                <w:shd w:val="clear" w:color="auto" w:fill="auto"/>
                <w:lang w:val="en-US" w:eastAsia="zh-CN"/>
              </w:rPr>
              <w:t>5</w:t>
            </w:r>
            <w:r>
              <w:rPr>
                <w:rFonts w:hint="eastAsia" w:ascii="仿宋" w:hAnsi="仿宋" w:eastAsia="仿宋" w:cs="仿宋"/>
                <w:bCs/>
                <w:color w:val="auto"/>
                <w:sz w:val="22"/>
                <w:szCs w:val="22"/>
                <w:highlight w:val="none"/>
                <w:shd w:val="clear" w:color="auto" w:fill="auto"/>
              </w:rPr>
              <w:t>分为优秀，全额核拨当季服务费用；</w:t>
            </w:r>
          </w:p>
          <w:p w14:paraId="1024BBEA">
            <w:pPr>
              <w:keepNext w:val="0"/>
              <w:keepLines w:val="0"/>
              <w:pageBreakBefore w:val="0"/>
              <w:widowControl w:val="0"/>
              <w:kinsoku/>
              <w:wordWrap/>
              <w:overflowPunct/>
              <w:topLinePunct w:val="0"/>
              <w:autoSpaceDE/>
              <w:autoSpaceDN/>
              <w:bidi w:val="0"/>
              <w:adjustRightInd/>
              <w:snapToGrid/>
              <w:spacing w:line="390" w:lineRule="exact"/>
              <w:jc w:val="left"/>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lang w:val="en-US" w:eastAsia="zh-CN"/>
              </w:rPr>
              <w:t>85</w:t>
            </w:r>
            <w:r>
              <w:rPr>
                <w:rFonts w:hint="eastAsia" w:ascii="仿宋" w:hAnsi="仿宋" w:eastAsia="仿宋" w:cs="仿宋"/>
                <w:bCs/>
                <w:color w:val="auto"/>
                <w:sz w:val="22"/>
                <w:szCs w:val="22"/>
                <w:highlight w:val="none"/>
                <w:shd w:val="clear" w:color="auto" w:fill="auto"/>
              </w:rPr>
              <w:t>分≤季度考核得分＜</w:t>
            </w:r>
            <w:r>
              <w:rPr>
                <w:rFonts w:hint="eastAsia" w:ascii="仿宋" w:hAnsi="仿宋" w:eastAsia="仿宋" w:cs="仿宋"/>
                <w:bCs/>
                <w:color w:val="auto"/>
                <w:sz w:val="22"/>
                <w:szCs w:val="22"/>
                <w:highlight w:val="none"/>
                <w:shd w:val="clear" w:color="auto" w:fill="auto"/>
                <w:lang w:val="en-US" w:eastAsia="zh-CN"/>
              </w:rPr>
              <w:t>95</w:t>
            </w:r>
            <w:r>
              <w:rPr>
                <w:rFonts w:hint="eastAsia" w:ascii="仿宋" w:hAnsi="仿宋" w:eastAsia="仿宋" w:cs="仿宋"/>
                <w:bCs/>
                <w:color w:val="auto"/>
                <w:sz w:val="22"/>
                <w:szCs w:val="22"/>
                <w:highlight w:val="none"/>
                <w:shd w:val="clear" w:color="auto" w:fill="auto"/>
              </w:rPr>
              <w:t>分为良好，核拨当季服务费用的90%；</w:t>
            </w:r>
          </w:p>
          <w:p w14:paraId="49BA7900">
            <w:pPr>
              <w:keepNext w:val="0"/>
              <w:keepLines w:val="0"/>
              <w:pageBreakBefore w:val="0"/>
              <w:widowControl w:val="0"/>
              <w:kinsoku/>
              <w:wordWrap/>
              <w:overflowPunct/>
              <w:topLinePunct w:val="0"/>
              <w:autoSpaceDE/>
              <w:autoSpaceDN/>
              <w:bidi w:val="0"/>
              <w:adjustRightInd/>
              <w:snapToGrid/>
              <w:spacing w:line="390" w:lineRule="exact"/>
              <w:jc w:val="left"/>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lang w:val="en-US" w:eastAsia="zh-CN"/>
              </w:rPr>
              <w:t>75</w:t>
            </w:r>
            <w:r>
              <w:rPr>
                <w:rFonts w:hint="eastAsia" w:ascii="仿宋" w:hAnsi="仿宋" w:eastAsia="仿宋" w:cs="仿宋"/>
                <w:bCs/>
                <w:color w:val="auto"/>
                <w:sz w:val="22"/>
                <w:szCs w:val="22"/>
                <w:highlight w:val="none"/>
                <w:shd w:val="clear" w:color="auto" w:fill="auto"/>
              </w:rPr>
              <w:t>分≤季度考核得分＜</w:t>
            </w:r>
            <w:r>
              <w:rPr>
                <w:rFonts w:hint="eastAsia" w:ascii="仿宋" w:hAnsi="仿宋" w:eastAsia="仿宋" w:cs="仿宋"/>
                <w:bCs/>
                <w:color w:val="auto"/>
                <w:sz w:val="22"/>
                <w:szCs w:val="22"/>
                <w:highlight w:val="none"/>
                <w:shd w:val="clear" w:color="auto" w:fill="auto"/>
                <w:lang w:val="en-US" w:eastAsia="zh-CN"/>
              </w:rPr>
              <w:t>85</w:t>
            </w:r>
            <w:r>
              <w:rPr>
                <w:rFonts w:hint="eastAsia" w:ascii="仿宋" w:hAnsi="仿宋" w:eastAsia="仿宋" w:cs="仿宋"/>
                <w:bCs/>
                <w:color w:val="auto"/>
                <w:sz w:val="22"/>
                <w:szCs w:val="22"/>
                <w:highlight w:val="none"/>
                <w:shd w:val="clear" w:color="auto" w:fill="auto"/>
              </w:rPr>
              <w:t>分为合格，核拨当季服务费用的80%；</w:t>
            </w:r>
          </w:p>
          <w:p w14:paraId="71C28F2B">
            <w:pPr>
              <w:keepNext w:val="0"/>
              <w:keepLines w:val="0"/>
              <w:pageBreakBefore w:val="0"/>
              <w:widowControl w:val="0"/>
              <w:kinsoku/>
              <w:wordWrap/>
              <w:overflowPunct/>
              <w:topLinePunct w:val="0"/>
              <w:autoSpaceDE/>
              <w:autoSpaceDN/>
              <w:bidi w:val="0"/>
              <w:adjustRightInd/>
              <w:snapToGrid/>
              <w:spacing w:line="390" w:lineRule="exact"/>
              <w:jc w:val="left"/>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rPr>
              <w:t>季度考核得分＜</w:t>
            </w:r>
            <w:r>
              <w:rPr>
                <w:rFonts w:hint="eastAsia" w:ascii="仿宋" w:hAnsi="仿宋" w:eastAsia="仿宋" w:cs="仿宋"/>
                <w:bCs/>
                <w:color w:val="auto"/>
                <w:sz w:val="22"/>
                <w:szCs w:val="22"/>
                <w:highlight w:val="none"/>
                <w:shd w:val="clear" w:color="auto" w:fill="auto"/>
                <w:lang w:val="en-US" w:eastAsia="zh-CN"/>
              </w:rPr>
              <w:t>75</w:t>
            </w:r>
            <w:r>
              <w:rPr>
                <w:rFonts w:hint="eastAsia" w:ascii="仿宋" w:hAnsi="仿宋" w:eastAsia="仿宋" w:cs="仿宋"/>
                <w:bCs/>
                <w:color w:val="auto"/>
                <w:sz w:val="22"/>
                <w:szCs w:val="22"/>
                <w:highlight w:val="none"/>
                <w:shd w:val="clear" w:color="auto" w:fill="auto"/>
              </w:rPr>
              <w:t>分为不合格，当季服务费用不予支付。</w:t>
            </w:r>
          </w:p>
          <w:p w14:paraId="60EA0956">
            <w:pPr>
              <w:keepNext w:val="0"/>
              <w:keepLines w:val="0"/>
              <w:pageBreakBefore w:val="0"/>
              <w:widowControl w:val="0"/>
              <w:kinsoku/>
              <w:wordWrap/>
              <w:overflowPunct/>
              <w:topLinePunct w:val="0"/>
              <w:autoSpaceDE/>
              <w:autoSpaceDN/>
              <w:bidi w:val="0"/>
              <w:adjustRightInd/>
              <w:snapToGrid/>
              <w:spacing w:line="390" w:lineRule="exact"/>
              <w:jc w:val="left"/>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rPr>
              <w:t>连续二个季度或累计三个季度考核不合格的，采购人有权终止合同。</w:t>
            </w:r>
          </w:p>
          <w:p w14:paraId="57C5ADF2">
            <w:pPr>
              <w:keepNext w:val="0"/>
              <w:keepLines w:val="0"/>
              <w:pageBreakBefore w:val="0"/>
              <w:widowControl w:val="0"/>
              <w:kinsoku/>
              <w:wordWrap/>
              <w:overflowPunct/>
              <w:topLinePunct w:val="0"/>
              <w:autoSpaceDE/>
              <w:autoSpaceDN/>
              <w:bidi w:val="0"/>
              <w:adjustRightInd/>
              <w:snapToGrid/>
              <w:spacing w:line="390" w:lineRule="exact"/>
              <w:jc w:val="left"/>
              <w:textAlignment w:val="auto"/>
              <w:outlineLvl w:val="1"/>
              <w:rPr>
                <w:rFonts w:hint="eastAsia" w:ascii="仿宋" w:hAnsi="仿宋" w:eastAsia="仿宋" w:cs="仿宋"/>
                <w:color w:val="auto"/>
                <w:sz w:val="22"/>
                <w:szCs w:val="22"/>
                <w:highlight w:val="none"/>
                <w:shd w:val="clear" w:color="auto" w:fill="auto"/>
                <w:lang w:val="en-US" w:eastAsia="zh-CN"/>
              </w:rPr>
            </w:pPr>
            <w:r>
              <w:rPr>
                <w:rFonts w:hint="eastAsia" w:ascii="仿宋" w:hAnsi="仿宋" w:eastAsia="仿宋" w:cs="仿宋"/>
                <w:bCs/>
                <w:color w:val="auto"/>
                <w:sz w:val="22"/>
                <w:szCs w:val="22"/>
                <w:highlight w:val="none"/>
                <w:shd w:val="clear" w:color="auto" w:fill="auto"/>
              </w:rPr>
              <w:t>注：在签订合同时，中标人书面明确表示无需预付款或者主动要求降低预付款比例的，采购人可不适用本项预付款规定。</w:t>
            </w:r>
          </w:p>
        </w:tc>
      </w:tr>
      <w:tr w14:paraId="760D4487">
        <w:tblPrEx>
          <w:tblCellMar>
            <w:top w:w="0" w:type="dxa"/>
            <w:left w:w="57" w:type="dxa"/>
            <w:bottom w:w="0" w:type="dxa"/>
            <w:right w:w="0" w:type="dxa"/>
          </w:tblCellMar>
        </w:tblPrEx>
        <w:trPr>
          <w:trHeight w:val="471" w:hRule="atLeast"/>
          <w:jc w:val="center"/>
        </w:trPr>
        <w:tc>
          <w:tcPr>
            <w:tcW w:w="2081" w:type="dxa"/>
            <w:tcBorders>
              <w:top w:val="single" w:color="000000" w:sz="4" w:space="0"/>
              <w:left w:val="single" w:color="000000" w:sz="4" w:space="0"/>
              <w:bottom w:val="single" w:color="000000" w:sz="4" w:space="0"/>
              <w:right w:val="single" w:color="000000" w:sz="4" w:space="0"/>
            </w:tcBorders>
            <w:noWrap w:val="0"/>
            <w:vAlign w:val="center"/>
          </w:tcPr>
          <w:p w14:paraId="7C0F1085">
            <w:pPr>
              <w:keepNext w:val="0"/>
              <w:keepLines w:val="0"/>
              <w:pageBreakBefore w:val="0"/>
              <w:widowControl w:val="0"/>
              <w:kinsoku/>
              <w:wordWrap/>
              <w:overflowPunct/>
              <w:topLinePunct w:val="0"/>
              <w:autoSpaceDE/>
              <w:autoSpaceDN/>
              <w:bidi w:val="0"/>
              <w:adjustRightInd/>
              <w:snapToGrid/>
              <w:spacing w:line="390" w:lineRule="exact"/>
              <w:jc w:val="center"/>
              <w:textAlignment w:val="auto"/>
              <w:outlineLvl w:val="1"/>
              <w:rPr>
                <w:rFonts w:hint="eastAsia" w:ascii="仿宋" w:hAnsi="仿宋" w:eastAsia="仿宋" w:cs="仿宋"/>
                <w:bCs/>
                <w:color w:val="auto"/>
                <w:sz w:val="22"/>
                <w:szCs w:val="22"/>
                <w:highlight w:val="none"/>
                <w:shd w:val="clear" w:color="auto" w:fill="auto"/>
              </w:rPr>
            </w:pPr>
            <w:r>
              <w:rPr>
                <w:rFonts w:hint="eastAsia" w:ascii="仿宋" w:hAnsi="仿宋" w:eastAsia="仿宋" w:cs="仿宋"/>
                <w:bCs/>
                <w:color w:val="auto"/>
                <w:sz w:val="22"/>
                <w:szCs w:val="22"/>
                <w:highlight w:val="none"/>
                <w:shd w:val="clear" w:color="auto" w:fill="auto"/>
                <w:lang w:val="en-US" w:bidi="ar-SA"/>
              </w:rPr>
              <w:t>履约保证金</w:t>
            </w:r>
          </w:p>
        </w:tc>
        <w:tc>
          <w:tcPr>
            <w:tcW w:w="7389" w:type="dxa"/>
            <w:tcBorders>
              <w:top w:val="single" w:color="000000" w:sz="4" w:space="0"/>
              <w:left w:val="single" w:color="000000" w:sz="4" w:space="0"/>
              <w:bottom w:val="single" w:color="000000" w:sz="4" w:space="0"/>
              <w:right w:val="single" w:color="000000" w:sz="4" w:space="0"/>
            </w:tcBorders>
            <w:noWrap w:val="0"/>
            <w:vAlign w:val="center"/>
          </w:tcPr>
          <w:p w14:paraId="0DC3CFB1">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line="390" w:lineRule="exact"/>
              <w:ind w:left="0" w:leftChars="0" w:right="0" w:right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本项目不收取履约保证金。</w:t>
            </w:r>
          </w:p>
        </w:tc>
      </w:tr>
      <w:tr w14:paraId="5C29B744">
        <w:tblPrEx>
          <w:tblCellMar>
            <w:top w:w="0" w:type="dxa"/>
            <w:left w:w="57" w:type="dxa"/>
            <w:bottom w:w="0" w:type="dxa"/>
            <w:right w:w="0" w:type="dxa"/>
          </w:tblCellMar>
        </w:tblPrEx>
        <w:trPr>
          <w:trHeight w:val="471" w:hRule="atLeast"/>
          <w:jc w:val="center"/>
        </w:trPr>
        <w:tc>
          <w:tcPr>
            <w:tcW w:w="2081" w:type="dxa"/>
            <w:tcBorders>
              <w:top w:val="single" w:color="000000" w:sz="4" w:space="0"/>
              <w:left w:val="single" w:color="000000" w:sz="4" w:space="0"/>
              <w:bottom w:val="single" w:color="000000" w:sz="4" w:space="0"/>
              <w:right w:val="single" w:color="000000" w:sz="4" w:space="0"/>
            </w:tcBorders>
            <w:noWrap w:val="0"/>
            <w:vAlign w:val="center"/>
          </w:tcPr>
          <w:p w14:paraId="33A6A8C3">
            <w:pPr>
              <w:keepNext w:val="0"/>
              <w:keepLines w:val="0"/>
              <w:pageBreakBefore w:val="0"/>
              <w:widowControl w:val="0"/>
              <w:kinsoku/>
              <w:wordWrap/>
              <w:overflowPunct/>
              <w:topLinePunct w:val="0"/>
              <w:autoSpaceDE/>
              <w:autoSpaceDN/>
              <w:bidi w:val="0"/>
              <w:adjustRightInd/>
              <w:snapToGrid/>
              <w:spacing w:line="390" w:lineRule="exact"/>
              <w:jc w:val="center"/>
              <w:textAlignment w:val="auto"/>
              <w:outlineLvl w:val="1"/>
              <w:rPr>
                <w:rFonts w:hint="eastAsia" w:ascii="仿宋" w:hAnsi="仿宋" w:eastAsia="仿宋" w:cs="仿宋"/>
                <w:color w:val="auto"/>
                <w:sz w:val="22"/>
                <w:szCs w:val="22"/>
                <w:highlight w:val="none"/>
                <w:shd w:val="clear" w:color="auto" w:fill="auto"/>
                <w:lang w:val="en-US" w:bidi="ar-SA"/>
              </w:rPr>
            </w:pPr>
            <w:r>
              <w:rPr>
                <w:rFonts w:hint="eastAsia" w:ascii="仿宋" w:hAnsi="仿宋" w:eastAsia="仿宋" w:cs="仿宋"/>
                <w:bCs/>
                <w:color w:val="auto"/>
                <w:sz w:val="22"/>
                <w:szCs w:val="22"/>
                <w:highlight w:val="none"/>
              </w:rPr>
              <w:t>采购标的的验收标准</w:t>
            </w:r>
          </w:p>
        </w:tc>
        <w:tc>
          <w:tcPr>
            <w:tcW w:w="7389" w:type="dxa"/>
            <w:tcBorders>
              <w:top w:val="single" w:color="000000" w:sz="4" w:space="0"/>
              <w:left w:val="single" w:color="000000" w:sz="4" w:space="0"/>
              <w:bottom w:val="single" w:color="000000" w:sz="4" w:space="0"/>
              <w:right w:val="single" w:color="000000" w:sz="4" w:space="0"/>
            </w:tcBorders>
            <w:noWrap w:val="0"/>
            <w:vAlign w:val="center"/>
          </w:tcPr>
          <w:p w14:paraId="26D8DA36">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line="390" w:lineRule="exact"/>
              <w:ind w:left="0" w:leftChars="0" w:right="0" w:right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按采购人要求执行。</w:t>
            </w:r>
          </w:p>
        </w:tc>
      </w:tr>
      <w:tr w14:paraId="25147FEA">
        <w:tblPrEx>
          <w:tblCellMar>
            <w:top w:w="0" w:type="dxa"/>
            <w:left w:w="57" w:type="dxa"/>
            <w:bottom w:w="0" w:type="dxa"/>
            <w:right w:w="0" w:type="dxa"/>
          </w:tblCellMar>
        </w:tblPrEx>
        <w:trPr>
          <w:trHeight w:val="270" w:hRule="atLeast"/>
          <w:jc w:val="center"/>
        </w:trPr>
        <w:tc>
          <w:tcPr>
            <w:tcW w:w="2081" w:type="dxa"/>
            <w:tcBorders>
              <w:top w:val="single" w:color="000000" w:sz="4" w:space="0"/>
              <w:left w:val="single" w:color="000000" w:sz="4" w:space="0"/>
              <w:bottom w:val="single" w:color="000000" w:sz="4" w:space="0"/>
              <w:right w:val="single" w:color="000000" w:sz="4" w:space="0"/>
            </w:tcBorders>
            <w:noWrap w:val="0"/>
            <w:vAlign w:val="center"/>
          </w:tcPr>
          <w:p w14:paraId="46CB81D0">
            <w:pPr>
              <w:keepNext w:val="0"/>
              <w:keepLines w:val="0"/>
              <w:pageBreakBefore w:val="0"/>
              <w:widowControl w:val="0"/>
              <w:kinsoku/>
              <w:wordWrap/>
              <w:overflowPunct/>
              <w:topLinePunct w:val="0"/>
              <w:autoSpaceDE/>
              <w:autoSpaceDN/>
              <w:bidi w:val="0"/>
              <w:adjustRightInd/>
              <w:snapToGrid/>
              <w:spacing w:line="390" w:lineRule="exact"/>
              <w:jc w:val="center"/>
              <w:textAlignment w:val="auto"/>
              <w:outlineLvl w:val="9"/>
              <w:rPr>
                <w:rFonts w:hint="eastAsia" w:ascii="仿宋" w:hAnsi="仿宋" w:eastAsia="仿宋" w:cs="仿宋"/>
                <w:bCs/>
                <w:color w:val="auto"/>
                <w:sz w:val="22"/>
                <w:szCs w:val="22"/>
                <w:highlight w:val="none"/>
              </w:rPr>
            </w:pPr>
            <w:r>
              <w:rPr>
                <w:rFonts w:hint="eastAsia" w:ascii="仿宋" w:hAnsi="仿宋" w:eastAsia="仿宋" w:cs="仿宋"/>
                <w:color w:val="auto"/>
                <w:kern w:val="0"/>
                <w:sz w:val="22"/>
                <w:szCs w:val="22"/>
                <w:highlight w:val="none"/>
              </w:rPr>
              <w:t>合同终止</w:t>
            </w:r>
          </w:p>
        </w:tc>
        <w:tc>
          <w:tcPr>
            <w:tcW w:w="7389" w:type="dxa"/>
            <w:tcBorders>
              <w:top w:val="single" w:color="000000" w:sz="4" w:space="0"/>
              <w:left w:val="single" w:color="000000" w:sz="4" w:space="0"/>
              <w:bottom w:val="single" w:color="000000" w:sz="4" w:space="0"/>
              <w:right w:val="single" w:color="000000" w:sz="4" w:space="0"/>
            </w:tcBorders>
            <w:noWrap w:val="0"/>
            <w:vAlign w:val="center"/>
          </w:tcPr>
          <w:p w14:paraId="18DF68C5">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中标人违反以下规定的，采购人有权利单方面终止合同，且不承担任何责任：</w:t>
            </w:r>
          </w:p>
          <w:p w14:paraId="62C07546">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（1）中标人若违反本项目招标规定，在投标文件中提供虚假材料。</w:t>
            </w:r>
          </w:p>
          <w:p w14:paraId="60605C36">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（2）质量检查中存在问题，责令限期整改，若</w:t>
            </w:r>
            <w:r>
              <w:rPr>
                <w:rFonts w:hint="eastAsia" w:ascii="仿宋" w:hAnsi="仿宋" w:eastAsia="仿宋" w:cs="仿宋"/>
                <w:color w:val="auto"/>
                <w:kern w:val="2"/>
                <w:sz w:val="22"/>
                <w:szCs w:val="22"/>
                <w:highlight w:val="none"/>
                <w:lang w:val="en-US" w:eastAsia="zh-CN"/>
              </w:rPr>
              <w:t>采购人</w:t>
            </w:r>
            <w:r>
              <w:rPr>
                <w:rFonts w:hint="eastAsia" w:ascii="仿宋" w:hAnsi="仿宋" w:eastAsia="仿宋" w:cs="仿宋"/>
                <w:color w:val="auto"/>
                <w:kern w:val="0"/>
                <w:sz w:val="22"/>
                <w:szCs w:val="22"/>
                <w:highlight w:val="none"/>
                <w:lang w:val="en-US" w:eastAsia="zh-CN"/>
              </w:rPr>
              <w:t>一年内发书面整改通知书达到三次的。</w:t>
            </w:r>
          </w:p>
          <w:p w14:paraId="4F99FCE1">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（3）中标人无故拖拉，出现漏防、漏治，且拒不完成施工任务的。</w:t>
            </w:r>
          </w:p>
          <w:p w14:paraId="3C5008A8">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（4）中标人若违反法律、法规及相关规章制度，造成较大责任事故，导致</w:t>
            </w:r>
            <w:r>
              <w:rPr>
                <w:rFonts w:hint="eastAsia" w:ascii="仿宋" w:hAnsi="仿宋" w:eastAsia="仿宋" w:cs="仿宋"/>
                <w:color w:val="auto"/>
                <w:kern w:val="2"/>
                <w:sz w:val="22"/>
                <w:szCs w:val="22"/>
                <w:highlight w:val="none"/>
                <w:lang w:val="en-US" w:eastAsia="zh-CN"/>
              </w:rPr>
              <w:t>采购人</w:t>
            </w:r>
            <w:r>
              <w:rPr>
                <w:rFonts w:hint="eastAsia" w:ascii="仿宋" w:hAnsi="仿宋" w:eastAsia="仿宋" w:cs="仿宋"/>
                <w:color w:val="auto"/>
                <w:kern w:val="0"/>
                <w:sz w:val="22"/>
                <w:szCs w:val="22"/>
                <w:highlight w:val="none"/>
                <w:lang w:val="en-US" w:eastAsia="zh-CN"/>
              </w:rPr>
              <w:t>被上级或相关部门问责的。</w:t>
            </w:r>
          </w:p>
          <w:p w14:paraId="6A515156">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（5）中标人在履行合同期间，恶意不移交工作台账和档案等资料的。</w:t>
            </w:r>
          </w:p>
          <w:p w14:paraId="7E50ECF8">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（6）连续二个季度或累计三个季度考核不合格的。</w:t>
            </w:r>
          </w:p>
          <w:p w14:paraId="692E4C57">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合同终止后，中标人若恶意不移交资料或造成不良后果，</w:t>
            </w:r>
            <w:r>
              <w:rPr>
                <w:rFonts w:hint="eastAsia" w:ascii="仿宋" w:hAnsi="仿宋" w:eastAsia="仿宋" w:cs="仿宋"/>
                <w:b/>
                <w:bCs/>
                <w:color w:val="auto"/>
                <w:kern w:val="2"/>
                <w:sz w:val="22"/>
                <w:szCs w:val="22"/>
                <w:highlight w:val="none"/>
                <w:lang w:val="en-US" w:eastAsia="zh-CN"/>
              </w:rPr>
              <w:t>采购人</w:t>
            </w:r>
            <w:r>
              <w:rPr>
                <w:rFonts w:hint="eastAsia" w:ascii="仿宋" w:hAnsi="仿宋" w:eastAsia="仿宋" w:cs="仿宋"/>
                <w:b/>
                <w:bCs/>
                <w:color w:val="auto"/>
                <w:kern w:val="0"/>
                <w:sz w:val="22"/>
                <w:szCs w:val="22"/>
                <w:highlight w:val="none"/>
                <w:lang w:val="en-US" w:eastAsia="zh-CN"/>
              </w:rPr>
              <w:t>均追究其相关责任。</w:t>
            </w:r>
          </w:p>
        </w:tc>
      </w:tr>
    </w:tbl>
    <w:p w14:paraId="473BD3E2">
      <w:pP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br w:type="page"/>
      </w:r>
    </w:p>
    <w:p w14:paraId="71D06CC1">
      <w:pPr>
        <w:autoSpaceDE w:val="0"/>
        <w:autoSpaceDN w:val="0"/>
        <w:adjustRightInd w:val="0"/>
        <w:spacing w:line="400" w:lineRule="exact"/>
        <w:rPr>
          <w:rFonts w:hint="eastAsia" w:ascii="仿宋" w:hAnsi="仿宋" w:eastAsia="仿宋" w:cs="仿宋"/>
          <w:b/>
          <w:color w:val="auto"/>
          <w:sz w:val="22"/>
          <w:szCs w:val="22"/>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
          <w:color w:val="auto"/>
          <w:sz w:val="22"/>
          <w:szCs w:val="22"/>
          <w:highlight w:val="none"/>
        </w:rPr>
        <w:t>二、</w:t>
      </w:r>
      <w:r>
        <w:rPr>
          <w:rFonts w:hint="eastAsia" w:ascii="仿宋" w:hAnsi="仿宋" w:eastAsia="仿宋" w:cs="仿宋"/>
          <w:b/>
          <w:color w:val="auto"/>
          <w:sz w:val="22"/>
          <w:szCs w:val="22"/>
          <w:highlight w:val="none"/>
          <w:lang w:val="en-US" w:eastAsia="zh-CN"/>
        </w:rPr>
        <w:t>服务内容及最高限价</w:t>
      </w:r>
    </w:p>
    <w:tbl>
      <w:tblPr>
        <w:tblStyle w:val="5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42"/>
        <w:gridCol w:w="1607"/>
        <w:gridCol w:w="1850"/>
        <w:gridCol w:w="1279"/>
        <w:gridCol w:w="1081"/>
        <w:gridCol w:w="1082"/>
      </w:tblGrid>
      <w:tr w14:paraId="6AB2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575207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742" w:type="dxa"/>
            <w:tcBorders>
              <w:top w:val="single" w:color="auto" w:sz="4" w:space="0"/>
              <w:left w:val="single" w:color="auto" w:sz="4" w:space="0"/>
              <w:bottom w:val="single" w:color="auto" w:sz="4" w:space="0"/>
              <w:right w:val="single" w:color="auto" w:sz="4" w:space="0"/>
            </w:tcBorders>
            <w:shd w:val="clear" w:color="auto" w:fill="auto"/>
            <w:vAlign w:val="center"/>
          </w:tcPr>
          <w:p w14:paraId="3248AB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723CC36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监测装置类型</w:t>
            </w:r>
          </w:p>
        </w:tc>
        <w:tc>
          <w:tcPr>
            <w:tcW w:w="1850" w:type="dxa"/>
            <w:tcBorders>
              <w:top w:val="single" w:color="auto" w:sz="4" w:space="0"/>
              <w:left w:val="single" w:color="auto" w:sz="4" w:space="0"/>
              <w:bottom w:val="single" w:color="auto" w:sz="4" w:space="0"/>
              <w:right w:val="single" w:color="auto" w:sz="4" w:space="0"/>
            </w:tcBorders>
            <w:vAlign w:val="center"/>
          </w:tcPr>
          <w:p w14:paraId="45A0D89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最高限价</w:t>
            </w:r>
          </w:p>
          <w:p w14:paraId="0947C3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综合</w:t>
            </w:r>
            <w:r>
              <w:rPr>
                <w:rFonts w:hint="eastAsia" w:ascii="仿宋" w:hAnsi="仿宋" w:eastAsia="仿宋" w:cs="仿宋"/>
                <w:color w:val="auto"/>
                <w:sz w:val="21"/>
                <w:szCs w:val="21"/>
                <w:highlight w:val="none"/>
              </w:rPr>
              <w:t>单价）</w:t>
            </w:r>
          </w:p>
        </w:tc>
        <w:tc>
          <w:tcPr>
            <w:tcW w:w="1279" w:type="dxa"/>
            <w:tcBorders>
              <w:top w:val="single" w:color="auto" w:sz="4" w:space="0"/>
              <w:left w:val="single" w:color="auto" w:sz="4" w:space="0"/>
              <w:bottom w:val="single" w:color="auto" w:sz="4" w:space="0"/>
              <w:right w:val="single" w:color="auto" w:sz="4" w:space="0"/>
            </w:tcBorders>
            <w:vAlign w:val="center"/>
          </w:tcPr>
          <w:p w14:paraId="216F3E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暂估数量（每年）</w:t>
            </w:r>
          </w:p>
        </w:tc>
        <w:tc>
          <w:tcPr>
            <w:tcW w:w="1081" w:type="dxa"/>
            <w:tcBorders>
              <w:top w:val="single" w:color="auto" w:sz="4" w:space="0"/>
              <w:left w:val="single" w:color="auto" w:sz="4" w:space="0"/>
              <w:bottom w:val="single" w:color="auto" w:sz="4" w:space="0"/>
              <w:right w:val="single" w:color="auto" w:sz="4" w:space="0"/>
            </w:tcBorders>
            <w:vAlign w:val="center"/>
          </w:tcPr>
          <w:p w14:paraId="1AF1E9A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预计金额</w:t>
            </w:r>
          </w:p>
          <w:p w14:paraId="543C96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（一年）</w:t>
            </w:r>
          </w:p>
        </w:tc>
        <w:tc>
          <w:tcPr>
            <w:tcW w:w="1082" w:type="dxa"/>
            <w:tcBorders>
              <w:top w:val="single" w:color="auto" w:sz="4" w:space="0"/>
              <w:left w:val="single" w:color="auto" w:sz="4" w:space="0"/>
              <w:bottom w:val="single" w:color="auto" w:sz="4" w:space="0"/>
              <w:right w:val="single" w:color="auto" w:sz="4" w:space="0"/>
            </w:tcBorders>
            <w:vAlign w:val="center"/>
          </w:tcPr>
          <w:p w14:paraId="4C6283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预计金额</w:t>
            </w:r>
          </w:p>
          <w:p w14:paraId="31DADE4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（三年）</w:t>
            </w:r>
          </w:p>
        </w:tc>
      </w:tr>
      <w:tr w14:paraId="585F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14B958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49CE60">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监测装置后续检查维护</w:t>
            </w:r>
          </w:p>
        </w:tc>
        <w:tc>
          <w:tcPr>
            <w:tcW w:w="1850" w:type="dxa"/>
            <w:tcBorders>
              <w:top w:val="single" w:color="auto" w:sz="4" w:space="0"/>
              <w:left w:val="single" w:color="auto" w:sz="4" w:space="0"/>
              <w:bottom w:val="single" w:color="auto" w:sz="4" w:space="0"/>
              <w:right w:val="single" w:color="auto" w:sz="4" w:space="0"/>
            </w:tcBorders>
            <w:vAlign w:val="center"/>
          </w:tcPr>
          <w:p w14:paraId="368ADA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13.42元/套·次</w:t>
            </w:r>
          </w:p>
        </w:tc>
        <w:tc>
          <w:tcPr>
            <w:tcW w:w="1279" w:type="dxa"/>
            <w:tcBorders>
              <w:top w:val="single" w:color="auto" w:sz="4" w:space="0"/>
              <w:left w:val="single" w:color="auto" w:sz="4" w:space="0"/>
              <w:bottom w:val="single" w:color="auto" w:sz="4" w:space="0"/>
              <w:right w:val="single" w:color="auto" w:sz="4" w:space="0"/>
            </w:tcBorders>
            <w:vAlign w:val="center"/>
          </w:tcPr>
          <w:p w14:paraId="157CD7A1">
            <w:pPr>
              <w:keepNext w:val="0"/>
              <w:keepLines w:val="0"/>
              <w:pageBreakBefore w:val="0"/>
              <w:widowControl/>
              <w:suppressLineNumbers w:val="0"/>
              <w:kinsoku/>
              <w:wordWrap/>
              <w:overflowPunct/>
              <w:topLinePunct w:val="0"/>
              <w:autoSpaceDE/>
              <w:autoSpaceDN/>
              <w:adjustRightInd/>
              <w:snapToGrid w:val="0"/>
              <w:spacing w:before="0" w:beforeAutospacing="0" w:after="0" w:afterAutospacing="0" w:line="460" w:lineRule="exact"/>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48420</w:t>
            </w:r>
            <w:r>
              <w:rPr>
                <w:rFonts w:hint="eastAsia" w:ascii="仿宋" w:hAnsi="仿宋" w:eastAsia="仿宋" w:cs="仿宋"/>
                <w:color w:val="auto"/>
                <w:sz w:val="21"/>
                <w:szCs w:val="21"/>
                <w:highlight w:val="none"/>
                <w:lang w:val="en-US" w:eastAsia="zh-CN"/>
              </w:rPr>
              <w:t>套</w:t>
            </w:r>
          </w:p>
        </w:tc>
        <w:tc>
          <w:tcPr>
            <w:tcW w:w="1081" w:type="dxa"/>
            <w:vMerge w:val="restart"/>
            <w:tcBorders>
              <w:left w:val="single" w:color="auto" w:sz="4" w:space="0"/>
              <w:right w:val="single" w:color="auto" w:sz="4" w:space="0"/>
            </w:tcBorders>
            <w:vAlign w:val="center"/>
          </w:tcPr>
          <w:p w14:paraId="3CE502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1196820元</w:t>
            </w:r>
          </w:p>
        </w:tc>
        <w:tc>
          <w:tcPr>
            <w:tcW w:w="1082" w:type="dxa"/>
            <w:vMerge w:val="restart"/>
            <w:tcBorders>
              <w:left w:val="single" w:color="auto" w:sz="4" w:space="0"/>
              <w:right w:val="single" w:color="auto" w:sz="4" w:space="0"/>
            </w:tcBorders>
            <w:vAlign w:val="center"/>
          </w:tcPr>
          <w:p w14:paraId="47E020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3590460元</w:t>
            </w:r>
          </w:p>
        </w:tc>
      </w:tr>
      <w:tr w14:paraId="0D53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32AC6F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CCDFA4">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回访复查</w:t>
            </w:r>
          </w:p>
        </w:tc>
        <w:tc>
          <w:tcPr>
            <w:tcW w:w="1850" w:type="dxa"/>
            <w:tcBorders>
              <w:top w:val="single" w:color="auto" w:sz="4" w:space="0"/>
              <w:left w:val="single" w:color="auto" w:sz="4" w:space="0"/>
              <w:bottom w:val="single" w:color="auto" w:sz="4" w:space="0"/>
              <w:right w:val="single" w:color="auto" w:sz="4" w:space="0"/>
            </w:tcBorders>
            <w:vAlign w:val="center"/>
          </w:tcPr>
          <w:p w14:paraId="307561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0.071元/平方米·次（用地面积）</w:t>
            </w:r>
          </w:p>
        </w:tc>
        <w:tc>
          <w:tcPr>
            <w:tcW w:w="1279" w:type="dxa"/>
            <w:tcBorders>
              <w:top w:val="single" w:color="auto" w:sz="4" w:space="0"/>
              <w:left w:val="single" w:color="auto" w:sz="4" w:space="0"/>
              <w:bottom w:val="single" w:color="auto" w:sz="4" w:space="0"/>
              <w:right w:val="single" w:color="auto" w:sz="4" w:space="0"/>
            </w:tcBorders>
            <w:vAlign w:val="center"/>
          </w:tcPr>
          <w:p w14:paraId="42112A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1096670.42平方米</w:t>
            </w:r>
          </w:p>
        </w:tc>
        <w:tc>
          <w:tcPr>
            <w:tcW w:w="1081" w:type="dxa"/>
            <w:vMerge w:val="continue"/>
            <w:tcBorders>
              <w:left w:val="single" w:color="auto" w:sz="4" w:space="0"/>
              <w:right w:val="single" w:color="auto" w:sz="4" w:space="0"/>
            </w:tcBorders>
            <w:vAlign w:val="center"/>
          </w:tcPr>
          <w:p w14:paraId="7FA6D4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p>
        </w:tc>
        <w:tc>
          <w:tcPr>
            <w:tcW w:w="1082" w:type="dxa"/>
            <w:vMerge w:val="continue"/>
            <w:tcBorders>
              <w:left w:val="single" w:color="auto" w:sz="4" w:space="0"/>
              <w:right w:val="single" w:color="auto" w:sz="4" w:space="0"/>
            </w:tcBorders>
            <w:vAlign w:val="center"/>
          </w:tcPr>
          <w:p w14:paraId="0CE9119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p>
        </w:tc>
      </w:tr>
      <w:tr w14:paraId="4C0D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4" w:type="dxa"/>
            <w:vMerge w:val="restart"/>
            <w:tcBorders>
              <w:top w:val="single" w:color="auto" w:sz="4" w:space="0"/>
              <w:left w:val="single" w:color="auto" w:sz="4" w:space="0"/>
              <w:right w:val="single" w:color="auto" w:sz="4" w:space="0"/>
            </w:tcBorders>
            <w:vAlign w:val="center"/>
          </w:tcPr>
          <w:p w14:paraId="615C19D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742" w:type="dxa"/>
            <w:vMerge w:val="restart"/>
            <w:tcBorders>
              <w:top w:val="single" w:color="auto" w:sz="4" w:space="0"/>
              <w:left w:val="single" w:color="auto" w:sz="4" w:space="0"/>
              <w:right w:val="single" w:color="auto" w:sz="4" w:space="0"/>
            </w:tcBorders>
            <w:shd w:val="clear" w:color="auto" w:fill="auto"/>
            <w:vAlign w:val="center"/>
          </w:tcPr>
          <w:p w14:paraId="75D07497">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回访灭治</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6A7410D8">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140m</w:t>
            </w:r>
            <w:r>
              <w:rPr>
                <w:rFonts w:hint="eastAsia" w:ascii="仿宋" w:hAnsi="仿宋" w:eastAsia="仿宋" w:cs="仿宋"/>
                <w:color w:val="auto"/>
                <w:sz w:val="21"/>
                <w:szCs w:val="21"/>
                <w:highlight w:val="none"/>
                <w:vertAlign w:val="superscript"/>
                <w:lang w:val="en-US" w:eastAsia="zh-CN"/>
              </w:rPr>
              <w:t>2</w:t>
            </w:r>
            <w:r>
              <w:rPr>
                <w:rFonts w:hint="eastAsia" w:ascii="仿宋" w:hAnsi="仿宋" w:eastAsia="仿宋" w:cs="仿宋"/>
                <w:color w:val="auto"/>
                <w:sz w:val="21"/>
                <w:szCs w:val="21"/>
                <w:highlight w:val="none"/>
                <w:lang w:val="en-US" w:eastAsia="zh-CN"/>
              </w:rPr>
              <w:t>以下房屋</w:t>
            </w:r>
          </w:p>
        </w:tc>
        <w:tc>
          <w:tcPr>
            <w:tcW w:w="1850" w:type="dxa"/>
            <w:tcBorders>
              <w:top w:val="single" w:color="auto" w:sz="4" w:space="0"/>
              <w:left w:val="single" w:color="auto" w:sz="4" w:space="0"/>
              <w:bottom w:val="single" w:color="auto" w:sz="4" w:space="0"/>
              <w:right w:val="single" w:color="auto" w:sz="4" w:space="0"/>
            </w:tcBorders>
            <w:vAlign w:val="center"/>
          </w:tcPr>
          <w:p w14:paraId="3A6655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500元/户</w:t>
            </w:r>
          </w:p>
        </w:tc>
        <w:tc>
          <w:tcPr>
            <w:tcW w:w="1279" w:type="dxa"/>
            <w:tcBorders>
              <w:top w:val="single" w:color="auto" w:sz="4" w:space="0"/>
              <w:left w:val="single" w:color="auto" w:sz="4" w:space="0"/>
              <w:bottom w:val="single" w:color="auto" w:sz="4" w:space="0"/>
              <w:right w:val="single" w:color="auto" w:sz="4" w:space="0"/>
            </w:tcBorders>
            <w:vAlign w:val="center"/>
          </w:tcPr>
          <w:p w14:paraId="4EA1A5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80户</w:t>
            </w:r>
          </w:p>
        </w:tc>
        <w:tc>
          <w:tcPr>
            <w:tcW w:w="1081" w:type="dxa"/>
            <w:vMerge w:val="continue"/>
            <w:tcBorders>
              <w:left w:val="single" w:color="auto" w:sz="4" w:space="0"/>
              <w:right w:val="single" w:color="auto" w:sz="4" w:space="0"/>
            </w:tcBorders>
            <w:vAlign w:val="center"/>
          </w:tcPr>
          <w:p w14:paraId="06AF0F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p>
        </w:tc>
        <w:tc>
          <w:tcPr>
            <w:tcW w:w="1082" w:type="dxa"/>
            <w:vMerge w:val="continue"/>
            <w:tcBorders>
              <w:left w:val="single" w:color="auto" w:sz="4" w:space="0"/>
              <w:right w:val="single" w:color="auto" w:sz="4" w:space="0"/>
            </w:tcBorders>
            <w:vAlign w:val="center"/>
          </w:tcPr>
          <w:p w14:paraId="11156D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p>
        </w:tc>
      </w:tr>
      <w:tr w14:paraId="7E9A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4" w:type="dxa"/>
            <w:vMerge w:val="continue"/>
            <w:tcBorders>
              <w:left w:val="single" w:color="auto" w:sz="4" w:space="0"/>
              <w:bottom w:val="single" w:color="auto" w:sz="4" w:space="0"/>
              <w:right w:val="single" w:color="auto" w:sz="4" w:space="0"/>
            </w:tcBorders>
            <w:vAlign w:val="center"/>
          </w:tcPr>
          <w:p w14:paraId="31B436C4">
            <w:pPr>
              <w:rPr>
                <w:rFonts w:hint="eastAsia" w:ascii="仿宋" w:hAnsi="仿宋" w:eastAsia="仿宋" w:cs="仿宋"/>
                <w:color w:val="auto"/>
                <w:sz w:val="21"/>
                <w:szCs w:val="21"/>
                <w:highlight w:val="none"/>
              </w:rPr>
            </w:pPr>
          </w:p>
        </w:tc>
        <w:tc>
          <w:tcPr>
            <w:tcW w:w="1742" w:type="dxa"/>
            <w:vMerge w:val="continue"/>
            <w:tcBorders>
              <w:left w:val="single" w:color="auto" w:sz="4" w:space="0"/>
              <w:bottom w:val="single" w:color="auto" w:sz="4" w:space="0"/>
              <w:right w:val="single" w:color="auto" w:sz="4" w:space="0"/>
            </w:tcBorders>
            <w:shd w:val="clear" w:color="auto" w:fill="auto"/>
            <w:vAlign w:val="center"/>
          </w:tcPr>
          <w:p w14:paraId="25037DAF">
            <w:pPr>
              <w:rPr>
                <w:rFonts w:hint="eastAsia" w:ascii="仿宋" w:hAnsi="仿宋" w:eastAsia="仿宋" w:cs="仿宋"/>
                <w:color w:val="auto"/>
                <w:sz w:val="21"/>
                <w:szCs w:val="21"/>
                <w:highlight w:val="none"/>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72851503">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140m</w:t>
            </w:r>
            <w:r>
              <w:rPr>
                <w:rFonts w:hint="eastAsia" w:ascii="仿宋" w:hAnsi="仿宋" w:eastAsia="仿宋" w:cs="仿宋"/>
                <w:color w:val="auto"/>
                <w:sz w:val="21"/>
                <w:szCs w:val="21"/>
                <w:highlight w:val="none"/>
                <w:vertAlign w:val="superscript"/>
              </w:rPr>
              <w:t>2</w:t>
            </w:r>
            <w:r>
              <w:rPr>
                <w:rFonts w:hint="eastAsia" w:ascii="仿宋" w:hAnsi="仿宋" w:eastAsia="仿宋" w:cs="仿宋"/>
                <w:color w:val="auto"/>
                <w:sz w:val="21"/>
                <w:szCs w:val="21"/>
                <w:highlight w:val="none"/>
              </w:rPr>
              <w:t>以</w:t>
            </w:r>
            <w:r>
              <w:rPr>
                <w:rFonts w:hint="eastAsia" w:ascii="仿宋" w:hAnsi="仿宋" w:eastAsia="仿宋" w:cs="仿宋"/>
                <w:color w:val="auto"/>
                <w:sz w:val="21"/>
                <w:szCs w:val="21"/>
                <w:highlight w:val="none"/>
                <w:lang w:val="en-US" w:eastAsia="zh-CN"/>
              </w:rPr>
              <w:t>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含140m</w:t>
            </w:r>
            <w:r>
              <w:rPr>
                <w:rFonts w:hint="eastAsia" w:ascii="仿宋" w:hAnsi="仿宋" w:eastAsia="仿宋" w:cs="仿宋"/>
                <w:color w:val="auto"/>
                <w:sz w:val="21"/>
                <w:szCs w:val="21"/>
                <w:highlight w:val="none"/>
                <w:vertAlign w:val="superscript"/>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房屋</w:t>
            </w:r>
          </w:p>
        </w:tc>
        <w:tc>
          <w:tcPr>
            <w:tcW w:w="1850" w:type="dxa"/>
            <w:tcBorders>
              <w:top w:val="single" w:color="auto" w:sz="4" w:space="0"/>
              <w:left w:val="single" w:color="auto" w:sz="4" w:space="0"/>
              <w:bottom w:val="single" w:color="auto" w:sz="4" w:space="0"/>
              <w:right w:val="single" w:color="auto" w:sz="4" w:space="0"/>
            </w:tcBorders>
            <w:vAlign w:val="center"/>
          </w:tcPr>
          <w:p w14:paraId="559E28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550元/户</w:t>
            </w:r>
          </w:p>
        </w:tc>
        <w:tc>
          <w:tcPr>
            <w:tcW w:w="1279" w:type="dxa"/>
            <w:tcBorders>
              <w:top w:val="single" w:color="auto" w:sz="4" w:space="0"/>
              <w:left w:val="single" w:color="auto" w:sz="4" w:space="0"/>
              <w:bottom w:val="single" w:color="auto" w:sz="4" w:space="0"/>
              <w:right w:val="single" w:color="auto" w:sz="4" w:space="0"/>
            </w:tcBorders>
            <w:vAlign w:val="center"/>
          </w:tcPr>
          <w:p w14:paraId="0067A0F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40户</w:t>
            </w:r>
          </w:p>
        </w:tc>
        <w:tc>
          <w:tcPr>
            <w:tcW w:w="1081" w:type="dxa"/>
            <w:vMerge w:val="continue"/>
            <w:tcBorders>
              <w:left w:val="single" w:color="auto" w:sz="4" w:space="0"/>
              <w:right w:val="single" w:color="auto" w:sz="4" w:space="0"/>
            </w:tcBorders>
            <w:vAlign w:val="center"/>
          </w:tcPr>
          <w:p w14:paraId="717D14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p>
        </w:tc>
        <w:tc>
          <w:tcPr>
            <w:tcW w:w="1082" w:type="dxa"/>
            <w:vMerge w:val="continue"/>
            <w:tcBorders>
              <w:left w:val="single" w:color="auto" w:sz="4" w:space="0"/>
              <w:right w:val="single" w:color="auto" w:sz="4" w:space="0"/>
            </w:tcBorders>
            <w:vAlign w:val="center"/>
          </w:tcPr>
          <w:p w14:paraId="30C4CB7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p>
        </w:tc>
      </w:tr>
      <w:tr w14:paraId="7490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4" w:type="dxa"/>
            <w:vMerge w:val="restart"/>
            <w:tcBorders>
              <w:left w:val="single" w:color="auto" w:sz="4" w:space="0"/>
              <w:right w:val="single" w:color="auto" w:sz="4" w:space="0"/>
            </w:tcBorders>
            <w:vAlign w:val="center"/>
          </w:tcPr>
          <w:p w14:paraId="64F9B9A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742" w:type="dxa"/>
            <w:vMerge w:val="restart"/>
            <w:tcBorders>
              <w:left w:val="single" w:color="auto" w:sz="4" w:space="0"/>
              <w:right w:val="single" w:color="auto" w:sz="4" w:space="0"/>
            </w:tcBorders>
            <w:shd w:val="clear" w:color="auto" w:fill="auto"/>
            <w:vAlign w:val="center"/>
          </w:tcPr>
          <w:p w14:paraId="176F39B9">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新建房屋白蚁预防</w:t>
            </w:r>
            <w:r>
              <w:rPr>
                <w:rFonts w:hint="eastAsia" w:ascii="仿宋" w:hAnsi="仿宋" w:eastAsia="仿宋" w:cs="仿宋"/>
                <w:color w:val="auto"/>
                <w:sz w:val="21"/>
                <w:szCs w:val="21"/>
                <w:highlight w:val="none"/>
                <w:lang w:val="en-US" w:eastAsia="zh-CN"/>
              </w:rPr>
              <w:t>安装监测装置</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024D224B">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地下型，含饵剂</w:t>
            </w:r>
          </w:p>
        </w:tc>
        <w:tc>
          <w:tcPr>
            <w:tcW w:w="1850" w:type="dxa"/>
            <w:tcBorders>
              <w:top w:val="single" w:color="auto" w:sz="4" w:space="0"/>
              <w:left w:val="single" w:color="auto" w:sz="4" w:space="0"/>
              <w:bottom w:val="single" w:color="auto" w:sz="4" w:space="0"/>
              <w:right w:val="single" w:color="auto" w:sz="4" w:space="0"/>
            </w:tcBorders>
            <w:vAlign w:val="center"/>
          </w:tcPr>
          <w:p w14:paraId="38F0C0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47.16元/套</w:t>
            </w:r>
          </w:p>
        </w:tc>
        <w:tc>
          <w:tcPr>
            <w:tcW w:w="1279" w:type="dxa"/>
            <w:tcBorders>
              <w:top w:val="single" w:color="auto" w:sz="4" w:space="0"/>
              <w:left w:val="single" w:color="auto" w:sz="4" w:space="0"/>
              <w:bottom w:val="single" w:color="auto" w:sz="4" w:space="0"/>
              <w:right w:val="single" w:color="auto" w:sz="4" w:space="0"/>
            </w:tcBorders>
            <w:vAlign w:val="center"/>
          </w:tcPr>
          <w:p w14:paraId="42A2FBF2">
            <w:pPr>
              <w:keepNext w:val="0"/>
              <w:keepLines w:val="0"/>
              <w:pageBreakBefore w:val="0"/>
              <w:widowControl/>
              <w:suppressLineNumbers w:val="0"/>
              <w:kinsoku/>
              <w:wordWrap/>
              <w:overflowPunct/>
              <w:topLinePunct w:val="0"/>
              <w:autoSpaceDE/>
              <w:autoSpaceDN/>
              <w:adjustRightInd/>
              <w:snapToGrid w:val="0"/>
              <w:spacing w:before="0" w:beforeAutospacing="0" w:after="0" w:afterAutospacing="0" w:line="460" w:lineRule="exact"/>
              <w:ind w:left="0"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1000套</w:t>
            </w:r>
          </w:p>
        </w:tc>
        <w:tc>
          <w:tcPr>
            <w:tcW w:w="1081" w:type="dxa"/>
            <w:vMerge w:val="continue"/>
            <w:tcBorders>
              <w:left w:val="single" w:color="auto" w:sz="4" w:space="0"/>
              <w:right w:val="single" w:color="auto" w:sz="4" w:space="0"/>
            </w:tcBorders>
            <w:vAlign w:val="center"/>
          </w:tcPr>
          <w:p w14:paraId="0C7CB7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p>
        </w:tc>
        <w:tc>
          <w:tcPr>
            <w:tcW w:w="1082" w:type="dxa"/>
            <w:vMerge w:val="continue"/>
            <w:tcBorders>
              <w:left w:val="single" w:color="auto" w:sz="4" w:space="0"/>
              <w:right w:val="single" w:color="auto" w:sz="4" w:space="0"/>
            </w:tcBorders>
            <w:vAlign w:val="center"/>
          </w:tcPr>
          <w:p w14:paraId="6DC618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p>
        </w:tc>
      </w:tr>
      <w:tr w14:paraId="74BA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4" w:type="dxa"/>
            <w:vMerge w:val="continue"/>
            <w:tcBorders>
              <w:left w:val="single" w:color="auto" w:sz="4" w:space="0"/>
              <w:bottom w:val="single" w:color="auto" w:sz="4" w:space="0"/>
              <w:right w:val="single" w:color="auto" w:sz="4" w:space="0"/>
            </w:tcBorders>
            <w:vAlign w:val="center"/>
          </w:tcPr>
          <w:p w14:paraId="666FC5B2">
            <w:pPr>
              <w:rPr>
                <w:rFonts w:hint="eastAsia" w:ascii="仿宋" w:hAnsi="仿宋" w:eastAsia="仿宋" w:cs="仿宋"/>
                <w:color w:val="auto"/>
                <w:sz w:val="21"/>
                <w:szCs w:val="21"/>
                <w:highlight w:val="none"/>
              </w:rPr>
            </w:pPr>
          </w:p>
        </w:tc>
        <w:tc>
          <w:tcPr>
            <w:tcW w:w="1742" w:type="dxa"/>
            <w:vMerge w:val="continue"/>
            <w:tcBorders>
              <w:left w:val="single" w:color="auto" w:sz="4" w:space="0"/>
              <w:bottom w:val="single" w:color="auto" w:sz="4" w:space="0"/>
              <w:right w:val="single" w:color="auto" w:sz="4" w:space="0"/>
            </w:tcBorders>
            <w:shd w:val="clear" w:color="auto" w:fill="auto"/>
            <w:vAlign w:val="center"/>
          </w:tcPr>
          <w:p w14:paraId="579565AD">
            <w:pPr>
              <w:rPr>
                <w:rFonts w:hint="eastAsia" w:ascii="仿宋" w:hAnsi="仿宋" w:eastAsia="仿宋" w:cs="仿宋"/>
                <w:color w:val="auto"/>
                <w:sz w:val="21"/>
                <w:szCs w:val="21"/>
                <w:highlight w:val="none"/>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14:paraId="5DC56565">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地下，全智能型</w:t>
            </w:r>
          </w:p>
        </w:tc>
        <w:tc>
          <w:tcPr>
            <w:tcW w:w="1850" w:type="dxa"/>
            <w:tcBorders>
              <w:top w:val="single" w:color="auto" w:sz="4" w:space="0"/>
              <w:left w:val="single" w:color="auto" w:sz="4" w:space="0"/>
              <w:bottom w:val="single" w:color="auto" w:sz="4" w:space="0"/>
              <w:right w:val="single" w:color="auto" w:sz="4" w:space="0"/>
            </w:tcBorders>
            <w:vAlign w:val="center"/>
          </w:tcPr>
          <w:p w14:paraId="1C527FA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360.00元/套</w:t>
            </w:r>
          </w:p>
        </w:tc>
        <w:tc>
          <w:tcPr>
            <w:tcW w:w="1279" w:type="dxa"/>
            <w:tcBorders>
              <w:top w:val="single" w:color="auto" w:sz="4" w:space="0"/>
              <w:left w:val="single" w:color="auto" w:sz="4" w:space="0"/>
              <w:bottom w:val="single" w:color="auto" w:sz="4" w:space="0"/>
              <w:right w:val="single" w:color="auto" w:sz="4" w:space="0"/>
            </w:tcBorders>
            <w:vAlign w:val="center"/>
          </w:tcPr>
          <w:p w14:paraId="7AD74EF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1000套</w:t>
            </w:r>
          </w:p>
        </w:tc>
        <w:tc>
          <w:tcPr>
            <w:tcW w:w="1081" w:type="dxa"/>
            <w:vMerge w:val="continue"/>
            <w:tcBorders>
              <w:left w:val="single" w:color="auto" w:sz="4" w:space="0"/>
              <w:right w:val="single" w:color="auto" w:sz="4" w:space="0"/>
            </w:tcBorders>
            <w:vAlign w:val="center"/>
          </w:tcPr>
          <w:p w14:paraId="613A20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p>
        </w:tc>
        <w:tc>
          <w:tcPr>
            <w:tcW w:w="1082" w:type="dxa"/>
            <w:vMerge w:val="continue"/>
            <w:tcBorders>
              <w:left w:val="single" w:color="auto" w:sz="4" w:space="0"/>
              <w:right w:val="single" w:color="auto" w:sz="4" w:space="0"/>
            </w:tcBorders>
            <w:vAlign w:val="center"/>
          </w:tcPr>
          <w:p w14:paraId="1AB466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p>
        </w:tc>
      </w:tr>
      <w:tr w14:paraId="7126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FF20CA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备注说明</w:t>
            </w:r>
          </w:p>
        </w:tc>
        <w:tc>
          <w:tcPr>
            <w:tcW w:w="8641" w:type="dxa"/>
            <w:gridSpan w:val="6"/>
            <w:tcBorders>
              <w:top w:val="single" w:color="auto" w:sz="4" w:space="0"/>
              <w:left w:val="single" w:color="auto" w:sz="4" w:space="0"/>
              <w:bottom w:val="single" w:color="auto" w:sz="4" w:space="0"/>
            </w:tcBorders>
            <w:vAlign w:val="center"/>
          </w:tcPr>
          <w:p w14:paraId="6C8714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1、监测装置后续检查维护、回访复查、回访灭治所需项目任务由采购人提供；检查维护一年不少于2次；检查维护所用饵</w:t>
            </w:r>
            <w:r>
              <w:rPr>
                <w:rFonts w:ascii="仿宋" w:hAnsi="仿宋" w:eastAsia="仿宋" w:cs="仿宋"/>
                <w:color w:val="auto"/>
                <w:sz w:val="21"/>
                <w:szCs w:val="21"/>
                <w:highlight w:val="none"/>
                <w:lang w:val="en-US" w:eastAsia="zh-CN"/>
              </w:rPr>
              <w:t>料</w:t>
            </w:r>
            <w:r>
              <w:rPr>
                <w:rFonts w:hint="eastAsia" w:ascii="仿宋" w:hAnsi="仿宋" w:eastAsia="仿宋" w:cs="仿宋"/>
                <w:color w:val="auto"/>
                <w:sz w:val="21"/>
                <w:szCs w:val="21"/>
                <w:highlight w:val="none"/>
                <w:lang w:val="en-US" w:eastAsia="zh-CN"/>
              </w:rPr>
              <w:t>须与原装置匹配。</w:t>
            </w:r>
          </w:p>
          <w:p w14:paraId="7F4380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2、回访复查每个项目均按平均容积率2.5来计算用地面积。</w:t>
            </w:r>
          </w:p>
          <w:p w14:paraId="461674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3、本项目为单价招标项目，采购人不保证中标人的业务量，供应商需自行承担相关风险。</w:t>
            </w:r>
          </w:p>
          <w:p w14:paraId="29629662">
            <w:pPr>
              <w:pStyle w:val="66"/>
              <w:keepNext w:val="0"/>
              <w:keepLines w:val="0"/>
              <w:pageBreakBefore w:val="0"/>
              <w:widowControl w:val="0"/>
              <w:kinsoku/>
              <w:wordWrap/>
              <w:overflowPunct/>
              <w:topLinePunct w:val="0"/>
              <w:autoSpaceDE/>
              <w:autoSpaceDN/>
              <w:bidi w:val="0"/>
              <w:adjustRightInd/>
              <w:spacing w:line="460" w:lineRule="exact"/>
              <w:ind w:left="0" w:leftChars="0" w:firstLine="0" w:firstLineChars="0"/>
              <w:textAlignment w:val="auto"/>
              <w:rPr>
                <w:rFonts w:hint="default"/>
                <w:color w:val="auto"/>
                <w:highlight w:val="none"/>
                <w:lang w:val="en-US" w:eastAsia="zh-CN"/>
              </w:rPr>
            </w:pPr>
            <w:r>
              <w:rPr>
                <w:rFonts w:hint="eastAsia" w:ascii="仿宋" w:hAnsi="仿宋" w:eastAsia="仿宋" w:cs="仿宋"/>
                <w:color w:val="auto"/>
                <w:sz w:val="21"/>
                <w:szCs w:val="21"/>
                <w:highlight w:val="none"/>
                <w:lang w:val="en-US" w:eastAsia="zh-CN"/>
              </w:rPr>
              <w:t>4、与本项目服务相关的所有</w:t>
            </w:r>
            <w:r>
              <w:rPr>
                <w:rFonts w:hint="eastAsia" w:ascii="仿宋" w:hAnsi="仿宋" w:eastAsia="仿宋" w:cs="仿宋"/>
                <w:color w:val="auto"/>
                <w:sz w:val="21"/>
                <w:szCs w:val="21"/>
                <w:highlight w:val="none"/>
              </w:rPr>
              <w:t>新建房屋白蚁预防</w:t>
            </w:r>
            <w:r>
              <w:rPr>
                <w:rFonts w:hint="eastAsia" w:ascii="仿宋" w:hAnsi="仿宋" w:eastAsia="仿宋" w:cs="仿宋"/>
                <w:color w:val="auto"/>
                <w:sz w:val="21"/>
                <w:szCs w:val="21"/>
                <w:highlight w:val="none"/>
                <w:lang w:val="en-US" w:eastAsia="zh-CN"/>
              </w:rPr>
              <w:t>监测装置的设施设备安装，在本项目服务期限中及服务期满后或在服务期限中出现</w:t>
            </w:r>
            <w:r>
              <w:rPr>
                <w:rFonts w:hint="eastAsia" w:ascii="仿宋" w:hAnsi="仿宋" w:eastAsia="仿宋" w:cs="仿宋"/>
                <w:bCs/>
                <w:color w:val="auto"/>
                <w:sz w:val="22"/>
                <w:szCs w:val="22"/>
                <w:highlight w:val="none"/>
                <w:shd w:val="clear" w:color="auto" w:fill="auto"/>
              </w:rPr>
              <w:t>合同终止</w:t>
            </w:r>
            <w:r>
              <w:rPr>
                <w:rFonts w:hint="eastAsia" w:ascii="仿宋" w:hAnsi="仿宋" w:eastAsia="仿宋" w:cs="仿宋"/>
                <w:bCs/>
                <w:color w:val="auto"/>
                <w:sz w:val="22"/>
                <w:szCs w:val="22"/>
                <w:highlight w:val="none"/>
                <w:shd w:val="clear" w:color="auto" w:fill="auto"/>
                <w:lang w:val="en-US" w:eastAsia="zh-CN"/>
              </w:rPr>
              <w:t>的情况，</w:t>
            </w:r>
            <w:r>
              <w:rPr>
                <w:rFonts w:hint="eastAsia" w:ascii="仿宋" w:hAnsi="仿宋" w:eastAsia="仿宋" w:cs="仿宋"/>
                <w:color w:val="auto"/>
                <w:sz w:val="21"/>
                <w:szCs w:val="21"/>
                <w:highlight w:val="none"/>
                <w:lang w:val="en-US" w:eastAsia="zh-CN"/>
              </w:rPr>
              <w:t>所有设施设备的归属权、所有权均归采购人所有，中标人不得拆除。</w:t>
            </w:r>
          </w:p>
        </w:tc>
      </w:tr>
    </w:tbl>
    <w:p w14:paraId="491C6F6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60" w:lineRule="exact"/>
        <w:ind w:right="0"/>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注：项目具体实施时以采购人发出的任务单为准</w:t>
      </w:r>
      <w:r>
        <w:rPr>
          <w:rFonts w:hint="eastAsia" w:ascii="仿宋" w:hAnsi="仿宋" w:eastAsia="仿宋" w:cs="仿宋"/>
          <w:b/>
          <w:bCs/>
          <w:color w:val="auto"/>
          <w:kern w:val="0"/>
          <w:sz w:val="21"/>
          <w:szCs w:val="21"/>
          <w:highlight w:val="none"/>
          <w:lang w:val="en-US" w:eastAsia="zh-CN"/>
        </w:rPr>
        <w:t>。投标人须根据以上综合单价最高限价统一报投标综合折扣率（例如：若报价为 90.00%，即为打九折）。在项目实施过程中，根据各分项中标综合单价（中标综合单价=综合单价最高限价×中标折扣率）及任务单按实结算，投标人须自负盈亏。</w:t>
      </w:r>
    </w:p>
    <w:p w14:paraId="5961D527">
      <w:pPr>
        <w:autoSpaceDE w:val="0"/>
        <w:autoSpaceDN w:val="0"/>
        <w:adjustRightInd w:val="0"/>
        <w:spacing w:line="400" w:lineRule="exact"/>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三、服务要求</w:t>
      </w:r>
    </w:p>
    <w:p w14:paraId="24A047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中标人应严格按采购文件要求做好房屋白蚁防治施工，完成好新建房屋白蚁监测控制装置的安装（包括装置及其放样、编号、挖孔、埋置、覆土、记录整理，根据规范要求埋设数量）和检查维护（一年2次）；已安装的监测控制装置（一年不少于2次）的巡查、维护、处理（灭杀）、遗失补装；白蚁灭治公共服务；已建成房屋白蚁治理的复查、回访和发现白蚁的灭治工作；新建住宅小区全智能型监测控制装置试点项目以及应急性或上级交办的白蚁防治事件处理和其他工作。</w:t>
      </w:r>
    </w:p>
    <w:p w14:paraId="68983F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2、中标人</w:t>
      </w:r>
      <w:r>
        <w:rPr>
          <w:rFonts w:hint="eastAsia" w:ascii="仿宋" w:hAnsi="仿宋" w:eastAsia="仿宋" w:cs="仿宋"/>
          <w:color w:val="auto"/>
          <w:highlight w:val="none"/>
          <w:lang w:val="zh-CN" w:eastAsia="zh-CN"/>
        </w:rPr>
        <w:t>应建立健全各项工作制度、及时做好日常工作台账和档案等纸质资料整理。</w:t>
      </w:r>
    </w:p>
    <w:p w14:paraId="77C41C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3、中标人</w:t>
      </w:r>
      <w:r>
        <w:rPr>
          <w:rFonts w:hint="eastAsia" w:ascii="仿宋" w:hAnsi="仿宋" w:eastAsia="仿宋" w:cs="仿宋"/>
          <w:color w:val="auto"/>
          <w:highlight w:val="none"/>
          <w:lang w:val="zh-CN" w:eastAsia="zh-CN"/>
        </w:rPr>
        <w:t>在履行合同期间，不得将白蚁防治工程纸质资料遗失或拒交。遗失应补齐上交。</w:t>
      </w:r>
    </w:p>
    <w:p w14:paraId="756D2D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4、中标人</w:t>
      </w:r>
      <w:r>
        <w:rPr>
          <w:rFonts w:hint="eastAsia" w:ascii="仿宋" w:hAnsi="仿宋" w:eastAsia="仿宋" w:cs="仿宋"/>
          <w:color w:val="auto"/>
          <w:highlight w:val="none"/>
          <w:lang w:val="zh-CN" w:eastAsia="zh-CN"/>
        </w:rPr>
        <w:t>在接到房屋白蚁防治施工项目后，所有相关资料都应自行输入完成。内容包括项目信息记录、</w:t>
      </w:r>
      <w:r>
        <w:rPr>
          <w:rFonts w:ascii="仿宋" w:hAnsi="仿宋" w:eastAsia="仿宋" w:cs="仿宋"/>
          <w:color w:val="auto"/>
          <w:highlight w:val="none"/>
          <w:lang w:val="zh-CN" w:eastAsia="zh-CN"/>
        </w:rPr>
        <w:t>技术交底会议纪要</w:t>
      </w:r>
      <w:r>
        <w:rPr>
          <w:rFonts w:hint="eastAsia" w:ascii="仿宋" w:hAnsi="仿宋" w:eastAsia="仿宋" w:cs="仿宋"/>
          <w:color w:val="auto"/>
          <w:highlight w:val="none"/>
          <w:lang w:val="zh-CN" w:eastAsia="zh-CN"/>
        </w:rPr>
        <w:t>、施工方案记录、施工记录、质量检查（竣工验收）记录、征求意见记录、检查与维护记录、回访复查记录等表单，如有变动按采购人的要求执行。</w:t>
      </w:r>
    </w:p>
    <w:p w14:paraId="3D80D6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5、中标人</w:t>
      </w:r>
      <w:r>
        <w:rPr>
          <w:rFonts w:hint="eastAsia" w:ascii="仿宋" w:hAnsi="仿宋" w:eastAsia="仿宋" w:cs="仿宋"/>
          <w:color w:val="auto"/>
          <w:highlight w:val="none"/>
          <w:lang w:val="zh-CN" w:eastAsia="zh-CN"/>
        </w:rPr>
        <w:t>在执行合同期间，因达不到</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lang w:val="zh-CN" w:eastAsia="zh-CN"/>
        </w:rPr>
        <w:t>文件要求被采购人终止合同，除已竣工盖章面积结算外，其余未完工工程不予结算，并做好资料移交。</w:t>
      </w:r>
    </w:p>
    <w:p w14:paraId="3934B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6、拟投入人员、机械设备最低要求</w:t>
      </w:r>
    </w:p>
    <w:p w14:paraId="45FD5C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rPr>
        <w:t>★</w:t>
      </w:r>
      <w:r>
        <w:rPr>
          <w:rFonts w:hint="eastAsia" w:ascii="仿宋" w:hAnsi="仿宋" w:eastAsia="仿宋" w:cs="仿宋"/>
          <w:color w:val="auto"/>
          <w:highlight w:val="none"/>
          <w:lang w:val="en-US" w:eastAsia="zh-CN"/>
        </w:rPr>
        <w:t>（1）拟投入项目组人员最低要求：应设项目负责人一名，其余团队成员（含施工人员、资料员）不少于三名，组成项目组。</w:t>
      </w:r>
    </w:p>
    <w:p w14:paraId="7708F4CF">
      <w:pPr>
        <w:keepNext w:val="0"/>
        <w:keepLines w:val="0"/>
        <w:pageBreakBefore w:val="0"/>
        <w:widowControl w:val="0"/>
        <w:kinsoku/>
        <w:wordWrap/>
        <w:overflowPunct/>
        <w:topLinePunct w:val="0"/>
        <w:autoSpaceDE/>
        <w:autoSpaceDN/>
        <w:bidi w:val="0"/>
        <w:adjustRightInd/>
        <w:snapToGrid/>
        <w:spacing w:line="360" w:lineRule="auto"/>
        <w:ind w:left="437" w:leftChars="208"/>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rPr>
        <w:t>★</w:t>
      </w:r>
      <w:r>
        <w:rPr>
          <w:rFonts w:hint="eastAsia" w:ascii="仿宋" w:hAnsi="仿宋" w:eastAsia="仿宋" w:cs="仿宋"/>
          <w:color w:val="auto"/>
          <w:highlight w:val="none"/>
          <w:lang w:val="en-US" w:eastAsia="zh-CN"/>
        </w:rPr>
        <w:t>（2）项目负责人应为投标单位工作人员，从事白蚁相关工作5年（含）以上经验。</w:t>
      </w:r>
      <w:r>
        <w:rPr>
          <w:rFonts w:hint="eastAsia" w:ascii="仿宋" w:hAnsi="仿宋" w:eastAsia="仿宋" w:cs="仿宋"/>
          <w:color w:val="auto"/>
          <w:kern w:val="0"/>
          <w:sz w:val="22"/>
          <w:szCs w:val="22"/>
          <w:highlight w:val="none"/>
        </w:rPr>
        <w:t>★</w:t>
      </w:r>
      <w:r>
        <w:rPr>
          <w:rFonts w:hint="eastAsia" w:ascii="仿宋" w:hAnsi="仿宋" w:eastAsia="仿宋" w:cs="仿宋"/>
          <w:color w:val="auto"/>
          <w:highlight w:val="none"/>
          <w:lang w:val="en-US" w:eastAsia="zh-CN"/>
        </w:rPr>
        <w:t>（3）施工技术人员应为投标单位工作人员，须持有《白蚁防治专业人员岗位证书》或《白蚁防治行业从业人员职业培训证书》。</w:t>
      </w:r>
    </w:p>
    <w:p w14:paraId="0889B12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2"/>
          <w:szCs w:val="22"/>
          <w:highlight w:val="none"/>
        </w:rPr>
        <w:t>★</w:t>
      </w:r>
      <w:r>
        <w:rPr>
          <w:rFonts w:hint="eastAsia" w:ascii="仿宋" w:hAnsi="仿宋" w:eastAsia="仿宋" w:cs="仿宋"/>
          <w:color w:val="auto"/>
          <w:highlight w:val="none"/>
          <w:lang w:val="en-US" w:eastAsia="zh-CN"/>
        </w:rPr>
        <w:t>（4）机械设备：中标人须投入本标项的白蚁防治专用汽车不少于1辆。</w:t>
      </w:r>
    </w:p>
    <w:p w14:paraId="33015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中标人在提供上述的设施设备外，还须根据实际需求</w:t>
      </w:r>
      <w:r>
        <w:rPr>
          <w:rFonts w:hint="eastAsia" w:ascii="仿宋" w:hAnsi="仿宋" w:eastAsia="仿宋" w:cs="仿宋"/>
          <w:color w:val="auto"/>
          <w:highlight w:val="none"/>
        </w:rPr>
        <w:t>配备</w:t>
      </w:r>
      <w:r>
        <w:rPr>
          <w:rFonts w:hint="eastAsia" w:ascii="仿宋" w:hAnsi="仿宋" w:eastAsia="仿宋" w:cs="仿宋"/>
          <w:color w:val="auto"/>
          <w:highlight w:val="none"/>
          <w:lang w:val="en-US" w:eastAsia="zh-CN"/>
        </w:rPr>
        <w:t>必要的白蚁防治其他设备、工具、药物、统一工作服、劳保用品等。</w:t>
      </w:r>
    </w:p>
    <w:p w14:paraId="224F8B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bookmarkStart w:id="29" w:name="_Toc483577251"/>
      <w:r>
        <w:rPr>
          <w:rFonts w:hint="eastAsia" w:ascii="仿宋" w:hAnsi="仿宋" w:eastAsia="仿宋" w:cs="仿宋"/>
          <w:color w:val="auto"/>
          <w:highlight w:val="none"/>
          <w:lang w:val="en-US" w:eastAsia="zh-CN"/>
        </w:rPr>
        <w:t>7、工作范围、内容及相关要求</w:t>
      </w:r>
      <w:bookmarkEnd w:id="29"/>
      <w:r>
        <w:rPr>
          <w:rFonts w:hint="eastAsia" w:ascii="仿宋" w:hAnsi="仿宋" w:eastAsia="仿宋" w:cs="仿宋"/>
          <w:color w:val="auto"/>
          <w:highlight w:val="none"/>
          <w:lang w:val="en-US" w:eastAsia="zh-CN"/>
        </w:rPr>
        <w:t>：</w:t>
      </w:r>
    </w:p>
    <w:p w14:paraId="5B2F03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7.1新建房屋白蚁预防。新建房屋白蚁预防属公共服务，由采购人（以下统称白蚁防治机构）受理登记，向建设单位出具《新建房屋白蚁预防证书》。中标人（以下统称白蚁防治施工单位）应按浙江省工程建设标准《房屋白蚁监测控制系统应用技术规程》（DB 33/T 1108-2018）标准（以下简称规程）和白蚁防治机构特定要求及相关规章制度，做好新建房屋白蚁预防施工，确保工程质量。凡接到白蚁防治机构预防施工项目后，白蚁防治施工单位应按以下要求做出积极响应。</w:t>
      </w:r>
    </w:p>
    <w:p w14:paraId="75BC33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白蚁防治施工单位工作职责：预防项目委托后，必须在当天或第二天进行施工联系并进行现场踏勘，建立项目信息表，掌握建筑工程施工进度，按照《规程》要求做好流程控制和过程管理，及时跟进施工；室外绿化或附属工程完工后，必须2天内到现场安装监测装置，若有应急需求的须在当天或第二天到现场安装监测装置。按照施工方案组织现场施工、质量验收等。要求项目管理（包括质量与技术管理）、企业与员工管理、安全施工管理、药械使用与仓库管理、项目资料交接与档案管理等制度齐全，规范填写相关表格，确保工程质量。工程完工后，按规定移交完整的项目资料并接受防治机构质量验收检查，质量不符合要求和规定的应进行整改直到合格为止。</w:t>
      </w:r>
    </w:p>
    <w:p w14:paraId="5F060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施工现场调查：掌握建筑施工进度，进行现场踏勘时，应对施工现场情况进行调查。内容包括：①房屋四周的土质、绿化、道路情况；②各种地下管线铺设情况和穿透房屋的部位；③白蚁的种类、危害部位和危害程度。调查结束后，填写《新建预防项目信息登记表》。在施工现场有白蚁防治机构和施工单位、工程建设单位、监理单位召开工程现场技术交底会议，填写《工程现场技术交底会议签到表》、《工程现场技术交底会议纪要》，然后编制施工方案，填写《房屋白蚁监测控制工程施工计划表》。施工方案须包括监测装置安装位置、数量与安装施工安排。监测装置安装要求：①监测装置宜安装在距离房屋外墙500mm～1000mm的土壤中，有散水坡的，宜安装在距离散水坡100mm～500mm内，监测装置与房屋外墙之间宜保持同一安装距离，监测装置的安装间距规定为3000mm～5000mm（白蚁防治机构可视情况变化酌情调整）。②对混凝土、沥青等硬化地面，当长度小于5000mm时，可在其边缘安装监测装置；长度大于或等于5000mm，可不安装监测装置。③已经药物处理或被化学物质污染的土壤中，不得安装监测装置。施工方案经审核合格后方可实施，当现场调查发现蚁害时，应及时进行灭治处理。</w:t>
      </w:r>
    </w:p>
    <w:p w14:paraId="788981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（3）安装监测装置应在室外绿化或附属工程完工后进行，应按预防施工方案组织施工，如施工过程中出现特殊情况，应及时向施工方案设计人反馈，对施工方案进行适当调整，而后按调整后的施工方案施工。</w:t>
      </w:r>
    </w:p>
    <w:p w14:paraId="4F8A71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安装监测装置时，应有建设单位人员陪同，并向建设单位或施工（监理）单位告知安全防范应注意事项，避免触及地下管线引起安全事故，做好现场施工安全措施。监测装置应统一编号，做好现场标识，并画标示图标记装置位置，填写《房屋白蚁监测控制工程施工记录表》，由建设单位（或相关单位）共同签字鉴证。</w:t>
      </w:r>
    </w:p>
    <w:p w14:paraId="41ED3E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（5）白蚁防治施工单位应实行项目负责人制度，项目负责人具体负责项目的现场勘查、方案编制和施工管理等工作。</w:t>
      </w:r>
    </w:p>
    <w:p w14:paraId="3B3B27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预防项目竣工后，白蚁防治施工单位应如实填写《房屋白蚁监测装置安装质量验收表》，做好质量自检，由建设单位（或有关单位）对预防服务质量进行评价、签字盖章，对施工情况和所有检查与维护记录进行汇总，建立预防档案，于项目竣工后3天内拍摄《房屋白蚁监测控制工程施工记录表》和标示图，发到微信工作群向白蚁防治机构进行交接。由白蚁防治机构向建设单位出具《新建房屋白蚁预防证书》。完整的纸质材料于每月月底前整理汇总，提交白蚁防治机构验收、归档。</w:t>
      </w:r>
    </w:p>
    <w:p w14:paraId="4BE3D1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验收内容包括：①施工现场调查与蚁害处理情况；②施工方案编制及实施情况；③监测装置的类型及产品质量；④监测装置的安装数量和安装质量。质量验收资料应完整，资料包括：①《新建预防项目信息登记表》；②《工程现场技术交底会议签到表》；③《工程现场技术交底会议纪要》；④《房屋白蚁监测控制工程施工计划表》；⑤《房屋白蚁监测控制工程施工记录表》；⑥《房屋白蚁监测装置安装质量验收表》；⑦标示图；</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eq \o\ac(○,8)</w:instrTex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安全施工记录；</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eq \o\ac(○,9)</w:instrTex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反映每幢监测装置数量的照片。</w:t>
      </w:r>
    </w:p>
    <w:p w14:paraId="44B382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7.2监控装置后续检查维护</w:t>
      </w:r>
    </w:p>
    <w:p w14:paraId="63597E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监控装置后续检查维护任务由采购人提供。检查维护宜在白蚁活动期即每年的2月-10月进行，日常检查应包括装置运行情况、白蚁入侵情况、饵料质量情况、安装环境变化情况等内容；当发现监测装置不能正常运行时应进行维护，日常维护应包含更换装置内发霉、腐烂的饵料、清除装置四周的灌木、杂草、清除装置内的泥土、树根、草根等、驱赶进入装置内的其他生物；根据安装环境的变化，调整松动、积水和遭破坏的装置位置的安装位置，重新安装或增减装置的数量。一年检查应不少于2次。</w:t>
      </w:r>
    </w:p>
    <w:p w14:paraId="2A06E0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（2）检查时未发现白蚁个体，而饵料被取食量达到50%及以上应更换饵料，其后每2周检查一次，直到发现白蚁个体或连续3次均未发现白蚁入侵为止。</w:t>
      </w:r>
    </w:p>
    <w:p w14:paraId="21E04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（3）当监测到大量白蚁时，应采取喷粉剂处理或投放饵剂，并将装置恢复原状，其后每月检查1次，直到白蚁群体被灭杀。</w:t>
      </w:r>
    </w:p>
    <w:p w14:paraId="4548CC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（4）当监测到少量白蚁个体且饵料消耗量少于50%，宜投放饵剂，其后每月检查一次，直到白蚁群体被灭杀。</w:t>
      </w:r>
    </w:p>
    <w:p w14:paraId="2C4B7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监控装置监测到白蚁后，须进行种类鉴定，并拍摄白蚁危害现场照片，采集白蚁标本，做好相关记录，留档待查。经药物处理并确定白蚁群体被杀灭后，应对该装置进行清理，投放新饵料，或安装新的监测装置。</w:t>
      </w:r>
    </w:p>
    <w:p w14:paraId="1A3078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检查维护与处理结束后，填写《房屋白蚁监测控制工程检查与维护记录表》，并于项目竣工后3天内拍摄表格照片，发到微信工作群向白蚁防治机构进行交接；纸质材料于每月月底前整理汇总，提交白蚁防治机构验收、归档。</w:t>
      </w:r>
    </w:p>
    <w:p w14:paraId="046F27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（7）检查时发现监测装置安装位置与存档标示图不一致，出现缺失的，由中标人负责补足，费用不另行计取，含在检查维护综合单价内。</w:t>
      </w:r>
    </w:p>
    <w:p w14:paraId="1F548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7.3回访复查</w:t>
      </w:r>
    </w:p>
    <w:p w14:paraId="31F7D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回访复查任务由采购人提供。一般安排在3月-10月进行，通过“一问、二查、三宣传”的方式进行回访。一是询问室内外有无白蚁纷飞或危害活动现象；二是全面查看室内有无白蚁蚁路、分飞孔、排泄物等蚁害外露迹象，并对门框、门套和踢脚板等房屋木构件、装饰装修木料进行检查，尤其对卫生间、厨房间及容易渗漏水等潮湿处附件木料进行仔细检查，并查看室外小区绿化树木有无白蚁分飞和危害活动；三是宣传白蚁防治知识，分发科普宣传资料，告知广大业主和群众房屋建筑,尤其钢筋混凝土结构建筑为何会发生蚁害、如何去发现蚁害、发现蚁害如何处理、如何第一时间消灭有翅成虫、家居生活如何预防蚁害等科普知识。</w:t>
      </w:r>
    </w:p>
    <w:p w14:paraId="356B8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回访复查时若发现房屋有蚁害，应无偿灭治处理，不得收取灭治费用。根据不同白蚁种类与危害现状采取不同灭治方法。黄胸散白蚁通常采取液剂药杀法、粉剂药杀法、饵剂药杀法；台湾乳白蚁通常采取粉剂药杀法、饵剂药杀法、诱杀法，直到白蚁群体被杀灭为止。然后须对白蚁进行种类鉴定，并拍摄白蚁危害现场照片，采集白蚁标本，做好相关记录，留档待查。</w:t>
      </w:r>
    </w:p>
    <w:p w14:paraId="1C4CBD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（3）回访复查结束后，填写《房屋白蚁预防工程（药物屏障）复查回访表》，于3天内拍摄表格照片发到微信工作群向白蚁防治机构进行交接；纸质材料于每月月底前整理汇总，提交白蚁防治机构验收、归档。</w:t>
      </w:r>
    </w:p>
    <w:p w14:paraId="5AF373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7.4白蚁灭治</w:t>
      </w:r>
    </w:p>
    <w:p w14:paraId="7366E5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（1）根据本招标文件要求，接到采购人白蚁灭治施工任务后，中标人应在2个工作日内组织技术人员进行现场灭治处理，应急处理件务必在受理的当天或第二天内完成灭治，不得收取灭治费用。</w:t>
      </w:r>
    </w:p>
    <w:p w14:paraId="4F602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（2）须对白蚁进行种类鉴定，并拍摄白蚁危害现场照片，采集白蚁标本，做好相关记录，留档待查。</w:t>
      </w:r>
    </w:p>
    <w:p w14:paraId="66F28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（3）灭治完成后填写《房屋白蚁灭治施工单》和《房屋白蚁灭治征求意见表》，提交白蚁防治机构。</w:t>
      </w:r>
    </w:p>
    <w:p w14:paraId="53FBF6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bookmarkStart w:id="30" w:name="_Toc4265"/>
      <w:r>
        <w:rPr>
          <w:rFonts w:hint="eastAsia" w:ascii="仿宋" w:hAnsi="仿宋" w:eastAsia="仿宋" w:cs="仿宋"/>
          <w:color w:val="auto"/>
          <w:highlight w:val="none"/>
          <w:lang w:val="en-US" w:eastAsia="zh-CN"/>
        </w:rPr>
        <w:t>8、质量检查</w:t>
      </w:r>
      <w:bookmarkEnd w:id="30"/>
      <w:r>
        <w:rPr>
          <w:rFonts w:hint="eastAsia" w:ascii="仿宋" w:hAnsi="仿宋" w:eastAsia="仿宋" w:cs="仿宋"/>
          <w:color w:val="auto"/>
          <w:highlight w:val="none"/>
          <w:lang w:val="en-US" w:eastAsia="zh-CN"/>
        </w:rPr>
        <w:t>要求</w:t>
      </w:r>
    </w:p>
    <w:p w14:paraId="0716B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8.1新建房屋白蚁预防质量检查要求</w:t>
      </w:r>
    </w:p>
    <w:p w14:paraId="4C2C7E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严格按照上述规定，组织施工现场调查、蚁害处理、召开工程现场技术交底会、编制施工方案、精心组织施工，并认真开展工程质量自检自查工作。施工方案应切实可行，有准确详尽的项目信息记录、施工方案记录、施工记录及质检记录。</w:t>
      </w:r>
    </w:p>
    <w:p w14:paraId="150E34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应设立安全管理员，负责施工安全，白蚁防治施工单位应建立完善的安全生产管理制度和应急机制；施工现场，白蚁防治施工单位应遵守现场安全管理制度，穿戴必要的安全防护用品，注意用电安全和个人防护，对施工人员投保工地意外险或作业险，保证施工安全。严格按设计方案施工，安装监测装置过程应注意地下管线安装情况，避免触及地下管线。</w:t>
      </w:r>
    </w:p>
    <w:p w14:paraId="441C34B1">
      <w:pPr>
        <w:numPr>
          <w:ilvl w:val="0"/>
          <w:numId w:val="0"/>
        </w:num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szCs w:val="21"/>
          <w:highlight w:val="none"/>
        </w:rPr>
        <w:t>在合同签订前</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中标人须针对本项目购置人员及作业相关保险，在项目实施过程中，一旦发生</w:t>
      </w:r>
      <w:r>
        <w:rPr>
          <w:rFonts w:hint="eastAsia" w:ascii="仿宋" w:hAnsi="仿宋" w:eastAsia="仿宋" w:cs="仿宋"/>
          <w:b/>
          <w:bCs/>
          <w:color w:val="auto"/>
          <w:highlight w:val="none"/>
          <w:lang w:val="en-US" w:eastAsia="zh-CN"/>
        </w:rPr>
        <w:t>安全生产事故，责任由中标人全部自负，投标人须在投标文件中对此作出承诺。（格式详见“第六章 投标文件”格式十）</w:t>
      </w:r>
      <w:r>
        <w:rPr>
          <w:rFonts w:hint="eastAsia" w:ascii="仿宋" w:hAnsi="仿宋" w:eastAsia="仿宋" w:cs="仿宋"/>
          <w:b/>
          <w:bCs/>
          <w:color w:val="auto"/>
          <w:szCs w:val="21"/>
          <w:highlight w:val="none"/>
        </w:rPr>
        <w:t>。</w:t>
      </w:r>
    </w:p>
    <w:p w14:paraId="66949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（3）白蚁防治施工单位应建立预防施工档案，完善档案管理；设立档案管理员，制定资料台帐与档案管理制度。</w:t>
      </w:r>
    </w:p>
    <w:p w14:paraId="7295D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（4）白蚁防治机构将按相关要求对施工质量进行验收检查，委托第三方进行质量检查与评估。验收检查、质量评估不合格的责令整改，直到合格为止。</w:t>
      </w:r>
    </w:p>
    <w:p w14:paraId="6C4280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8.2监控装置后续检查维护质量检查要求</w:t>
      </w:r>
    </w:p>
    <w:p w14:paraId="01578F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（1）应按上述工作要求如实开展监测装置的检查，饵料更换、装置清理（调整）。</w:t>
      </w:r>
    </w:p>
    <w:p w14:paraId="4EB643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（2）检查时若发现白蚁，应按上述要求进行灭治处理。</w:t>
      </w:r>
    </w:p>
    <w:p w14:paraId="7F566C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（3）根据《规程》要求，如实填写《房屋白蚁监测控制工程检查与维护记录表》，按原图编号标注已清理（调整）、更换霉烂严重饵料，装置编号模糊的应重新编号，不得弄虚作假。</w:t>
      </w:r>
    </w:p>
    <w:p w14:paraId="57BFDA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（4）白蚁防治机构将按相关要求对施工质量进行验收检查，质量不合格的责令整改，直到合格为止。</w:t>
      </w:r>
    </w:p>
    <w:p w14:paraId="234392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8.3回访复查质量检查要求</w:t>
      </w:r>
    </w:p>
    <w:p w14:paraId="470AC2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（1）应按上述工作要求如实开展回访复查工作。</w:t>
      </w:r>
    </w:p>
    <w:p w14:paraId="74160D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（2）复查时若发现白蚁危害，按上述要求进行灭治处理，不得收取灭治费。</w:t>
      </w:r>
    </w:p>
    <w:p w14:paraId="6CCB21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（3）根据《药物屏障预防房屋白蚁技术规程》（DB33T/1017-2018）要求，如实填写《房屋白蚁预防工程（药物屏障）复查回访表》，不得弄虚作假。</w:t>
      </w:r>
    </w:p>
    <w:p w14:paraId="196531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（4）白蚁防治机构将对回访复查进行质量检查，质量不合格的责令整改，直到合格为止。</w:t>
      </w:r>
    </w:p>
    <w:p w14:paraId="2B2A3F07">
      <w:pPr>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highlight w:val="none"/>
          <w:lang w:val="en-US" w:eastAsia="zh-CN"/>
        </w:rPr>
        <w:t>8.4白蚁灭治质量要求：</w:t>
      </w:r>
      <w:r>
        <w:rPr>
          <w:rFonts w:hint="eastAsia" w:ascii="仿宋" w:hAnsi="仿宋" w:eastAsia="仿宋" w:cs="仿宋"/>
          <w:color w:val="auto"/>
          <w:sz w:val="21"/>
          <w:szCs w:val="21"/>
          <w:highlight w:val="none"/>
        </w:rPr>
        <w:t>符合我国国家有关技术规范要求和技术标准。</w:t>
      </w:r>
    </w:p>
    <w:p w14:paraId="612B46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bookmarkStart w:id="31" w:name="_Toc20795"/>
      <w:bookmarkStart w:id="32" w:name="_Toc24159"/>
      <w:bookmarkStart w:id="33" w:name="_Toc7070"/>
      <w:r>
        <w:rPr>
          <w:rFonts w:hint="eastAsia" w:ascii="仿宋" w:hAnsi="仿宋" w:eastAsia="仿宋" w:cs="仿宋"/>
          <w:color w:val="auto"/>
          <w:highlight w:val="none"/>
          <w:lang w:val="en-US" w:eastAsia="zh-CN"/>
        </w:rPr>
        <w:t>中标人应遵循“一问、二查、三分析”的灭治方法，做到认真询问、仔细查找、全面分析、合规用药。</w:t>
      </w:r>
    </w:p>
    <w:p w14:paraId="3F3F75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（2）中标人应以根治为目的，制定科学治理方案。做好蚁害源头治理和区域控制，务求实效和环保，提倡治理和科普并重。</w:t>
      </w:r>
    </w:p>
    <w:p w14:paraId="3AE7A63D">
      <w:pPr>
        <w:keepNext w:val="0"/>
        <w:keepLines w:val="0"/>
        <w:pageBreakBefore w:val="0"/>
        <w:widowControl w:val="0"/>
        <w:kinsoku/>
        <w:wordWrap/>
        <w:overflowPunct/>
        <w:topLinePunct w:val="0"/>
        <w:autoSpaceDE/>
        <w:autoSpaceDN/>
        <w:adjustRightInd/>
        <w:snapToGrid/>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（3）发现白蚁后，须进行种类鉴定，并拍摄白蚁危害现场照片，采集白蚁标本，做好相关记录，留档待查。</w:t>
      </w:r>
    </w:p>
    <w:p w14:paraId="698DDB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9、其他服务要求</w:t>
      </w:r>
    </w:p>
    <w:p w14:paraId="637AF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（1）中标人需按采购人要求开展白蚁防治科普宣传活动，一年不少于2次。</w:t>
      </w:r>
    </w:p>
    <w:p w14:paraId="68D110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四、整改措施</w:t>
      </w:r>
      <w:bookmarkEnd w:id="31"/>
      <w:bookmarkEnd w:id="32"/>
      <w:bookmarkEnd w:id="33"/>
    </w:p>
    <w:p w14:paraId="7F08EB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量检查中若发现监测装置安装位置明显不符合技术规程和招标文件要求，或实际操作与标示图、《房屋白蚁监测装置安装质量验收表》填写内容明显不符，安装数量存在明显弄虚作假等质量问题，则对该工程质量做不合格处理，发整改通知书，要求当天或第二天内整改到位、提交书面整改报告书，扣除5000元，在经费结算时扣除；若整改仍不到位，则该工程经费不予结算，直到整改到位为止，否则再扣除5000元。</w:t>
      </w:r>
    </w:p>
    <w:p w14:paraId="185DC4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预防项目交接后，若不按时施工，造成建设单位或住户不满意意见反馈，口头责令当天或第二天做出整改响应；若仍无故拖拉，则发整改通知书，要求当天或第二天整改到位、提交书面整改报告书，扣除5000元，在经费结算时扣除；若再出现上述工程质量问题，再发整改通知书，该工程经费不予结算，直到整改到位为止，否则再扣除5000元。</w:t>
      </w:r>
    </w:p>
    <w:p w14:paraId="54DCB6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监控装置后续检查维护应按上述质量管理要求检查维护到位，如质量检查中发现实际操作与《房屋白蚁监测控制工程检查与维护记录表》填写内容明显不符，工作敷衍了事，存在弄虚作假行为的，则发整改通知书责令当天或第二天整改到位，并要求提交书面整改报告书，扣除5000元，在经费结算时扣除；若整改仍不到位，该工程项目经费不予结算，直到整改到位为止，否则再扣除5000元。</w:t>
      </w:r>
    </w:p>
    <w:p w14:paraId="11DDDC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回访复查应按上述质量管理要求回访复查到位，如质量检查中发现实际操作与《房屋白蚁预防工程（药物屏障）复查回访表》填写内容明显不符，存在明显弄虚作假行为，则发整改通知书责令整改，要求提交书面整改报告书，扣除5000元，在经费结算时扣除；若整改仍不到位，该工程项目经费不予结算，直到整改到位为止，否则再扣除5000元。</w:t>
      </w:r>
    </w:p>
    <w:p w14:paraId="016E0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5、未尽事宜，按照国家和地方有关房屋白蚁防治的施工技术规程和采购人相关要求执行。</w:t>
      </w:r>
    </w:p>
    <w:p w14:paraId="3A5ED5CB">
      <w:pPr>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lang w:val="en-US" w:eastAsia="zh-CN"/>
        </w:rPr>
        <w:t>五</w:t>
      </w:r>
      <w:r>
        <w:rPr>
          <w:rFonts w:hint="eastAsia" w:ascii="仿宋" w:hAnsi="仿宋" w:eastAsia="仿宋" w:cs="仿宋"/>
          <w:b/>
          <w:color w:val="auto"/>
          <w:sz w:val="24"/>
          <w:szCs w:val="22"/>
          <w:highlight w:val="none"/>
        </w:rPr>
        <w:t>、白蚁监测装置设备参数及功能要求</w:t>
      </w:r>
    </w:p>
    <w:tbl>
      <w:tblPr>
        <w:tblStyle w:val="51"/>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253"/>
      </w:tblGrid>
      <w:tr w14:paraId="0FE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26" w:type="dxa"/>
            <w:noWrap w:val="0"/>
            <w:vAlign w:val="center"/>
          </w:tcPr>
          <w:p w14:paraId="7360DD0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8253" w:type="dxa"/>
            <w:noWrap w:val="0"/>
            <w:vAlign w:val="center"/>
          </w:tcPr>
          <w:p w14:paraId="0D2B042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技术要求</w:t>
            </w:r>
          </w:p>
        </w:tc>
      </w:tr>
      <w:tr w14:paraId="1060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6" w:type="dxa"/>
            <w:noWrap w:val="0"/>
            <w:vAlign w:val="center"/>
          </w:tcPr>
          <w:p w14:paraId="7649B2C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w:t>
            </w:r>
          </w:p>
        </w:tc>
        <w:tc>
          <w:tcPr>
            <w:tcW w:w="8253" w:type="dxa"/>
            <w:noWrap w:val="0"/>
            <w:vAlign w:val="center"/>
          </w:tcPr>
          <w:p w14:paraId="2796835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新建房屋白蚁预防</w:t>
            </w:r>
            <w:r>
              <w:rPr>
                <w:rFonts w:hint="eastAsia" w:ascii="仿宋" w:hAnsi="仿宋" w:eastAsia="仿宋" w:cs="仿宋"/>
                <w:b/>
                <w:bCs/>
                <w:color w:val="auto"/>
                <w:sz w:val="21"/>
                <w:szCs w:val="21"/>
                <w:highlight w:val="none"/>
                <w:lang w:val="en-US" w:eastAsia="zh-CN"/>
              </w:rPr>
              <w:t>安装监测装置（地下型，含饵剂）</w:t>
            </w:r>
          </w:p>
        </w:tc>
      </w:tr>
      <w:tr w14:paraId="4CFE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26" w:type="dxa"/>
            <w:noWrap w:val="0"/>
            <w:vAlign w:val="center"/>
          </w:tcPr>
          <w:p w14:paraId="558A96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253" w:type="dxa"/>
            <w:noWrap w:val="0"/>
            <w:vAlign w:val="center"/>
          </w:tcPr>
          <w:p w14:paraId="2EEAE49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白蚁监测装置外壳要求为圆柱体，尺寸规格参考尺寸为：柱体外径</w:t>
            </w:r>
            <w:r>
              <w:rPr>
                <w:rFonts w:hint="eastAsia" w:ascii="仿宋" w:hAnsi="仿宋" w:eastAsia="仿宋" w:cs="仿宋"/>
                <w:color w:val="auto"/>
                <w:sz w:val="21"/>
                <w:szCs w:val="21"/>
                <w:highlight w:val="none"/>
                <w:lang w:val="en-US" w:eastAsia="zh-CN"/>
              </w:rPr>
              <w:t>90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120</w:t>
            </w:r>
            <w:r>
              <w:rPr>
                <w:rFonts w:hint="eastAsia" w:ascii="仿宋" w:hAnsi="仿宋" w:eastAsia="仿宋" w:cs="仿宋"/>
                <w:color w:val="auto"/>
                <w:sz w:val="21"/>
                <w:szCs w:val="21"/>
                <w:highlight w:val="none"/>
              </w:rPr>
              <w:t>mm，</w:t>
            </w:r>
            <w:r>
              <w:rPr>
                <w:rFonts w:hint="eastAsia" w:ascii="仿宋" w:hAnsi="仿宋" w:eastAsia="仿宋" w:cs="仿宋"/>
                <w:color w:val="auto"/>
                <w:sz w:val="21"/>
                <w:szCs w:val="21"/>
                <w:highlight w:val="none"/>
                <w:lang w:val="en-US" w:eastAsia="zh-CN"/>
              </w:rPr>
              <w:t>内径不小于60mm，</w:t>
            </w:r>
            <w:r>
              <w:rPr>
                <w:rFonts w:hint="eastAsia" w:ascii="仿宋" w:hAnsi="仿宋" w:eastAsia="仿宋" w:cs="仿宋"/>
                <w:color w:val="auto"/>
                <w:sz w:val="21"/>
                <w:szCs w:val="21"/>
                <w:highlight w:val="none"/>
              </w:rPr>
              <w:t>高度</w:t>
            </w:r>
            <w:r>
              <w:rPr>
                <w:rFonts w:hint="eastAsia" w:ascii="仿宋" w:hAnsi="仿宋" w:eastAsia="仿宋" w:cs="仿宋"/>
                <w:color w:val="auto"/>
                <w:sz w:val="21"/>
                <w:szCs w:val="21"/>
                <w:highlight w:val="none"/>
                <w:lang w:val="en-US" w:eastAsia="zh-CN"/>
              </w:rPr>
              <w:t>190</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0mm。</w:t>
            </w:r>
          </w:p>
        </w:tc>
      </w:tr>
      <w:tr w14:paraId="1B10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26" w:type="dxa"/>
            <w:noWrap w:val="0"/>
            <w:vAlign w:val="center"/>
          </w:tcPr>
          <w:p w14:paraId="173A6F9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3" w:type="dxa"/>
            <w:noWrap w:val="0"/>
            <w:vAlign w:val="center"/>
          </w:tcPr>
          <w:p w14:paraId="318D4A16">
            <w:pPr>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白蚁</w:t>
            </w:r>
            <w:r>
              <w:rPr>
                <w:rFonts w:hint="eastAsia" w:ascii="仿宋" w:hAnsi="仿宋" w:eastAsia="仿宋" w:cs="仿宋"/>
                <w:color w:val="auto"/>
                <w:sz w:val="21"/>
                <w:szCs w:val="21"/>
                <w:highlight w:val="none"/>
              </w:rPr>
              <w:t>监测</w:t>
            </w:r>
            <w:r>
              <w:rPr>
                <w:rFonts w:hint="eastAsia" w:ascii="仿宋" w:hAnsi="仿宋" w:eastAsia="仿宋" w:cs="仿宋"/>
                <w:bCs/>
                <w:color w:val="auto"/>
                <w:sz w:val="21"/>
                <w:szCs w:val="21"/>
                <w:highlight w:val="none"/>
              </w:rPr>
              <w:t>装置塑料外壳质量：按照《DB33/T 1108-2018房屋白蚁监测控制技术规程》：</w:t>
            </w:r>
          </w:p>
          <w:p w14:paraId="6F3C2A1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rPr>
              <w:t>满足邵氏硬度值不低于</w:t>
            </w:r>
            <w:r>
              <w:rPr>
                <w:rFonts w:hint="eastAsia" w:ascii="仿宋" w:hAnsi="仿宋" w:eastAsia="仿宋" w:cs="仿宋"/>
                <w:bCs/>
                <w:color w:val="auto"/>
                <w:sz w:val="21"/>
                <w:szCs w:val="21"/>
                <w:highlight w:val="none"/>
                <w:lang w:val="en-US" w:eastAsia="zh-CN"/>
              </w:rPr>
              <w:t>85</w:t>
            </w:r>
            <w:r>
              <w:rPr>
                <w:rFonts w:hint="eastAsia" w:ascii="仿宋" w:hAnsi="仿宋" w:eastAsia="仿宋" w:cs="仿宋"/>
                <w:bCs/>
                <w:color w:val="auto"/>
                <w:sz w:val="21"/>
                <w:szCs w:val="21"/>
                <w:highlight w:val="none"/>
              </w:rPr>
              <w:t>；密度介于1350-1550mg/cm3；坠落试验测试结果合格；烘箱试验测试结果合格；环柔性测试结果合格；拉伸强度不小于35Mpa；有毒有害物质检测报告；紫外线测试报告。</w:t>
            </w:r>
          </w:p>
        </w:tc>
      </w:tr>
      <w:tr w14:paraId="6C41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6" w:type="dxa"/>
            <w:noWrap w:val="0"/>
            <w:vAlign w:val="center"/>
          </w:tcPr>
          <w:p w14:paraId="5CA9CB7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8253" w:type="dxa"/>
            <w:noWrap w:val="0"/>
            <w:vAlign w:val="center"/>
          </w:tcPr>
          <w:p w14:paraId="73C453A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装置芯材采用干燥松木,松木不少于6块。</w:t>
            </w:r>
          </w:p>
        </w:tc>
      </w:tr>
      <w:tr w14:paraId="5EB3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6" w:type="dxa"/>
            <w:noWrap w:val="0"/>
            <w:vAlign w:val="center"/>
          </w:tcPr>
          <w:p w14:paraId="73711EE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3" w:type="dxa"/>
            <w:noWrap w:val="0"/>
            <w:vAlign w:val="center"/>
          </w:tcPr>
          <w:p w14:paraId="360BC72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装置外壳：要求无明显气味；壳体壁厚度﹥2mm，外表整体光洁，无裂痕</w:t>
            </w:r>
            <w:r>
              <w:rPr>
                <w:rFonts w:hint="eastAsia" w:ascii="仿宋" w:hAnsi="仿宋" w:eastAsia="仿宋" w:cs="仿宋"/>
                <w:color w:val="auto"/>
                <w:sz w:val="21"/>
                <w:szCs w:val="21"/>
                <w:highlight w:val="none"/>
                <w:lang w:eastAsia="zh-CN"/>
              </w:rPr>
              <w:t>。外壳材质应为对白蚁无趋避作用，无毒无味的塑料，外壳在野外安装后应耐老化，可重复使用，使用寿命不低于15年。</w:t>
            </w:r>
          </w:p>
        </w:tc>
      </w:tr>
      <w:tr w14:paraId="0744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6" w:type="dxa"/>
            <w:noWrap w:val="0"/>
            <w:vAlign w:val="center"/>
          </w:tcPr>
          <w:p w14:paraId="52578E6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8253" w:type="dxa"/>
            <w:noWrap w:val="0"/>
            <w:vAlign w:val="center"/>
          </w:tcPr>
          <w:p w14:paraId="712DFE3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产品具有注册商标、使用说明书、合格证。</w:t>
            </w:r>
          </w:p>
        </w:tc>
      </w:tr>
      <w:tr w14:paraId="6928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6" w:type="dxa"/>
            <w:noWrap w:val="0"/>
            <w:vAlign w:val="center"/>
          </w:tcPr>
          <w:p w14:paraId="6A34F0B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8253" w:type="dxa"/>
            <w:noWrap w:val="0"/>
            <w:vAlign w:val="center"/>
          </w:tcPr>
          <w:p w14:paraId="6B67975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盖子背面加贴符合需求</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编号。</w:t>
            </w:r>
          </w:p>
        </w:tc>
      </w:tr>
      <w:tr w14:paraId="36FF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26" w:type="dxa"/>
            <w:noWrap w:val="0"/>
            <w:vAlign w:val="center"/>
          </w:tcPr>
          <w:p w14:paraId="47A8C14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8253" w:type="dxa"/>
            <w:noWrap w:val="0"/>
            <w:vAlign w:val="center"/>
          </w:tcPr>
          <w:p w14:paraId="27C0CBE7">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拟投入房屋白蚁防治药物有</w:t>
            </w:r>
            <w:r>
              <w:rPr>
                <w:rFonts w:hint="eastAsia" w:ascii="仿宋" w:hAnsi="仿宋" w:eastAsia="仿宋" w:cs="仿宋"/>
                <w:color w:val="auto"/>
                <w:spacing w:val="16"/>
                <w:sz w:val="21"/>
                <w:szCs w:val="21"/>
                <w:highlight w:val="none"/>
                <w:lang w:eastAsia="zh-CN"/>
              </w:rPr>
              <w:t>粉剂、饵剂和液剂：</w:t>
            </w:r>
            <w:r>
              <w:rPr>
                <w:rFonts w:hint="eastAsia" w:ascii="仿宋" w:hAnsi="仿宋" w:eastAsia="仿宋" w:cs="仿宋"/>
                <w:color w:val="auto"/>
                <w:sz w:val="21"/>
                <w:szCs w:val="21"/>
                <w:highlight w:val="none"/>
                <w:lang w:val="en-US" w:eastAsia="zh-CN"/>
              </w:rPr>
              <w:t>应</w:t>
            </w:r>
            <w:r>
              <w:rPr>
                <w:rFonts w:hint="eastAsia" w:ascii="仿宋" w:hAnsi="仿宋" w:eastAsia="仿宋" w:cs="仿宋"/>
                <w:color w:val="auto"/>
                <w:spacing w:val="16"/>
                <w:sz w:val="21"/>
                <w:szCs w:val="21"/>
                <w:highlight w:val="none"/>
                <w:lang w:eastAsia="zh-CN"/>
              </w:rPr>
              <w:t>分别</w:t>
            </w:r>
            <w:r>
              <w:rPr>
                <w:rFonts w:hint="eastAsia" w:ascii="仿宋" w:hAnsi="仿宋" w:eastAsia="仿宋" w:cs="仿宋"/>
                <w:color w:val="auto"/>
                <w:sz w:val="21"/>
                <w:szCs w:val="21"/>
                <w:highlight w:val="none"/>
                <w:lang w:val="en-US" w:eastAsia="zh-CN"/>
              </w:rPr>
              <w:t>符合《中华人民共和国农药管理条例》的有关规定，取得“农药三证”即[农药企业标准、农药生产许可证、农药登记证(防治对象包含白蚁)]，严格控制药物使用浓度和剂量，避免药物对环境的污染。</w:t>
            </w:r>
          </w:p>
        </w:tc>
      </w:tr>
      <w:tr w14:paraId="4BCA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6" w:type="dxa"/>
            <w:noWrap w:val="0"/>
            <w:vAlign w:val="center"/>
          </w:tcPr>
          <w:p w14:paraId="45B076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二</w:t>
            </w:r>
          </w:p>
        </w:tc>
        <w:tc>
          <w:tcPr>
            <w:tcW w:w="8253" w:type="dxa"/>
            <w:noWrap w:val="0"/>
            <w:vAlign w:val="center"/>
          </w:tcPr>
          <w:p w14:paraId="49E233D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新建房屋白蚁预防</w:t>
            </w:r>
            <w:r>
              <w:rPr>
                <w:rFonts w:hint="eastAsia" w:ascii="仿宋" w:hAnsi="仿宋" w:eastAsia="仿宋" w:cs="仿宋"/>
                <w:b/>
                <w:bCs/>
                <w:color w:val="auto"/>
                <w:sz w:val="21"/>
                <w:szCs w:val="21"/>
                <w:highlight w:val="none"/>
                <w:lang w:val="en-US" w:eastAsia="zh-CN"/>
              </w:rPr>
              <w:t>安装监测装置（地下，全智能型）</w:t>
            </w:r>
          </w:p>
        </w:tc>
      </w:tr>
      <w:tr w14:paraId="6BA3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6" w:type="dxa"/>
            <w:noWrap w:val="0"/>
            <w:vAlign w:val="center"/>
          </w:tcPr>
          <w:p w14:paraId="1E12A3C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8253" w:type="dxa"/>
            <w:noWrap w:val="0"/>
            <w:vAlign w:val="center"/>
          </w:tcPr>
          <w:p w14:paraId="60995AF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auto"/>
                <w:sz w:val="21"/>
                <w:szCs w:val="21"/>
                <w:highlight w:val="none"/>
              </w:rPr>
            </w:pPr>
            <w:r>
              <w:rPr>
                <w:rFonts w:hint="eastAsia" w:ascii="仿宋" w:hAnsi="仿宋" w:eastAsia="仿宋" w:cs="仿宋"/>
                <w:bCs/>
                <w:color w:val="auto"/>
                <w:sz w:val="21"/>
                <w:szCs w:val="21"/>
                <w:highlight w:val="none"/>
              </w:rPr>
              <w:t>白蚁监测装置外壳要求为圆柱体，尺寸规格为：柱体外径</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rPr>
              <w:t>-120mm，高度</w:t>
            </w:r>
            <w:r>
              <w:rPr>
                <w:rFonts w:hint="eastAsia" w:ascii="仿宋" w:hAnsi="仿宋" w:eastAsia="仿宋" w:cs="仿宋"/>
                <w:bCs/>
                <w:color w:val="auto"/>
                <w:sz w:val="21"/>
                <w:szCs w:val="21"/>
                <w:highlight w:val="none"/>
                <w:lang w:val="en-US" w:eastAsia="zh-CN"/>
              </w:rPr>
              <w:t>190</w:t>
            </w:r>
            <w:r>
              <w:rPr>
                <w:rFonts w:hint="eastAsia" w:ascii="仿宋" w:hAnsi="仿宋" w:eastAsia="仿宋" w:cs="仿宋"/>
                <w:bCs/>
                <w:color w:val="auto"/>
                <w:sz w:val="21"/>
                <w:szCs w:val="21"/>
                <w:highlight w:val="none"/>
              </w:rPr>
              <w:t>-240mm</w:t>
            </w:r>
          </w:p>
        </w:tc>
      </w:tr>
      <w:tr w14:paraId="6E86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26" w:type="dxa"/>
            <w:noWrap w:val="0"/>
            <w:vAlign w:val="center"/>
          </w:tcPr>
          <w:p w14:paraId="4CEA34E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8253" w:type="dxa"/>
            <w:noWrap w:val="0"/>
            <w:vAlign w:val="center"/>
          </w:tcPr>
          <w:p w14:paraId="39C45774">
            <w:pPr>
              <w:keepNext w:val="0"/>
              <w:keepLines w:val="0"/>
              <w:pageBreakBefore w:val="0"/>
              <w:widowControl w:val="0"/>
              <w:kinsoku/>
              <w:wordWrap/>
              <w:overflowPunct/>
              <w:topLinePunct w:val="0"/>
              <w:autoSpaceDE/>
              <w:autoSpaceDN/>
              <w:bidi w:val="0"/>
              <w:spacing w:line="360" w:lineRule="exact"/>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电池供电时长不少于2年；装置与采集器有效工作距离不低于50CM；覆水</w:t>
            </w:r>
            <w:r>
              <w:rPr>
                <w:rFonts w:hint="eastAsia" w:ascii="仿宋" w:hAnsi="仿宋" w:eastAsia="仿宋" w:cs="仿宋"/>
                <w:color w:val="auto"/>
                <w:sz w:val="21"/>
                <w:szCs w:val="21"/>
                <w:highlight w:val="none"/>
                <w:shd w:val="clear" w:color="auto" w:fill="FFFFFF"/>
              </w:rPr>
              <w:t>≤</w:t>
            </w:r>
            <w:r>
              <w:rPr>
                <w:rFonts w:hint="eastAsia" w:ascii="仿宋" w:hAnsi="仿宋" w:eastAsia="仿宋" w:cs="仿宋"/>
                <w:color w:val="auto"/>
                <w:sz w:val="21"/>
                <w:szCs w:val="21"/>
                <w:highlight w:val="none"/>
              </w:rPr>
              <w:t>15CM时能正常工作；覆土</w:t>
            </w:r>
            <w:r>
              <w:rPr>
                <w:rFonts w:hint="eastAsia" w:ascii="仿宋" w:hAnsi="仿宋" w:eastAsia="仿宋" w:cs="仿宋"/>
                <w:color w:val="auto"/>
                <w:sz w:val="21"/>
                <w:szCs w:val="21"/>
                <w:highlight w:val="none"/>
                <w:shd w:val="clear" w:color="auto" w:fill="FFFFFF"/>
              </w:rPr>
              <w:t>≤</w:t>
            </w:r>
            <w:r>
              <w:rPr>
                <w:rFonts w:hint="eastAsia" w:ascii="仿宋" w:hAnsi="仿宋" w:eastAsia="仿宋" w:cs="仿宋"/>
                <w:color w:val="auto"/>
                <w:sz w:val="21"/>
                <w:szCs w:val="21"/>
                <w:highlight w:val="none"/>
              </w:rPr>
              <w:t>20CM时能正常工作；工作温度为-10℃到+60℃。</w:t>
            </w:r>
          </w:p>
        </w:tc>
      </w:tr>
      <w:tr w14:paraId="7508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26" w:type="dxa"/>
            <w:noWrap w:val="0"/>
            <w:vAlign w:val="center"/>
          </w:tcPr>
          <w:p w14:paraId="0690C6D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8253" w:type="dxa"/>
            <w:noWrap w:val="0"/>
            <w:vAlign w:val="center"/>
          </w:tcPr>
          <w:p w14:paraId="11DE88B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highlight w:val="none"/>
                <w:lang w:val="en-US"/>
              </w:rPr>
            </w:pPr>
            <w:r>
              <w:rPr>
                <w:rFonts w:hint="eastAsia" w:ascii="仿宋" w:hAnsi="仿宋" w:eastAsia="仿宋" w:cs="仿宋"/>
                <w:bCs/>
                <w:color w:val="auto"/>
                <w:sz w:val="21"/>
                <w:szCs w:val="21"/>
                <w:highlight w:val="none"/>
              </w:rPr>
              <w:t>装置外壳：满足邵氏硬度值不低于</w:t>
            </w:r>
            <w:r>
              <w:rPr>
                <w:rFonts w:hint="eastAsia" w:ascii="仿宋" w:hAnsi="仿宋" w:eastAsia="仿宋" w:cs="仿宋"/>
                <w:bCs/>
                <w:color w:val="auto"/>
                <w:sz w:val="21"/>
                <w:szCs w:val="21"/>
                <w:highlight w:val="none"/>
                <w:lang w:val="en-US" w:eastAsia="zh-CN"/>
              </w:rPr>
              <w:t>85</w:t>
            </w:r>
            <w:r>
              <w:rPr>
                <w:rFonts w:hint="eastAsia" w:ascii="仿宋" w:hAnsi="仿宋" w:eastAsia="仿宋" w:cs="仿宋"/>
                <w:bCs/>
                <w:color w:val="auto"/>
                <w:sz w:val="21"/>
                <w:szCs w:val="21"/>
                <w:highlight w:val="none"/>
              </w:rPr>
              <w:t>；密度介于1350-1550mg/cm3；坠落试验测试结果合格；烘箱试验测试结果合格；环柔性测试结果合格；拉伸强度不小于35Mpa；有毒有害物质检测报告；紫外线测试报告。要求无明显气味；壳体壁厚度﹥2mm，外表整体光洁，无裂痕</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外壳材质应为对白蚁无趋避作用，无毒无味的塑料，外壳在野外安装后应耐老化，可重复使用，使用寿命不低于15年。</w:t>
            </w:r>
          </w:p>
        </w:tc>
      </w:tr>
      <w:tr w14:paraId="6798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6" w:type="dxa"/>
            <w:noWrap w:val="0"/>
            <w:vAlign w:val="center"/>
          </w:tcPr>
          <w:p w14:paraId="4C4D43D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8253" w:type="dxa"/>
            <w:noWrap w:val="0"/>
            <w:vAlign w:val="center"/>
          </w:tcPr>
          <w:p w14:paraId="4FDC676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具有使用说明书、合格证</w:t>
            </w:r>
            <w:r>
              <w:rPr>
                <w:rFonts w:hint="eastAsia" w:ascii="仿宋" w:hAnsi="仿宋" w:eastAsia="仿宋" w:cs="仿宋"/>
                <w:color w:val="auto"/>
                <w:sz w:val="21"/>
                <w:szCs w:val="21"/>
                <w:highlight w:val="none"/>
              </w:rPr>
              <w:t>。</w:t>
            </w:r>
          </w:p>
        </w:tc>
      </w:tr>
      <w:tr w14:paraId="458B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6" w:type="dxa"/>
            <w:noWrap w:val="0"/>
            <w:vAlign w:val="center"/>
          </w:tcPr>
          <w:p w14:paraId="5BFB7AD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8253" w:type="dxa"/>
            <w:noWrap w:val="0"/>
            <w:vAlign w:val="center"/>
          </w:tcPr>
          <w:p w14:paraId="7F03555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装置芯材采用干燥松木</w:t>
            </w:r>
            <w:r>
              <w:rPr>
                <w:rFonts w:hint="eastAsia" w:ascii="仿宋" w:hAnsi="仿宋" w:eastAsia="仿宋" w:cs="仿宋"/>
                <w:color w:val="auto"/>
                <w:sz w:val="21"/>
                <w:szCs w:val="21"/>
                <w:highlight w:val="none"/>
              </w:rPr>
              <w:t>。</w:t>
            </w:r>
          </w:p>
        </w:tc>
      </w:tr>
    </w:tbl>
    <w:p w14:paraId="528491AA">
      <w:pPr>
        <w:autoSpaceDE w:val="0"/>
        <w:autoSpaceDN w:val="0"/>
        <w:adjustRightInd w:val="0"/>
        <w:spacing w:line="400" w:lineRule="exact"/>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六、《宁波市江北区房屋白蚁防治服务考核表》详见附件1</w:t>
      </w:r>
    </w:p>
    <w:p w14:paraId="062EB690">
      <w:pPr>
        <w:autoSpaceDE w:val="0"/>
        <w:autoSpaceDN w:val="0"/>
        <w:adjustRightInd w:val="0"/>
        <w:spacing w:line="400" w:lineRule="exact"/>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br w:type="page"/>
      </w:r>
    </w:p>
    <w:p w14:paraId="6F7572D9">
      <w:pPr>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附件1：</w:t>
      </w:r>
    </w:p>
    <w:p w14:paraId="6EACF28D">
      <w:pPr>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宁波市江北区</w:t>
      </w:r>
      <w:r>
        <w:rPr>
          <w:rFonts w:hint="eastAsia" w:ascii="仿宋" w:hAnsi="仿宋" w:eastAsia="仿宋" w:cs="仿宋"/>
          <w:b/>
          <w:color w:val="auto"/>
          <w:sz w:val="24"/>
          <w:szCs w:val="24"/>
          <w:highlight w:val="none"/>
        </w:rPr>
        <w:t>房屋白蚁防治服务考核表》</w:t>
      </w:r>
    </w:p>
    <w:tbl>
      <w:tblPr>
        <w:tblStyle w:val="51"/>
        <w:tblpPr w:leftFromText="180" w:rightFromText="180" w:vertAnchor="page" w:horzAnchor="page" w:tblpXSpec="center" w:tblpY="2404"/>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337"/>
        <w:gridCol w:w="3224"/>
        <w:gridCol w:w="1402"/>
        <w:gridCol w:w="1837"/>
      </w:tblGrid>
      <w:tr w14:paraId="49AC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77" w:type="dxa"/>
            <w:vAlign w:val="center"/>
          </w:tcPr>
          <w:p w14:paraId="48D3D38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337" w:type="dxa"/>
            <w:vAlign w:val="center"/>
          </w:tcPr>
          <w:p w14:paraId="320B6F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检查项目</w:t>
            </w:r>
          </w:p>
        </w:tc>
        <w:tc>
          <w:tcPr>
            <w:tcW w:w="3224" w:type="dxa"/>
            <w:vAlign w:val="center"/>
          </w:tcPr>
          <w:p w14:paraId="02B53D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具体检查内容与要求</w:t>
            </w:r>
          </w:p>
        </w:tc>
        <w:tc>
          <w:tcPr>
            <w:tcW w:w="3239" w:type="dxa"/>
            <w:gridSpan w:val="2"/>
            <w:vAlign w:val="center"/>
          </w:tcPr>
          <w:p w14:paraId="7D7DED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评定</w:t>
            </w:r>
          </w:p>
        </w:tc>
      </w:tr>
      <w:tr w14:paraId="7A87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77" w:type="dxa"/>
            <w:vAlign w:val="center"/>
          </w:tcPr>
          <w:p w14:paraId="237261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337" w:type="dxa"/>
            <w:tcBorders>
              <w:left w:val="single" w:color="auto" w:sz="4" w:space="0"/>
            </w:tcBorders>
            <w:vAlign w:val="center"/>
          </w:tcPr>
          <w:p w14:paraId="160E88F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现场</w:t>
            </w:r>
            <w:r>
              <w:rPr>
                <w:rFonts w:hint="eastAsia" w:ascii="仿宋" w:hAnsi="仿宋" w:eastAsia="仿宋" w:cs="仿宋"/>
                <w:color w:val="auto"/>
                <w:sz w:val="21"/>
                <w:szCs w:val="21"/>
                <w:highlight w:val="none"/>
                <w:lang w:val="en-US" w:eastAsia="zh-CN"/>
              </w:rPr>
              <w:t>调查、</w:t>
            </w:r>
            <w:r>
              <w:rPr>
                <w:rFonts w:hint="eastAsia" w:ascii="仿宋" w:hAnsi="仿宋" w:eastAsia="仿宋" w:cs="仿宋"/>
                <w:color w:val="auto"/>
                <w:highlight w:val="none"/>
                <w:lang w:val="en-US" w:eastAsia="zh-CN"/>
              </w:rPr>
              <w:t>技术交底会议</w:t>
            </w:r>
            <w:r>
              <w:rPr>
                <w:rFonts w:hint="eastAsia" w:ascii="仿宋" w:hAnsi="仿宋" w:eastAsia="仿宋" w:cs="仿宋"/>
                <w:color w:val="auto"/>
                <w:sz w:val="21"/>
                <w:szCs w:val="21"/>
                <w:highlight w:val="none"/>
              </w:rPr>
              <w:t>与方案设计</w:t>
            </w:r>
          </w:p>
        </w:tc>
        <w:tc>
          <w:tcPr>
            <w:tcW w:w="3224" w:type="dxa"/>
            <w:tcBorders>
              <w:left w:val="single" w:color="auto" w:sz="4" w:space="0"/>
            </w:tcBorders>
            <w:vAlign w:val="center"/>
          </w:tcPr>
          <w:p w14:paraId="3AEF418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每个项目均有“施工方案”，“施工方案”内容设计具体、完整、科学、规范。</w:t>
            </w:r>
          </w:p>
        </w:tc>
        <w:tc>
          <w:tcPr>
            <w:tcW w:w="3239" w:type="dxa"/>
            <w:gridSpan w:val="2"/>
            <w:tcBorders>
              <w:left w:val="single" w:color="auto" w:sz="4" w:space="0"/>
            </w:tcBorders>
            <w:vAlign w:val="center"/>
          </w:tcPr>
          <w:p w14:paraId="4F226E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70F1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77" w:type="dxa"/>
            <w:vAlign w:val="center"/>
          </w:tcPr>
          <w:p w14:paraId="5D0007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337" w:type="dxa"/>
            <w:tcBorders>
              <w:left w:val="single" w:color="auto" w:sz="4" w:space="0"/>
            </w:tcBorders>
            <w:vAlign w:val="center"/>
          </w:tcPr>
          <w:p w14:paraId="6CE2FC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施工记录</w:t>
            </w:r>
          </w:p>
        </w:tc>
        <w:tc>
          <w:tcPr>
            <w:tcW w:w="3224" w:type="dxa"/>
            <w:tcBorders>
              <w:left w:val="single" w:color="auto" w:sz="4" w:space="0"/>
            </w:tcBorders>
            <w:vAlign w:val="center"/>
          </w:tcPr>
          <w:p w14:paraId="708F34C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检查每个预防工程的施工记录是否工整、清楚、详尽，是否有工地负责人的签字，是否有现场照片。</w:t>
            </w:r>
          </w:p>
        </w:tc>
        <w:tc>
          <w:tcPr>
            <w:tcW w:w="3239" w:type="dxa"/>
            <w:gridSpan w:val="2"/>
            <w:tcBorders>
              <w:left w:val="single" w:color="auto" w:sz="4" w:space="0"/>
            </w:tcBorders>
            <w:vAlign w:val="center"/>
          </w:tcPr>
          <w:p w14:paraId="1010F4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5B97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77" w:type="dxa"/>
            <w:vAlign w:val="center"/>
          </w:tcPr>
          <w:p w14:paraId="01966D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337" w:type="dxa"/>
            <w:tcBorders>
              <w:left w:val="single" w:color="auto" w:sz="4" w:space="0"/>
            </w:tcBorders>
            <w:vAlign w:val="center"/>
          </w:tcPr>
          <w:p w14:paraId="28A2E0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复查回访工作台帐</w:t>
            </w:r>
          </w:p>
        </w:tc>
        <w:tc>
          <w:tcPr>
            <w:tcW w:w="3224" w:type="dxa"/>
            <w:tcBorders>
              <w:left w:val="single" w:color="auto" w:sz="4" w:space="0"/>
            </w:tcBorders>
            <w:vAlign w:val="center"/>
          </w:tcPr>
          <w:p w14:paraId="677D41E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“复查回访表”是否详细清楚，复查中发现蚁害是否及时处理。</w:t>
            </w:r>
          </w:p>
        </w:tc>
        <w:tc>
          <w:tcPr>
            <w:tcW w:w="3239" w:type="dxa"/>
            <w:gridSpan w:val="2"/>
            <w:tcBorders>
              <w:left w:val="single" w:color="auto" w:sz="4" w:space="0"/>
            </w:tcBorders>
            <w:vAlign w:val="center"/>
          </w:tcPr>
          <w:p w14:paraId="136B149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6BD1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77" w:type="dxa"/>
            <w:vAlign w:val="center"/>
          </w:tcPr>
          <w:p w14:paraId="485927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337" w:type="dxa"/>
            <w:tcBorders>
              <w:left w:val="single" w:color="auto" w:sz="4" w:space="0"/>
            </w:tcBorders>
            <w:vAlign w:val="center"/>
          </w:tcPr>
          <w:p w14:paraId="5761FA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档案管理</w:t>
            </w:r>
          </w:p>
        </w:tc>
        <w:tc>
          <w:tcPr>
            <w:tcW w:w="3224" w:type="dxa"/>
            <w:tcBorders>
              <w:left w:val="single" w:color="auto" w:sz="4" w:space="0"/>
            </w:tcBorders>
            <w:vAlign w:val="center"/>
          </w:tcPr>
          <w:p w14:paraId="3AB459B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是否有专人管理档案，档案整理与保管规范、有序。</w:t>
            </w:r>
          </w:p>
        </w:tc>
        <w:tc>
          <w:tcPr>
            <w:tcW w:w="3239" w:type="dxa"/>
            <w:gridSpan w:val="2"/>
            <w:tcBorders>
              <w:left w:val="single" w:color="auto" w:sz="4" w:space="0"/>
            </w:tcBorders>
            <w:vAlign w:val="center"/>
          </w:tcPr>
          <w:p w14:paraId="6B76B5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4EB3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77" w:type="dxa"/>
            <w:vAlign w:val="center"/>
          </w:tcPr>
          <w:p w14:paraId="169D10A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337" w:type="dxa"/>
            <w:tcBorders>
              <w:left w:val="single" w:color="auto" w:sz="4" w:space="0"/>
            </w:tcBorders>
            <w:vAlign w:val="center"/>
          </w:tcPr>
          <w:p w14:paraId="26A930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技术服务</w:t>
            </w:r>
          </w:p>
        </w:tc>
        <w:tc>
          <w:tcPr>
            <w:tcW w:w="3224" w:type="dxa"/>
            <w:tcBorders>
              <w:left w:val="single" w:color="auto" w:sz="4" w:space="0"/>
            </w:tcBorders>
            <w:vAlign w:val="center"/>
          </w:tcPr>
          <w:p w14:paraId="24A8A8E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抽查2个已施工的项目，施工的各项程序是否按《技术规程》操作到位。</w:t>
            </w:r>
          </w:p>
        </w:tc>
        <w:tc>
          <w:tcPr>
            <w:tcW w:w="3239" w:type="dxa"/>
            <w:gridSpan w:val="2"/>
            <w:tcBorders>
              <w:left w:val="single" w:color="auto" w:sz="4" w:space="0"/>
            </w:tcBorders>
            <w:vAlign w:val="center"/>
          </w:tcPr>
          <w:p w14:paraId="0E873E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2057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77" w:type="dxa"/>
            <w:vAlign w:val="center"/>
          </w:tcPr>
          <w:p w14:paraId="73DCCA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337" w:type="dxa"/>
            <w:tcBorders>
              <w:left w:val="single" w:color="auto" w:sz="4" w:space="0"/>
            </w:tcBorders>
            <w:vAlign w:val="center"/>
          </w:tcPr>
          <w:p w14:paraId="3A845FC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监测装置后续检查维护</w:t>
            </w:r>
          </w:p>
        </w:tc>
        <w:tc>
          <w:tcPr>
            <w:tcW w:w="3224" w:type="dxa"/>
            <w:tcBorders>
              <w:left w:val="single" w:color="auto" w:sz="4" w:space="0"/>
            </w:tcBorders>
            <w:vAlign w:val="center"/>
          </w:tcPr>
          <w:p w14:paraId="12B77AF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抽查2个项目，发现标示图中的监测装置是否完好。</w:t>
            </w:r>
          </w:p>
        </w:tc>
        <w:tc>
          <w:tcPr>
            <w:tcW w:w="3239" w:type="dxa"/>
            <w:gridSpan w:val="2"/>
            <w:tcBorders>
              <w:left w:val="single" w:color="auto" w:sz="4" w:space="0"/>
            </w:tcBorders>
            <w:vAlign w:val="center"/>
          </w:tcPr>
          <w:p w14:paraId="5BEAFB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111D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677" w:type="dxa"/>
            <w:vAlign w:val="center"/>
          </w:tcPr>
          <w:p w14:paraId="6F4021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337" w:type="dxa"/>
            <w:tcBorders>
              <w:left w:val="single" w:color="auto" w:sz="4" w:space="0"/>
            </w:tcBorders>
            <w:vAlign w:val="center"/>
          </w:tcPr>
          <w:p w14:paraId="5EEFDF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工程竣工验收</w:t>
            </w:r>
          </w:p>
        </w:tc>
        <w:tc>
          <w:tcPr>
            <w:tcW w:w="3224" w:type="dxa"/>
            <w:tcBorders>
              <w:left w:val="single" w:color="auto" w:sz="4" w:space="0"/>
            </w:tcBorders>
            <w:vAlign w:val="center"/>
          </w:tcPr>
          <w:p w14:paraId="039E4AB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检查每个竣工项目是否按照《技术规程》完成了所有预防步骤。采取检查施工记录、电话建设单位进行抽查等方式。检查每个竣工项目是否有验收记录，验收单是否有双方的签字、盖章。</w:t>
            </w:r>
          </w:p>
        </w:tc>
        <w:tc>
          <w:tcPr>
            <w:tcW w:w="3239" w:type="dxa"/>
            <w:gridSpan w:val="2"/>
            <w:tcBorders>
              <w:left w:val="single" w:color="auto" w:sz="4" w:space="0"/>
            </w:tcBorders>
            <w:vAlign w:val="center"/>
          </w:tcPr>
          <w:p w14:paraId="03341A0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0585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77" w:type="dxa"/>
            <w:vAlign w:val="center"/>
          </w:tcPr>
          <w:p w14:paraId="4007A57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337" w:type="dxa"/>
            <w:tcBorders>
              <w:left w:val="single" w:color="auto" w:sz="4" w:space="0"/>
            </w:tcBorders>
            <w:vAlign w:val="center"/>
          </w:tcPr>
          <w:p w14:paraId="47F586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饵剂、监测装置</w:t>
            </w:r>
            <w:r>
              <w:rPr>
                <w:rFonts w:hint="eastAsia" w:ascii="仿宋" w:hAnsi="仿宋" w:eastAsia="仿宋" w:cs="仿宋"/>
                <w:color w:val="auto"/>
                <w:sz w:val="21"/>
                <w:szCs w:val="21"/>
                <w:highlight w:val="none"/>
              </w:rPr>
              <w:t>存放专用仓库</w:t>
            </w:r>
          </w:p>
        </w:tc>
        <w:tc>
          <w:tcPr>
            <w:tcW w:w="3224" w:type="dxa"/>
            <w:tcBorders>
              <w:left w:val="single" w:color="auto" w:sz="4" w:space="0"/>
            </w:tcBorders>
            <w:vAlign w:val="center"/>
          </w:tcPr>
          <w:p w14:paraId="4D48322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实地查看</w:t>
            </w:r>
            <w:r>
              <w:rPr>
                <w:rFonts w:hint="eastAsia" w:ascii="仿宋" w:hAnsi="仿宋" w:eastAsia="仿宋" w:cs="仿宋"/>
                <w:color w:val="auto"/>
                <w:sz w:val="21"/>
                <w:szCs w:val="21"/>
                <w:highlight w:val="none"/>
                <w:lang w:val="en-US" w:eastAsia="zh-CN"/>
              </w:rPr>
              <w:t>饵剂、监测装置</w:t>
            </w:r>
            <w:r>
              <w:rPr>
                <w:rFonts w:hint="eastAsia" w:ascii="仿宋" w:hAnsi="仿宋" w:eastAsia="仿宋" w:cs="仿宋"/>
                <w:color w:val="auto"/>
                <w:sz w:val="21"/>
                <w:szCs w:val="21"/>
                <w:highlight w:val="none"/>
              </w:rPr>
              <w:t>存放仓库是否专用和安全，达到防火、防盗、防水等基本安全要求，使用和管理制度是否健全。</w:t>
            </w:r>
          </w:p>
        </w:tc>
        <w:tc>
          <w:tcPr>
            <w:tcW w:w="3239" w:type="dxa"/>
            <w:gridSpan w:val="2"/>
            <w:tcBorders>
              <w:left w:val="single" w:color="auto" w:sz="4" w:space="0"/>
            </w:tcBorders>
            <w:vAlign w:val="center"/>
          </w:tcPr>
          <w:p w14:paraId="2174BB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18CD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77" w:type="dxa"/>
            <w:vAlign w:val="center"/>
          </w:tcPr>
          <w:p w14:paraId="116471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337" w:type="dxa"/>
            <w:tcBorders>
              <w:left w:val="single" w:color="auto" w:sz="4" w:space="0"/>
            </w:tcBorders>
            <w:vAlign w:val="center"/>
          </w:tcPr>
          <w:p w14:paraId="7A3FFA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饵剂、监测装置</w:t>
            </w:r>
            <w:r>
              <w:rPr>
                <w:rFonts w:hint="eastAsia" w:ascii="仿宋" w:hAnsi="仿宋" w:eastAsia="仿宋" w:cs="仿宋"/>
                <w:color w:val="auto"/>
                <w:sz w:val="21"/>
                <w:szCs w:val="21"/>
                <w:highlight w:val="none"/>
              </w:rPr>
              <w:t>领用与保管</w:t>
            </w:r>
          </w:p>
        </w:tc>
        <w:tc>
          <w:tcPr>
            <w:tcW w:w="3224" w:type="dxa"/>
            <w:tcBorders>
              <w:left w:val="single" w:color="auto" w:sz="4" w:space="0"/>
            </w:tcBorders>
            <w:vAlign w:val="center"/>
          </w:tcPr>
          <w:p w14:paraId="43807F3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是否有仓储制度；是否有</w:t>
            </w:r>
            <w:r>
              <w:rPr>
                <w:rFonts w:hint="eastAsia" w:ascii="仿宋" w:hAnsi="仿宋" w:eastAsia="仿宋" w:cs="仿宋"/>
                <w:color w:val="auto"/>
                <w:sz w:val="21"/>
                <w:szCs w:val="21"/>
                <w:highlight w:val="none"/>
                <w:lang w:val="en-US" w:eastAsia="zh-CN"/>
              </w:rPr>
              <w:t>饵剂</w:t>
            </w:r>
            <w:r>
              <w:rPr>
                <w:rFonts w:hint="eastAsia" w:ascii="仿宋" w:hAnsi="仿宋" w:eastAsia="仿宋" w:cs="仿宋"/>
                <w:color w:val="auto"/>
                <w:sz w:val="21"/>
                <w:szCs w:val="21"/>
                <w:highlight w:val="none"/>
              </w:rPr>
              <w:t>出入库使用台帐，帐物是否相符。</w:t>
            </w:r>
          </w:p>
        </w:tc>
        <w:tc>
          <w:tcPr>
            <w:tcW w:w="3239" w:type="dxa"/>
            <w:gridSpan w:val="2"/>
            <w:tcBorders>
              <w:left w:val="single" w:color="auto" w:sz="4" w:space="0"/>
            </w:tcBorders>
            <w:vAlign w:val="center"/>
          </w:tcPr>
          <w:p w14:paraId="4C1442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00AD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7" w:type="dxa"/>
            <w:vAlign w:val="center"/>
          </w:tcPr>
          <w:p w14:paraId="3CC456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337" w:type="dxa"/>
            <w:tcBorders>
              <w:left w:val="single" w:color="auto" w:sz="4" w:space="0"/>
            </w:tcBorders>
            <w:vAlign w:val="center"/>
          </w:tcPr>
          <w:p w14:paraId="143DF0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服务质量</w:t>
            </w:r>
          </w:p>
        </w:tc>
        <w:tc>
          <w:tcPr>
            <w:tcW w:w="3224" w:type="dxa"/>
            <w:tcBorders>
              <w:left w:val="single" w:color="auto" w:sz="4" w:space="0"/>
            </w:tcBorders>
            <w:vAlign w:val="center"/>
          </w:tcPr>
          <w:p w14:paraId="4AE6C50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服务及时，无建设单位投诉现象。</w:t>
            </w:r>
          </w:p>
        </w:tc>
        <w:tc>
          <w:tcPr>
            <w:tcW w:w="3239" w:type="dxa"/>
            <w:gridSpan w:val="2"/>
            <w:tcBorders>
              <w:left w:val="single" w:color="auto" w:sz="4" w:space="0"/>
            </w:tcBorders>
            <w:vAlign w:val="center"/>
          </w:tcPr>
          <w:p w14:paraId="2359C5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25F8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014" w:type="dxa"/>
            <w:gridSpan w:val="2"/>
            <w:vAlign w:val="center"/>
          </w:tcPr>
          <w:p w14:paraId="01D088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整改要求</w:t>
            </w:r>
          </w:p>
        </w:tc>
        <w:tc>
          <w:tcPr>
            <w:tcW w:w="3224" w:type="dxa"/>
            <w:tcBorders>
              <w:left w:val="single" w:color="auto" w:sz="4" w:space="0"/>
            </w:tcBorders>
            <w:vAlign w:val="center"/>
          </w:tcPr>
          <w:p w14:paraId="449EBE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p>
        </w:tc>
        <w:tc>
          <w:tcPr>
            <w:tcW w:w="1402" w:type="dxa"/>
            <w:tcBorders>
              <w:left w:val="single" w:color="auto" w:sz="4" w:space="0"/>
            </w:tcBorders>
            <w:vAlign w:val="center"/>
          </w:tcPr>
          <w:p w14:paraId="6C4C20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总得分</w:t>
            </w:r>
          </w:p>
        </w:tc>
        <w:tc>
          <w:tcPr>
            <w:tcW w:w="1837" w:type="dxa"/>
            <w:tcBorders>
              <w:left w:val="single" w:color="auto" w:sz="4" w:space="0"/>
            </w:tcBorders>
            <w:vAlign w:val="center"/>
          </w:tcPr>
          <w:p w14:paraId="784BE8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p>
        </w:tc>
      </w:tr>
      <w:tr w14:paraId="4FA0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477" w:type="dxa"/>
            <w:gridSpan w:val="5"/>
            <w:vAlign w:val="center"/>
          </w:tcPr>
          <w:p w14:paraId="2C5D9DC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采购人代表（签字）：　　　　　　　　　　　　　　　　年　月　日</w:t>
            </w:r>
          </w:p>
        </w:tc>
      </w:tr>
      <w:tr w14:paraId="692C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477" w:type="dxa"/>
            <w:gridSpan w:val="5"/>
            <w:vAlign w:val="center"/>
          </w:tcPr>
          <w:p w14:paraId="3DC0DF0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人</w:t>
            </w:r>
            <w:r>
              <w:rPr>
                <w:rFonts w:hint="eastAsia" w:ascii="仿宋" w:hAnsi="仿宋" w:eastAsia="仿宋" w:cs="仿宋"/>
                <w:color w:val="auto"/>
                <w:sz w:val="21"/>
                <w:szCs w:val="21"/>
                <w:highlight w:val="none"/>
              </w:rPr>
              <w:t>代表（签字）：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年　月　日</w:t>
            </w:r>
          </w:p>
        </w:tc>
      </w:tr>
      <w:tr w14:paraId="3519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477" w:type="dxa"/>
            <w:gridSpan w:val="5"/>
            <w:vAlign w:val="center"/>
          </w:tcPr>
          <w:p w14:paraId="59402B5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p w14:paraId="61DD2A9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（1）采购人每季度考核一次，根据季度考核得分核拨服务经费。</w:t>
            </w:r>
          </w:p>
          <w:p w14:paraId="748D6BB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1"/>
                <w:szCs w:val="21"/>
                <w:highlight w:val="none"/>
                <w:lang w:val="en-US" w:eastAsia="zh-CN"/>
              </w:rPr>
              <w:t>（2）每个评定为优秀的得10~9.5（含）分；评定为良好的得9.5~8.5（含）分；评定为一般的得8.5~7.5（含）分；评定为</w:t>
            </w:r>
            <w:r>
              <w:rPr>
                <w:rFonts w:hint="eastAsia" w:ascii="仿宋" w:hAnsi="仿宋" w:eastAsia="仿宋" w:cs="仿宋"/>
                <w:b/>
                <w:bCs/>
                <w:color w:val="auto"/>
                <w:sz w:val="22"/>
                <w:szCs w:val="22"/>
                <w:highlight w:val="none"/>
                <w:shd w:val="clear" w:color="auto" w:fill="auto"/>
                <w:lang w:val="en-US" w:eastAsia="zh-CN"/>
              </w:rPr>
              <w:t>7.5（不含）以下的为差；</w:t>
            </w:r>
          </w:p>
          <w:p w14:paraId="0214527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（3）整改扣罚与考核扣罚同时累计，整改扣罚详见招标文件第二章“采购需求”四、整改措施。</w:t>
            </w:r>
          </w:p>
          <w:p w14:paraId="50471F9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（4）中标人履约过程中，采购人有权根据白蚁防治相关最新标准、项目执行情况等对考核细则进</w:t>
            </w:r>
            <w:r>
              <w:rPr>
                <w:rFonts w:hint="eastAsia" w:ascii="仿宋" w:hAnsi="仿宋" w:eastAsia="仿宋" w:cs="仿宋"/>
                <w:b/>
                <w:bCs/>
                <w:color w:val="auto"/>
                <w:sz w:val="21"/>
                <w:szCs w:val="21"/>
                <w:highlight w:val="none"/>
              </w:rPr>
              <w:t>行调整，中标</w:t>
            </w:r>
            <w:r>
              <w:rPr>
                <w:rFonts w:hint="eastAsia" w:ascii="仿宋" w:hAnsi="仿宋" w:eastAsia="仿宋" w:cs="仿宋"/>
                <w:b/>
                <w:bCs/>
                <w:color w:val="auto"/>
                <w:sz w:val="21"/>
                <w:szCs w:val="21"/>
                <w:highlight w:val="none"/>
                <w:lang w:eastAsia="zh-CN"/>
              </w:rPr>
              <w:t>人</w:t>
            </w:r>
            <w:r>
              <w:rPr>
                <w:rFonts w:hint="eastAsia" w:ascii="仿宋" w:hAnsi="仿宋" w:eastAsia="仿宋" w:cs="仿宋"/>
                <w:b/>
                <w:bCs/>
                <w:color w:val="auto"/>
                <w:sz w:val="21"/>
                <w:szCs w:val="21"/>
                <w:highlight w:val="none"/>
              </w:rPr>
              <w:t>须无条件执行。</w:t>
            </w:r>
          </w:p>
        </w:tc>
      </w:tr>
    </w:tbl>
    <w:p w14:paraId="1334A5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color w:val="auto"/>
          <w:highlight w:val="none"/>
          <w:lang w:val="en-US" w:eastAsia="zh-CN"/>
        </w:rPr>
        <w:br w:type="page"/>
      </w:r>
      <w:bookmarkStart w:id="34" w:name="_Toc180597599"/>
      <w:r>
        <w:rPr>
          <w:rFonts w:hint="eastAsia" w:ascii="仿宋" w:hAnsi="仿宋" w:eastAsia="仿宋" w:cs="仿宋"/>
          <w:b/>
          <w:bCs/>
          <w:color w:val="auto"/>
          <w:kern w:val="2"/>
          <w:sz w:val="30"/>
          <w:szCs w:val="30"/>
          <w:highlight w:val="none"/>
          <w:lang w:val="en-US" w:eastAsia="zh-CN" w:bidi="ar-SA"/>
        </w:rPr>
        <w:t>第三章  投标人须知</w:t>
      </w:r>
      <w:bookmarkEnd w:id="34"/>
    </w:p>
    <w:p w14:paraId="65B54D83">
      <w:pPr>
        <w:snapToGrid w:val="0"/>
        <w:spacing w:before="159" w:beforeLines="50" w:after="159" w:afterLines="50" w:line="360" w:lineRule="auto"/>
        <w:ind w:left="238"/>
        <w:jc w:val="center"/>
        <w:outlineLvl w:val="1"/>
        <w:rPr>
          <w:rFonts w:hint="eastAsia" w:ascii="仿宋" w:hAnsi="仿宋" w:eastAsia="仿宋" w:cs="仿宋"/>
          <w:b/>
          <w:color w:val="auto"/>
          <w:sz w:val="24"/>
          <w:highlight w:val="none"/>
        </w:rPr>
      </w:pPr>
      <w:bookmarkStart w:id="35" w:name="_Toc180597600"/>
      <w:r>
        <w:rPr>
          <w:rFonts w:hint="eastAsia" w:ascii="仿宋" w:hAnsi="仿宋" w:eastAsia="仿宋" w:cs="仿宋"/>
          <w:b/>
          <w:color w:val="auto"/>
          <w:sz w:val="24"/>
          <w:highlight w:val="none"/>
        </w:rPr>
        <w:t>前附表</w:t>
      </w:r>
      <w:bookmarkEnd w:id="35"/>
    </w:p>
    <w:tbl>
      <w:tblPr>
        <w:tblStyle w:val="51"/>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8464"/>
      </w:tblGrid>
      <w:tr w14:paraId="26EA7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blHeader/>
          <w:jc w:val="center"/>
        </w:trPr>
        <w:tc>
          <w:tcPr>
            <w:tcW w:w="776" w:type="dxa"/>
            <w:tcBorders>
              <w:top w:val="double" w:color="auto" w:sz="4" w:space="0"/>
              <w:left w:val="double" w:color="auto" w:sz="4" w:space="0"/>
              <w:bottom w:val="double" w:color="auto" w:sz="4" w:space="0"/>
              <w:right w:val="single" w:color="auto" w:sz="4" w:space="0"/>
            </w:tcBorders>
            <w:vAlign w:val="center"/>
          </w:tcPr>
          <w:p w14:paraId="776B87AF">
            <w:pPr>
              <w:keepNext w:val="0"/>
              <w:keepLines w:val="0"/>
              <w:pageBreakBefore w:val="0"/>
              <w:kinsoku/>
              <w:wordWrap/>
              <w:overflowPunct/>
              <w:topLinePunct w:val="0"/>
              <w:bidi w:val="0"/>
              <w:adjustRightInd/>
              <w:spacing w:line="42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8464" w:type="dxa"/>
            <w:tcBorders>
              <w:top w:val="double" w:color="auto" w:sz="4" w:space="0"/>
              <w:left w:val="single" w:color="auto" w:sz="4" w:space="0"/>
              <w:bottom w:val="double" w:color="auto" w:sz="4" w:space="0"/>
              <w:right w:val="double" w:color="auto" w:sz="4" w:space="0"/>
            </w:tcBorders>
            <w:vAlign w:val="center"/>
          </w:tcPr>
          <w:p w14:paraId="73413065">
            <w:pPr>
              <w:keepNext w:val="0"/>
              <w:keepLines w:val="0"/>
              <w:pageBreakBefore w:val="0"/>
              <w:kinsoku/>
              <w:wordWrap/>
              <w:overflowPunct/>
              <w:topLinePunct w:val="0"/>
              <w:bidi w:val="0"/>
              <w:adjustRightInd/>
              <w:spacing w:line="42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内容、要求</w:t>
            </w:r>
          </w:p>
        </w:tc>
      </w:tr>
      <w:tr w14:paraId="06576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76" w:type="dxa"/>
            <w:tcBorders>
              <w:top w:val="double" w:color="auto" w:sz="4" w:space="0"/>
              <w:left w:val="double" w:color="auto" w:sz="4" w:space="0"/>
              <w:bottom w:val="single" w:color="auto" w:sz="4" w:space="0"/>
              <w:right w:val="single" w:color="auto" w:sz="4" w:space="0"/>
            </w:tcBorders>
            <w:vAlign w:val="center"/>
          </w:tcPr>
          <w:p w14:paraId="0C85D5CF">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8464" w:type="dxa"/>
            <w:tcBorders>
              <w:top w:val="double" w:color="auto" w:sz="4" w:space="0"/>
              <w:left w:val="single" w:color="auto" w:sz="4" w:space="0"/>
              <w:bottom w:val="single" w:color="auto" w:sz="4" w:space="0"/>
              <w:right w:val="double" w:color="auto" w:sz="4" w:space="0"/>
            </w:tcBorders>
            <w:vAlign w:val="center"/>
          </w:tcPr>
          <w:p w14:paraId="05681E1A">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项目名称：</w:t>
            </w:r>
            <w:r>
              <w:rPr>
                <w:rFonts w:hint="eastAsia" w:ascii="仿宋" w:hAnsi="仿宋" w:eastAsia="仿宋" w:cs="仿宋"/>
                <w:color w:val="auto"/>
                <w:sz w:val="22"/>
                <w:szCs w:val="22"/>
                <w:highlight w:val="none"/>
                <w:lang w:eastAsia="zh-CN"/>
              </w:rPr>
              <w:t>2025年度江北区白蚁防治第三方服务采购项目</w:t>
            </w:r>
          </w:p>
        </w:tc>
      </w:tr>
      <w:tr w14:paraId="4608B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61BE31A5">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highlight w:val="none"/>
              </w:rPr>
              <w:t>▲</w:t>
            </w:r>
            <w:r>
              <w:rPr>
                <w:rFonts w:hint="eastAsia" w:ascii="仿宋" w:hAnsi="仿宋" w:eastAsia="仿宋" w:cs="仿宋"/>
                <w:color w:val="auto"/>
                <w:sz w:val="22"/>
                <w:szCs w:val="22"/>
                <w:highlight w:val="none"/>
              </w:rPr>
              <w:t>2</w:t>
            </w:r>
          </w:p>
        </w:tc>
        <w:tc>
          <w:tcPr>
            <w:tcW w:w="8464" w:type="dxa"/>
            <w:tcBorders>
              <w:top w:val="single" w:color="auto" w:sz="4" w:space="0"/>
              <w:left w:val="single" w:color="auto" w:sz="4" w:space="0"/>
              <w:bottom w:val="single" w:color="auto" w:sz="4" w:space="0"/>
              <w:right w:val="double" w:color="auto" w:sz="4" w:space="0"/>
            </w:tcBorders>
            <w:vAlign w:val="center"/>
          </w:tcPr>
          <w:p w14:paraId="6823646C">
            <w:pPr>
              <w:keepNext w:val="0"/>
              <w:keepLines w:val="0"/>
              <w:pageBreakBefore w:val="0"/>
              <w:kinsoku/>
              <w:wordWrap/>
              <w:overflowPunct/>
              <w:topLinePunct w:val="0"/>
              <w:bidi w:val="0"/>
              <w:adjustRightInd/>
              <w:snapToGrid w:val="0"/>
              <w:spacing w:line="42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rPr>
              <w:t>本项目最高限价：</w:t>
            </w:r>
            <w:r>
              <w:rPr>
                <w:rFonts w:hint="eastAsia" w:ascii="仿宋" w:hAnsi="仿宋" w:eastAsia="仿宋" w:cs="仿宋"/>
                <w:color w:val="auto"/>
                <w:sz w:val="21"/>
                <w:szCs w:val="21"/>
                <w:highlight w:val="none"/>
                <w:lang w:val="en-US" w:eastAsia="zh-CN"/>
              </w:rPr>
              <w:t>1196820</w:t>
            </w:r>
            <w:r>
              <w:rPr>
                <w:rFonts w:hint="eastAsia" w:ascii="仿宋" w:hAnsi="仿宋" w:eastAsia="仿宋" w:cs="仿宋"/>
                <w:color w:val="auto"/>
                <w:sz w:val="21"/>
                <w:szCs w:val="21"/>
                <w:highlight w:val="none"/>
              </w:rPr>
              <w:t>元/年。</w:t>
            </w:r>
            <w:r>
              <w:rPr>
                <w:rFonts w:hint="eastAsia" w:ascii="仿宋" w:hAnsi="仿宋" w:eastAsia="仿宋" w:cs="仿宋"/>
                <w:color w:val="auto"/>
                <w:sz w:val="21"/>
                <w:szCs w:val="21"/>
                <w:highlight w:val="none"/>
                <w:lang w:val="en-US" w:eastAsia="zh-CN"/>
              </w:rPr>
              <w:t>本项目各分项综合单价最高限价详见第二章“采购需求”</w:t>
            </w:r>
            <w:r>
              <w:rPr>
                <w:rFonts w:hint="eastAsia" w:ascii="仿宋" w:hAnsi="仿宋" w:eastAsia="仿宋" w:cs="仿宋"/>
                <w:color w:val="auto"/>
                <w:sz w:val="21"/>
                <w:szCs w:val="21"/>
                <w:highlight w:val="none"/>
              </w:rPr>
              <w:t>二、</w:t>
            </w:r>
            <w:r>
              <w:rPr>
                <w:rFonts w:hint="eastAsia" w:ascii="仿宋" w:hAnsi="仿宋" w:eastAsia="仿宋" w:cs="仿宋"/>
                <w:color w:val="auto"/>
                <w:sz w:val="21"/>
                <w:szCs w:val="21"/>
                <w:highlight w:val="none"/>
                <w:lang w:val="en-US" w:eastAsia="zh-CN"/>
              </w:rPr>
              <w:t>服务内容及最高限价</w:t>
            </w:r>
            <w:r>
              <w:rPr>
                <w:rFonts w:hint="eastAsia" w:ascii="仿宋" w:hAnsi="仿宋" w:eastAsia="仿宋" w:cs="仿宋"/>
                <w:b w:val="0"/>
                <w:bCs w:val="0"/>
                <w:color w:val="auto"/>
                <w:sz w:val="21"/>
                <w:szCs w:val="21"/>
                <w:highlight w:val="none"/>
                <w:lang w:val="en-US" w:eastAsia="zh-CN"/>
              </w:rPr>
              <w:t>。</w:t>
            </w:r>
          </w:p>
          <w:p w14:paraId="1AD02FA5">
            <w:pPr>
              <w:keepNext w:val="0"/>
              <w:keepLines w:val="0"/>
              <w:pageBreakBefore w:val="0"/>
              <w:kinsoku/>
              <w:wordWrap/>
              <w:overflowPunct/>
              <w:topLinePunct w:val="0"/>
              <w:bidi w:val="0"/>
              <w:adjustRightInd/>
              <w:snapToGrid w:val="0"/>
              <w:spacing w:line="420" w:lineRule="exact"/>
              <w:rPr>
                <w:rFonts w:hint="eastAsia" w:ascii="仿宋" w:hAnsi="仿宋" w:eastAsia="仿宋" w:cs="仿宋"/>
                <w:color w:val="auto"/>
                <w:sz w:val="21"/>
                <w:szCs w:val="21"/>
                <w:highlight w:val="none"/>
                <w:lang w:eastAsia="zh-CN"/>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本项目投标报价采用</w:t>
            </w:r>
            <w:r>
              <w:rPr>
                <w:rFonts w:hint="eastAsia" w:ascii="仿宋" w:hAnsi="仿宋" w:eastAsia="仿宋" w:cs="仿宋"/>
                <w:b/>
                <w:color w:val="auto"/>
                <w:sz w:val="21"/>
                <w:szCs w:val="21"/>
                <w:highlight w:val="none"/>
                <w:lang w:val="en-US" w:eastAsia="zh-CN"/>
              </w:rPr>
              <w:t>折扣</w:t>
            </w:r>
            <w:r>
              <w:rPr>
                <w:rFonts w:hint="eastAsia" w:ascii="仿宋" w:hAnsi="仿宋" w:eastAsia="仿宋" w:cs="仿宋"/>
                <w:b/>
                <w:color w:val="auto"/>
                <w:sz w:val="21"/>
                <w:szCs w:val="21"/>
                <w:highlight w:val="none"/>
              </w:rPr>
              <w:t>率方式，具体费用采用按实结算原则</w:t>
            </w:r>
            <w:r>
              <w:rPr>
                <w:rFonts w:hint="eastAsia" w:ascii="仿宋" w:hAnsi="仿宋" w:eastAsia="仿宋" w:cs="仿宋"/>
                <w:b/>
                <w:color w:val="auto"/>
                <w:sz w:val="21"/>
                <w:szCs w:val="21"/>
                <w:highlight w:val="none"/>
                <w:lang w:eastAsia="zh-CN"/>
              </w:rPr>
              <w:t>。</w:t>
            </w:r>
          </w:p>
          <w:p w14:paraId="1BB632DB">
            <w:pPr>
              <w:keepNext w:val="0"/>
              <w:keepLines w:val="0"/>
              <w:pageBreakBefore w:val="0"/>
              <w:numPr>
                <w:ilvl w:val="0"/>
                <w:numId w:val="0"/>
              </w:numPr>
              <w:kinsoku/>
              <w:wordWrap/>
              <w:overflowPunct/>
              <w:topLinePunct w:val="0"/>
              <w:bidi w:val="0"/>
              <w:adjustRightInd/>
              <w:spacing w:line="42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2、</w:t>
            </w:r>
            <w:r>
              <w:rPr>
                <w:rFonts w:hint="eastAsia" w:ascii="仿宋" w:hAnsi="仿宋" w:eastAsia="仿宋" w:cs="仿宋"/>
                <w:b/>
                <w:color w:val="auto"/>
                <w:sz w:val="21"/>
                <w:szCs w:val="21"/>
                <w:highlight w:val="none"/>
              </w:rPr>
              <w:t>本次招标</w:t>
            </w:r>
            <w:r>
              <w:rPr>
                <w:rFonts w:hint="eastAsia" w:ascii="仿宋" w:hAnsi="仿宋" w:eastAsia="仿宋" w:cs="仿宋"/>
                <w:b/>
                <w:color w:val="auto"/>
                <w:sz w:val="21"/>
                <w:szCs w:val="21"/>
                <w:highlight w:val="none"/>
                <w:lang w:val="en-US" w:eastAsia="zh-CN"/>
              </w:rPr>
              <w:t>综合折扣率</w:t>
            </w:r>
            <w:r>
              <w:rPr>
                <w:rFonts w:hint="eastAsia" w:ascii="仿宋" w:hAnsi="仿宋" w:eastAsia="仿宋" w:cs="仿宋"/>
                <w:b/>
                <w:color w:val="auto"/>
                <w:sz w:val="21"/>
                <w:szCs w:val="21"/>
                <w:highlight w:val="none"/>
              </w:rPr>
              <w:t>最高限价为</w:t>
            </w:r>
            <w:r>
              <w:rPr>
                <w:rFonts w:hint="eastAsia" w:ascii="仿宋" w:hAnsi="仿宋" w:eastAsia="仿宋" w:cs="仿宋"/>
                <w:b/>
                <w:color w:val="auto"/>
                <w:sz w:val="21"/>
                <w:szCs w:val="21"/>
                <w:highlight w:val="none"/>
                <w:lang w:val="en-US" w:eastAsia="zh-CN"/>
              </w:rPr>
              <w:t>100%</w:t>
            </w:r>
            <w:r>
              <w:rPr>
                <w:rFonts w:hint="eastAsia" w:ascii="仿宋" w:hAnsi="仿宋" w:eastAsia="仿宋" w:cs="仿宋"/>
                <w:b/>
                <w:color w:val="auto"/>
                <w:sz w:val="21"/>
                <w:szCs w:val="21"/>
                <w:highlight w:val="none"/>
              </w:rPr>
              <w:t>（含）,投标报价超出</w:t>
            </w:r>
            <w:r>
              <w:rPr>
                <w:rFonts w:hint="eastAsia" w:ascii="仿宋" w:hAnsi="仿宋" w:eastAsia="仿宋" w:cs="仿宋"/>
                <w:b/>
                <w:color w:val="auto"/>
                <w:sz w:val="21"/>
                <w:szCs w:val="21"/>
                <w:highlight w:val="none"/>
                <w:lang w:val="en-US" w:eastAsia="zh-CN"/>
              </w:rPr>
              <w:t>综合折扣率</w:t>
            </w:r>
            <w:r>
              <w:rPr>
                <w:rFonts w:hint="eastAsia" w:ascii="仿宋" w:hAnsi="仿宋" w:eastAsia="仿宋" w:cs="仿宋"/>
                <w:b/>
                <w:color w:val="auto"/>
                <w:sz w:val="21"/>
                <w:szCs w:val="21"/>
                <w:highlight w:val="none"/>
              </w:rPr>
              <w:t>最高限价的，投标无效（即综合折扣率≤100%为有效报价）。</w:t>
            </w:r>
          </w:p>
          <w:p w14:paraId="158888C2">
            <w:pPr>
              <w:keepNext w:val="0"/>
              <w:keepLines w:val="0"/>
              <w:pageBreakBefore w:val="0"/>
              <w:numPr>
                <w:ilvl w:val="0"/>
                <w:numId w:val="0"/>
              </w:numPr>
              <w:kinsoku/>
              <w:wordWrap/>
              <w:overflowPunct/>
              <w:topLinePunct w:val="0"/>
              <w:bidi w:val="0"/>
              <w:adjustRightInd/>
              <w:spacing w:line="4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本项目的投标报价须包含完成本服务所需的年所有费用，包括但不限于本项目人工费、服务费、保险费、器械费用、药物费、监测装置及配件费用、维护费、灭治费、运费、管理费用、资料费、交通费、方案编制费用（施工方案、编制长效管理机制实施方案）、评审费（如有）、利润、税费，以及本项目包含的所有风险、责任等各项应有的全部费用。</w:t>
            </w:r>
          </w:p>
          <w:p w14:paraId="03A52D95">
            <w:pPr>
              <w:keepNext w:val="0"/>
              <w:keepLines w:val="0"/>
              <w:pageBreakBefore w:val="0"/>
              <w:kinsoku/>
              <w:wordWrap/>
              <w:overflowPunct/>
              <w:topLinePunct w:val="0"/>
              <w:bidi w:val="0"/>
              <w:adjustRightInd/>
              <w:spacing w:line="4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 xml:space="preserve"> 、不论投标结果如何，投标人均应自行承担所有与投标有关的全部费用。</w:t>
            </w:r>
          </w:p>
          <w:p w14:paraId="27BAD84C">
            <w:pPr>
              <w:keepNext w:val="0"/>
              <w:keepLines w:val="0"/>
              <w:pageBreakBefore w:val="0"/>
              <w:kinsoku/>
              <w:wordWrap/>
              <w:overflowPunct/>
              <w:topLinePunct w:val="0"/>
              <w:bidi w:val="0"/>
              <w:adjustRightInd/>
              <w:spacing w:line="42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、投标报价及费用：不论投标结果如何，投标人均应自行承担所有与投标有关的全部费用。</w:t>
            </w:r>
          </w:p>
        </w:tc>
      </w:tr>
      <w:tr w14:paraId="2197A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2F50DEFF">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8464" w:type="dxa"/>
            <w:tcBorders>
              <w:top w:val="single" w:color="auto" w:sz="4" w:space="0"/>
              <w:left w:val="single" w:color="auto" w:sz="4" w:space="0"/>
              <w:bottom w:val="single" w:color="auto" w:sz="4" w:space="0"/>
              <w:right w:val="double" w:color="auto" w:sz="4" w:space="0"/>
            </w:tcBorders>
            <w:vAlign w:val="center"/>
          </w:tcPr>
          <w:p w14:paraId="649FD6BC">
            <w:pPr>
              <w:keepNext w:val="0"/>
              <w:keepLines w:val="0"/>
              <w:pageBreakBefore w:val="0"/>
              <w:kinsoku/>
              <w:wordWrap/>
              <w:overflowPunct/>
              <w:topLinePunct w:val="0"/>
              <w:bidi w:val="0"/>
              <w:adjustRightInd/>
              <w:spacing w:line="420" w:lineRule="exact"/>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Cs w:val="21"/>
                <w:highlight w:val="none"/>
              </w:rPr>
              <w:t>投标保证金：</w:t>
            </w:r>
            <w:r>
              <w:rPr>
                <w:rFonts w:hint="eastAsia" w:ascii="仿宋" w:hAnsi="仿宋" w:eastAsia="仿宋" w:cs="仿宋"/>
                <w:color w:val="auto"/>
                <w:szCs w:val="21"/>
                <w:highlight w:val="none"/>
                <w:lang w:val="en-US" w:eastAsia="zh-CN"/>
              </w:rPr>
              <w:t>/</w:t>
            </w:r>
          </w:p>
        </w:tc>
      </w:tr>
      <w:tr w14:paraId="14DEC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57428D28">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highlight w:val="none"/>
                <w:lang w:val="en-US" w:eastAsia="zh-CN"/>
              </w:rPr>
              <w:t>4</w:t>
            </w:r>
          </w:p>
        </w:tc>
        <w:tc>
          <w:tcPr>
            <w:tcW w:w="8464" w:type="dxa"/>
            <w:tcBorders>
              <w:top w:val="single" w:color="auto" w:sz="4" w:space="0"/>
              <w:left w:val="single" w:color="auto" w:sz="4" w:space="0"/>
              <w:bottom w:val="single" w:color="auto" w:sz="4" w:space="0"/>
              <w:right w:val="double" w:color="auto" w:sz="4" w:space="0"/>
            </w:tcBorders>
            <w:vAlign w:val="center"/>
          </w:tcPr>
          <w:p w14:paraId="2F2E0E13">
            <w:pPr>
              <w:keepNext w:val="0"/>
              <w:keepLines w:val="0"/>
              <w:pageBreakBefore w:val="0"/>
              <w:kinsoku/>
              <w:wordWrap/>
              <w:overflowPunct/>
              <w:topLinePunct w:val="0"/>
              <w:bidi w:val="0"/>
              <w:adjustRightInd/>
              <w:spacing w:line="420" w:lineRule="exact"/>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履约保证金：</w:t>
            </w:r>
            <w:r>
              <w:rPr>
                <w:rFonts w:hint="eastAsia" w:ascii="仿宋" w:hAnsi="仿宋" w:eastAsia="仿宋" w:cs="仿宋"/>
                <w:color w:val="auto"/>
                <w:sz w:val="22"/>
                <w:szCs w:val="22"/>
                <w:highlight w:val="none"/>
                <w:lang w:val="en-US" w:eastAsia="zh-CN"/>
              </w:rPr>
              <w:t>本项目不收取履约保证金。</w:t>
            </w:r>
          </w:p>
        </w:tc>
      </w:tr>
      <w:tr w14:paraId="4DA8B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409A2046">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8464" w:type="dxa"/>
            <w:tcBorders>
              <w:top w:val="single" w:color="auto" w:sz="4" w:space="0"/>
              <w:left w:val="single" w:color="auto" w:sz="4" w:space="0"/>
              <w:bottom w:val="single" w:color="auto" w:sz="4" w:space="0"/>
              <w:right w:val="double" w:color="auto" w:sz="4" w:space="0"/>
            </w:tcBorders>
            <w:vAlign w:val="center"/>
          </w:tcPr>
          <w:p w14:paraId="73D50188">
            <w:pPr>
              <w:keepNext w:val="0"/>
              <w:keepLines w:val="0"/>
              <w:pageBreakBefore w:val="0"/>
              <w:kinsoku/>
              <w:wordWrap/>
              <w:overflowPunct/>
              <w:topLinePunct w:val="0"/>
              <w:bidi w:val="0"/>
              <w:adjustRightInd/>
              <w:snapToGrid w:val="0"/>
              <w:spacing w:before="50" w:after="50" w:line="4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现场踏勘：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5E289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5BC24E25">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8464" w:type="dxa"/>
            <w:tcBorders>
              <w:top w:val="single" w:color="auto" w:sz="4" w:space="0"/>
              <w:left w:val="single" w:color="auto" w:sz="4" w:space="0"/>
              <w:bottom w:val="single" w:color="auto" w:sz="4" w:space="0"/>
              <w:right w:val="double" w:color="auto" w:sz="4" w:space="0"/>
            </w:tcBorders>
            <w:vAlign w:val="center"/>
          </w:tcPr>
          <w:p w14:paraId="483CC399">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演示时间及地点：无。</w:t>
            </w:r>
          </w:p>
        </w:tc>
      </w:tr>
      <w:tr w14:paraId="7E90F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double" w:color="auto" w:sz="4" w:space="0"/>
              <w:right w:val="single" w:color="auto" w:sz="4" w:space="0"/>
            </w:tcBorders>
            <w:vAlign w:val="center"/>
          </w:tcPr>
          <w:p w14:paraId="5707AA45">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7</w:t>
            </w:r>
          </w:p>
        </w:tc>
        <w:tc>
          <w:tcPr>
            <w:tcW w:w="8464" w:type="dxa"/>
            <w:tcBorders>
              <w:top w:val="single" w:color="auto" w:sz="4" w:space="0"/>
              <w:left w:val="single" w:color="auto" w:sz="4" w:space="0"/>
              <w:right w:val="double" w:color="auto" w:sz="4" w:space="0"/>
            </w:tcBorders>
            <w:vAlign w:val="center"/>
          </w:tcPr>
          <w:p w14:paraId="5EF009CF">
            <w:pPr>
              <w:keepNext w:val="0"/>
              <w:keepLines w:val="0"/>
              <w:pageBreakBefore w:val="0"/>
              <w:kinsoku/>
              <w:wordWrap/>
              <w:overflowPunct/>
              <w:topLinePunct w:val="0"/>
              <w:bidi w:val="0"/>
              <w:adjustRightInd/>
              <w:spacing w:line="4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投标文件份数：</w:t>
            </w:r>
          </w:p>
          <w:p w14:paraId="36008E70">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本项目实行网上投标，投标人应准备以下投标文件：</w:t>
            </w:r>
          </w:p>
          <w:p w14:paraId="603FC042">
            <w:pPr>
              <w:keepNext w:val="0"/>
              <w:keepLines w:val="0"/>
              <w:pageBreakBefore w:val="0"/>
              <w:kinsoku/>
              <w:wordWrap/>
              <w:overflowPunct/>
              <w:topLinePunct w:val="0"/>
              <w:bidi w:val="0"/>
              <w:adjustRightInd/>
              <w:spacing w:line="4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▲1、上传到政府采购云平台的电子投标文件（含资格文件、商务技术文件、报价文件）1份。</w:t>
            </w:r>
          </w:p>
          <w:p w14:paraId="1EF270D9">
            <w:pPr>
              <w:keepNext w:val="0"/>
              <w:keepLines w:val="0"/>
              <w:pageBreakBefore w:val="0"/>
              <w:kinsoku/>
              <w:wordWrap/>
              <w:overflowPunct/>
              <w:topLinePunct w:val="0"/>
              <w:bidi w:val="0"/>
              <w:adjustRightInd/>
              <w:spacing w:line="4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2、以U盘或光盘形式存储的电子备份投标文件（含资格文件、商务技术文件、报价文件）1份。（如有）</w:t>
            </w:r>
          </w:p>
          <w:p w14:paraId="3C82BCC7">
            <w:pPr>
              <w:keepNext w:val="0"/>
              <w:keepLines w:val="0"/>
              <w:pageBreakBefore w:val="0"/>
              <w:kinsoku/>
              <w:wordWrap/>
              <w:overflowPunct/>
              <w:topLinePunct w:val="0"/>
              <w:bidi w:val="0"/>
              <w:adjustRightInd/>
              <w:spacing w:line="420" w:lineRule="exact"/>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注：电子备份投标文件不作实质性要求，是否提交由投标人自行决定。</w:t>
            </w:r>
          </w:p>
        </w:tc>
      </w:tr>
      <w:tr w14:paraId="52989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195E2F9B">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8</w:t>
            </w:r>
          </w:p>
        </w:tc>
        <w:tc>
          <w:tcPr>
            <w:tcW w:w="8464" w:type="dxa"/>
            <w:tcBorders>
              <w:top w:val="single" w:color="auto" w:sz="4" w:space="0"/>
              <w:left w:val="single" w:color="auto" w:sz="4" w:space="0"/>
              <w:bottom w:val="single" w:color="auto" w:sz="4" w:space="0"/>
              <w:right w:val="double" w:color="auto" w:sz="4" w:space="0"/>
            </w:tcBorders>
            <w:vAlign w:val="center"/>
          </w:tcPr>
          <w:p w14:paraId="4D550B20">
            <w:pPr>
              <w:keepNext w:val="0"/>
              <w:keepLines w:val="0"/>
              <w:pageBreakBefore w:val="0"/>
              <w:kinsoku/>
              <w:wordWrap/>
              <w:overflowPunct/>
              <w:topLinePunct w:val="0"/>
              <w:autoSpaceDE w:val="0"/>
              <w:autoSpaceDN w:val="0"/>
              <w:bidi w:val="0"/>
              <w:adjustRightInd/>
              <w:snapToGrid w:val="0"/>
              <w:spacing w:line="420" w:lineRule="exact"/>
              <w:jc w:val="both"/>
              <w:textAlignment w:val="bottom"/>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投标截止时间及地点：详见招标公告</w:t>
            </w:r>
          </w:p>
        </w:tc>
      </w:tr>
      <w:tr w14:paraId="5E5EE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4412A49A">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9</w:t>
            </w:r>
          </w:p>
        </w:tc>
        <w:tc>
          <w:tcPr>
            <w:tcW w:w="8464" w:type="dxa"/>
            <w:tcBorders>
              <w:top w:val="single" w:color="auto" w:sz="4" w:space="0"/>
              <w:left w:val="single" w:color="auto" w:sz="4" w:space="0"/>
              <w:bottom w:val="single" w:color="auto" w:sz="4" w:space="0"/>
              <w:right w:val="double" w:color="auto" w:sz="4" w:space="0"/>
            </w:tcBorders>
            <w:vAlign w:val="center"/>
          </w:tcPr>
          <w:p w14:paraId="1A418383">
            <w:pPr>
              <w:keepNext w:val="0"/>
              <w:keepLines w:val="0"/>
              <w:pageBreakBefore w:val="0"/>
              <w:kinsoku/>
              <w:wordWrap/>
              <w:overflowPunct/>
              <w:topLinePunct w:val="0"/>
              <w:autoSpaceDE w:val="0"/>
              <w:autoSpaceDN w:val="0"/>
              <w:bidi w:val="0"/>
              <w:adjustRightInd/>
              <w:snapToGrid w:val="0"/>
              <w:spacing w:line="420" w:lineRule="exact"/>
              <w:jc w:val="both"/>
              <w:textAlignment w:val="bottom"/>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开标时间及地点：详见招标公告</w:t>
            </w:r>
          </w:p>
        </w:tc>
      </w:tr>
      <w:tr w14:paraId="791A7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7A5F5C2C">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8464" w:type="dxa"/>
            <w:tcBorders>
              <w:top w:val="single" w:color="auto" w:sz="4" w:space="0"/>
              <w:left w:val="single" w:color="auto" w:sz="4" w:space="0"/>
              <w:bottom w:val="single" w:color="auto" w:sz="4" w:space="0"/>
              <w:right w:val="double" w:color="auto" w:sz="4" w:space="0"/>
            </w:tcBorders>
            <w:vAlign w:val="center"/>
          </w:tcPr>
          <w:p w14:paraId="37600131">
            <w:pPr>
              <w:keepNext w:val="0"/>
              <w:keepLines w:val="0"/>
              <w:pageBreakBefore w:val="0"/>
              <w:kinsoku/>
              <w:wordWrap/>
              <w:overflowPunct/>
              <w:topLinePunct w:val="0"/>
              <w:autoSpaceDE w:val="0"/>
              <w:autoSpaceDN w:val="0"/>
              <w:bidi w:val="0"/>
              <w:adjustRightInd/>
              <w:snapToGrid w:val="0"/>
              <w:spacing w:line="420" w:lineRule="exact"/>
              <w:jc w:val="both"/>
              <w:textAlignment w:val="bottom"/>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评标办法及评分标准：详见第四章 评标办法及评分标准。</w:t>
            </w:r>
          </w:p>
        </w:tc>
      </w:tr>
      <w:tr w14:paraId="0F977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08219ACF">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8464" w:type="dxa"/>
            <w:tcBorders>
              <w:top w:val="single" w:color="auto" w:sz="4" w:space="0"/>
              <w:left w:val="single" w:color="auto" w:sz="4" w:space="0"/>
              <w:bottom w:val="single" w:color="auto" w:sz="4" w:space="0"/>
              <w:right w:val="double" w:color="auto" w:sz="4" w:space="0"/>
            </w:tcBorders>
            <w:vAlign w:val="center"/>
          </w:tcPr>
          <w:p w14:paraId="0C3CB279">
            <w:pPr>
              <w:keepNext w:val="0"/>
              <w:keepLines w:val="0"/>
              <w:pageBreakBefore w:val="0"/>
              <w:kinsoku/>
              <w:wordWrap/>
              <w:overflowPunct/>
              <w:topLinePunct w:val="0"/>
              <w:autoSpaceDE w:val="0"/>
              <w:autoSpaceDN w:val="0"/>
              <w:bidi w:val="0"/>
              <w:adjustRightInd/>
              <w:snapToGrid w:val="0"/>
              <w:spacing w:line="420" w:lineRule="exact"/>
              <w:jc w:val="both"/>
              <w:textAlignment w:val="bottom"/>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评标结果公告：评标结果公告于“浙江政府采购网”、“宁波市公共资源交易电子服务系统”。</w:t>
            </w:r>
          </w:p>
        </w:tc>
      </w:tr>
      <w:tr w14:paraId="1D73D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16FE3170">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8464" w:type="dxa"/>
            <w:tcBorders>
              <w:top w:val="single" w:color="auto" w:sz="4" w:space="0"/>
              <w:left w:val="single" w:color="auto" w:sz="4" w:space="0"/>
              <w:bottom w:val="single" w:color="auto" w:sz="4" w:space="0"/>
              <w:right w:val="double" w:color="auto" w:sz="4" w:space="0"/>
            </w:tcBorders>
            <w:vAlign w:val="center"/>
          </w:tcPr>
          <w:p w14:paraId="30BB5334">
            <w:pPr>
              <w:keepNext w:val="0"/>
              <w:keepLines w:val="0"/>
              <w:pageBreakBefore w:val="0"/>
              <w:kinsoku/>
              <w:wordWrap/>
              <w:overflowPunct/>
              <w:topLinePunct w:val="0"/>
              <w:autoSpaceDE w:val="0"/>
              <w:autoSpaceDN w:val="0"/>
              <w:bidi w:val="0"/>
              <w:adjustRightInd/>
              <w:snapToGrid w:val="0"/>
              <w:spacing w:line="420" w:lineRule="exact"/>
              <w:jc w:val="both"/>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签订合同时间：中标通知书发出后30日内。</w:t>
            </w:r>
          </w:p>
        </w:tc>
      </w:tr>
      <w:tr w14:paraId="44AE4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4E924E17">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8464" w:type="dxa"/>
            <w:tcBorders>
              <w:top w:val="single" w:color="auto" w:sz="4" w:space="0"/>
              <w:left w:val="single" w:color="auto" w:sz="4" w:space="0"/>
              <w:bottom w:val="single" w:color="auto" w:sz="4" w:space="0"/>
              <w:right w:val="double" w:color="auto" w:sz="4" w:space="0"/>
            </w:tcBorders>
            <w:vAlign w:val="center"/>
          </w:tcPr>
          <w:p w14:paraId="5DCAB5D3">
            <w:pPr>
              <w:keepNext w:val="0"/>
              <w:keepLines w:val="0"/>
              <w:pageBreakBefore w:val="0"/>
              <w:widowControl/>
              <w:kinsoku/>
              <w:wordWrap/>
              <w:overflowPunct/>
              <w:topLinePunct w:val="0"/>
              <w:bidi w:val="0"/>
              <w:adjustRightInd/>
              <w:spacing w:line="420" w:lineRule="exact"/>
              <w:jc w:val="both"/>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采购资金来源：财政资金。</w:t>
            </w:r>
          </w:p>
        </w:tc>
      </w:tr>
      <w:tr w14:paraId="2FD01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245E483B">
            <w:pPr>
              <w:keepNext w:val="0"/>
              <w:keepLines w:val="0"/>
              <w:pageBreakBefore w:val="0"/>
              <w:widowControl w:val="0"/>
              <w:kinsoku/>
              <w:wordWrap/>
              <w:overflowPunct/>
              <w:topLinePunct w:val="0"/>
              <w:bidi w:val="0"/>
              <w:adjustRightInd/>
              <w:snapToGrid w:val="0"/>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Cs w:val="21"/>
                <w:highlight w:val="none"/>
              </w:rPr>
              <w:t>▲14</w:t>
            </w:r>
          </w:p>
        </w:tc>
        <w:tc>
          <w:tcPr>
            <w:tcW w:w="8464" w:type="dxa"/>
            <w:tcBorders>
              <w:top w:val="single" w:color="auto" w:sz="4" w:space="0"/>
              <w:left w:val="single" w:color="auto" w:sz="4" w:space="0"/>
              <w:bottom w:val="single" w:color="auto" w:sz="4" w:space="0"/>
              <w:right w:val="double" w:color="auto" w:sz="4" w:space="0"/>
            </w:tcBorders>
            <w:vAlign w:val="center"/>
          </w:tcPr>
          <w:p w14:paraId="209B08F8">
            <w:pPr>
              <w:keepNext w:val="0"/>
              <w:keepLines w:val="0"/>
              <w:pageBreakBefore w:val="0"/>
              <w:widowControl w:val="0"/>
              <w:kinsoku/>
              <w:wordWrap/>
              <w:overflowPunct/>
              <w:topLinePunct w:val="0"/>
              <w:autoSpaceDE w:val="0"/>
              <w:autoSpaceDN w:val="0"/>
              <w:bidi w:val="0"/>
              <w:adjustRightInd/>
              <w:snapToGrid w:val="0"/>
              <w:spacing w:line="360" w:lineRule="auto"/>
              <w:jc w:val="both"/>
              <w:textAlignment w:val="bottom"/>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付款方式：详见第二章采购需求</w:t>
            </w:r>
          </w:p>
        </w:tc>
      </w:tr>
      <w:tr w14:paraId="11E14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6D0B2F7C">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 w:val="22"/>
                <w:szCs w:val="22"/>
                <w:highlight w:val="none"/>
                <w:lang w:val="en-US" w:eastAsia="zh-CN"/>
              </w:rPr>
              <w:t>15</w:t>
            </w:r>
          </w:p>
        </w:tc>
        <w:tc>
          <w:tcPr>
            <w:tcW w:w="8464" w:type="dxa"/>
            <w:tcBorders>
              <w:top w:val="single" w:color="auto" w:sz="4" w:space="0"/>
              <w:left w:val="single" w:color="auto" w:sz="4" w:space="0"/>
              <w:bottom w:val="single" w:color="auto" w:sz="4" w:space="0"/>
              <w:right w:val="double" w:color="auto" w:sz="4" w:space="0"/>
            </w:tcBorders>
            <w:vAlign w:val="center"/>
          </w:tcPr>
          <w:p w14:paraId="61298BB3">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投标文件有效期：90日历天。</w:t>
            </w:r>
          </w:p>
        </w:tc>
      </w:tr>
      <w:tr w14:paraId="5CC0C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659C2899">
            <w:pPr>
              <w:keepNext w:val="0"/>
              <w:keepLines w:val="0"/>
              <w:pageBreakBefore w:val="0"/>
              <w:kinsoku/>
              <w:wordWrap/>
              <w:overflowPunct/>
              <w:topLinePunct w:val="0"/>
              <w:bidi w:val="0"/>
              <w:adjustRightInd/>
              <w:snapToGrid w:val="0"/>
              <w:spacing w:line="4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val="en-US" w:eastAsia="zh-CN"/>
              </w:rPr>
              <w:t>6</w:t>
            </w:r>
          </w:p>
        </w:tc>
        <w:tc>
          <w:tcPr>
            <w:tcW w:w="8464" w:type="dxa"/>
            <w:tcBorders>
              <w:top w:val="single" w:color="auto" w:sz="4" w:space="0"/>
              <w:left w:val="single" w:color="auto" w:sz="4" w:space="0"/>
              <w:bottom w:val="single" w:color="auto" w:sz="4" w:space="0"/>
              <w:right w:val="double" w:color="auto" w:sz="4" w:space="0"/>
            </w:tcBorders>
            <w:vAlign w:val="center"/>
          </w:tcPr>
          <w:p w14:paraId="408642E6">
            <w:pPr>
              <w:keepNext w:val="0"/>
              <w:keepLines w:val="0"/>
              <w:pageBreakBefore w:val="0"/>
              <w:kinsoku/>
              <w:wordWrap/>
              <w:overflowPunct/>
              <w:topLinePunct w:val="0"/>
              <w:bidi w:val="0"/>
              <w:adjustRightInd/>
              <w:snapToGrid w:val="0"/>
              <w:spacing w:line="420" w:lineRule="exact"/>
              <w:jc w:val="both"/>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lang w:val="en-US" w:eastAsia="zh-CN"/>
              </w:rPr>
              <w:t>合同履行期限</w:t>
            </w:r>
            <w:r>
              <w:rPr>
                <w:rFonts w:hint="eastAsia" w:ascii="仿宋" w:hAnsi="仿宋" w:eastAsia="仿宋" w:cs="仿宋"/>
                <w:bCs/>
                <w:color w:val="auto"/>
                <w:sz w:val="22"/>
                <w:szCs w:val="22"/>
                <w:highlight w:val="none"/>
              </w:rPr>
              <w:t>：详见第二章采购需求</w:t>
            </w:r>
          </w:p>
        </w:tc>
      </w:tr>
      <w:tr w14:paraId="07408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09BB0E87">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w:t>
            </w:r>
          </w:p>
        </w:tc>
        <w:tc>
          <w:tcPr>
            <w:tcW w:w="8464" w:type="dxa"/>
            <w:tcBorders>
              <w:top w:val="single" w:color="auto" w:sz="4" w:space="0"/>
              <w:left w:val="single" w:color="auto" w:sz="4" w:space="0"/>
              <w:bottom w:val="single" w:color="auto" w:sz="4" w:space="0"/>
              <w:right w:val="double" w:color="auto" w:sz="4" w:space="0"/>
            </w:tcBorders>
            <w:vAlign w:val="center"/>
          </w:tcPr>
          <w:p w14:paraId="6828FB60">
            <w:pPr>
              <w:keepNext w:val="0"/>
              <w:keepLines w:val="0"/>
              <w:pageBreakBefore w:val="0"/>
              <w:kinsoku/>
              <w:wordWrap/>
              <w:overflowPunct/>
              <w:topLinePunct w:val="0"/>
              <w:bidi w:val="0"/>
              <w:adjustRightInd/>
              <w:snapToGrid w:val="0"/>
              <w:spacing w:line="420" w:lineRule="exact"/>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招标服务费：参照《宁波市招标（采购）代理服务收费指导意见》服务招标费率结合中介超市报价按</w:t>
            </w:r>
            <w:r>
              <w:rPr>
                <w:rFonts w:hint="eastAsia" w:ascii="仿宋" w:hAnsi="仿宋" w:eastAsia="仿宋" w:cs="仿宋"/>
                <w:color w:val="auto"/>
                <w:sz w:val="22"/>
                <w:szCs w:val="22"/>
                <w:highlight w:val="none"/>
                <w:u w:val="single"/>
              </w:rPr>
              <w:t>17071.2</w:t>
            </w:r>
            <w:r>
              <w:rPr>
                <w:rFonts w:hint="eastAsia" w:ascii="仿宋" w:hAnsi="仿宋" w:eastAsia="仿宋" w:cs="仿宋"/>
                <w:color w:val="auto"/>
                <w:sz w:val="22"/>
                <w:szCs w:val="22"/>
                <w:highlight w:val="none"/>
              </w:rPr>
              <w:t>元计取，由中标人支付。</w:t>
            </w:r>
          </w:p>
        </w:tc>
      </w:tr>
      <w:tr w14:paraId="4D1BD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76" w:type="dxa"/>
            <w:tcBorders>
              <w:top w:val="single" w:color="auto" w:sz="4" w:space="0"/>
              <w:left w:val="double" w:color="auto" w:sz="4" w:space="0"/>
              <w:bottom w:val="single" w:color="auto" w:sz="4" w:space="0"/>
              <w:right w:val="single" w:color="auto" w:sz="4" w:space="0"/>
            </w:tcBorders>
            <w:vAlign w:val="center"/>
          </w:tcPr>
          <w:p w14:paraId="510BD3A3">
            <w:pPr>
              <w:keepNext w:val="0"/>
              <w:keepLines w:val="0"/>
              <w:pageBreakBefore w:val="0"/>
              <w:kinsoku/>
              <w:wordWrap/>
              <w:overflowPunct/>
              <w:topLinePunct w:val="0"/>
              <w:bidi w:val="0"/>
              <w:adjustRightInd/>
              <w:snapToGrid w:val="0"/>
              <w:spacing w:line="4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18</w:t>
            </w:r>
          </w:p>
        </w:tc>
        <w:tc>
          <w:tcPr>
            <w:tcW w:w="8464" w:type="dxa"/>
            <w:tcBorders>
              <w:top w:val="single" w:color="auto" w:sz="4" w:space="0"/>
              <w:left w:val="single" w:color="auto" w:sz="4" w:space="0"/>
              <w:bottom w:val="single" w:color="auto" w:sz="4" w:space="0"/>
              <w:right w:val="double" w:color="auto" w:sz="4" w:space="0"/>
            </w:tcBorders>
            <w:vAlign w:val="center"/>
          </w:tcPr>
          <w:p w14:paraId="4DC30176">
            <w:pPr>
              <w:keepNext w:val="0"/>
              <w:keepLines w:val="0"/>
              <w:pageBreakBefore w:val="0"/>
              <w:kinsoku/>
              <w:wordWrap/>
              <w:overflowPunct/>
              <w:topLinePunct w:val="0"/>
              <w:bidi w:val="0"/>
              <w:adjustRightInd/>
              <w:snapToGrid w:val="0"/>
              <w:spacing w:line="420" w:lineRule="exact"/>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解释：本招标文件的解释权属于招标采购单位。</w:t>
            </w:r>
          </w:p>
        </w:tc>
      </w:tr>
    </w:tbl>
    <w:p w14:paraId="63D0590E">
      <w:pPr>
        <w:pStyle w:val="28"/>
        <w:keepNext w:val="0"/>
        <w:keepLines w:val="0"/>
        <w:pageBreakBefore w:val="0"/>
        <w:widowControl w:val="0"/>
        <w:kinsoku/>
        <w:wordWrap/>
        <w:overflowPunct/>
        <w:topLinePunct w:val="0"/>
        <w:autoSpaceDE/>
        <w:autoSpaceDN/>
        <w:bidi w:val="0"/>
        <w:adjustRightInd/>
        <w:snapToGrid w:val="0"/>
        <w:spacing w:before="159" w:after="159" w:line="400" w:lineRule="exact"/>
        <w:textAlignment w:val="auto"/>
        <w:rPr>
          <w:rFonts w:hint="eastAsia" w:ascii="仿宋" w:hAnsi="仿宋" w:eastAsia="仿宋" w:cs="仿宋"/>
          <w:b/>
          <w:bCs/>
          <w:color w:val="auto"/>
          <w:sz w:val="22"/>
          <w:szCs w:val="22"/>
          <w:highlight w:val="none"/>
        </w:rPr>
      </w:pPr>
      <w:r>
        <w:rPr>
          <w:rFonts w:hint="eastAsia" w:ascii="仿宋" w:hAnsi="仿宋" w:eastAsia="仿宋" w:cs="仿宋"/>
          <w:b/>
          <w:color w:val="auto"/>
          <w:sz w:val="22"/>
          <w:szCs w:val="22"/>
          <w:highlight w:val="none"/>
        </w:rPr>
        <w:br w:type="page"/>
      </w:r>
      <w:r>
        <w:rPr>
          <w:rFonts w:hint="eastAsia" w:ascii="仿宋" w:hAnsi="仿宋" w:eastAsia="仿宋" w:cs="仿宋"/>
          <w:b/>
          <w:color w:val="auto"/>
          <w:sz w:val="22"/>
          <w:szCs w:val="22"/>
          <w:highlight w:val="none"/>
          <w:lang w:val="en-US" w:eastAsia="zh-CN"/>
        </w:rPr>
        <w:t>一</w:t>
      </w:r>
      <w:r>
        <w:rPr>
          <w:rFonts w:hint="eastAsia" w:ascii="仿宋" w:hAnsi="仿宋" w:eastAsia="仿宋" w:cs="仿宋"/>
          <w:b/>
          <w:bCs/>
          <w:color w:val="auto"/>
          <w:sz w:val="22"/>
          <w:szCs w:val="22"/>
          <w:highlight w:val="none"/>
        </w:rPr>
        <w:t>、总则</w:t>
      </w:r>
    </w:p>
    <w:p w14:paraId="4AF54A53">
      <w:pPr>
        <w:keepNext w:val="0"/>
        <w:keepLines w:val="0"/>
        <w:pageBreakBefore w:val="0"/>
        <w:widowControl w:val="0"/>
        <w:kinsoku/>
        <w:wordWrap/>
        <w:overflowPunct/>
        <w:topLinePunct w:val="0"/>
        <w:autoSpaceDE/>
        <w:autoSpaceDN/>
        <w:bidi w:val="0"/>
        <w:adjustRightInd/>
        <w:snapToGrid w:val="0"/>
        <w:spacing w:line="400" w:lineRule="exact"/>
        <w:ind w:firstLine="433" w:firstLineChars="196"/>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（一）适用范围</w:t>
      </w:r>
    </w:p>
    <w:p w14:paraId="3F311CA2">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本采购文件适用于本项目的招标、投标、评标、定标、验收、合同履约、付款等行为（法律、法规另有规定的，从其规定）。</w:t>
      </w:r>
    </w:p>
    <w:p w14:paraId="5A243B75">
      <w:pPr>
        <w:keepNext w:val="0"/>
        <w:keepLines w:val="0"/>
        <w:pageBreakBefore w:val="0"/>
        <w:widowControl w:val="0"/>
        <w:kinsoku/>
        <w:wordWrap/>
        <w:overflowPunct/>
        <w:topLinePunct w:val="0"/>
        <w:autoSpaceDE/>
        <w:autoSpaceDN/>
        <w:bidi w:val="0"/>
        <w:adjustRightInd/>
        <w:snapToGrid w:val="0"/>
        <w:spacing w:before="159" w:beforeLines="50" w:line="400" w:lineRule="exact"/>
        <w:ind w:firstLine="433" w:firstLineChars="196"/>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（二）定义       </w:t>
      </w:r>
    </w:p>
    <w:p w14:paraId="3B09D1B8">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1.“招标采购单位”系指组织本次招标的采购代理机构和采购人。 </w:t>
      </w:r>
    </w:p>
    <w:p w14:paraId="02BF4DFF">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2.“投标人”系指向招标方提交投标文件的法人、其他组织或者自然人。</w:t>
      </w:r>
    </w:p>
    <w:p w14:paraId="001FF46D">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3.“服务”系指中标人按照采购文件规定，须承担的相关内容的义务。</w:t>
      </w:r>
    </w:p>
    <w:p w14:paraId="22F5DCC3">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4、“项目”系指投标人按招标文件规定向采购单位提供的产品和服务。</w:t>
      </w:r>
    </w:p>
    <w:p w14:paraId="64F0A355">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.“书面形式”包括信函、传真、电子邮件等。</w:t>
      </w:r>
    </w:p>
    <w:p w14:paraId="7EB6EB61">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.“▲”系指实质性要求条款，投标人的投标对任何带“▲”号的重要商务和技术条款的负偏离和未作实质性响应都将直接导致投标无效。</w:t>
      </w:r>
    </w:p>
    <w:p w14:paraId="4A70F3AE">
      <w:pPr>
        <w:keepNext w:val="0"/>
        <w:keepLines w:val="0"/>
        <w:pageBreakBefore w:val="0"/>
        <w:widowControl w:val="0"/>
        <w:kinsoku/>
        <w:wordWrap/>
        <w:overflowPunct/>
        <w:topLinePunct w:val="0"/>
        <w:autoSpaceDE/>
        <w:autoSpaceDN/>
        <w:bidi w:val="0"/>
        <w:adjustRightInd/>
        <w:snapToGrid w:val="0"/>
        <w:spacing w:line="400" w:lineRule="exact"/>
        <w:ind w:firstLine="433" w:firstLineChars="196"/>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（三）采购方式</w:t>
      </w:r>
    </w:p>
    <w:p w14:paraId="39CFE485">
      <w:pPr>
        <w:keepNext w:val="0"/>
        <w:keepLines w:val="0"/>
        <w:pageBreakBefore w:val="0"/>
        <w:widowControl w:val="0"/>
        <w:kinsoku/>
        <w:wordWrap/>
        <w:overflowPunct/>
        <w:topLinePunct w:val="0"/>
        <w:autoSpaceDE/>
        <w:autoSpaceDN/>
        <w:bidi w:val="0"/>
        <w:adjustRightInd/>
        <w:snapToGrid w:val="0"/>
        <w:spacing w:before="159" w:beforeLines="50" w:line="400" w:lineRule="exact"/>
        <w:ind w:firstLine="431" w:firstLineChars="196"/>
        <w:jc w:val="left"/>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本次招标采用公开招标方式进行。</w:t>
      </w:r>
    </w:p>
    <w:p w14:paraId="62AA6611">
      <w:pPr>
        <w:keepNext w:val="0"/>
        <w:keepLines w:val="0"/>
        <w:pageBreakBefore w:val="0"/>
        <w:widowControl w:val="0"/>
        <w:kinsoku/>
        <w:wordWrap/>
        <w:overflowPunct/>
        <w:topLinePunct w:val="0"/>
        <w:autoSpaceDE/>
        <w:autoSpaceDN/>
        <w:bidi w:val="0"/>
        <w:adjustRightInd/>
        <w:snapToGrid w:val="0"/>
        <w:spacing w:before="159" w:beforeLines="50" w:line="400" w:lineRule="exact"/>
        <w:ind w:firstLine="433" w:firstLineChars="196"/>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（四）投标委托</w:t>
      </w:r>
    </w:p>
    <w:p w14:paraId="47BD35D3">
      <w:pPr>
        <w:keepNext w:val="0"/>
        <w:keepLines w:val="0"/>
        <w:pageBreakBefore w:val="0"/>
        <w:kinsoku/>
        <w:wordWrap/>
        <w:overflowPunct/>
        <w:topLinePunct w:val="0"/>
        <w:bidi w:val="0"/>
        <w:adjustRightInd/>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的签署人应当为投标人的法定代表人或其授权的代表。投标文件的签署人为投标人的法定代表人时，投标文件中必须提供法定代表人身份证正反面复印件；投标文件的签署人非投标人的法定代表人时，投标文件中必须提供投标人的法定代表人出具的授权委托书及法定代表人授权代表的身份证正反面复印件。</w:t>
      </w:r>
    </w:p>
    <w:p w14:paraId="18320B82">
      <w:pPr>
        <w:keepNext w:val="0"/>
        <w:keepLines w:val="0"/>
        <w:pageBreakBefore w:val="0"/>
        <w:kinsoku/>
        <w:wordWrap/>
        <w:overflowPunct/>
        <w:topLinePunct w:val="0"/>
        <w:bidi w:val="0"/>
        <w:adjustRightInd/>
        <w:snapToGrid w:val="0"/>
        <w:spacing w:before="159" w:beforeLines="50" w:line="400" w:lineRule="exact"/>
        <w:ind w:firstLine="433" w:firstLineChars="196"/>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（五）投标费用</w:t>
      </w:r>
    </w:p>
    <w:p w14:paraId="52F02CF4">
      <w:pPr>
        <w:keepNext w:val="0"/>
        <w:keepLines w:val="0"/>
        <w:pageBreakBefore w:val="0"/>
        <w:kinsoku/>
        <w:wordWrap/>
        <w:overflowPunct/>
        <w:topLinePunct w:val="0"/>
        <w:bidi w:val="0"/>
        <w:adjustRightInd/>
        <w:snapToGrid w:val="0"/>
        <w:spacing w:line="400" w:lineRule="exact"/>
        <w:ind w:firstLine="660" w:firstLineChars="3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不论投标结果如何，投标人均应自行承担所有与投标有关的全部费用。</w:t>
      </w:r>
    </w:p>
    <w:p w14:paraId="1C457688">
      <w:pPr>
        <w:keepNext w:val="0"/>
        <w:keepLines w:val="0"/>
        <w:pageBreakBefore w:val="0"/>
        <w:kinsoku/>
        <w:wordWrap/>
        <w:overflowPunct/>
        <w:topLinePunct w:val="0"/>
        <w:bidi w:val="0"/>
        <w:adjustRightInd/>
        <w:spacing w:line="400" w:lineRule="exact"/>
        <w:ind w:firstLine="433" w:firstLineChars="196"/>
        <w:jc w:val="lef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（六）联合体投标</w:t>
      </w:r>
    </w:p>
    <w:p w14:paraId="3EC989D7">
      <w:pPr>
        <w:keepNext w:val="0"/>
        <w:keepLines w:val="0"/>
        <w:pageBreakBefore w:val="0"/>
        <w:kinsoku/>
        <w:wordWrap/>
        <w:overflowPunct/>
        <w:topLinePunct w:val="0"/>
        <w:bidi w:val="0"/>
        <w:adjustRightInd/>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w:t>
      </w:r>
      <w:r>
        <w:rPr>
          <w:rFonts w:hint="eastAsia" w:ascii="仿宋" w:hAnsi="仿宋" w:eastAsia="仿宋" w:cs="仿宋"/>
          <w:b/>
          <w:bCs/>
          <w:color w:val="auto"/>
          <w:sz w:val="22"/>
          <w:szCs w:val="22"/>
          <w:highlight w:val="none"/>
        </w:rPr>
        <w:t>不允许</w:t>
      </w:r>
      <w:r>
        <w:rPr>
          <w:rFonts w:hint="eastAsia" w:ascii="仿宋" w:hAnsi="仿宋" w:eastAsia="仿宋" w:cs="仿宋"/>
          <w:color w:val="auto"/>
          <w:sz w:val="22"/>
          <w:szCs w:val="22"/>
          <w:highlight w:val="none"/>
        </w:rPr>
        <w:t>联合体投标。</w:t>
      </w:r>
    </w:p>
    <w:p w14:paraId="3FDB948A">
      <w:pPr>
        <w:keepNext w:val="0"/>
        <w:keepLines w:val="0"/>
        <w:pageBreakBefore w:val="0"/>
        <w:kinsoku/>
        <w:wordWrap/>
        <w:overflowPunct/>
        <w:topLinePunct w:val="0"/>
        <w:bidi w:val="0"/>
        <w:adjustRightInd/>
        <w:spacing w:line="400" w:lineRule="exact"/>
        <w:ind w:firstLine="433" w:firstLineChars="196"/>
        <w:textAlignment w:val="auto"/>
        <w:rPr>
          <w:rFonts w:hint="eastAsia" w:ascii="仿宋" w:hAnsi="仿宋" w:eastAsia="仿宋" w:cs="仿宋"/>
          <w:b/>
          <w:color w:val="auto"/>
          <w:kern w:val="0"/>
          <w:sz w:val="22"/>
          <w:szCs w:val="22"/>
          <w:highlight w:val="none"/>
        </w:rPr>
      </w:pPr>
      <w:r>
        <w:rPr>
          <w:rFonts w:hint="eastAsia" w:ascii="仿宋" w:hAnsi="仿宋" w:eastAsia="仿宋" w:cs="仿宋"/>
          <w:b/>
          <w:color w:val="auto"/>
          <w:sz w:val="22"/>
          <w:szCs w:val="22"/>
          <w:highlight w:val="none"/>
        </w:rPr>
        <w:t>（七）</w:t>
      </w:r>
      <w:r>
        <w:rPr>
          <w:rFonts w:hint="eastAsia" w:ascii="仿宋" w:hAnsi="仿宋" w:eastAsia="仿宋" w:cs="仿宋"/>
          <w:b/>
          <w:color w:val="auto"/>
          <w:kern w:val="0"/>
          <w:sz w:val="22"/>
          <w:szCs w:val="22"/>
          <w:highlight w:val="none"/>
        </w:rPr>
        <w:t>转包与分包</w:t>
      </w:r>
    </w:p>
    <w:p w14:paraId="66906767">
      <w:pPr>
        <w:keepNext w:val="0"/>
        <w:keepLines w:val="0"/>
        <w:pageBreakBefore w:val="0"/>
        <w:kinsoku/>
        <w:wordWrap/>
        <w:overflowPunct/>
        <w:topLinePunct w:val="0"/>
        <w:bidi w:val="0"/>
        <w:adjustRightInd/>
        <w:spacing w:line="400" w:lineRule="exact"/>
        <w:ind w:firstLine="431" w:firstLineChars="196"/>
        <w:textAlignment w:val="auto"/>
        <w:rPr>
          <w:rFonts w:hint="eastAsia" w:ascii="仿宋" w:hAnsi="仿宋" w:eastAsia="仿宋" w:cs="仿宋"/>
          <w:b/>
          <w:color w:val="auto"/>
          <w:kern w:val="0"/>
          <w:sz w:val="22"/>
          <w:szCs w:val="22"/>
          <w:highlight w:val="none"/>
        </w:rPr>
      </w:pPr>
      <w:r>
        <w:rPr>
          <w:rFonts w:hint="eastAsia" w:ascii="仿宋" w:hAnsi="仿宋" w:eastAsia="仿宋" w:cs="仿宋"/>
          <w:color w:val="auto"/>
          <w:kern w:val="0"/>
          <w:sz w:val="22"/>
          <w:szCs w:val="22"/>
          <w:highlight w:val="none"/>
        </w:rPr>
        <w:t>本项目不允许转包；未经采购人同意不得分包。</w:t>
      </w:r>
    </w:p>
    <w:p w14:paraId="606D3371">
      <w:pPr>
        <w:keepNext w:val="0"/>
        <w:keepLines w:val="0"/>
        <w:pageBreakBefore w:val="0"/>
        <w:kinsoku/>
        <w:wordWrap/>
        <w:overflowPunct/>
        <w:topLinePunct w:val="0"/>
        <w:bidi w:val="0"/>
        <w:adjustRightInd/>
        <w:spacing w:line="400" w:lineRule="exact"/>
        <w:ind w:firstLine="433" w:firstLineChars="196"/>
        <w:jc w:val="left"/>
        <w:textAlignment w:val="auto"/>
        <w:rPr>
          <w:rFonts w:hint="eastAsia" w:ascii="仿宋" w:hAnsi="仿宋" w:eastAsia="仿宋" w:cs="仿宋"/>
          <w:b/>
          <w:color w:val="auto"/>
          <w:sz w:val="22"/>
          <w:szCs w:val="22"/>
          <w:highlight w:val="none"/>
        </w:rPr>
      </w:pPr>
      <w:bookmarkStart w:id="36" w:name="_Toc13174"/>
      <w:bookmarkStart w:id="37" w:name="_Toc19244"/>
      <w:r>
        <w:rPr>
          <w:rFonts w:hint="eastAsia" w:ascii="仿宋" w:hAnsi="仿宋" w:eastAsia="仿宋" w:cs="仿宋"/>
          <w:b/>
          <w:color w:val="auto"/>
          <w:sz w:val="22"/>
          <w:szCs w:val="22"/>
          <w:highlight w:val="none"/>
        </w:rPr>
        <w:t>（八）特别说明：</w:t>
      </w:r>
      <w:bookmarkEnd w:id="36"/>
    </w:p>
    <w:p w14:paraId="313DAC33">
      <w:pPr>
        <w:pStyle w:val="28"/>
        <w:keepNext w:val="0"/>
        <w:keepLines w:val="0"/>
        <w:pageBreakBefore w:val="0"/>
        <w:kinsoku/>
        <w:wordWrap/>
        <w:overflowPunct/>
        <w:topLinePunct w:val="0"/>
        <w:bidi w:val="0"/>
        <w:adjustRightInd/>
        <w:spacing w:before="0" w:beforeAutospacing="0" w:after="0" w:afterAutospacing="0" w:line="4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1、投标人应仔细阅读招标文件的所有内容，按照招标文件的要求提交投标文件，并对所提供的全部资料的真实性承担法律责任。</w:t>
      </w:r>
    </w:p>
    <w:p w14:paraId="157CD793">
      <w:pPr>
        <w:pStyle w:val="28"/>
        <w:keepNext w:val="0"/>
        <w:keepLines w:val="0"/>
        <w:pageBreakBefore w:val="0"/>
        <w:kinsoku/>
        <w:wordWrap/>
        <w:overflowPunct/>
        <w:topLinePunct w:val="0"/>
        <w:bidi w:val="0"/>
        <w:adjustRightInd/>
        <w:spacing w:before="0" w:beforeAutospacing="0" w:after="0" w:afterAutospacing="0" w:line="40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2、投标人在投标活动中提供任何虚假材料,其投标无效，并报监管部门查处。</w:t>
      </w:r>
    </w:p>
    <w:p w14:paraId="32D881EA">
      <w:pPr>
        <w:pStyle w:val="28"/>
        <w:keepNext w:val="0"/>
        <w:keepLines w:val="0"/>
        <w:pageBreakBefore w:val="0"/>
        <w:kinsoku/>
        <w:wordWrap/>
        <w:overflowPunct/>
        <w:topLinePunct w:val="0"/>
        <w:bidi w:val="0"/>
        <w:adjustRightInd/>
        <w:spacing w:before="0" w:beforeAutospacing="0" w:after="0" w:afterAutospacing="0" w:line="400" w:lineRule="exact"/>
        <w:ind w:firstLine="442" w:firstLineChars="200"/>
        <w:textAlignment w:val="auto"/>
        <w:rPr>
          <w:rFonts w:hint="eastAsia" w:ascii="仿宋" w:hAnsi="仿宋" w:eastAsia="仿宋" w:cs="仿宋"/>
          <w:b/>
          <w:color w:val="auto"/>
          <w:sz w:val="22"/>
          <w:szCs w:val="22"/>
          <w:highlight w:val="none"/>
        </w:rPr>
      </w:pPr>
      <w:bookmarkStart w:id="38" w:name="_Toc13650"/>
      <w:r>
        <w:rPr>
          <w:rFonts w:hint="eastAsia" w:ascii="仿宋" w:hAnsi="仿宋" w:eastAsia="仿宋" w:cs="仿宋"/>
          <w:b/>
          <w:color w:val="auto"/>
          <w:sz w:val="22"/>
          <w:szCs w:val="22"/>
          <w:highlight w:val="none"/>
        </w:rPr>
        <w:t>（九）关于分公司投标</w:t>
      </w:r>
    </w:p>
    <w:p w14:paraId="6F23DF82">
      <w:pPr>
        <w:pStyle w:val="28"/>
        <w:keepNext w:val="0"/>
        <w:keepLines w:val="0"/>
        <w:pageBreakBefore w:val="0"/>
        <w:kinsoku/>
        <w:wordWrap/>
        <w:overflowPunct/>
        <w:topLinePunct w:val="0"/>
        <w:bidi w:val="0"/>
        <w:adjustRightInd/>
        <w:spacing w:before="0" w:beforeAutospacing="0" w:after="0" w:afterAutospacing="0"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3367B7B5">
      <w:pPr>
        <w:keepNext w:val="0"/>
        <w:keepLines w:val="0"/>
        <w:pageBreakBefore w:val="0"/>
        <w:kinsoku/>
        <w:wordWrap/>
        <w:overflowPunct/>
        <w:topLinePunct w:val="0"/>
        <w:bidi w:val="0"/>
        <w:adjustRightInd/>
        <w:spacing w:line="400" w:lineRule="exact"/>
        <w:ind w:firstLine="433" w:firstLineChars="196"/>
        <w:jc w:val="lef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val="en-US" w:eastAsia="zh-CN"/>
        </w:rPr>
        <w:t>十</w:t>
      </w:r>
      <w:r>
        <w:rPr>
          <w:rFonts w:hint="eastAsia" w:ascii="仿宋" w:hAnsi="仿宋" w:eastAsia="仿宋" w:cs="仿宋"/>
          <w:b/>
          <w:color w:val="auto"/>
          <w:sz w:val="22"/>
          <w:szCs w:val="22"/>
          <w:highlight w:val="none"/>
        </w:rPr>
        <w:t>）质疑和投诉</w:t>
      </w:r>
      <w:bookmarkEnd w:id="38"/>
    </w:p>
    <w:p w14:paraId="1A3591FE">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sz w:val="22"/>
          <w:szCs w:val="28"/>
          <w:highlight w:val="none"/>
        </w:rPr>
        <w:t>认为采购文件、采购过程、中标或者成交结果使自己的权益受到损害的，须在应知其利益受损之日起七个工作日内以书面形式向采购人、采购代理机构提出质疑。</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sz w:val="22"/>
          <w:szCs w:val="28"/>
          <w:highlight w:val="none"/>
        </w:rPr>
        <w:t>应当在法定质疑期内一次性提出针对同一采购程序环节的质疑。</w:t>
      </w:r>
    </w:p>
    <w:p w14:paraId="74B10197">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2、提出质疑的</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sz w:val="22"/>
          <w:szCs w:val="28"/>
          <w:highlight w:val="none"/>
        </w:rPr>
        <w:t>应当是参与所质疑项目采购活动的</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sz w:val="22"/>
          <w:szCs w:val="28"/>
          <w:highlight w:val="none"/>
        </w:rPr>
        <w:t>。未依法获取采购文件的，不得就采购文件提出质疑；未提交投标文件的</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sz w:val="22"/>
          <w:szCs w:val="28"/>
          <w:highlight w:val="none"/>
        </w:rPr>
        <w:t>，视为与采购结果没有利害关系，不得就采购响应截止时间后的采购过程、采购结果提出质疑。</w:t>
      </w:r>
    </w:p>
    <w:p w14:paraId="43D723E5">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3、</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sz w:val="22"/>
          <w:szCs w:val="28"/>
          <w:highlight w:val="none"/>
        </w:rPr>
        <w:t>提出质疑应当提交质疑函和必要的证明材料，质疑函应当面以书面形式提出，质疑函格式和内容须符合财政部《质疑函范本》要求，</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sz w:val="22"/>
          <w:szCs w:val="28"/>
          <w:highlight w:val="none"/>
        </w:rPr>
        <w:t>可到中国政府采购网自行下载财政部《质疑函范本》。</w:t>
      </w:r>
    </w:p>
    <w:p w14:paraId="6EDF4571">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41E99AB7">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5、</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sz w:val="22"/>
          <w:szCs w:val="28"/>
          <w:highlight w:val="none"/>
        </w:rPr>
        <w:t>对采购人或采购代理机构的质疑答复不满意或者采购人或采购代理机构未在规定时间内作出答复的，可以在答复期满后十五个工作日内向同级采购监管部门投诉。</w:t>
      </w:r>
    </w:p>
    <w:p w14:paraId="4D5ACBF8">
      <w:pPr>
        <w:keepNext w:val="0"/>
        <w:keepLines w:val="0"/>
        <w:pageBreakBefore w:val="0"/>
        <w:widowControl/>
        <w:shd w:val="clear" w:color="auto" w:fill="FFFFFF"/>
        <w:kinsoku/>
        <w:wordWrap/>
        <w:overflowPunct/>
        <w:topLinePunct w:val="0"/>
        <w:bidi w:val="0"/>
        <w:adjustRightInd/>
        <w:spacing w:line="400" w:lineRule="exact"/>
        <w:textAlignment w:val="auto"/>
        <w:rPr>
          <w:rFonts w:hint="eastAsia" w:ascii="仿宋" w:hAnsi="仿宋" w:eastAsia="仿宋" w:cs="仿宋"/>
          <w:b/>
          <w:color w:val="auto"/>
          <w:kern w:val="2"/>
          <w:sz w:val="22"/>
          <w:szCs w:val="22"/>
          <w:highlight w:val="none"/>
          <w:lang w:val="en-US" w:eastAsia="zh-CN" w:bidi="ar-SA"/>
        </w:rPr>
      </w:pPr>
      <w:r>
        <w:rPr>
          <w:rFonts w:hint="eastAsia" w:ascii="仿宋" w:hAnsi="仿宋" w:eastAsia="仿宋" w:cs="仿宋"/>
          <w:b/>
          <w:color w:val="auto"/>
          <w:kern w:val="2"/>
          <w:sz w:val="22"/>
          <w:szCs w:val="22"/>
          <w:highlight w:val="none"/>
          <w:lang w:val="en-US" w:eastAsia="zh-CN" w:bidi="ar-SA"/>
        </w:rPr>
        <w:t>二、采购文件</w:t>
      </w:r>
      <w:bookmarkEnd w:id="37"/>
    </w:p>
    <w:p w14:paraId="2F4FB6DF">
      <w:pPr>
        <w:keepNext w:val="0"/>
        <w:keepLines w:val="0"/>
        <w:pageBreakBefore w:val="0"/>
        <w:kinsoku/>
        <w:wordWrap/>
        <w:overflowPunct/>
        <w:topLinePunct w:val="0"/>
        <w:bidi w:val="0"/>
        <w:adjustRightInd/>
        <w:snapToGrid w:val="0"/>
        <w:spacing w:line="400" w:lineRule="exact"/>
        <w:ind w:firstLine="433" w:firstLineChars="196"/>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（一）采购文件的构成。本采购文件由以下部分组成：</w:t>
      </w:r>
    </w:p>
    <w:p w14:paraId="20275152">
      <w:pPr>
        <w:keepNext w:val="0"/>
        <w:keepLines w:val="0"/>
        <w:pageBreakBefore w:val="0"/>
        <w:kinsoku/>
        <w:wordWrap/>
        <w:overflowPunct/>
        <w:topLinePunct w:val="0"/>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1.公开招标采购公告</w:t>
      </w:r>
    </w:p>
    <w:p w14:paraId="1F677522">
      <w:pPr>
        <w:keepNext w:val="0"/>
        <w:keepLines w:val="0"/>
        <w:pageBreakBefore w:val="0"/>
        <w:kinsoku/>
        <w:wordWrap/>
        <w:overflowPunct/>
        <w:topLinePunct w:val="0"/>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2.采购需求</w:t>
      </w:r>
    </w:p>
    <w:p w14:paraId="5F05519F">
      <w:pPr>
        <w:keepNext w:val="0"/>
        <w:keepLines w:val="0"/>
        <w:pageBreakBefore w:val="0"/>
        <w:kinsoku/>
        <w:wordWrap/>
        <w:overflowPunct/>
        <w:topLinePunct w:val="0"/>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3.投标人须知</w:t>
      </w:r>
    </w:p>
    <w:p w14:paraId="31049DA5">
      <w:pPr>
        <w:keepNext w:val="0"/>
        <w:keepLines w:val="0"/>
        <w:pageBreakBefore w:val="0"/>
        <w:kinsoku/>
        <w:wordWrap/>
        <w:overflowPunct/>
        <w:topLinePunct w:val="0"/>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4.评标办法及评分标准</w:t>
      </w:r>
    </w:p>
    <w:p w14:paraId="627CDC54">
      <w:pPr>
        <w:keepNext w:val="0"/>
        <w:keepLines w:val="0"/>
        <w:pageBreakBefore w:val="0"/>
        <w:kinsoku/>
        <w:wordWrap/>
        <w:overflowPunct/>
        <w:topLinePunct w:val="0"/>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5.政府采购合同文本</w:t>
      </w:r>
    </w:p>
    <w:p w14:paraId="6B1D68B7">
      <w:pPr>
        <w:keepNext w:val="0"/>
        <w:keepLines w:val="0"/>
        <w:pageBreakBefore w:val="0"/>
        <w:kinsoku/>
        <w:wordWrap/>
        <w:overflowPunct/>
        <w:topLinePunct w:val="0"/>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6.投标文件格式</w:t>
      </w:r>
    </w:p>
    <w:p w14:paraId="217DD3DF">
      <w:pPr>
        <w:keepNext w:val="0"/>
        <w:keepLines w:val="0"/>
        <w:pageBreakBefore w:val="0"/>
        <w:kinsoku/>
        <w:wordWrap/>
        <w:overflowPunct/>
        <w:topLinePunct w:val="0"/>
        <w:bidi w:val="0"/>
        <w:adjustRightInd/>
        <w:snapToGrid w:val="0"/>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7.本项目招标文件的澄清、答复、修改、补充的内容</w:t>
      </w:r>
    </w:p>
    <w:p w14:paraId="5F587F5B">
      <w:pPr>
        <w:keepNext w:val="0"/>
        <w:keepLines w:val="0"/>
        <w:pageBreakBefore w:val="0"/>
        <w:kinsoku/>
        <w:wordWrap/>
        <w:overflowPunct/>
        <w:topLinePunct w:val="0"/>
        <w:bidi w:val="0"/>
        <w:adjustRightInd/>
        <w:snapToGrid w:val="0"/>
        <w:spacing w:line="400" w:lineRule="exact"/>
        <w:ind w:firstLine="442"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（二）</w:t>
      </w:r>
      <w:r>
        <w:rPr>
          <w:rFonts w:hint="eastAsia" w:ascii="仿宋" w:hAnsi="仿宋" w:eastAsia="仿宋" w:cs="仿宋"/>
          <w:b/>
          <w:bCs/>
          <w:color w:val="auto"/>
          <w:sz w:val="22"/>
          <w:szCs w:val="22"/>
          <w:highlight w:val="none"/>
          <w:lang w:val="en-US" w:eastAsia="zh-CN"/>
        </w:rPr>
        <w:t>投标人</w:t>
      </w:r>
      <w:r>
        <w:rPr>
          <w:rFonts w:hint="eastAsia" w:ascii="仿宋" w:hAnsi="仿宋" w:eastAsia="仿宋" w:cs="仿宋"/>
          <w:b/>
          <w:color w:val="auto"/>
          <w:sz w:val="22"/>
          <w:szCs w:val="22"/>
          <w:highlight w:val="none"/>
        </w:rPr>
        <w:t>的风险</w:t>
      </w:r>
    </w:p>
    <w:p w14:paraId="67ACF07B">
      <w:pPr>
        <w:keepNext w:val="0"/>
        <w:keepLines w:val="0"/>
        <w:pageBreakBefore w:val="0"/>
        <w:kinsoku/>
        <w:wordWrap/>
        <w:overflowPunct/>
        <w:topLinePunct w:val="0"/>
        <w:bidi w:val="0"/>
        <w:adjustRightInd/>
        <w:spacing w:line="400" w:lineRule="exact"/>
        <w:ind w:firstLine="440" w:firstLineChars="200"/>
        <w:jc w:val="left"/>
        <w:textAlignment w:val="auto"/>
        <w:rPr>
          <w:rFonts w:hint="eastAsia" w:ascii="仿宋" w:hAnsi="仿宋" w:eastAsia="仿宋" w:cs="仿宋"/>
          <w:bCs/>
          <w:color w:val="auto"/>
          <w:sz w:val="22"/>
          <w:szCs w:val="22"/>
          <w:highlight w:val="none"/>
        </w:rPr>
      </w:pP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bCs/>
          <w:color w:val="auto"/>
          <w:sz w:val="22"/>
          <w:szCs w:val="22"/>
          <w:highlight w:val="none"/>
        </w:rPr>
        <w:t>没有按照采购文件要求提供全部资料，或者</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bCs/>
          <w:color w:val="auto"/>
          <w:sz w:val="22"/>
          <w:szCs w:val="22"/>
          <w:highlight w:val="none"/>
        </w:rPr>
        <w:t>没有对采购文件在各方面作出实质性响应是</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bCs/>
          <w:color w:val="auto"/>
          <w:sz w:val="22"/>
          <w:szCs w:val="22"/>
          <w:highlight w:val="none"/>
        </w:rPr>
        <w:t>的风险，并可能导致其投标被拒绝。</w:t>
      </w:r>
    </w:p>
    <w:p w14:paraId="12634EA0">
      <w:pPr>
        <w:keepNext w:val="0"/>
        <w:keepLines w:val="0"/>
        <w:pageBreakBefore w:val="0"/>
        <w:kinsoku/>
        <w:wordWrap/>
        <w:overflowPunct/>
        <w:topLinePunct w:val="0"/>
        <w:bidi w:val="0"/>
        <w:adjustRightInd/>
        <w:spacing w:line="400" w:lineRule="exact"/>
        <w:ind w:firstLine="442" w:firstLineChars="200"/>
        <w:jc w:val="lef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（三）招标文件的澄清与修改</w:t>
      </w:r>
    </w:p>
    <w:p w14:paraId="4AC31AB0">
      <w:pPr>
        <w:keepNext w:val="0"/>
        <w:keepLines w:val="0"/>
        <w:pageBreakBefore w:val="0"/>
        <w:kinsoku/>
        <w:wordWrap/>
        <w:overflowPunct/>
        <w:topLinePunct w:val="0"/>
        <w:bidi w:val="0"/>
        <w:adjustRightInd/>
        <w:spacing w:line="400" w:lineRule="exact"/>
        <w:ind w:firstLine="440" w:firstLineChars="20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019F6744">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54BD3C8">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rPr>
        <w:t>3、招标文件澄清、答复、修改、补充的内容为招标文件的组成部分。当招标文件与招标文件的答复、澄清、修改、补充通知就同一内容的表述不一致时，以最后发出的书面文件为准</w:t>
      </w:r>
      <w:r>
        <w:rPr>
          <w:rFonts w:hint="eastAsia" w:ascii="仿宋" w:hAnsi="仿宋" w:eastAsia="仿宋" w:cs="仿宋"/>
          <w:bCs/>
          <w:color w:val="auto"/>
          <w:sz w:val="22"/>
          <w:szCs w:val="22"/>
          <w:highlight w:val="none"/>
          <w:lang w:eastAsia="zh-CN"/>
        </w:rPr>
        <w:t>。</w:t>
      </w:r>
    </w:p>
    <w:p w14:paraId="58468BC4">
      <w:pPr>
        <w:keepNext w:val="0"/>
        <w:keepLines w:val="0"/>
        <w:pageBreakBefore w:val="0"/>
        <w:widowControl/>
        <w:shd w:val="clear" w:color="auto" w:fill="FFFFFF"/>
        <w:kinsoku/>
        <w:wordWrap/>
        <w:overflowPunct/>
        <w:topLinePunct w:val="0"/>
        <w:bidi w:val="0"/>
        <w:adjustRightInd/>
        <w:spacing w:line="400" w:lineRule="exact"/>
        <w:textAlignment w:val="auto"/>
        <w:rPr>
          <w:rFonts w:hint="eastAsia" w:ascii="仿宋" w:hAnsi="仿宋" w:eastAsia="仿宋" w:cs="仿宋"/>
          <w:b/>
          <w:color w:val="auto"/>
          <w:kern w:val="2"/>
          <w:sz w:val="22"/>
          <w:szCs w:val="22"/>
          <w:highlight w:val="none"/>
          <w:lang w:val="en-US" w:eastAsia="zh-CN" w:bidi="ar-SA"/>
        </w:rPr>
      </w:pPr>
      <w:r>
        <w:rPr>
          <w:rFonts w:hint="eastAsia" w:ascii="仿宋" w:hAnsi="仿宋" w:eastAsia="仿宋" w:cs="仿宋"/>
          <w:b/>
          <w:color w:val="auto"/>
          <w:kern w:val="2"/>
          <w:sz w:val="22"/>
          <w:szCs w:val="22"/>
          <w:highlight w:val="none"/>
          <w:lang w:val="en-US" w:eastAsia="zh-CN" w:bidi="ar-SA"/>
        </w:rPr>
        <w:t>三、投标文件的编制</w:t>
      </w:r>
    </w:p>
    <w:p w14:paraId="73443880">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重要提示：投标文件的形式和效力</w:t>
      </w:r>
    </w:p>
    <w:p w14:paraId="49098888">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1、投标文件分为电子投标文件以及备份投标文件，备份文件为以U盘或光盘存储的电子备份投标文件。</w:t>
      </w:r>
    </w:p>
    <w:p w14:paraId="4BAB0D1F">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2、电子投标文件，按“政采云供应商项目采购-电子招投标操作指南”及本采购文件要求制作、加密并递交。</w:t>
      </w:r>
    </w:p>
    <w:p w14:paraId="02CF060D">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3、以U盘或光盘存储的电子备份投标文件，即电子投标文件按“政采云供应商项目采购-电子招投标操作指南”制作的备份文件。</w:t>
      </w:r>
    </w:p>
    <w:p w14:paraId="79B1844B">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4、纸质投标文件需与电子投标文件一致。</w:t>
      </w:r>
    </w:p>
    <w:p w14:paraId="4EA29119">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5、投标文件的效力</w:t>
      </w:r>
    </w:p>
    <w:p w14:paraId="100B9DBF">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投标文件的启用，按先后顺位分别为电子投标文件、以U盘或光盘存储的电子备份投标文件。在下一顺位的投标文件启用时，前一顺位的投标文件自动失效。</w:t>
      </w:r>
    </w:p>
    <w:p w14:paraId="4B3942A4">
      <w:pPr>
        <w:keepNext w:val="0"/>
        <w:keepLines w:val="0"/>
        <w:pageBreakBefore w:val="0"/>
        <w:kinsoku/>
        <w:wordWrap/>
        <w:overflowPunct/>
        <w:topLinePunct w:val="0"/>
        <w:bidi w:val="0"/>
        <w:adjustRightInd/>
        <w:spacing w:line="400" w:lineRule="exact"/>
        <w:ind w:firstLine="433" w:firstLineChars="196"/>
        <w:jc w:val="lef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（一）投标文件的组成</w:t>
      </w:r>
    </w:p>
    <w:p w14:paraId="4121D3C1">
      <w:pPr>
        <w:keepNext w:val="0"/>
        <w:keepLines w:val="0"/>
        <w:pageBreakBefore w:val="0"/>
        <w:kinsoku/>
        <w:wordWrap/>
        <w:overflowPunct/>
        <w:topLinePunct w:val="0"/>
        <w:bidi w:val="0"/>
        <w:adjustRightInd/>
        <w:spacing w:line="400" w:lineRule="exact"/>
        <w:ind w:firstLine="440" w:firstLineChars="200"/>
        <w:jc w:val="left"/>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投标文件的件组成：投标文件由资格审查文件、商务技术文件和报价文件三部份组成。提供格式的按照格式填写，未提供格式的由投标人自拟。</w:t>
      </w:r>
    </w:p>
    <w:p w14:paraId="1CD98D17">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1.资格审查文件包括以下内容：</w:t>
      </w:r>
    </w:p>
    <w:p w14:paraId="512DEC79">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（1</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rPr>
        <w:t>营业执照副本（或事业法人登记证副本或其他登记证明材料）扫描件加盖投标人公章（投标人如果有名称变更的，应提供由行政主管部门出具的变更证明文件扫描件加盖投标人公章）；</w:t>
      </w:r>
    </w:p>
    <w:p w14:paraId="4ABEB354">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w:t>
      </w:r>
      <w:r>
        <w:rPr>
          <w:rFonts w:hint="eastAsia" w:ascii="仿宋" w:hAnsi="仿宋" w:eastAsia="仿宋" w:cs="仿宋"/>
          <w:bCs/>
          <w:color w:val="auto"/>
          <w:sz w:val="22"/>
          <w:szCs w:val="22"/>
          <w:highlight w:val="none"/>
        </w:rPr>
        <w:t>2）投标人资格声明函（格式见附件）；</w:t>
      </w:r>
    </w:p>
    <w:p w14:paraId="403E76B7">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（3</w:t>
      </w:r>
      <w:r>
        <w:rPr>
          <w:rFonts w:hint="eastAsia" w:ascii="仿宋" w:hAnsi="仿宋" w:eastAsia="仿宋" w:cs="仿宋"/>
          <w:bCs/>
          <w:color w:val="auto"/>
          <w:sz w:val="22"/>
          <w:szCs w:val="22"/>
          <w:highlight w:val="none"/>
        </w:rPr>
        <w:t>）中小企业声明函（如有)（格式见附件）；</w:t>
      </w:r>
    </w:p>
    <w:p w14:paraId="375D1C3A">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（4</w:t>
      </w:r>
      <w:r>
        <w:rPr>
          <w:rFonts w:hint="eastAsia" w:ascii="仿宋" w:hAnsi="仿宋" w:eastAsia="仿宋" w:cs="仿宋"/>
          <w:bCs/>
          <w:color w:val="auto"/>
          <w:sz w:val="22"/>
          <w:szCs w:val="22"/>
          <w:highlight w:val="none"/>
        </w:rPr>
        <w:t>）残疾人福利性单位声明函（非残疾人福利性单位无需提供本函)（格式见附件）；</w:t>
      </w:r>
    </w:p>
    <w:p w14:paraId="5F1946D8">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（5）</w:t>
      </w:r>
      <w:r>
        <w:rPr>
          <w:rFonts w:hint="eastAsia" w:ascii="仿宋" w:hAnsi="仿宋" w:eastAsia="仿宋" w:cs="仿宋"/>
          <w:bCs/>
          <w:color w:val="auto"/>
          <w:sz w:val="22"/>
          <w:szCs w:val="22"/>
          <w:highlight w:val="none"/>
        </w:rPr>
        <w:t>采购文件要求的其他资格条件证明材料（如有）；</w:t>
      </w:r>
    </w:p>
    <w:p w14:paraId="0A10BD6F">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2.商务技术文件包括以下内容：</w:t>
      </w:r>
    </w:p>
    <w:p w14:paraId="3F3FEF11">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（1）商务技术响应表（格式见第六章 投标文件格式）；</w:t>
      </w:r>
    </w:p>
    <w:p w14:paraId="12C32B4E">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w:t>
      </w:r>
      <w:r>
        <w:rPr>
          <w:rFonts w:hint="eastAsia" w:ascii="仿宋" w:hAnsi="仿宋" w:eastAsia="仿宋" w:cs="仿宋"/>
          <w:bCs/>
          <w:color w:val="auto"/>
          <w:sz w:val="22"/>
          <w:szCs w:val="22"/>
          <w:highlight w:val="none"/>
          <w:lang w:val="en-US" w:eastAsia="zh-CN"/>
        </w:rPr>
        <w:t>投标人</w:t>
      </w:r>
      <w:r>
        <w:rPr>
          <w:rFonts w:hint="eastAsia" w:ascii="仿宋" w:hAnsi="仿宋" w:eastAsia="仿宋" w:cs="仿宋"/>
          <w:bCs/>
          <w:color w:val="auto"/>
          <w:sz w:val="22"/>
          <w:szCs w:val="22"/>
          <w:highlight w:val="none"/>
        </w:rPr>
        <w:t>基本情况表（格式见第六章 投标文件格式）；</w:t>
      </w:r>
    </w:p>
    <w:p w14:paraId="181FB2E0">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lang w:val="en-US" w:eastAsia="zh-CN"/>
        </w:rPr>
        <w:t>3</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lang w:val="en-US" w:eastAsia="zh-CN"/>
        </w:rPr>
        <w:t>投标人</w:t>
      </w:r>
      <w:r>
        <w:rPr>
          <w:rFonts w:hint="eastAsia" w:ascii="仿宋" w:hAnsi="仿宋" w:eastAsia="仿宋" w:cs="仿宋"/>
          <w:bCs/>
          <w:color w:val="auto"/>
          <w:sz w:val="22"/>
          <w:szCs w:val="22"/>
          <w:highlight w:val="none"/>
        </w:rPr>
        <w:t>的代表若为法定代表人，提供法定代表人身份证明书；投标人的代表若为非法定代表人的，提交代表人身份证明书及法定代表人授权书（格式见附件）</w:t>
      </w:r>
    </w:p>
    <w:p w14:paraId="646117CA">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（3）拟派项目负责人简历表（格式见第六章 投标文件格式）；</w:t>
      </w:r>
    </w:p>
    <w:p w14:paraId="7BDA9305">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（4）拟投入的人员配备情况表（格式见第六章 投标文件格式）；</w:t>
      </w:r>
    </w:p>
    <w:p w14:paraId="0B472393">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（5）类似项目业绩一览表（格式见第六章 投标文件格式）；</w:t>
      </w:r>
    </w:p>
    <w:p w14:paraId="432C8283">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（6）评分标准中涉及的内容材料；</w:t>
      </w:r>
    </w:p>
    <w:p w14:paraId="5808A237">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（7）承诺书</w:t>
      </w:r>
      <w:r>
        <w:rPr>
          <w:rFonts w:hint="eastAsia" w:ascii="仿宋" w:hAnsi="仿宋" w:eastAsia="仿宋" w:cs="仿宋"/>
          <w:bCs/>
          <w:color w:val="auto"/>
          <w:sz w:val="22"/>
          <w:szCs w:val="22"/>
          <w:highlight w:val="none"/>
        </w:rPr>
        <w:t>（格式见附件）；</w:t>
      </w:r>
    </w:p>
    <w:p w14:paraId="1D97B9B4">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w:t>
      </w:r>
      <w:r>
        <w:rPr>
          <w:rFonts w:hint="eastAsia" w:ascii="仿宋" w:hAnsi="仿宋" w:eastAsia="仿宋" w:cs="仿宋"/>
          <w:bCs/>
          <w:color w:val="auto"/>
          <w:sz w:val="22"/>
          <w:szCs w:val="22"/>
          <w:highlight w:val="none"/>
          <w:lang w:val="en-US" w:eastAsia="zh-CN"/>
        </w:rPr>
        <w:t>8</w:t>
      </w:r>
      <w:r>
        <w:rPr>
          <w:rFonts w:hint="eastAsia" w:ascii="仿宋" w:hAnsi="仿宋" w:eastAsia="仿宋" w:cs="仿宋"/>
          <w:bCs/>
          <w:color w:val="auto"/>
          <w:sz w:val="22"/>
          <w:szCs w:val="22"/>
          <w:highlight w:val="none"/>
        </w:rPr>
        <w:t>）其他招标文件要求或投标人认为有必要提供的文件资料。</w:t>
      </w:r>
    </w:p>
    <w:p w14:paraId="60BBE742">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 3.报价文件包括以下内容：</w:t>
      </w:r>
    </w:p>
    <w:p w14:paraId="7673B7BD">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bookmarkStart w:id="39" w:name="_Toc22475"/>
      <w:r>
        <w:rPr>
          <w:rFonts w:hint="eastAsia" w:ascii="仿宋" w:hAnsi="仿宋" w:eastAsia="仿宋" w:cs="仿宋"/>
          <w:bCs/>
          <w:color w:val="auto"/>
          <w:sz w:val="22"/>
          <w:szCs w:val="22"/>
          <w:highlight w:val="none"/>
        </w:rPr>
        <w:t>（1）投标函（格式见第六章 投标文件格式）；</w:t>
      </w:r>
    </w:p>
    <w:p w14:paraId="505CB1C4">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（2）开标一览表（格式见第六章 投标文件格式）；</w:t>
      </w:r>
    </w:p>
    <w:p w14:paraId="103E52BD">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（3）投标人</w:t>
      </w:r>
      <w:r>
        <w:rPr>
          <w:rFonts w:hint="eastAsia" w:ascii="仿宋" w:hAnsi="仿宋" w:eastAsia="仿宋" w:cs="仿宋"/>
          <w:bCs/>
          <w:color w:val="auto"/>
          <w:sz w:val="22"/>
          <w:szCs w:val="22"/>
          <w:highlight w:val="none"/>
        </w:rPr>
        <w:t>针对报价需要说明的其他文件和说明（格式自拟）。</w:t>
      </w:r>
    </w:p>
    <w:p w14:paraId="09949983">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▲（二）投标文件的语言及计量</w:t>
      </w:r>
      <w:bookmarkEnd w:id="39"/>
    </w:p>
    <w:p w14:paraId="24D1E8CC">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 1.投标文件以及</w:t>
      </w:r>
      <w:r>
        <w:rPr>
          <w:rFonts w:hint="eastAsia" w:ascii="仿宋" w:hAnsi="仿宋" w:eastAsia="仿宋" w:cs="仿宋"/>
          <w:bCs/>
          <w:color w:val="auto"/>
          <w:sz w:val="22"/>
          <w:szCs w:val="22"/>
          <w:highlight w:val="none"/>
          <w:lang w:val="en-US" w:eastAsia="zh-CN"/>
        </w:rPr>
        <w:t>投标人</w:t>
      </w:r>
      <w:r>
        <w:rPr>
          <w:rFonts w:hint="eastAsia" w:ascii="仿宋" w:hAnsi="仿宋" w:eastAsia="仿宋" w:cs="仿宋"/>
          <w:bCs/>
          <w:color w:val="auto"/>
          <w:sz w:val="22"/>
          <w:szCs w:val="22"/>
          <w:highlight w:val="none"/>
        </w:rPr>
        <w:t>与采购人就有关投标事宜的所有来往函电，均应以中文汉语书写。除签名、盖章、专用名称等特殊情形外，以中文汉语以外的文字表述的投标文件视同未提供。</w:t>
      </w:r>
    </w:p>
    <w:p w14:paraId="23DC990B">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 2.投标计量单位，采购文件已有明确规定的，使用采购文件规定的计量单位；采购文件没有规定的，应采用中华人民共和国法定计量单位（货币单位：人民币元），否则视同未响应。</w:t>
      </w:r>
    </w:p>
    <w:p w14:paraId="60E7F567">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bookmarkStart w:id="40" w:name="_Toc25759"/>
      <w:r>
        <w:rPr>
          <w:rFonts w:hint="eastAsia" w:ascii="仿宋" w:hAnsi="仿宋" w:eastAsia="仿宋" w:cs="仿宋"/>
          <w:bCs/>
          <w:color w:val="auto"/>
          <w:sz w:val="22"/>
          <w:szCs w:val="22"/>
          <w:highlight w:val="none"/>
        </w:rPr>
        <w:t>（三）投标报价</w:t>
      </w:r>
      <w:bookmarkEnd w:id="40"/>
    </w:p>
    <w:p w14:paraId="3DBE4DAB">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1.投标报价应按采购文件中相关附表格式填写。</w:t>
      </w:r>
    </w:p>
    <w:p w14:paraId="48B661CD">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▲2.报价要求：详见招标文件第三章《</w:t>
      </w:r>
      <w:r>
        <w:rPr>
          <w:rFonts w:hint="eastAsia" w:ascii="仿宋" w:hAnsi="仿宋" w:eastAsia="仿宋" w:cs="仿宋"/>
          <w:bCs/>
          <w:color w:val="auto"/>
          <w:sz w:val="22"/>
          <w:szCs w:val="22"/>
          <w:highlight w:val="none"/>
          <w:lang w:val="en-US" w:eastAsia="zh-CN"/>
        </w:rPr>
        <w:t>投标人</w:t>
      </w:r>
      <w:r>
        <w:rPr>
          <w:rFonts w:hint="eastAsia" w:ascii="仿宋" w:hAnsi="仿宋" w:eastAsia="仿宋" w:cs="仿宋"/>
          <w:bCs/>
          <w:color w:val="auto"/>
          <w:sz w:val="22"/>
          <w:szCs w:val="22"/>
          <w:highlight w:val="none"/>
        </w:rPr>
        <w:t>须知》前附表。</w:t>
      </w:r>
    </w:p>
    <w:p w14:paraId="17D2D6A8">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▲3.投标文件只允许有一个报价，有选择的或有条件的报价将不予接受。</w:t>
      </w:r>
    </w:p>
    <w:p w14:paraId="0E81B510">
      <w:pPr>
        <w:keepNext w:val="0"/>
        <w:keepLines w:val="0"/>
        <w:pageBreakBefore w:val="0"/>
        <w:kinsoku/>
        <w:wordWrap/>
        <w:overflowPunct/>
        <w:topLinePunct w:val="0"/>
        <w:bidi w:val="0"/>
        <w:adjustRightInd/>
        <w:spacing w:line="400" w:lineRule="exact"/>
        <w:ind w:firstLine="433" w:firstLineChars="196"/>
        <w:jc w:val="lef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（四）投标文件的有效期</w:t>
      </w:r>
    </w:p>
    <w:p w14:paraId="74DFA01A">
      <w:pPr>
        <w:keepNext w:val="0"/>
        <w:keepLines w:val="0"/>
        <w:pageBreakBefore w:val="0"/>
        <w:kinsoku/>
        <w:wordWrap/>
        <w:overflowPunct/>
        <w:topLinePunct w:val="0"/>
        <w:bidi w:val="0"/>
        <w:adjustRightInd/>
        <w:spacing w:line="400" w:lineRule="exact"/>
        <w:ind w:firstLine="433" w:firstLineChars="196"/>
        <w:jc w:val="left"/>
        <w:textAlignment w:val="auto"/>
        <w:rPr>
          <w:rFonts w:hint="eastAsia" w:ascii="仿宋" w:hAnsi="仿宋" w:eastAsia="仿宋" w:cs="仿宋"/>
          <w:b/>
          <w:bCs w:val="0"/>
          <w:color w:val="auto"/>
          <w:sz w:val="22"/>
          <w:szCs w:val="22"/>
          <w:highlight w:val="none"/>
        </w:rPr>
      </w:pPr>
      <w:bookmarkStart w:id="41" w:name="_Toc11453"/>
      <w:r>
        <w:rPr>
          <w:rFonts w:hint="eastAsia" w:ascii="仿宋" w:hAnsi="仿宋" w:eastAsia="仿宋" w:cs="仿宋"/>
          <w:b/>
          <w:bCs w:val="0"/>
          <w:color w:val="auto"/>
          <w:sz w:val="22"/>
          <w:szCs w:val="22"/>
          <w:highlight w:val="none"/>
        </w:rPr>
        <w:t>▲1、自投标截止日起90日历天投标文件应保持有效。</w:t>
      </w:r>
    </w:p>
    <w:p w14:paraId="28311D3E">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2、在特殊情况下，采购人可与</w:t>
      </w:r>
      <w:r>
        <w:rPr>
          <w:rFonts w:hint="eastAsia" w:ascii="仿宋" w:hAnsi="仿宋" w:eastAsia="仿宋" w:cs="仿宋"/>
          <w:bCs/>
          <w:color w:val="auto"/>
          <w:sz w:val="22"/>
          <w:szCs w:val="22"/>
          <w:highlight w:val="none"/>
          <w:lang w:val="en-US" w:eastAsia="zh-CN"/>
        </w:rPr>
        <w:t>投标人</w:t>
      </w:r>
      <w:r>
        <w:rPr>
          <w:rFonts w:hint="eastAsia" w:ascii="仿宋" w:hAnsi="仿宋" w:eastAsia="仿宋" w:cs="仿宋"/>
          <w:bCs/>
          <w:color w:val="auto"/>
          <w:sz w:val="22"/>
          <w:szCs w:val="22"/>
          <w:highlight w:val="none"/>
        </w:rPr>
        <w:t>协商延长投标书的有效期，这种要求和答复均以书面形式进行。</w:t>
      </w:r>
    </w:p>
    <w:p w14:paraId="37DA71EB">
      <w:pPr>
        <w:keepNext w:val="0"/>
        <w:keepLines w:val="0"/>
        <w:pageBreakBefore w:val="0"/>
        <w:kinsoku/>
        <w:wordWrap/>
        <w:overflowPunct/>
        <w:topLinePunct w:val="0"/>
        <w:bidi w:val="0"/>
        <w:adjustRightInd/>
        <w:spacing w:line="400" w:lineRule="exact"/>
        <w:ind w:firstLine="431" w:firstLineChars="196"/>
        <w:jc w:val="left"/>
        <w:textAlignment w:val="auto"/>
        <w:rPr>
          <w:rFonts w:hint="eastAsia" w:ascii="仿宋" w:hAnsi="仿宋" w:eastAsia="仿宋" w:cs="仿宋"/>
          <w:bCs/>
          <w:color w:val="auto"/>
          <w:sz w:val="22"/>
          <w:szCs w:val="22"/>
          <w:highlight w:val="none"/>
        </w:rPr>
      </w:pPr>
      <w:bookmarkStart w:id="42" w:name="_Toc24481"/>
      <w:r>
        <w:rPr>
          <w:rFonts w:hint="eastAsia" w:ascii="仿宋" w:hAnsi="仿宋" w:eastAsia="仿宋" w:cs="仿宋"/>
          <w:bCs/>
          <w:color w:val="auto"/>
          <w:sz w:val="22"/>
          <w:szCs w:val="22"/>
          <w:highlight w:val="none"/>
        </w:rPr>
        <w:t>3、同意延长有效期的</w:t>
      </w:r>
      <w:r>
        <w:rPr>
          <w:rFonts w:hint="eastAsia" w:ascii="仿宋" w:hAnsi="仿宋" w:eastAsia="仿宋" w:cs="仿宋"/>
          <w:bCs/>
          <w:color w:val="auto"/>
          <w:sz w:val="22"/>
          <w:szCs w:val="22"/>
          <w:highlight w:val="none"/>
          <w:lang w:val="en-US" w:eastAsia="zh-CN"/>
        </w:rPr>
        <w:t>投标人</w:t>
      </w:r>
      <w:r>
        <w:rPr>
          <w:rFonts w:hint="eastAsia" w:ascii="仿宋" w:hAnsi="仿宋" w:eastAsia="仿宋" w:cs="仿宋"/>
          <w:bCs/>
          <w:color w:val="auto"/>
          <w:sz w:val="22"/>
          <w:szCs w:val="22"/>
          <w:highlight w:val="none"/>
        </w:rPr>
        <w:t>不能修改投标文件。</w:t>
      </w:r>
      <w:bookmarkEnd w:id="42"/>
    </w:p>
    <w:p w14:paraId="61687C08">
      <w:pPr>
        <w:keepNext w:val="0"/>
        <w:keepLines w:val="0"/>
        <w:pageBreakBefore w:val="0"/>
        <w:kinsoku/>
        <w:wordWrap/>
        <w:overflowPunct/>
        <w:topLinePunct w:val="0"/>
        <w:bidi w:val="0"/>
        <w:adjustRightInd/>
        <w:snapToGrid w:val="0"/>
        <w:spacing w:before="159" w:beforeLines="50" w:line="400" w:lineRule="exact"/>
        <w:ind w:firstLine="433" w:firstLineChars="196"/>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（五）投标文件的签署和份数</w:t>
      </w:r>
      <w:bookmarkEnd w:id="41"/>
    </w:p>
    <w:p w14:paraId="006B312D">
      <w:pPr>
        <w:keepNext w:val="0"/>
        <w:keepLines w:val="0"/>
        <w:pageBreakBefore w:val="0"/>
        <w:kinsoku/>
        <w:wordWrap/>
        <w:overflowPunct/>
        <w:topLinePunct w:val="0"/>
        <w:bidi w:val="0"/>
        <w:adjustRightInd/>
        <w:snapToGrid w:val="0"/>
        <w:spacing w:line="400" w:lineRule="exact"/>
        <w:ind w:firstLine="550" w:firstLineChars="250"/>
        <w:jc w:val="left"/>
        <w:textAlignment w:val="auto"/>
        <w:rPr>
          <w:rFonts w:hint="eastAsia" w:ascii="仿宋" w:hAnsi="仿宋" w:eastAsia="仿宋" w:cs="仿宋"/>
          <w:color w:val="auto"/>
          <w:sz w:val="22"/>
          <w:szCs w:val="22"/>
          <w:highlight w:val="none"/>
        </w:rPr>
      </w:pPr>
      <w:bookmarkStart w:id="43" w:name="_Toc13444"/>
      <w:r>
        <w:rPr>
          <w:rFonts w:hint="eastAsia" w:ascii="仿宋" w:hAnsi="仿宋" w:eastAsia="仿宋" w:cs="仿宋"/>
          <w:color w:val="auto"/>
          <w:sz w:val="22"/>
          <w:szCs w:val="22"/>
          <w:highlight w:val="none"/>
        </w:rPr>
        <w:t>1.投标人应按本采购文件规定的格式和顺序编制投标文件，投标文件内容不完整、编排混乱导致投标文件被误读、漏读或者查找不到相关内容的，是投标人的责任。</w:t>
      </w:r>
      <w:bookmarkEnd w:id="43"/>
    </w:p>
    <w:p w14:paraId="2B4A3EE6">
      <w:pPr>
        <w:keepNext w:val="0"/>
        <w:keepLines w:val="0"/>
        <w:pageBreakBefore w:val="0"/>
        <w:kinsoku/>
        <w:wordWrap/>
        <w:overflowPunct/>
        <w:topLinePunct w:val="0"/>
        <w:bidi w:val="0"/>
        <w:adjustRightInd/>
        <w:snapToGrid w:val="0"/>
        <w:spacing w:line="400" w:lineRule="exact"/>
        <w:ind w:firstLine="550" w:firstLineChars="250"/>
        <w:jc w:val="left"/>
        <w:textAlignment w:val="auto"/>
        <w:rPr>
          <w:rFonts w:hint="eastAsia" w:ascii="仿宋" w:hAnsi="仿宋" w:eastAsia="仿宋" w:cs="仿宋"/>
          <w:color w:val="auto"/>
          <w:sz w:val="22"/>
          <w:szCs w:val="22"/>
          <w:highlight w:val="none"/>
        </w:rPr>
      </w:pPr>
      <w:bookmarkStart w:id="44" w:name="_Toc14587"/>
      <w:r>
        <w:rPr>
          <w:rFonts w:hint="eastAsia" w:ascii="仿宋" w:hAnsi="仿宋" w:eastAsia="仿宋" w:cs="仿宋"/>
          <w:color w:val="auto"/>
          <w:sz w:val="22"/>
          <w:szCs w:val="22"/>
          <w:highlight w:val="none"/>
        </w:rPr>
        <w:t>2.投标文件的份数：</w:t>
      </w:r>
      <w:bookmarkEnd w:id="44"/>
    </w:p>
    <w:p w14:paraId="280A83AB">
      <w:pPr>
        <w:keepNext w:val="0"/>
        <w:keepLines w:val="0"/>
        <w:pageBreakBefore w:val="0"/>
        <w:kinsoku/>
        <w:wordWrap/>
        <w:overflowPunct/>
        <w:topLinePunct w:val="0"/>
        <w:bidi w:val="0"/>
        <w:adjustRightInd/>
        <w:spacing w:line="400" w:lineRule="exact"/>
        <w:ind w:firstLine="550" w:firstLineChars="25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本项目实行网上投标，</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sz w:val="22"/>
          <w:szCs w:val="28"/>
          <w:highlight w:val="none"/>
        </w:rPr>
        <w:t>应准备以下投标文件：</w:t>
      </w:r>
    </w:p>
    <w:p w14:paraId="24FC0B62">
      <w:pPr>
        <w:keepNext w:val="0"/>
        <w:keepLines w:val="0"/>
        <w:pageBreakBefore w:val="0"/>
        <w:kinsoku/>
        <w:wordWrap/>
        <w:overflowPunct/>
        <w:topLinePunct w:val="0"/>
        <w:bidi w:val="0"/>
        <w:adjustRightInd/>
        <w:spacing w:line="400" w:lineRule="exact"/>
        <w:ind w:firstLine="552" w:firstLineChars="250"/>
        <w:textAlignment w:val="auto"/>
        <w:rPr>
          <w:rFonts w:hint="eastAsia"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A、电子投标文件</w:t>
      </w:r>
    </w:p>
    <w:p w14:paraId="41EBC7F2">
      <w:pPr>
        <w:keepNext w:val="0"/>
        <w:keepLines w:val="0"/>
        <w:pageBreakBefore w:val="0"/>
        <w:kinsoku/>
        <w:wordWrap/>
        <w:overflowPunct/>
        <w:topLinePunct w:val="0"/>
        <w:bidi w:val="0"/>
        <w:adjustRightInd/>
        <w:spacing w:line="400" w:lineRule="exact"/>
        <w:ind w:firstLine="552" w:firstLineChars="250"/>
        <w:textAlignment w:val="auto"/>
        <w:rPr>
          <w:rFonts w:hint="eastAsia"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电子投标文件按政采云平台供应商电子招投标操作指南及本招标文件规定的格式和顺序编制电子投标文件并进行关联定位，并在投标截止时间前将电子投标文件上传“政采云”平台。以U盘或光盘存储的电子备份投标文件1份(投标人自愿提供)。</w:t>
      </w:r>
    </w:p>
    <w:p w14:paraId="76011EC7">
      <w:pPr>
        <w:keepNext w:val="0"/>
        <w:keepLines w:val="0"/>
        <w:pageBreakBefore w:val="0"/>
        <w:kinsoku/>
        <w:wordWrap/>
        <w:overflowPunct/>
        <w:topLinePunct w:val="0"/>
        <w:bidi w:val="0"/>
        <w:adjustRightInd/>
        <w:spacing w:line="400" w:lineRule="exact"/>
        <w:ind w:firstLine="552" w:firstLineChars="250"/>
        <w:textAlignment w:val="auto"/>
        <w:rPr>
          <w:rFonts w:hint="eastAsia"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B、纸质投标文件</w:t>
      </w:r>
    </w:p>
    <w:p w14:paraId="0EB56660">
      <w:pPr>
        <w:keepNext w:val="0"/>
        <w:keepLines w:val="0"/>
        <w:pageBreakBefore w:val="0"/>
        <w:kinsoku/>
        <w:wordWrap/>
        <w:overflowPunct/>
        <w:topLinePunct w:val="0"/>
        <w:bidi w:val="0"/>
        <w:adjustRightInd/>
        <w:spacing w:line="400" w:lineRule="exact"/>
        <w:ind w:firstLine="550" w:firstLineChars="250"/>
        <w:textAlignment w:val="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中标人中标后3个工作日内须另行提供纸质投标文件：资格审查文件、商务技术文件和报价文件正本、副本各1份，纸质投标文件需与电子投标文件一致。</w:t>
      </w:r>
    </w:p>
    <w:p w14:paraId="35FAD118">
      <w:pPr>
        <w:keepNext w:val="0"/>
        <w:keepLines w:val="0"/>
        <w:pageBreakBefore w:val="0"/>
        <w:kinsoku/>
        <w:wordWrap/>
        <w:overflowPunct/>
        <w:topLinePunct w:val="0"/>
        <w:bidi w:val="0"/>
        <w:adjustRightInd/>
        <w:spacing w:line="400" w:lineRule="exact"/>
        <w:ind w:firstLine="442" w:firstLineChars="200"/>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（六）投标文件的签署盖章</w:t>
      </w:r>
    </w:p>
    <w:p w14:paraId="72344B2D">
      <w:pPr>
        <w:keepNext w:val="0"/>
        <w:keepLines w:val="0"/>
        <w:pageBreakBefore w:val="0"/>
        <w:kinsoku/>
        <w:wordWrap/>
        <w:overflowPunct/>
        <w:topLinePunct w:val="0"/>
        <w:bidi w:val="0"/>
        <w:adjustRightInd/>
        <w:spacing w:line="400" w:lineRule="exact"/>
        <w:ind w:firstLine="442"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w:t>
      </w:r>
      <w:r>
        <w:rPr>
          <w:rFonts w:hint="eastAsia" w:ascii="仿宋" w:hAnsi="仿宋" w:eastAsia="仿宋" w:cs="仿宋"/>
          <w:color w:val="auto"/>
          <w:sz w:val="22"/>
          <w:szCs w:val="22"/>
          <w:highlight w:val="none"/>
        </w:rPr>
        <w:t>电子投标文件须由投标人在规定位置盖章并由法定代表人或法定代表人的授权委托人签署，投标人应写全称。</w:t>
      </w:r>
    </w:p>
    <w:p w14:paraId="5B34E5CC">
      <w:pPr>
        <w:keepNext w:val="0"/>
        <w:keepLines w:val="0"/>
        <w:pageBreakBefore w:val="0"/>
        <w:kinsoku/>
        <w:wordWrap/>
        <w:overflowPunct/>
        <w:topLinePunct w:val="0"/>
        <w:bidi w:val="0"/>
        <w:adjustRightInd/>
        <w:spacing w:line="400" w:lineRule="exact"/>
        <w:ind w:firstLine="442" w:firstLineChars="200"/>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（七）投标文件的包装、递交、修改和撤回</w:t>
      </w:r>
    </w:p>
    <w:p w14:paraId="1760A50B">
      <w:pPr>
        <w:keepNext w:val="0"/>
        <w:keepLines w:val="0"/>
        <w:pageBreakBefore w:val="0"/>
        <w:kinsoku/>
        <w:wordWrap/>
        <w:overflowPunct/>
        <w:topLinePunct w:val="0"/>
        <w:bidi w:val="0"/>
        <w:adjustRightInd/>
        <w:spacing w:line="400" w:lineRule="exact"/>
        <w:ind w:firstLine="660" w:firstLineChars="3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1.以U盘或光盘存储的电子备份投标文件用封袋密封后递交</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如有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p>
    <w:p w14:paraId="71A859FB">
      <w:pPr>
        <w:keepNext w:val="0"/>
        <w:keepLines w:val="0"/>
        <w:pageBreakBefore w:val="0"/>
        <w:kinsoku/>
        <w:wordWrap/>
        <w:overflowPunct/>
        <w:topLinePunct w:val="0"/>
        <w:autoSpaceDE w:val="0"/>
        <w:autoSpaceDN w:val="0"/>
        <w:bidi w:val="0"/>
        <w:adjustRightInd/>
        <w:spacing w:line="400" w:lineRule="exact"/>
        <w:ind w:firstLine="660" w:firstLineChars="3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2.电子备份投标文件的包装封面上应注明投标文件名称、项目编号、项目名称、标项号（若有多个标项）、投标人名称，并加盖投标人公章。</w:t>
      </w:r>
    </w:p>
    <w:p w14:paraId="6290DADB">
      <w:pPr>
        <w:keepNext w:val="0"/>
        <w:keepLines w:val="0"/>
        <w:pageBreakBefore w:val="0"/>
        <w:kinsoku/>
        <w:wordWrap/>
        <w:overflowPunct/>
        <w:topLinePunct w:val="0"/>
        <w:autoSpaceDE w:val="0"/>
        <w:autoSpaceDN w:val="0"/>
        <w:bidi w:val="0"/>
        <w:adjustRightInd/>
        <w:spacing w:line="400" w:lineRule="exact"/>
        <w:ind w:firstLine="660" w:firstLineChars="3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3.未按规定密封或标记的电子备份投标文件将被拒绝，由此造成投标文件被误投或提前拆封的风险由投标人承担。</w:t>
      </w:r>
    </w:p>
    <w:p w14:paraId="6A28FA51">
      <w:pPr>
        <w:keepNext w:val="0"/>
        <w:keepLines w:val="0"/>
        <w:pageBreakBefore w:val="0"/>
        <w:kinsoku/>
        <w:wordWrap/>
        <w:overflowPunct/>
        <w:topLinePunct w:val="0"/>
        <w:autoSpaceDE w:val="0"/>
        <w:autoSpaceDN w:val="0"/>
        <w:bidi w:val="0"/>
        <w:adjustRightInd/>
        <w:spacing w:line="400" w:lineRule="exact"/>
        <w:ind w:firstLine="660" w:firstLineChars="3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投标人在投标截止时间之前，可以对已提交的电子备份投标文件进行修改或撤回，并书面通知招标采购单位；投标截止时间后，投标人不得撤回、修改投标文件。修改后重新递交的电子备份投标文件应当按本采购文件的要求签署、盖章和密封。</w:t>
      </w:r>
    </w:p>
    <w:p w14:paraId="4117F1CF">
      <w:pPr>
        <w:keepNext w:val="0"/>
        <w:keepLines w:val="0"/>
        <w:pageBreakBefore w:val="0"/>
        <w:kinsoku/>
        <w:wordWrap/>
        <w:overflowPunct/>
        <w:topLinePunct w:val="0"/>
        <w:bidi w:val="0"/>
        <w:adjustRightInd/>
        <w:spacing w:line="400" w:lineRule="exact"/>
        <w:ind w:firstLine="660" w:firstLineChars="3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投标人应当在投标截止时间前完成电子加密投标文件的传输递交，并可以补充、修改或者撤回电子加密投标文件。补充或者修改电子加密投标文件的，应当先行撤回原文件，补充、修改后重新传输递交。投标截止时间前未完成传输的，视为撤回投标文件。投标、响应截止时间后传输递交的投标、响应文件，将被政采云系统拒收。</w:t>
      </w:r>
    </w:p>
    <w:p w14:paraId="4EA459C1">
      <w:pPr>
        <w:keepNext w:val="0"/>
        <w:keepLines w:val="0"/>
        <w:pageBreakBefore w:val="0"/>
        <w:kinsoku/>
        <w:wordWrap/>
        <w:overflowPunct/>
        <w:topLinePunct w:val="0"/>
        <w:bidi w:val="0"/>
        <w:adjustRightInd/>
        <w:snapToGrid w:val="0"/>
        <w:spacing w:line="400" w:lineRule="exact"/>
        <w:ind w:firstLine="420"/>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（八）投标文件的效力</w:t>
      </w:r>
    </w:p>
    <w:p w14:paraId="12142CDD">
      <w:pPr>
        <w:keepNext w:val="0"/>
        <w:keepLines w:val="0"/>
        <w:pageBreakBefore w:val="0"/>
        <w:kinsoku/>
        <w:wordWrap/>
        <w:overflowPunct/>
        <w:topLinePunct w:val="0"/>
        <w:bidi w:val="0"/>
        <w:adjustRightInd/>
        <w:snapToGrid w:val="0"/>
        <w:spacing w:line="400" w:lineRule="exact"/>
        <w:ind w:firstLine="550" w:firstLineChars="250"/>
        <w:jc w:val="left"/>
        <w:textAlignment w:val="auto"/>
        <w:rPr>
          <w:rFonts w:hint="eastAsia" w:ascii="仿宋" w:hAnsi="仿宋" w:eastAsia="仿宋" w:cs="仿宋"/>
          <w:color w:val="auto"/>
          <w:sz w:val="22"/>
          <w:szCs w:val="22"/>
          <w:highlight w:val="none"/>
        </w:rPr>
      </w:pPr>
      <w:bookmarkStart w:id="45" w:name="_Toc4068"/>
      <w:r>
        <w:rPr>
          <w:rFonts w:hint="eastAsia" w:ascii="仿宋" w:hAnsi="仿宋" w:eastAsia="仿宋" w:cs="仿宋"/>
          <w:color w:val="auto"/>
          <w:sz w:val="22"/>
          <w:szCs w:val="22"/>
          <w:highlight w:val="none"/>
        </w:rPr>
        <w:t>投标文件的效力：投标文件的启用，按先后顺位分别为“电子加密投标文件”、“电子备份投标文件”。在“电子备份投标文件”启用时，“电子投标文件”自动失效。“电子加密投标文件”在规定解密时间内无法解密时，投标人若在投标截止时间之前递交了“电子备份投标文件”的，由采购代理机构上传“电子备份投标文件”进行异常处理，并对“电子备份投标文件”进行解密，未在投标截止时间之前递交“电子备份投标文件”的视为投标文件撤回。通过“政采云”平台上传递交的“电子加密投标文件”已按时解密的，“电子备份投标文件”自动失效。</w:t>
      </w:r>
      <w:bookmarkEnd w:id="45"/>
    </w:p>
    <w:p w14:paraId="2B09D568">
      <w:pPr>
        <w:keepNext w:val="0"/>
        <w:keepLines w:val="0"/>
        <w:pageBreakBefore w:val="0"/>
        <w:widowControl/>
        <w:shd w:val="clear" w:color="auto" w:fill="FFFFFF"/>
        <w:kinsoku/>
        <w:wordWrap/>
        <w:overflowPunct/>
        <w:topLinePunct w:val="0"/>
        <w:bidi w:val="0"/>
        <w:adjustRightInd/>
        <w:spacing w:line="400" w:lineRule="exact"/>
        <w:textAlignment w:val="auto"/>
        <w:rPr>
          <w:rFonts w:hint="eastAsia" w:ascii="仿宋" w:hAnsi="仿宋" w:eastAsia="仿宋" w:cs="仿宋"/>
          <w:b/>
          <w:color w:val="auto"/>
          <w:kern w:val="2"/>
          <w:sz w:val="22"/>
          <w:szCs w:val="22"/>
          <w:highlight w:val="none"/>
          <w:lang w:val="en-US" w:eastAsia="zh-CN" w:bidi="ar-SA"/>
        </w:rPr>
      </w:pPr>
      <w:bookmarkStart w:id="46" w:name="_Toc4538"/>
      <w:r>
        <w:rPr>
          <w:rFonts w:hint="eastAsia" w:ascii="仿宋" w:hAnsi="仿宋" w:eastAsia="仿宋" w:cs="仿宋"/>
          <w:b/>
          <w:color w:val="auto"/>
          <w:kern w:val="2"/>
          <w:sz w:val="22"/>
          <w:szCs w:val="22"/>
          <w:highlight w:val="none"/>
          <w:lang w:val="en-US" w:eastAsia="zh-CN" w:bidi="ar-SA"/>
        </w:rPr>
        <w:t>四、开标</w:t>
      </w:r>
      <w:bookmarkEnd w:id="46"/>
    </w:p>
    <w:p w14:paraId="23B71C13">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（一）开标准备</w:t>
      </w:r>
    </w:p>
    <w:p w14:paraId="7A6F4C56">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采购代理机构将在规定的时间和地点进行开标，投标人的法定代表人或其授权代表应参加开标会并签到。投标人的法定代表人或其授权代表未按时签到的，视同放弃开标监督权利、认可开标结果。</w:t>
      </w:r>
    </w:p>
    <w:p w14:paraId="662210E3">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
          <w:color w:val="auto"/>
          <w:sz w:val="22"/>
          <w:szCs w:val="22"/>
          <w:highlight w:val="none"/>
        </w:rPr>
      </w:pPr>
      <w:bookmarkStart w:id="47" w:name="_Toc18387"/>
      <w:r>
        <w:rPr>
          <w:rFonts w:hint="eastAsia" w:ascii="仿宋" w:hAnsi="仿宋" w:eastAsia="仿宋" w:cs="仿宋"/>
          <w:b/>
          <w:color w:val="auto"/>
          <w:sz w:val="22"/>
          <w:szCs w:val="22"/>
          <w:highlight w:val="none"/>
        </w:rPr>
        <w:t>（二） 开标程序：</w:t>
      </w:r>
    </w:p>
    <w:p w14:paraId="09D22E06">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1、电子招投标开标程序：</w:t>
      </w:r>
    </w:p>
    <w:p w14:paraId="09393C75">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第一阶段：</w:t>
      </w:r>
    </w:p>
    <w:p w14:paraId="7BD06377">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（1）投标截止时间后，</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bCs/>
          <w:color w:val="auto"/>
          <w:sz w:val="22"/>
          <w:szCs w:val="22"/>
          <w:highlight w:val="none"/>
        </w:rPr>
        <w:t>登录政府采购云平台，用“项目采购-开标评标”功能对电子投标文件进行在线解密，在线解密电子投标文件时间为开标时间后30分钟内。</w:t>
      </w:r>
    </w:p>
    <w:p w14:paraId="6E1C6B8D">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（2）在政府采购云平台开启已解密</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bCs/>
          <w:color w:val="auto"/>
          <w:sz w:val="22"/>
          <w:szCs w:val="22"/>
          <w:highlight w:val="none"/>
        </w:rPr>
        <w:t>的“商务技术文件”，并做开标记录；</w:t>
      </w:r>
    </w:p>
    <w:p w14:paraId="2ED8BCFC">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第二阶段：</w:t>
      </w:r>
    </w:p>
    <w:p w14:paraId="2E154AF2">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（1）在政府采购云平台宣告第一阶段评审无效</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bCs/>
          <w:color w:val="auto"/>
          <w:sz w:val="22"/>
          <w:szCs w:val="22"/>
          <w:highlight w:val="none"/>
        </w:rPr>
        <w:t>名单及理由；</w:t>
      </w:r>
    </w:p>
    <w:p w14:paraId="181FDCA3">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（2）公布经第一阶段评审符合采购文件要求的</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bCs/>
          <w:color w:val="auto"/>
          <w:sz w:val="22"/>
          <w:szCs w:val="22"/>
          <w:highlight w:val="none"/>
        </w:rPr>
        <w:t>的商务技术得分情况；</w:t>
      </w:r>
    </w:p>
    <w:p w14:paraId="3732CB97">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（3）在政府采购云平台开启除第一阶段无效标外的</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bCs/>
          <w:color w:val="auto"/>
          <w:sz w:val="22"/>
          <w:szCs w:val="22"/>
          <w:highlight w:val="none"/>
        </w:rPr>
        <w:t>的“报价文件”，并做开标记录；</w:t>
      </w:r>
    </w:p>
    <w:p w14:paraId="4C8CED06">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（4）在政府采购云平台公布评审结果。</w:t>
      </w:r>
    </w:p>
    <w:p w14:paraId="6CB9A23B">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（5）开标会议结束。</w:t>
      </w:r>
    </w:p>
    <w:p w14:paraId="5F8889F1">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（三）特别说明</w:t>
      </w:r>
    </w:p>
    <w:p w14:paraId="2BECE3CB">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1.本项目原则上采用政采云电子招投标开标及评审程序，但有下情形之一的，按以下情况处理：</w:t>
      </w:r>
    </w:p>
    <w:p w14:paraId="3A6D5C67">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（1）若投标人在规定时间内无法解密或解密失败，采购组织机构开启所有投标人递交的以U盘或光盘存储的电子备份投标文件，上传至政采云平台项目采购模块，以完成开标，电子投标文件自动失效。</w:t>
      </w:r>
    </w:p>
    <w:p w14:paraId="30A856C6">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（2）若因政采云平台原因无法读取或电子开评标无法正常进行，采购组织机构将中止本次招标采购活动。</w:t>
      </w:r>
    </w:p>
    <w:p w14:paraId="29B50F2B">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（3）采购过程中出现以下情形，导致电子交易平台无法正常运行，或者无法保证电子交易的公平、公正和安全时，采购组织机构可中止电子交易活动：</w:t>
      </w:r>
    </w:p>
    <w:p w14:paraId="7B5DD239">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a.电子交易平台发生故障而无法登录访问的； </w:t>
      </w:r>
    </w:p>
    <w:p w14:paraId="4A623B51">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b.电子交易平台应用或数据库出现错误，不能进行正常操作的；</w:t>
      </w:r>
    </w:p>
    <w:p w14:paraId="74A5D120">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c.电子交易平台发现严重安全漏洞，有潜在泄密危险的；</w:t>
      </w:r>
    </w:p>
    <w:p w14:paraId="3F1335D9">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d.病毒发作导致不能进行正常操作的； </w:t>
      </w:r>
    </w:p>
    <w:p w14:paraId="5C8CE215">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e.其他无法保证电子交易的公平、公正和安全的情况。</w:t>
      </w:r>
    </w:p>
    <w:p w14:paraId="0CBFD12D">
      <w:pPr>
        <w:keepNext w:val="0"/>
        <w:keepLines w:val="0"/>
        <w:pageBreakBefore w:val="0"/>
        <w:kinsoku/>
        <w:wordWrap/>
        <w:overflowPunct/>
        <w:topLinePunct w:val="0"/>
        <w:bidi w:val="0"/>
        <w:adjustRightInd/>
        <w:spacing w:line="400" w:lineRule="exact"/>
        <w:ind w:firstLine="420"/>
        <w:jc w:val="left"/>
        <w:textAlignment w:val="auto"/>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出现前款规定情形，不影响采购公平、公正性的，采购组织机构可以待上述情形消除后继续组织电子交易活动。</w:t>
      </w:r>
    </w:p>
    <w:p w14:paraId="0C69C181">
      <w:pPr>
        <w:keepNext w:val="0"/>
        <w:keepLines w:val="0"/>
        <w:pageBreakBefore w:val="0"/>
        <w:widowControl/>
        <w:shd w:val="clear" w:color="auto" w:fill="FFFFFF"/>
        <w:kinsoku/>
        <w:wordWrap/>
        <w:overflowPunct/>
        <w:topLinePunct w:val="0"/>
        <w:bidi w:val="0"/>
        <w:adjustRightInd/>
        <w:spacing w:line="400" w:lineRule="exact"/>
        <w:textAlignment w:val="auto"/>
        <w:rPr>
          <w:rFonts w:hint="eastAsia" w:ascii="仿宋" w:hAnsi="仿宋" w:eastAsia="仿宋" w:cs="仿宋"/>
          <w:b/>
          <w:color w:val="auto"/>
          <w:kern w:val="2"/>
          <w:sz w:val="22"/>
          <w:szCs w:val="22"/>
          <w:highlight w:val="none"/>
          <w:lang w:val="en-US" w:eastAsia="zh-CN" w:bidi="ar-SA"/>
        </w:rPr>
      </w:pPr>
      <w:r>
        <w:rPr>
          <w:rFonts w:hint="eastAsia" w:ascii="仿宋" w:hAnsi="仿宋" w:eastAsia="仿宋" w:cs="仿宋"/>
          <w:b/>
          <w:color w:val="auto"/>
          <w:kern w:val="2"/>
          <w:sz w:val="22"/>
          <w:szCs w:val="22"/>
          <w:highlight w:val="none"/>
          <w:lang w:val="en-US" w:eastAsia="zh-CN" w:bidi="ar-SA"/>
        </w:rPr>
        <w:t>五、评标</w:t>
      </w:r>
      <w:bookmarkEnd w:id="47"/>
    </w:p>
    <w:p w14:paraId="50313646">
      <w:pPr>
        <w:keepNext w:val="0"/>
        <w:keepLines w:val="0"/>
        <w:pageBreakBefore w:val="0"/>
        <w:kinsoku/>
        <w:wordWrap/>
        <w:overflowPunct/>
        <w:topLinePunct w:val="0"/>
        <w:bidi w:val="0"/>
        <w:adjustRightInd/>
        <w:spacing w:line="400" w:lineRule="exact"/>
        <w:ind w:firstLine="442" w:firstLineChars="200"/>
        <w:textAlignment w:val="auto"/>
        <w:rPr>
          <w:rFonts w:hint="eastAsia" w:ascii="仿宋" w:hAnsi="仿宋" w:eastAsia="仿宋" w:cs="仿宋"/>
          <w:b/>
          <w:color w:val="auto"/>
          <w:sz w:val="22"/>
          <w:szCs w:val="22"/>
          <w:highlight w:val="none"/>
        </w:rPr>
      </w:pPr>
      <w:bookmarkStart w:id="48" w:name="_Toc5163"/>
      <w:r>
        <w:rPr>
          <w:rFonts w:hint="eastAsia" w:ascii="仿宋" w:hAnsi="仿宋" w:eastAsia="仿宋" w:cs="仿宋"/>
          <w:b/>
          <w:color w:val="auto"/>
          <w:sz w:val="22"/>
          <w:szCs w:val="22"/>
          <w:highlight w:val="none"/>
        </w:rPr>
        <w:t>（一）组建评标委员会</w:t>
      </w:r>
      <w:bookmarkEnd w:id="48"/>
    </w:p>
    <w:p w14:paraId="510F405C">
      <w:pPr>
        <w:pStyle w:val="28"/>
        <w:keepNext w:val="0"/>
        <w:keepLines w:val="0"/>
        <w:pageBreakBefore w:val="0"/>
        <w:widowControl w:val="0"/>
        <w:kinsoku/>
        <w:wordWrap/>
        <w:overflowPunct/>
        <w:topLinePunct w:val="0"/>
        <w:bidi w:val="0"/>
        <w:adjustRightInd/>
        <w:snapToGrid w:val="0"/>
        <w:spacing w:before="0" w:beforeAutospacing="0" w:after="0" w:afterAutospacing="0" w:line="40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依据《中华人民共和国政府采购法》、《政府采购货物和服务招标投标管理办法》等有关规定组建评标委员会。评标委员会由采购人代表和专家组成，负责本项目的评标工作。</w:t>
      </w:r>
    </w:p>
    <w:p w14:paraId="7E0E9478">
      <w:pPr>
        <w:keepNext w:val="0"/>
        <w:keepLines w:val="0"/>
        <w:pageBreakBefore w:val="0"/>
        <w:kinsoku/>
        <w:wordWrap/>
        <w:overflowPunct/>
        <w:topLinePunct w:val="0"/>
        <w:bidi w:val="0"/>
        <w:adjustRightInd/>
        <w:spacing w:line="400" w:lineRule="exact"/>
        <w:ind w:firstLine="442" w:firstLineChars="200"/>
        <w:textAlignment w:val="auto"/>
        <w:rPr>
          <w:rFonts w:hint="eastAsia" w:ascii="仿宋" w:hAnsi="仿宋" w:eastAsia="仿宋" w:cs="仿宋"/>
          <w:b/>
          <w:color w:val="auto"/>
          <w:sz w:val="22"/>
          <w:szCs w:val="22"/>
          <w:highlight w:val="none"/>
        </w:rPr>
      </w:pPr>
      <w:bookmarkStart w:id="49" w:name="_Toc16106"/>
      <w:r>
        <w:rPr>
          <w:rFonts w:hint="eastAsia" w:ascii="仿宋" w:hAnsi="仿宋" w:eastAsia="仿宋" w:cs="仿宋"/>
          <w:b/>
          <w:color w:val="auto"/>
          <w:sz w:val="22"/>
          <w:szCs w:val="22"/>
          <w:highlight w:val="none"/>
        </w:rPr>
        <w:t>（二）评审程序</w:t>
      </w:r>
      <w:bookmarkEnd w:id="49"/>
    </w:p>
    <w:p w14:paraId="1062BC21">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1.在评审专家中推选评审小组组长。</w:t>
      </w:r>
    </w:p>
    <w:p w14:paraId="36D7ED45">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评审小组组长召集成员认真阅读招标文件以及相关补充、质疑、答复文件等材料，熟悉采购项目的基本概况、采购项目的质量要求、主要技术标准或服务需求、采购合同文本、投标文件无效情形、评审方法、评审依据、评审标准等。</w:t>
      </w:r>
    </w:p>
    <w:p w14:paraId="14B63B26">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3.评审人员对各投标人投标文件的有效性、完整性和响应程度进行审查，确定是否对招标文件作出实质性响应。</w:t>
      </w:r>
    </w:p>
    <w:p w14:paraId="2E07D46F">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4.评审人员按招标文件规定的评标办法和评分标准，依法独立对投标人投标文件进行评估、比较，并给予评价或打分，不受任何单位和个人的干预。</w:t>
      </w:r>
    </w:p>
    <w:p w14:paraId="7D6D5F91">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评审人员对各投标人投标文件非实质性内容有疑议或异议，或者审查发现明显的文字或计算错误等，及时向评审小组组长提出。经评审小组商议认为需要投标人作出必要澄清或说明的，应通知该投标人以书面形式作出澄清或说明。书面通知及澄清说明文件应作为政府采购项目档案归档留存。</w:t>
      </w:r>
    </w:p>
    <w:p w14:paraId="67F8352F">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6.评审人员需对采购代理机构工作人员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81D417D">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7.评审小组根据评审汇总情况和招标文件规定确定中标候选人排序名单。采购单位按中标候选人排名确定中标人。</w:t>
      </w:r>
    </w:p>
    <w:p w14:paraId="55662416">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8.起草评审报告，所有评审人员须在评审报告上签字确认。</w:t>
      </w:r>
    </w:p>
    <w:p w14:paraId="4A834B5D">
      <w:pPr>
        <w:keepNext w:val="0"/>
        <w:keepLines w:val="0"/>
        <w:pageBreakBefore w:val="0"/>
        <w:kinsoku/>
        <w:wordWrap/>
        <w:overflowPunct/>
        <w:topLinePunct w:val="0"/>
        <w:bidi w:val="0"/>
        <w:adjustRightInd/>
        <w:spacing w:line="400" w:lineRule="exact"/>
        <w:ind w:firstLine="433" w:firstLineChars="196"/>
        <w:textAlignment w:val="auto"/>
        <w:rPr>
          <w:rFonts w:hint="eastAsia" w:ascii="仿宋" w:hAnsi="仿宋" w:eastAsia="仿宋" w:cs="仿宋"/>
          <w:b/>
          <w:color w:val="auto"/>
          <w:sz w:val="22"/>
          <w:szCs w:val="22"/>
          <w:highlight w:val="none"/>
        </w:rPr>
      </w:pPr>
      <w:bookmarkStart w:id="50" w:name="_Toc15434"/>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val="en-US" w:eastAsia="zh-CN"/>
        </w:rPr>
        <w:t>三</w:t>
      </w:r>
      <w:r>
        <w:rPr>
          <w:rFonts w:hint="eastAsia" w:ascii="仿宋" w:hAnsi="仿宋" w:eastAsia="仿宋" w:cs="仿宋"/>
          <w:b/>
          <w:color w:val="auto"/>
          <w:sz w:val="22"/>
          <w:szCs w:val="22"/>
          <w:highlight w:val="none"/>
        </w:rPr>
        <w:t>）评标原则和评标办法</w:t>
      </w:r>
      <w:bookmarkEnd w:id="50"/>
    </w:p>
    <w:p w14:paraId="29EF13CA">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3D70087">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A3C1434">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评审人员对有关招标文件、投标文件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6DE014EF">
      <w:pPr>
        <w:keepNext w:val="0"/>
        <w:keepLines w:val="0"/>
        <w:pageBreakBefore w:val="0"/>
        <w:kinsoku/>
        <w:wordWrap/>
        <w:overflowPunct/>
        <w:topLinePunct w:val="0"/>
        <w:bidi w:val="0"/>
        <w:adjustRightInd/>
        <w:spacing w:line="400" w:lineRule="exact"/>
        <w:ind w:left="218" w:leftChars="104" w:firstLine="220" w:firstLineChars="1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4.评标办法：具体评标内容及评分标准等详见《第四章 评标办法及评分标准》。</w:t>
      </w:r>
    </w:p>
    <w:p w14:paraId="48901361">
      <w:pPr>
        <w:keepNext w:val="0"/>
        <w:keepLines w:val="0"/>
        <w:pageBreakBefore w:val="0"/>
        <w:kinsoku/>
        <w:wordWrap/>
        <w:overflowPunct/>
        <w:topLinePunct w:val="0"/>
        <w:bidi w:val="0"/>
        <w:adjustRightInd/>
        <w:spacing w:line="400" w:lineRule="exact"/>
        <w:ind w:firstLine="433" w:firstLineChars="196"/>
        <w:textAlignment w:val="auto"/>
        <w:rPr>
          <w:rFonts w:hint="eastAsia" w:ascii="仿宋" w:hAnsi="仿宋" w:eastAsia="仿宋" w:cs="仿宋"/>
          <w:b/>
          <w:color w:val="auto"/>
          <w:sz w:val="22"/>
          <w:szCs w:val="22"/>
          <w:highlight w:val="none"/>
        </w:rPr>
      </w:pPr>
      <w:bookmarkStart w:id="51" w:name="_Toc1156"/>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val="en-US" w:eastAsia="zh-CN"/>
        </w:rPr>
        <w:t>四</w:t>
      </w:r>
      <w:r>
        <w:rPr>
          <w:rFonts w:hint="eastAsia" w:ascii="仿宋" w:hAnsi="仿宋" w:eastAsia="仿宋" w:cs="仿宋"/>
          <w:b/>
          <w:color w:val="auto"/>
          <w:sz w:val="22"/>
          <w:szCs w:val="22"/>
          <w:highlight w:val="none"/>
        </w:rPr>
        <w:t>）评标过程的监控</w:t>
      </w:r>
      <w:bookmarkEnd w:id="51"/>
    </w:p>
    <w:p w14:paraId="5A444222">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本项目评标过程实行全程录音、录像监控，投标人在评标过程中所进行的试图影响评标结果的不公正活动，可能导致其投标被拒绝。</w:t>
      </w:r>
    </w:p>
    <w:p w14:paraId="07AA00A6">
      <w:pPr>
        <w:keepNext w:val="0"/>
        <w:keepLines w:val="0"/>
        <w:pageBreakBefore w:val="0"/>
        <w:kinsoku/>
        <w:wordWrap/>
        <w:overflowPunct/>
        <w:topLinePunct w:val="0"/>
        <w:bidi w:val="0"/>
        <w:adjustRightInd/>
        <w:spacing w:line="400" w:lineRule="exact"/>
        <w:ind w:firstLine="433" w:firstLineChars="196"/>
        <w:textAlignment w:val="auto"/>
        <w:rPr>
          <w:rFonts w:hint="eastAsia" w:ascii="仿宋" w:hAnsi="仿宋" w:eastAsia="仿宋" w:cs="仿宋"/>
          <w:b/>
          <w:color w:val="auto"/>
          <w:kern w:val="2"/>
          <w:sz w:val="22"/>
          <w:szCs w:val="22"/>
          <w:highlight w:val="none"/>
          <w:lang w:val="en-US" w:eastAsia="zh-CN" w:bidi="ar-SA"/>
        </w:rPr>
      </w:pPr>
      <w:bookmarkStart w:id="52" w:name="_Toc32568"/>
      <w:r>
        <w:rPr>
          <w:rFonts w:hint="eastAsia" w:ascii="仿宋" w:hAnsi="仿宋" w:eastAsia="仿宋" w:cs="仿宋"/>
          <w:b/>
          <w:color w:val="auto"/>
          <w:kern w:val="2"/>
          <w:sz w:val="22"/>
          <w:szCs w:val="22"/>
          <w:highlight w:val="none"/>
          <w:lang w:val="en-US" w:eastAsia="zh-CN" w:bidi="ar-SA"/>
        </w:rPr>
        <w:t>六、定标</w:t>
      </w:r>
      <w:bookmarkEnd w:id="52"/>
    </w:p>
    <w:p w14:paraId="1FE7A22B">
      <w:pPr>
        <w:keepNext w:val="0"/>
        <w:keepLines w:val="0"/>
        <w:pageBreakBefore w:val="0"/>
        <w:kinsoku/>
        <w:wordWrap/>
        <w:overflowPunct/>
        <w:topLinePunct w:val="0"/>
        <w:bidi w:val="0"/>
        <w:adjustRightInd/>
        <w:spacing w:line="400" w:lineRule="exact"/>
        <w:ind w:firstLine="433" w:firstLineChars="196"/>
        <w:textAlignment w:val="auto"/>
        <w:rPr>
          <w:rFonts w:hint="eastAsia" w:ascii="仿宋" w:hAnsi="仿宋" w:eastAsia="仿宋" w:cs="仿宋"/>
          <w:b/>
          <w:color w:val="auto"/>
          <w:sz w:val="22"/>
          <w:szCs w:val="22"/>
          <w:highlight w:val="none"/>
        </w:rPr>
      </w:pPr>
      <w:bookmarkStart w:id="53" w:name="_Toc6057"/>
      <w:r>
        <w:rPr>
          <w:rFonts w:hint="eastAsia" w:ascii="仿宋" w:hAnsi="仿宋" w:eastAsia="仿宋" w:cs="仿宋"/>
          <w:b/>
          <w:color w:val="auto"/>
          <w:sz w:val="22"/>
          <w:szCs w:val="22"/>
          <w:highlight w:val="none"/>
          <w:lang w:val="en-US" w:eastAsia="zh-CN"/>
        </w:rPr>
        <w:t>6</w:t>
      </w:r>
      <w:r>
        <w:rPr>
          <w:rFonts w:hint="eastAsia" w:ascii="仿宋" w:hAnsi="仿宋" w:eastAsia="仿宋" w:cs="仿宋"/>
          <w:b/>
          <w:color w:val="auto"/>
          <w:sz w:val="22"/>
          <w:szCs w:val="22"/>
          <w:highlight w:val="none"/>
        </w:rPr>
        <w:t>.1确定中标人</w:t>
      </w:r>
      <w:bookmarkEnd w:id="53"/>
    </w:p>
    <w:p w14:paraId="14451880">
      <w:pPr>
        <w:pStyle w:val="28"/>
        <w:keepNext w:val="0"/>
        <w:keepLines w:val="0"/>
        <w:pageBreakBefore w:val="0"/>
        <w:kinsoku/>
        <w:wordWrap/>
        <w:overflowPunct/>
        <w:topLinePunct w:val="0"/>
        <w:bidi w:val="0"/>
        <w:adjustRightInd/>
        <w:spacing w:beforeLines="0" w:afterLines="0"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6</w:t>
      </w:r>
      <w:r>
        <w:rPr>
          <w:rFonts w:hint="eastAsia" w:ascii="仿宋" w:hAnsi="仿宋" w:eastAsia="仿宋" w:cs="仿宋"/>
          <w:bCs/>
          <w:color w:val="auto"/>
          <w:sz w:val="22"/>
          <w:szCs w:val="22"/>
          <w:highlight w:val="none"/>
        </w:rPr>
        <w:t>.1.1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9C9A7EA">
      <w:pPr>
        <w:pStyle w:val="28"/>
        <w:keepNext w:val="0"/>
        <w:keepLines w:val="0"/>
        <w:pageBreakBefore w:val="0"/>
        <w:kinsoku/>
        <w:wordWrap/>
        <w:overflowPunct/>
        <w:topLinePunct w:val="0"/>
        <w:bidi w:val="0"/>
        <w:adjustRightInd/>
        <w:spacing w:beforeLines="0" w:afterLines="0"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6</w:t>
      </w:r>
      <w:r>
        <w:rPr>
          <w:rFonts w:hint="eastAsia" w:ascii="仿宋" w:hAnsi="仿宋" w:eastAsia="仿宋" w:cs="仿宋"/>
          <w:bCs/>
          <w:color w:val="auto"/>
          <w:sz w:val="22"/>
          <w:szCs w:val="22"/>
          <w:highlight w:val="none"/>
        </w:rPr>
        <w:t>.1.2采购人在收到评标报告5个工作日内未按评标报告推荐的中标候选人顺序确定中标人，又不能说明合法理由的，视同按评标报告推荐的顺序确定排名第一的中标候选人为中标人。</w:t>
      </w:r>
    </w:p>
    <w:p w14:paraId="083B8571">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6</w:t>
      </w:r>
      <w:r>
        <w:rPr>
          <w:rFonts w:hint="eastAsia" w:ascii="仿宋" w:hAnsi="仿宋" w:eastAsia="仿宋" w:cs="仿宋"/>
          <w:bCs/>
          <w:color w:val="auto"/>
          <w:sz w:val="22"/>
          <w:szCs w:val="22"/>
          <w:highlight w:val="none"/>
        </w:rPr>
        <w:t>.1.3采购人或者采购代理机构应当自中标人确定之日起2个工作日内，在本项目指定的媒体上公告中标结果。中标公告期限为1个工作日。</w:t>
      </w:r>
    </w:p>
    <w:p w14:paraId="6E7AF3D3">
      <w:pPr>
        <w:keepNext w:val="0"/>
        <w:keepLines w:val="0"/>
        <w:pageBreakBefore w:val="0"/>
        <w:kinsoku/>
        <w:wordWrap/>
        <w:overflowPunct/>
        <w:topLinePunct w:val="0"/>
        <w:bidi w:val="0"/>
        <w:adjustRightInd/>
        <w:spacing w:line="400" w:lineRule="exact"/>
        <w:ind w:firstLine="433" w:firstLineChars="196"/>
        <w:textAlignment w:val="auto"/>
        <w:rPr>
          <w:rFonts w:hint="eastAsia" w:ascii="仿宋" w:hAnsi="仿宋" w:eastAsia="仿宋" w:cs="仿宋"/>
          <w:b/>
          <w:color w:val="auto"/>
          <w:kern w:val="2"/>
          <w:sz w:val="22"/>
          <w:szCs w:val="22"/>
          <w:highlight w:val="none"/>
          <w:lang w:val="en-US" w:eastAsia="zh-CN" w:bidi="ar-SA"/>
        </w:rPr>
      </w:pPr>
      <w:bookmarkStart w:id="54" w:name="_Toc27805"/>
      <w:r>
        <w:rPr>
          <w:rFonts w:hint="eastAsia" w:ascii="仿宋" w:hAnsi="仿宋" w:eastAsia="仿宋" w:cs="仿宋"/>
          <w:b/>
          <w:color w:val="auto"/>
          <w:kern w:val="2"/>
          <w:sz w:val="22"/>
          <w:szCs w:val="22"/>
          <w:highlight w:val="none"/>
          <w:lang w:val="en-US" w:eastAsia="zh-CN" w:bidi="ar-SA"/>
        </w:rPr>
        <w:t>七、合同授予</w:t>
      </w:r>
      <w:bookmarkEnd w:id="54"/>
    </w:p>
    <w:p w14:paraId="7DE8D332">
      <w:pPr>
        <w:keepNext w:val="0"/>
        <w:keepLines w:val="0"/>
        <w:pageBreakBefore w:val="0"/>
        <w:kinsoku/>
        <w:wordWrap/>
        <w:overflowPunct/>
        <w:topLinePunct w:val="0"/>
        <w:bidi w:val="0"/>
        <w:adjustRightInd/>
        <w:spacing w:line="400" w:lineRule="exact"/>
        <w:ind w:firstLine="433" w:firstLineChars="196"/>
        <w:textAlignment w:val="auto"/>
        <w:rPr>
          <w:rFonts w:hint="eastAsia" w:ascii="仿宋" w:hAnsi="仿宋" w:eastAsia="仿宋" w:cs="仿宋"/>
          <w:b/>
          <w:color w:val="auto"/>
          <w:sz w:val="22"/>
          <w:szCs w:val="22"/>
          <w:highlight w:val="none"/>
        </w:rPr>
      </w:pPr>
      <w:bookmarkStart w:id="55" w:name="_Toc11033"/>
      <w:r>
        <w:rPr>
          <w:rFonts w:hint="eastAsia" w:ascii="仿宋" w:hAnsi="仿宋" w:eastAsia="仿宋" w:cs="仿宋"/>
          <w:b/>
          <w:color w:val="auto"/>
          <w:sz w:val="22"/>
          <w:szCs w:val="22"/>
          <w:highlight w:val="none"/>
        </w:rPr>
        <w:t>（一）签订合同</w:t>
      </w:r>
      <w:bookmarkEnd w:id="55"/>
    </w:p>
    <w:p w14:paraId="67FB1495">
      <w:pPr>
        <w:keepNext w:val="0"/>
        <w:keepLines w:val="0"/>
        <w:pageBreakBefore w:val="0"/>
        <w:kinsoku/>
        <w:wordWrap/>
        <w:overflowPunct/>
        <w:topLinePunct w:val="0"/>
        <w:bidi w:val="0"/>
        <w:adjustRightInd/>
        <w:spacing w:line="400" w:lineRule="exact"/>
        <w:ind w:firstLine="431" w:firstLineChars="196"/>
        <w:textAlignment w:val="auto"/>
        <w:rPr>
          <w:rFonts w:hint="eastAsia" w:ascii="仿宋" w:hAnsi="仿宋" w:eastAsia="仿宋" w:cs="仿宋"/>
          <w:bCs/>
          <w:color w:val="auto"/>
          <w:sz w:val="22"/>
          <w:szCs w:val="22"/>
          <w:highlight w:val="none"/>
        </w:rPr>
      </w:pPr>
      <w:bookmarkStart w:id="56" w:name="_Toc12048"/>
      <w:r>
        <w:rPr>
          <w:rFonts w:hint="eastAsia" w:ascii="仿宋" w:hAnsi="仿宋" w:eastAsia="仿宋" w:cs="仿宋"/>
          <w:bCs/>
          <w:color w:val="auto"/>
          <w:sz w:val="22"/>
          <w:szCs w:val="22"/>
          <w:highlight w:val="none"/>
        </w:rPr>
        <w:t>1.采购人应当自中标通知书发出之日起30日内，按照采购文件和中标人投标文件的规定，与中标人签订书面合同。所签订的合同不得对采购文件确定的事项和中标人投标文件作实质性修改。</w:t>
      </w:r>
      <w:bookmarkEnd w:id="56"/>
    </w:p>
    <w:p w14:paraId="265175DE">
      <w:pPr>
        <w:keepNext w:val="0"/>
        <w:keepLines w:val="0"/>
        <w:pageBreakBefore w:val="0"/>
        <w:kinsoku/>
        <w:wordWrap/>
        <w:overflowPunct/>
        <w:topLinePunct w:val="0"/>
        <w:bidi w:val="0"/>
        <w:adjustRightInd/>
        <w:spacing w:line="400" w:lineRule="exact"/>
        <w:ind w:firstLine="431" w:firstLineChars="196"/>
        <w:textAlignment w:val="auto"/>
        <w:rPr>
          <w:rFonts w:hint="eastAsia" w:ascii="仿宋" w:hAnsi="仿宋" w:eastAsia="仿宋" w:cs="仿宋"/>
          <w:bCs/>
          <w:color w:val="auto"/>
          <w:sz w:val="22"/>
          <w:szCs w:val="22"/>
          <w:highlight w:val="none"/>
        </w:rPr>
      </w:pPr>
      <w:bookmarkStart w:id="57" w:name="_Toc16025"/>
      <w:r>
        <w:rPr>
          <w:rFonts w:hint="eastAsia" w:ascii="仿宋" w:hAnsi="仿宋" w:eastAsia="仿宋" w:cs="仿宋"/>
          <w:bCs/>
          <w:color w:val="auto"/>
          <w:sz w:val="22"/>
          <w:szCs w:val="22"/>
          <w:highlight w:val="none"/>
        </w:rPr>
        <w:t>2.采购人与中标人应当根据合同的约定依法履行合同义务。</w:t>
      </w:r>
      <w:bookmarkEnd w:id="57"/>
    </w:p>
    <w:p w14:paraId="1E23820B">
      <w:pPr>
        <w:pStyle w:val="28"/>
        <w:keepNext w:val="0"/>
        <w:keepLines w:val="0"/>
        <w:pageBreakBefore w:val="0"/>
        <w:kinsoku/>
        <w:wordWrap/>
        <w:overflowPunct/>
        <w:topLinePunct w:val="0"/>
        <w:bidi w:val="0"/>
        <w:adjustRightInd/>
        <w:spacing w:beforeLines="0" w:afterLines="0"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3.政府采购合同的履行、违约责任和解决争议的方法等适用《中华人民共和国民法典》。</w:t>
      </w:r>
    </w:p>
    <w:p w14:paraId="5340A2E8">
      <w:pPr>
        <w:keepNext w:val="0"/>
        <w:keepLines w:val="0"/>
        <w:pageBreakBefore w:val="0"/>
        <w:kinsoku/>
        <w:wordWrap/>
        <w:overflowPunct/>
        <w:topLinePunct w:val="0"/>
        <w:bidi w:val="0"/>
        <w:adjustRightInd/>
        <w:spacing w:line="400" w:lineRule="exact"/>
        <w:ind w:firstLine="442" w:firstLineChars="200"/>
        <w:textAlignment w:val="auto"/>
        <w:rPr>
          <w:rFonts w:hint="eastAsia" w:ascii="仿宋" w:hAnsi="仿宋" w:eastAsia="仿宋" w:cs="仿宋"/>
          <w:b/>
          <w:color w:val="auto"/>
          <w:kern w:val="2"/>
          <w:sz w:val="22"/>
          <w:szCs w:val="22"/>
          <w:highlight w:val="none"/>
          <w:lang w:val="en-US" w:eastAsia="zh-CN" w:bidi="ar-SA"/>
        </w:rPr>
      </w:pPr>
      <w:r>
        <w:rPr>
          <w:rFonts w:hint="eastAsia" w:ascii="仿宋" w:hAnsi="仿宋" w:eastAsia="仿宋" w:cs="仿宋"/>
          <w:b/>
          <w:color w:val="auto"/>
          <w:kern w:val="2"/>
          <w:sz w:val="22"/>
          <w:szCs w:val="22"/>
          <w:highlight w:val="none"/>
          <w:lang w:val="en-US" w:eastAsia="zh-CN" w:bidi="ar-SA"/>
        </w:rPr>
        <w:t>八、落实政府采购政策的特别说明</w:t>
      </w:r>
    </w:p>
    <w:p w14:paraId="71B67FFC">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1.本项目</w:t>
      </w:r>
      <w:r>
        <w:rPr>
          <w:rFonts w:hint="eastAsia" w:ascii="仿宋" w:hAnsi="仿宋" w:eastAsia="仿宋" w:cs="仿宋"/>
          <w:bCs/>
          <w:color w:val="auto"/>
          <w:sz w:val="22"/>
          <w:szCs w:val="22"/>
          <w:highlight w:val="none"/>
          <w:u w:val="single"/>
        </w:rPr>
        <w:t xml:space="preserve"> 是 </w:t>
      </w:r>
      <w:r>
        <w:rPr>
          <w:rFonts w:hint="eastAsia" w:ascii="仿宋" w:hAnsi="仿宋" w:eastAsia="仿宋" w:cs="仿宋"/>
          <w:bCs/>
          <w:color w:val="auto"/>
          <w:sz w:val="22"/>
          <w:szCs w:val="22"/>
          <w:highlight w:val="none"/>
        </w:rPr>
        <w:t>专门面向社会组织及中小企业采购。本项目对应的中小企业划分标准所属行业：</w:t>
      </w:r>
      <w:r>
        <w:rPr>
          <w:rFonts w:hint="eastAsia" w:ascii="仿宋" w:hAnsi="仿宋" w:eastAsia="仿宋" w:cs="仿宋"/>
          <w:bCs/>
          <w:color w:val="auto"/>
          <w:sz w:val="22"/>
          <w:szCs w:val="22"/>
          <w:highlight w:val="none"/>
          <w:u w:val="single"/>
        </w:rPr>
        <w:t>其他未列明行业</w:t>
      </w:r>
      <w:r>
        <w:rPr>
          <w:rFonts w:hint="eastAsia" w:ascii="仿宋" w:hAnsi="仿宋" w:eastAsia="仿宋" w:cs="仿宋"/>
          <w:bCs/>
          <w:color w:val="auto"/>
          <w:sz w:val="22"/>
          <w:szCs w:val="22"/>
          <w:highlight w:val="none"/>
        </w:rPr>
        <w:t>。</w:t>
      </w:r>
    </w:p>
    <w:p w14:paraId="0158E15C">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2.国务院批准的中小企业划分标准：具体见工信部联企业[2011]300号。 </w:t>
      </w:r>
    </w:p>
    <w:p w14:paraId="49CA2ECF">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bookmarkStart w:id="58" w:name="_Toc441316546"/>
      <w:bookmarkStart w:id="59" w:name="_Toc21541007"/>
      <w:bookmarkStart w:id="60" w:name="_Toc436408700"/>
      <w:bookmarkStart w:id="61" w:name="_Toc419729150"/>
      <w:bookmarkStart w:id="62" w:name="_Toc6334"/>
      <w:r>
        <w:rPr>
          <w:rFonts w:hint="eastAsia" w:ascii="仿宋" w:hAnsi="仿宋" w:eastAsia="仿宋" w:cs="仿宋"/>
          <w:bCs/>
          <w:color w:val="auto"/>
          <w:sz w:val="22"/>
          <w:szCs w:val="22"/>
          <w:highlight w:val="none"/>
        </w:rPr>
        <w:t>3.执行财政部、工业和信息化部《政府采购促进中小企业发展管理办法》（财库〔2020〕46号）。政府采购活动中有关中小企业的相关规定如下：</w:t>
      </w:r>
      <w:bookmarkEnd w:id="58"/>
      <w:bookmarkEnd w:id="59"/>
      <w:bookmarkEnd w:id="60"/>
      <w:bookmarkEnd w:id="61"/>
      <w:bookmarkEnd w:id="62"/>
    </w:p>
    <w:p w14:paraId="6C72915E">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bookmarkStart w:id="63" w:name="_Toc441316547"/>
      <w:bookmarkStart w:id="64" w:name="_Toc21541008"/>
      <w:bookmarkStart w:id="65" w:name="_Toc436408701"/>
      <w:bookmarkStart w:id="66" w:name="_Toc419729151"/>
      <w:bookmarkStart w:id="67" w:name="_Toc28871"/>
      <w:r>
        <w:rPr>
          <w:rFonts w:hint="eastAsia" w:ascii="仿宋" w:hAnsi="仿宋" w:eastAsia="仿宋" w:cs="仿宋"/>
          <w:bCs/>
          <w:color w:val="auto"/>
          <w:sz w:val="22"/>
          <w:szCs w:val="22"/>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63"/>
      <w:bookmarkEnd w:id="64"/>
      <w:bookmarkEnd w:id="65"/>
      <w:bookmarkEnd w:id="66"/>
      <w:r>
        <w:rPr>
          <w:rFonts w:hint="eastAsia" w:ascii="仿宋" w:hAnsi="仿宋" w:eastAsia="仿宋" w:cs="仿宋"/>
          <w:bCs/>
          <w:color w:val="auto"/>
          <w:sz w:val="22"/>
          <w:szCs w:val="22"/>
          <w:highlight w:val="none"/>
        </w:rPr>
        <w:t>。</w:t>
      </w:r>
      <w:bookmarkEnd w:id="67"/>
    </w:p>
    <w:p w14:paraId="023FA41C">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（2）符合中小企业划分标准的个体工商户，在政府采购活动中视同中小企业。 </w:t>
      </w:r>
    </w:p>
    <w:p w14:paraId="5E877B72">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4.在政府采购活动中，投标人提供的工程或者服务符合下列情形的，享受《政府采购促进中小企业发展管理办法》规定的中小企业扶持政策： </w:t>
      </w:r>
    </w:p>
    <w:p w14:paraId="0E97A3E1">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（1）在工程采购项目中，工程由中小企业承建，即工程施工单位为中小企业； </w:t>
      </w:r>
    </w:p>
    <w:p w14:paraId="6A76A296">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（2）在服务采购项目中，服务由中小企业承接，即提供服务的人员为中小企业依照《中华人民共和国劳动合同法》订立劳动合同的从业人员。 </w:t>
      </w:r>
    </w:p>
    <w:p w14:paraId="64484901">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5.按规定享受扶持政策获得政府采购合同的，小微企业不得将合同分包给大中型企业，中型企业不得将合同分包给大型企业。</w:t>
      </w:r>
    </w:p>
    <w:p w14:paraId="44259683">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6.中小企业参加政府采购活动，应当出具《政府采购促进中小企业发展管理办法》规定的《中小企业声明函》（格式见本采购文件附件），否则不得享受相关中小企业扶持政策。</w:t>
      </w:r>
    </w:p>
    <w:p w14:paraId="710BEFAF">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7.采购活动过程中，对投标人的“中小企业”资格认定，以投标人提交的《中小企业声明函》为准，投标人必须实事求是地提交声明函，如有虚假，将依法承担法律责任。如果在采购活动过程中相关采购当事人对投标人“中小企业”资格有异议的，由工程、服务投标人注册登记所在地的县级以上人民政府中小企业主管部门负责认定。</w:t>
      </w:r>
    </w:p>
    <w:p w14:paraId="71F71371">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color w:val="auto"/>
          <w:sz w:val="22"/>
          <w:szCs w:val="22"/>
          <w:highlight w:val="none"/>
        </w:rPr>
      </w:pPr>
      <w:bookmarkStart w:id="68" w:name="_Toc9171"/>
      <w:bookmarkStart w:id="69" w:name="_Toc28831"/>
      <w:r>
        <w:rPr>
          <w:rFonts w:hint="eastAsia" w:ascii="仿宋" w:hAnsi="仿宋" w:eastAsia="仿宋" w:cs="仿宋"/>
          <w:color w:val="auto"/>
          <w:sz w:val="22"/>
          <w:szCs w:val="22"/>
          <w:highlight w:val="none"/>
        </w:rPr>
        <w:t>8.适用招标投标法的政府采购工程建设项目，投标人提供声明函内容不实的，属于弄虚作假骗取中标，依照《中华人民共和国招标投标法》等国家有关规定追究相应责任。</w:t>
      </w:r>
      <w:bookmarkEnd w:id="68"/>
      <w:bookmarkEnd w:id="69"/>
    </w:p>
    <w:p w14:paraId="2EB1D475">
      <w:pPr>
        <w:keepNext w:val="0"/>
        <w:keepLines w:val="0"/>
        <w:pageBreakBefore w:val="0"/>
        <w:kinsoku/>
        <w:wordWrap/>
        <w:overflowPunct/>
        <w:topLinePunct w:val="0"/>
        <w:bidi w:val="0"/>
        <w:adjustRightInd/>
        <w:spacing w:line="40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 </w:t>
      </w:r>
    </w:p>
    <w:p w14:paraId="77305076">
      <w:pPr>
        <w:keepNext w:val="0"/>
        <w:keepLines w:val="0"/>
        <w:pageBreakBefore w:val="0"/>
        <w:kinsoku/>
        <w:wordWrap/>
        <w:overflowPunct/>
        <w:topLinePunct w:val="0"/>
        <w:bidi w:val="0"/>
        <w:adjustRightInd/>
        <w:spacing w:line="400" w:lineRule="exact"/>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10.根据《关于促进残疾人就业政府采购政策的通知》（财库[2017]141 号）规定，在政府采购活动中，残疾人福利性单位视同小型、微型企业。残疾人福利性单位参加政府采购活动时，提供《残疾人福利性单位声明函》，</w:t>
      </w:r>
      <w:r>
        <w:rPr>
          <w:rFonts w:hint="eastAsia" w:ascii="仿宋" w:hAnsi="仿宋" w:eastAsia="仿宋" w:cs="仿宋"/>
          <w:color w:val="auto"/>
          <w:sz w:val="22"/>
          <w:szCs w:val="22"/>
          <w:highlight w:val="none"/>
        </w:rPr>
        <w:t>（格式见本采购文件附件），并对声明的真实性负责，未能提供的不予认可。</w:t>
      </w:r>
    </w:p>
    <w:p w14:paraId="138BB568">
      <w:pPr>
        <w:pStyle w:val="156"/>
        <w:keepNext w:val="0"/>
        <w:keepLines w:val="0"/>
        <w:pageBreakBefore w:val="0"/>
        <w:kinsoku/>
        <w:wordWrap/>
        <w:overflowPunct/>
        <w:topLinePunct w:val="0"/>
        <w:bidi w:val="0"/>
        <w:adjustRightInd/>
        <w:spacing w:line="400" w:lineRule="exact"/>
        <w:textAlignment w:val="auto"/>
        <w:rPr>
          <w:rFonts w:hint="eastAsia" w:ascii="仿宋" w:hAnsi="仿宋" w:eastAsia="仿宋" w:cs="仿宋"/>
          <w:color w:val="auto"/>
          <w:highlight w:val="none"/>
        </w:rPr>
      </w:pPr>
    </w:p>
    <w:p w14:paraId="487F0F51">
      <w:pPr>
        <w:pStyle w:val="21"/>
        <w:snapToGrid w:val="0"/>
        <w:spacing w:line="360" w:lineRule="auto"/>
        <w:ind w:firstLine="0"/>
        <w:outlineLvl w:val="1"/>
        <w:rPr>
          <w:rFonts w:hint="eastAsia" w:ascii="仿宋" w:hAnsi="仿宋" w:eastAsia="仿宋" w:cs="仿宋"/>
          <w:color w:val="auto"/>
          <w:sz w:val="22"/>
          <w:szCs w:val="22"/>
          <w:highlight w:val="none"/>
        </w:rPr>
      </w:pPr>
    </w:p>
    <w:p w14:paraId="45C1309D">
      <w:pPr>
        <w:spacing w:line="280" w:lineRule="exact"/>
        <w:rPr>
          <w:rFonts w:hint="eastAsia" w:ascii="仿宋" w:hAnsi="仿宋" w:eastAsia="仿宋" w:cs="仿宋"/>
          <w:color w:val="auto"/>
          <w:szCs w:val="21"/>
          <w:highlight w:val="none"/>
        </w:rPr>
        <w:sectPr>
          <w:headerReference r:id="rId6" w:type="default"/>
          <w:footerReference r:id="rId7" w:type="default"/>
          <w:pgSz w:w="11905" w:h="16838"/>
          <w:pgMar w:top="1440" w:right="1803" w:bottom="1440" w:left="1803" w:header="850" w:footer="992" w:gutter="0"/>
          <w:cols w:space="0" w:num="1"/>
          <w:docGrid w:type="lines" w:linePitch="319" w:charSpace="0"/>
        </w:sectPr>
      </w:pPr>
    </w:p>
    <w:p w14:paraId="12E7F9E1">
      <w:pPr>
        <w:pStyle w:val="28"/>
        <w:keepNext w:val="0"/>
        <w:keepLines w:val="0"/>
        <w:pageBreakBefore w:val="0"/>
        <w:kinsoku/>
        <w:wordWrap/>
        <w:overflowPunct/>
        <w:topLinePunct w:val="0"/>
        <w:bidi w:val="0"/>
        <w:snapToGrid w:val="0"/>
        <w:spacing w:before="120" w:after="120" w:line="404" w:lineRule="exact"/>
        <w:jc w:val="center"/>
        <w:textAlignment w:val="auto"/>
        <w:outlineLvl w:val="0"/>
        <w:rPr>
          <w:rFonts w:hint="eastAsia" w:ascii="仿宋" w:hAnsi="仿宋" w:eastAsia="仿宋" w:cs="仿宋"/>
          <w:b/>
          <w:bCs/>
          <w:color w:val="auto"/>
          <w:sz w:val="30"/>
          <w:szCs w:val="30"/>
          <w:highlight w:val="none"/>
        </w:rPr>
      </w:pPr>
      <w:bookmarkStart w:id="70" w:name="_Toc180597609"/>
      <w:r>
        <w:rPr>
          <w:rFonts w:hint="eastAsia" w:ascii="仿宋" w:hAnsi="仿宋" w:eastAsia="仿宋" w:cs="仿宋"/>
          <w:b/>
          <w:bCs/>
          <w:color w:val="auto"/>
          <w:sz w:val="30"/>
          <w:szCs w:val="30"/>
          <w:highlight w:val="none"/>
        </w:rPr>
        <w:t>第四章 评标办法及评分标准</w:t>
      </w:r>
      <w:bookmarkEnd w:id="70"/>
    </w:p>
    <w:p w14:paraId="38A9DDE4">
      <w:pPr>
        <w:spacing w:line="400" w:lineRule="exact"/>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一、评标办法</w:t>
      </w:r>
    </w:p>
    <w:p w14:paraId="67B24DF7">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1、本次评标采用综合评分法，总分为100分，其中价格分</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分、商务技术分</w:t>
      </w:r>
      <w:r>
        <w:rPr>
          <w:rFonts w:hint="eastAsia" w:ascii="仿宋" w:hAnsi="仿宋" w:eastAsia="仿宋" w:cs="仿宋"/>
          <w:color w:val="auto"/>
          <w:sz w:val="22"/>
          <w:szCs w:val="22"/>
          <w:highlight w:val="none"/>
          <w:lang w:val="en-US" w:eastAsia="zh-CN"/>
        </w:rPr>
        <w:t>85</w:t>
      </w:r>
      <w:r>
        <w:rPr>
          <w:rFonts w:hint="eastAsia" w:ascii="仿宋" w:hAnsi="仿宋" w:eastAsia="仿宋" w:cs="仿宋"/>
          <w:color w:val="auto"/>
          <w:sz w:val="22"/>
          <w:szCs w:val="22"/>
          <w:highlight w:val="none"/>
        </w:rPr>
        <w:t>分。合格投标人的评标得分为各项目汇总得分，按综合得分由高到低的排序，推荐中标候选人。</w:t>
      </w:r>
    </w:p>
    <w:p w14:paraId="3E65EA47">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本项目需要落实的政府采购政策：《政府采购促进中小企业发展管理办法》（财库﹝2020﹞46 号）、《关于政府采购支持监狱企业发展有关问题的通知》（财库[2014]68号）、《关于促进残疾人就业政府采购政策的通知》（财库[2017]141号）。</w:t>
      </w:r>
    </w:p>
    <w:p w14:paraId="66D96EB2">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2、本项目</w:t>
      </w:r>
      <w:r>
        <w:rPr>
          <w:rFonts w:hint="eastAsia" w:ascii="仿宋" w:hAnsi="仿宋" w:eastAsia="仿宋" w:cs="仿宋"/>
          <w:color w:val="auto"/>
          <w:sz w:val="22"/>
          <w:szCs w:val="22"/>
          <w:highlight w:val="none"/>
          <w:u w:val="single"/>
        </w:rPr>
        <w:t xml:space="preserve"> 是 </w:t>
      </w:r>
      <w:r>
        <w:rPr>
          <w:rFonts w:hint="eastAsia" w:ascii="仿宋" w:hAnsi="仿宋" w:eastAsia="仿宋" w:cs="仿宋"/>
          <w:color w:val="auto"/>
          <w:sz w:val="22"/>
          <w:szCs w:val="22"/>
          <w:highlight w:val="none"/>
        </w:rPr>
        <w:t>专门面向社会组织及中小企业采购。本项目对应的中小企业划分标准所属行业：</w:t>
      </w:r>
      <w:r>
        <w:rPr>
          <w:rFonts w:hint="eastAsia" w:ascii="仿宋" w:hAnsi="仿宋" w:eastAsia="仿宋" w:cs="仿宋"/>
          <w:color w:val="auto"/>
          <w:sz w:val="22"/>
          <w:szCs w:val="22"/>
          <w:highlight w:val="none"/>
          <w:u w:val="single"/>
        </w:rPr>
        <w:t>其他未列明行业</w:t>
      </w:r>
      <w:r>
        <w:rPr>
          <w:rFonts w:hint="eastAsia" w:ascii="仿宋" w:hAnsi="仿宋" w:eastAsia="仿宋" w:cs="仿宋"/>
          <w:color w:val="auto"/>
          <w:sz w:val="22"/>
          <w:szCs w:val="22"/>
          <w:highlight w:val="none"/>
        </w:rPr>
        <w:t>。</w:t>
      </w:r>
    </w:p>
    <w:p w14:paraId="3E7898C0">
      <w:pPr>
        <w:spacing w:line="400" w:lineRule="exact"/>
        <w:ind w:firstLine="440" w:firstLineChars="200"/>
        <w:jc w:val="lef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二、</w:t>
      </w:r>
      <w:r>
        <w:rPr>
          <w:rFonts w:hint="eastAsia" w:ascii="仿宋" w:hAnsi="仿宋" w:eastAsia="仿宋" w:cs="仿宋"/>
          <w:b/>
          <w:bCs/>
          <w:color w:val="auto"/>
          <w:sz w:val="22"/>
          <w:szCs w:val="22"/>
          <w:highlight w:val="none"/>
        </w:rPr>
        <w:t>评标程序</w:t>
      </w:r>
    </w:p>
    <w:p w14:paraId="3388E1C8">
      <w:pPr>
        <w:spacing w:line="400" w:lineRule="exact"/>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2.1初步审查：包含资格性审查和符合性审查。资格性审查是指采购人或代理机构根据“附表1资格审查表”的要求对投标文件逐一进行评审。符合性审查是指评标委员会根据“附表2符合性审查表”的要求对投标文件逐一进行评审。</w:t>
      </w:r>
      <w:r>
        <w:rPr>
          <w:rFonts w:hint="eastAsia" w:ascii="仿宋" w:hAnsi="仿宋" w:eastAsia="仿宋" w:cs="仿宋"/>
          <w:b/>
          <w:color w:val="auto"/>
          <w:sz w:val="22"/>
          <w:szCs w:val="22"/>
          <w:highlight w:val="none"/>
        </w:rPr>
        <w:t>资格性审查和符合性审查中，有任意一项审查结论不合格的，作无效标处理。</w:t>
      </w:r>
    </w:p>
    <w:p w14:paraId="254A7BF1">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w:t>
      </w:r>
      <w:r>
        <w:rPr>
          <w:rFonts w:hint="eastAsia" w:ascii="仿宋" w:hAnsi="仿宋" w:eastAsia="仿宋" w:cs="仿宋"/>
          <w:color w:val="auto"/>
          <w:sz w:val="22"/>
          <w:szCs w:val="22"/>
          <w:highlight w:val="none"/>
          <w:lang w:val="zh-CN"/>
        </w:rPr>
        <w:t>比较与评价：</w:t>
      </w:r>
      <w:r>
        <w:rPr>
          <w:rFonts w:hint="eastAsia" w:ascii="仿宋" w:hAnsi="仿宋" w:eastAsia="仿宋" w:cs="仿宋"/>
          <w:color w:val="auto"/>
          <w:sz w:val="22"/>
          <w:szCs w:val="22"/>
          <w:highlight w:val="none"/>
        </w:rPr>
        <w:t>评标委员会根据“附表3商务技术评分表”的要求，</w:t>
      </w:r>
      <w:r>
        <w:rPr>
          <w:rFonts w:hint="eastAsia" w:ascii="仿宋" w:hAnsi="仿宋" w:eastAsia="仿宋" w:cs="仿宋"/>
          <w:color w:val="auto"/>
          <w:sz w:val="22"/>
          <w:szCs w:val="22"/>
          <w:highlight w:val="none"/>
          <w:lang w:val="zh-CN"/>
        </w:rPr>
        <w:t>对照投标文件的应答进行比较，判定其偏差性质和程度，</w:t>
      </w:r>
      <w:r>
        <w:rPr>
          <w:rFonts w:hint="eastAsia" w:ascii="仿宋" w:hAnsi="仿宋" w:eastAsia="仿宋" w:cs="仿宋"/>
          <w:color w:val="auto"/>
          <w:sz w:val="22"/>
          <w:szCs w:val="22"/>
          <w:highlight w:val="none"/>
        </w:rPr>
        <w:t>由评标委员会成员在分值范围内自行评分。投标人商务技术得分为各评标委员会成员有效评分的算术平均值（小数点后保留二位数）。</w:t>
      </w:r>
    </w:p>
    <w:p w14:paraId="35818E90">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2.3评标委员会成员对需要共同认定的事项存在争议的，应当按照少数服从多数的原则作出结论。</w:t>
      </w:r>
    </w:p>
    <w:p w14:paraId="46470520">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2.3.1在评标过程中，发现的价格计算错误按下述原则修正：</w:t>
      </w:r>
    </w:p>
    <w:p w14:paraId="2D9C7C29">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（1）投标文件中开标一览表内容与政采云系统“开标一览表”中录入的内容不一致的，以投标文件中开标一览表为准；</w:t>
      </w:r>
    </w:p>
    <w:p w14:paraId="6753FB12">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（2）投标文件中开标一览表内容与投标文件中相应内容不一致的，以开标一览表为准；</w:t>
      </w:r>
    </w:p>
    <w:p w14:paraId="1BD3DB00">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（3）大写金额和小写金额不一致的，以大写金额为准；</w:t>
      </w:r>
    </w:p>
    <w:p w14:paraId="29855356">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（4）单价金额小数点或者百分比有明显错位的，以开标一览表的总价为准，并修改单价；</w:t>
      </w:r>
    </w:p>
    <w:p w14:paraId="7ADAD6E4">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（5）总价金额与按单价汇总金额不一致的，以单价金额计算结果为准。</w:t>
      </w:r>
    </w:p>
    <w:p w14:paraId="3872E210">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同时出现两种以上不一致的，按照前款规定的顺序修正。修正后的报价经投标人确认后产生约束力，投标人不确认的，其投标无效。</w:t>
      </w:r>
    </w:p>
    <w:p w14:paraId="2A5755C2">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2.3.2综合评估：投标人的综合得分为商务技术得分与报价得分之和。</w:t>
      </w:r>
    </w:p>
    <w:p w14:paraId="7381B410">
      <w:pPr>
        <w:spacing w:line="400" w:lineRule="exact"/>
        <w:ind w:firstLine="442" w:firstLineChars="200"/>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2.4确定中标人</w:t>
      </w:r>
    </w:p>
    <w:p w14:paraId="51E5B9AE">
      <w:pPr>
        <w:pStyle w:val="28"/>
        <w:spacing w:beforeLines="0" w:afterLines="0"/>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评标委员会按综合得分由高到低的排序，向采购人推荐</w:t>
      </w:r>
      <w:r>
        <w:rPr>
          <w:rFonts w:hint="eastAsia" w:ascii="仿宋" w:hAnsi="仿宋" w:eastAsia="仿宋" w:cs="仿宋"/>
          <w:color w:val="auto"/>
          <w:sz w:val="22"/>
          <w:szCs w:val="22"/>
          <w:highlight w:val="none"/>
          <w:u w:val="single"/>
        </w:rPr>
        <w:t>1</w:t>
      </w:r>
      <w:r>
        <w:rPr>
          <w:rFonts w:hint="eastAsia" w:ascii="仿宋" w:hAnsi="仿宋" w:eastAsia="仿宋" w:cs="仿宋"/>
          <w:color w:val="auto"/>
          <w:sz w:val="22"/>
          <w:szCs w:val="22"/>
          <w:highlight w:val="none"/>
        </w:rPr>
        <w:t>名中标候选人。若投标人的综合得分相等，则投标报价低者列前；若投标报价也相同时，采取随机抽签的方式确定排序。若投标人放弃中标，或因不可抗力提出不能履行合同，或不按采购文件规定提交履约担保，或其它原因被依法撤销中标资格，采购人可以按照评标委员会推荐的中标候选人名单排序依次确定其他中标候选人为中标人。</w:t>
      </w:r>
    </w:p>
    <w:p w14:paraId="75112964">
      <w:pPr>
        <w:spacing w:line="400" w:lineRule="exact"/>
        <w:ind w:firstLine="442" w:firstLineChars="200"/>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三、投标的澄清</w:t>
      </w:r>
    </w:p>
    <w:p w14:paraId="2E6DD1B9">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评标委员会在对投标文件的有效性、完整性和响应程度进行审查时，可以要求投标人对投标文件中含义不明确、同类问题表述不一致或者有明显文字和计算错误的内容等作出必要的澄清。投标人的澄清不得超出投标文件的范围或者改变投标文件的实质性内容。</w:t>
      </w:r>
    </w:p>
    <w:p w14:paraId="46136B5E">
      <w:pPr>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3.2投标人未在截止时间前完成澄清，将被视作自动放弃。</w:t>
      </w:r>
    </w:p>
    <w:p w14:paraId="720AC1B9">
      <w:pPr>
        <w:spacing w:line="400" w:lineRule="exact"/>
        <w:ind w:firstLine="442" w:firstLineChars="200"/>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四、重新招标</w:t>
      </w:r>
    </w:p>
    <w:p w14:paraId="21B6C87A">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有下列情形之一的，采购人将重新招标：</w:t>
      </w:r>
    </w:p>
    <w:p w14:paraId="7C35A3F1">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4.1投标截止时间止，投标人少于3个的；</w:t>
      </w:r>
    </w:p>
    <w:p w14:paraId="30DF5A86">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4.2评标委员会评标过程中，有效投标人少于3个的；</w:t>
      </w:r>
    </w:p>
    <w:p w14:paraId="03A097D5">
      <w:pPr>
        <w:widowControl/>
        <w:spacing w:line="40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4.3其他法律法规规定重新招标的情形。</w:t>
      </w:r>
    </w:p>
    <w:p w14:paraId="42ED6EFD">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br w:type="page"/>
      </w:r>
      <w:r>
        <w:rPr>
          <w:rFonts w:hint="eastAsia" w:ascii="仿宋" w:hAnsi="仿宋" w:eastAsia="仿宋" w:cs="仿宋"/>
          <w:color w:val="auto"/>
          <w:sz w:val="22"/>
          <w:szCs w:val="22"/>
          <w:highlight w:val="none"/>
        </w:rPr>
        <w:t xml:space="preserve">附表1：                </w:t>
      </w:r>
    </w:p>
    <w:p w14:paraId="29C7CAFC">
      <w:pPr>
        <w:spacing w:line="40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 xml:space="preserve">   （一）资格审查表</w:t>
      </w:r>
    </w:p>
    <w:tbl>
      <w:tblPr>
        <w:tblStyle w:val="51"/>
        <w:tblW w:w="897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247"/>
      </w:tblGrid>
      <w:tr w14:paraId="4001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30" w:type="dxa"/>
          </w:tcPr>
          <w:p w14:paraId="70C2EEAD">
            <w:pPr>
              <w:spacing w:line="40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审查类别</w:t>
            </w:r>
          </w:p>
        </w:tc>
        <w:tc>
          <w:tcPr>
            <w:tcW w:w="7247" w:type="dxa"/>
          </w:tcPr>
          <w:p w14:paraId="014B477B">
            <w:pPr>
              <w:spacing w:line="40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审查内容</w:t>
            </w:r>
          </w:p>
        </w:tc>
      </w:tr>
      <w:tr w14:paraId="21A8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730" w:type="dxa"/>
            <w:vMerge w:val="restart"/>
            <w:vAlign w:val="center"/>
          </w:tcPr>
          <w:p w14:paraId="24A39331">
            <w:pPr>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资格条件审查</w:t>
            </w:r>
          </w:p>
        </w:tc>
        <w:tc>
          <w:tcPr>
            <w:tcW w:w="7247" w:type="dxa"/>
            <w:vAlign w:val="center"/>
          </w:tcPr>
          <w:p w14:paraId="32527D98">
            <w:pPr>
              <w:numPr>
                <w:ilvl w:val="0"/>
                <w:numId w:val="6"/>
              </w:num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14:paraId="5EDD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30" w:type="dxa"/>
            <w:vMerge w:val="continue"/>
            <w:vAlign w:val="center"/>
          </w:tcPr>
          <w:p w14:paraId="6870271C">
            <w:pPr>
              <w:spacing w:line="400" w:lineRule="exact"/>
              <w:jc w:val="center"/>
              <w:rPr>
                <w:rFonts w:hint="eastAsia" w:ascii="仿宋" w:hAnsi="仿宋" w:eastAsia="仿宋" w:cs="仿宋"/>
                <w:color w:val="auto"/>
                <w:sz w:val="22"/>
                <w:szCs w:val="22"/>
                <w:highlight w:val="none"/>
              </w:rPr>
            </w:pPr>
          </w:p>
        </w:tc>
        <w:tc>
          <w:tcPr>
            <w:tcW w:w="7247" w:type="dxa"/>
            <w:vAlign w:val="center"/>
          </w:tcPr>
          <w:p w14:paraId="31993D9B">
            <w:pPr>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落实政府采购政策需满足的资格要求：投标人为中小企业/小微企业。提供中小企业声明函，投标人必须为中型、小型、微型企业、残疾人福利性单位、监狱企业其中之一（残疾人福利性企业、监狱企业视同小微企业）。</w:t>
            </w:r>
          </w:p>
        </w:tc>
      </w:tr>
      <w:tr w14:paraId="34B6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0" w:type="dxa"/>
            <w:vMerge w:val="continue"/>
          </w:tcPr>
          <w:p w14:paraId="672F5B9B">
            <w:pPr>
              <w:spacing w:line="400" w:lineRule="exact"/>
              <w:rPr>
                <w:rFonts w:hint="eastAsia" w:ascii="仿宋" w:hAnsi="仿宋" w:eastAsia="仿宋" w:cs="仿宋"/>
                <w:color w:val="auto"/>
                <w:sz w:val="22"/>
                <w:szCs w:val="22"/>
                <w:highlight w:val="none"/>
              </w:rPr>
            </w:pPr>
          </w:p>
        </w:tc>
        <w:tc>
          <w:tcPr>
            <w:tcW w:w="7247" w:type="dxa"/>
            <w:vAlign w:val="center"/>
          </w:tcPr>
          <w:p w14:paraId="1EDA3881">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（三）特定资格条件：/</w:t>
            </w:r>
          </w:p>
        </w:tc>
      </w:tr>
      <w:tr w14:paraId="7D5F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30" w:type="dxa"/>
            <w:vMerge w:val="continue"/>
          </w:tcPr>
          <w:p w14:paraId="56CB168C">
            <w:pPr>
              <w:spacing w:line="400" w:lineRule="exact"/>
              <w:rPr>
                <w:rFonts w:hint="eastAsia" w:ascii="仿宋" w:hAnsi="仿宋" w:eastAsia="仿宋" w:cs="仿宋"/>
                <w:color w:val="auto"/>
                <w:sz w:val="22"/>
                <w:szCs w:val="22"/>
                <w:highlight w:val="none"/>
              </w:rPr>
            </w:pPr>
          </w:p>
        </w:tc>
        <w:tc>
          <w:tcPr>
            <w:tcW w:w="7247" w:type="dxa"/>
            <w:vAlign w:val="center"/>
          </w:tcPr>
          <w:p w14:paraId="482CE521">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（四）本项目不接受联合体投标。</w:t>
            </w:r>
          </w:p>
        </w:tc>
      </w:tr>
      <w:tr w14:paraId="6C24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730" w:type="dxa"/>
            <w:vMerge w:val="continue"/>
          </w:tcPr>
          <w:p w14:paraId="42CAE385">
            <w:pPr>
              <w:spacing w:line="400" w:lineRule="exact"/>
              <w:rPr>
                <w:rFonts w:hint="eastAsia" w:ascii="仿宋" w:hAnsi="仿宋" w:eastAsia="仿宋" w:cs="仿宋"/>
                <w:color w:val="auto"/>
                <w:sz w:val="22"/>
                <w:szCs w:val="22"/>
                <w:highlight w:val="none"/>
              </w:rPr>
            </w:pPr>
          </w:p>
        </w:tc>
        <w:tc>
          <w:tcPr>
            <w:tcW w:w="7247" w:type="dxa"/>
            <w:vAlign w:val="center"/>
          </w:tcPr>
          <w:p w14:paraId="7C87430C">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采购文件要求的其他资格条件：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bl>
    <w:p w14:paraId="42CB2DBF">
      <w:pPr>
        <w:spacing w:line="400" w:lineRule="exact"/>
        <w:jc w:val="lef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br w:type="page"/>
      </w:r>
      <w:r>
        <w:rPr>
          <w:rFonts w:hint="eastAsia" w:ascii="仿宋" w:hAnsi="仿宋" w:eastAsia="仿宋" w:cs="仿宋"/>
          <w:color w:val="auto"/>
          <w:sz w:val="22"/>
          <w:szCs w:val="22"/>
          <w:highlight w:val="none"/>
        </w:rPr>
        <w:t>附表2：</w:t>
      </w:r>
    </w:p>
    <w:p w14:paraId="07A6C1BF">
      <w:pPr>
        <w:spacing w:line="400" w:lineRule="exact"/>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（二）符合性审查表</w:t>
      </w:r>
    </w:p>
    <w:p w14:paraId="23636932">
      <w:pPr>
        <w:spacing w:line="400" w:lineRule="exact"/>
        <w:ind w:firstLine="440" w:firstLineChars="200"/>
        <w:jc w:val="lef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评标委员会应当对符合资格的投标人的响应文件进行符合性审查，以确定其是否满足采购文件的实质性要求。</w:t>
      </w:r>
    </w:p>
    <w:tbl>
      <w:tblPr>
        <w:tblStyle w:val="5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7304"/>
      </w:tblGrid>
      <w:tr w14:paraId="2022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111" w:type="pct"/>
          </w:tcPr>
          <w:p w14:paraId="37C76E78">
            <w:pPr>
              <w:snapToGrid w:val="0"/>
              <w:spacing w:line="440" w:lineRule="exact"/>
              <w:jc w:val="center"/>
              <w:textAlignment w:val="bottom"/>
              <w:rPr>
                <w:rFonts w:hint="eastAsia" w:ascii="仿宋" w:hAnsi="仿宋" w:eastAsia="仿宋" w:cs="仿宋"/>
                <w:b/>
                <w:color w:val="auto"/>
                <w:sz w:val="22"/>
                <w:szCs w:val="22"/>
                <w:highlight w:val="none"/>
              </w:rPr>
            </w:pPr>
            <w:bookmarkStart w:id="71" w:name="_Toc249866767"/>
            <w:bookmarkStart w:id="72" w:name="_Toc259108323"/>
            <w:r>
              <w:rPr>
                <w:rFonts w:hint="eastAsia" w:ascii="仿宋" w:hAnsi="仿宋" w:eastAsia="仿宋" w:cs="仿宋"/>
                <w:b/>
                <w:color w:val="auto"/>
                <w:sz w:val="22"/>
                <w:szCs w:val="22"/>
                <w:highlight w:val="none"/>
              </w:rPr>
              <w:t>审查类别</w:t>
            </w:r>
          </w:p>
        </w:tc>
        <w:tc>
          <w:tcPr>
            <w:tcW w:w="3888" w:type="pct"/>
          </w:tcPr>
          <w:p w14:paraId="78E5BA1F">
            <w:pPr>
              <w:snapToGrid w:val="0"/>
              <w:spacing w:line="440" w:lineRule="exact"/>
              <w:jc w:val="center"/>
              <w:textAlignment w:val="bottom"/>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审查内容</w:t>
            </w:r>
          </w:p>
        </w:tc>
      </w:tr>
      <w:tr w14:paraId="2EF6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11" w:type="pct"/>
            <w:vMerge w:val="restart"/>
            <w:vAlign w:val="center"/>
          </w:tcPr>
          <w:p w14:paraId="5AB9AD5B">
            <w:pPr>
              <w:snapToGrid w:val="0"/>
              <w:spacing w:line="440" w:lineRule="exact"/>
              <w:jc w:val="center"/>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符合性审查</w:t>
            </w:r>
          </w:p>
          <w:p w14:paraId="203C6DCD">
            <w:pPr>
              <w:snapToGrid w:val="0"/>
              <w:spacing w:line="440" w:lineRule="exact"/>
              <w:jc w:val="center"/>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（资格审查文件）</w:t>
            </w:r>
          </w:p>
        </w:tc>
        <w:tc>
          <w:tcPr>
            <w:tcW w:w="3888" w:type="pct"/>
          </w:tcPr>
          <w:p w14:paraId="494D20F9">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（一）具备采购文件中规定的资格要求；</w:t>
            </w:r>
          </w:p>
        </w:tc>
      </w:tr>
      <w:tr w14:paraId="040D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11" w:type="pct"/>
            <w:vMerge w:val="continue"/>
          </w:tcPr>
          <w:p w14:paraId="4B2089C6">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tcPr>
          <w:p w14:paraId="3A52582E">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（二）按照采购文件规定要求签署或盖章；</w:t>
            </w:r>
          </w:p>
        </w:tc>
      </w:tr>
      <w:tr w14:paraId="2F2F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11" w:type="pct"/>
            <w:vMerge w:val="continue"/>
          </w:tcPr>
          <w:p w14:paraId="1EDBBCFB">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6EEDADBE">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（三）响应文件有法定代表人签署本人姓名（或印盖本人姓名章），或签署人提供有效的法定代表人授权委托书且授权委托书填写项目齐全的。</w:t>
            </w:r>
          </w:p>
        </w:tc>
      </w:tr>
      <w:tr w14:paraId="73EC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11" w:type="pct"/>
            <w:vMerge w:val="restart"/>
            <w:vAlign w:val="center"/>
          </w:tcPr>
          <w:p w14:paraId="40DAA1C9">
            <w:pPr>
              <w:snapToGrid w:val="0"/>
              <w:spacing w:line="440" w:lineRule="exact"/>
              <w:jc w:val="center"/>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符合性审查</w:t>
            </w:r>
          </w:p>
          <w:p w14:paraId="1E7D80E0">
            <w:pPr>
              <w:snapToGrid w:val="0"/>
              <w:spacing w:line="440" w:lineRule="exact"/>
              <w:jc w:val="center"/>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（商务技术文件）</w:t>
            </w:r>
          </w:p>
        </w:tc>
        <w:tc>
          <w:tcPr>
            <w:tcW w:w="3888" w:type="pct"/>
            <w:vAlign w:val="center"/>
          </w:tcPr>
          <w:p w14:paraId="4FC5D795">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（一）按照采购文件规定要求签署或盖章；</w:t>
            </w:r>
          </w:p>
        </w:tc>
      </w:tr>
      <w:tr w14:paraId="4452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vAlign w:val="center"/>
          </w:tcPr>
          <w:p w14:paraId="4BDA76B4">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1708B6A1">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（二）响应文件项目齐全；</w:t>
            </w:r>
          </w:p>
        </w:tc>
      </w:tr>
      <w:tr w14:paraId="17D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vAlign w:val="center"/>
          </w:tcPr>
          <w:p w14:paraId="3C530B54">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58E6585A">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（三）响应文件标明的响应或偏离与事实相符且无虚假响应的；</w:t>
            </w:r>
          </w:p>
        </w:tc>
      </w:tr>
      <w:tr w14:paraId="1940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vAlign w:val="center"/>
          </w:tcPr>
          <w:p w14:paraId="606C2DE3">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31295221">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（四）响应文件的实质性内容使用中文表述且意思表述明确，前后无矛盾且使用计量单位符合采购文件要求的；</w:t>
            </w:r>
          </w:p>
        </w:tc>
      </w:tr>
      <w:tr w14:paraId="7DE8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vAlign w:val="center"/>
          </w:tcPr>
          <w:p w14:paraId="5CAFA3F9">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593268B6">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（五）带“▲”的条款满足采购文件要求、已实质性响应采购文件要求且响应文件无采购人不能接受的附加条件的；</w:t>
            </w:r>
          </w:p>
        </w:tc>
      </w:tr>
      <w:tr w14:paraId="374E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vAlign w:val="center"/>
          </w:tcPr>
          <w:p w14:paraId="492700B9">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78538628">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（六）响应技术方案明确，不存在一个或一个以上备选（替代）响应方案的；</w:t>
            </w:r>
          </w:p>
        </w:tc>
      </w:tr>
      <w:tr w14:paraId="6CB5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vAlign w:val="center"/>
          </w:tcPr>
          <w:p w14:paraId="5DA7B840">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065457B4">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（七）商务技术文件中未出现报价或单价的；</w:t>
            </w:r>
          </w:p>
        </w:tc>
      </w:tr>
      <w:tr w14:paraId="1770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vAlign w:val="center"/>
          </w:tcPr>
          <w:p w14:paraId="02C3939E">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2402B897">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（八）不存在法律、法规和采购文件规定的其他无效情形；</w:t>
            </w:r>
          </w:p>
        </w:tc>
      </w:tr>
      <w:tr w14:paraId="0749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vAlign w:val="center"/>
          </w:tcPr>
          <w:p w14:paraId="4997910E">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56A4B1E8">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（九）不存在响应文件的有效期不满足采购文件要求情形；</w:t>
            </w:r>
          </w:p>
        </w:tc>
      </w:tr>
      <w:tr w14:paraId="7BFD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vAlign w:val="center"/>
          </w:tcPr>
          <w:p w14:paraId="3BFE5CB7">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2837B3E5">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（十）商务技术文件不存在采购文件所规定的其它无效响应条款要求。</w:t>
            </w:r>
          </w:p>
        </w:tc>
      </w:tr>
      <w:tr w14:paraId="528C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restart"/>
            <w:vAlign w:val="center"/>
          </w:tcPr>
          <w:p w14:paraId="392AC8F6">
            <w:pPr>
              <w:snapToGrid w:val="0"/>
              <w:spacing w:line="440" w:lineRule="exact"/>
              <w:jc w:val="center"/>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符合性审查</w:t>
            </w:r>
          </w:p>
          <w:p w14:paraId="396C5B9C">
            <w:pPr>
              <w:snapToGrid w:val="0"/>
              <w:spacing w:line="440" w:lineRule="exact"/>
              <w:jc w:val="center"/>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（报价文件）</w:t>
            </w:r>
          </w:p>
        </w:tc>
        <w:tc>
          <w:tcPr>
            <w:tcW w:w="3888" w:type="pct"/>
            <w:vAlign w:val="center"/>
          </w:tcPr>
          <w:p w14:paraId="0D034C23">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（一）按照采购文件规定要求签署或盖章；</w:t>
            </w:r>
          </w:p>
        </w:tc>
      </w:tr>
      <w:tr w14:paraId="3474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tcPr>
          <w:p w14:paraId="760C75E6">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5713FA41">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（二）响应文件项目齐全；</w:t>
            </w:r>
          </w:p>
        </w:tc>
      </w:tr>
      <w:tr w14:paraId="71D5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tcPr>
          <w:p w14:paraId="736B3CE0">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740B5555">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（三）采用人民币报价或者按照采购文件标明的币种报价的；</w:t>
            </w:r>
          </w:p>
        </w:tc>
      </w:tr>
      <w:tr w14:paraId="653B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tcPr>
          <w:p w14:paraId="2A04AA0D">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0FFC8307">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（四）不存在报价超出最高限价，或者超出采购预算金额，采购人不能支付的情形。</w:t>
            </w:r>
          </w:p>
        </w:tc>
      </w:tr>
      <w:tr w14:paraId="681F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tcPr>
          <w:p w14:paraId="2F7518C7">
            <w:pPr>
              <w:snapToGrid w:val="0"/>
              <w:spacing w:line="440" w:lineRule="exact"/>
              <w:jc w:val="center"/>
              <w:textAlignment w:val="bottom"/>
              <w:rPr>
                <w:rFonts w:hint="eastAsia" w:ascii="仿宋" w:hAnsi="仿宋" w:eastAsia="仿宋" w:cs="仿宋"/>
                <w:bCs/>
                <w:color w:val="auto"/>
                <w:sz w:val="22"/>
                <w:szCs w:val="22"/>
                <w:highlight w:val="none"/>
              </w:rPr>
            </w:pPr>
          </w:p>
        </w:tc>
        <w:tc>
          <w:tcPr>
            <w:tcW w:w="3888" w:type="pct"/>
            <w:vAlign w:val="center"/>
          </w:tcPr>
          <w:p w14:paraId="3A444530">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（五）不存在投标报价具有选择性的情形；</w:t>
            </w:r>
          </w:p>
        </w:tc>
      </w:tr>
      <w:tr w14:paraId="4A38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tcPr>
          <w:p w14:paraId="0B3970BB">
            <w:pPr>
              <w:spacing w:line="320" w:lineRule="exact"/>
              <w:ind w:firstLine="220" w:firstLineChars="100"/>
              <w:jc w:val="center"/>
              <w:rPr>
                <w:rFonts w:hint="eastAsia" w:ascii="仿宋" w:hAnsi="仿宋" w:eastAsia="仿宋" w:cs="仿宋"/>
                <w:color w:val="auto"/>
                <w:sz w:val="22"/>
                <w:szCs w:val="22"/>
                <w:highlight w:val="none"/>
              </w:rPr>
            </w:pPr>
          </w:p>
        </w:tc>
        <w:tc>
          <w:tcPr>
            <w:tcW w:w="3888" w:type="pct"/>
            <w:vAlign w:val="center"/>
          </w:tcPr>
          <w:p w14:paraId="35A65C86">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（六）投标报价中未出现重大缺项、漏项；</w:t>
            </w:r>
          </w:p>
        </w:tc>
      </w:tr>
      <w:tr w14:paraId="2728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tcPr>
          <w:p w14:paraId="6C57B01E">
            <w:pPr>
              <w:spacing w:line="320" w:lineRule="exact"/>
              <w:ind w:firstLine="220" w:firstLineChars="100"/>
              <w:jc w:val="center"/>
              <w:rPr>
                <w:rFonts w:hint="eastAsia" w:ascii="仿宋" w:hAnsi="仿宋" w:eastAsia="仿宋" w:cs="仿宋"/>
                <w:color w:val="auto"/>
                <w:sz w:val="22"/>
                <w:szCs w:val="22"/>
                <w:highlight w:val="none"/>
              </w:rPr>
            </w:pPr>
          </w:p>
        </w:tc>
        <w:tc>
          <w:tcPr>
            <w:tcW w:w="3888" w:type="pct"/>
            <w:vAlign w:val="center"/>
          </w:tcPr>
          <w:p w14:paraId="7B0C6FC6">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（七）不存在评标委员会认为投标人的报价明显低于其他通过符合性审查投标人的报价，有可能影响产品质量或者不能诚信履约的且不能在评标现场合理时间内提供相关证明材料说明其报价的合理性的情形；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205C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tcPr>
          <w:p w14:paraId="677DB360">
            <w:pPr>
              <w:spacing w:line="320" w:lineRule="exact"/>
              <w:ind w:firstLine="220" w:firstLineChars="100"/>
              <w:jc w:val="center"/>
              <w:rPr>
                <w:rFonts w:hint="eastAsia" w:ascii="仿宋" w:hAnsi="仿宋" w:eastAsia="仿宋" w:cs="仿宋"/>
                <w:color w:val="auto"/>
                <w:sz w:val="22"/>
                <w:szCs w:val="22"/>
                <w:highlight w:val="none"/>
              </w:rPr>
            </w:pPr>
          </w:p>
        </w:tc>
        <w:tc>
          <w:tcPr>
            <w:tcW w:w="3888" w:type="pct"/>
            <w:vAlign w:val="center"/>
          </w:tcPr>
          <w:p w14:paraId="5C5768CD">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（八）响应文件（报价文件）内容与响应文件（商务技术文件）内容不存在重大差异的；</w:t>
            </w:r>
          </w:p>
        </w:tc>
      </w:tr>
      <w:tr w14:paraId="6B31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tcPr>
          <w:p w14:paraId="16069270">
            <w:pPr>
              <w:spacing w:line="320" w:lineRule="exact"/>
              <w:ind w:firstLine="220" w:firstLineChars="100"/>
              <w:jc w:val="center"/>
              <w:rPr>
                <w:rFonts w:hint="eastAsia" w:ascii="仿宋" w:hAnsi="仿宋" w:eastAsia="仿宋" w:cs="仿宋"/>
                <w:color w:val="auto"/>
                <w:sz w:val="22"/>
                <w:szCs w:val="22"/>
                <w:highlight w:val="none"/>
              </w:rPr>
            </w:pPr>
          </w:p>
        </w:tc>
        <w:tc>
          <w:tcPr>
            <w:tcW w:w="3888" w:type="pct"/>
            <w:vAlign w:val="center"/>
          </w:tcPr>
          <w:p w14:paraId="152C9A8C">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（九）不存在法律、法规和采购文件规定的其他无效情形；</w:t>
            </w:r>
          </w:p>
        </w:tc>
      </w:tr>
      <w:tr w14:paraId="28D0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pct"/>
            <w:vMerge w:val="continue"/>
          </w:tcPr>
          <w:p w14:paraId="6AFD681C">
            <w:pPr>
              <w:spacing w:line="320" w:lineRule="exact"/>
              <w:ind w:firstLine="220" w:firstLineChars="100"/>
              <w:jc w:val="center"/>
              <w:rPr>
                <w:rFonts w:hint="eastAsia" w:ascii="仿宋" w:hAnsi="仿宋" w:eastAsia="仿宋" w:cs="仿宋"/>
                <w:color w:val="auto"/>
                <w:sz w:val="22"/>
                <w:szCs w:val="22"/>
                <w:highlight w:val="none"/>
              </w:rPr>
            </w:pPr>
          </w:p>
        </w:tc>
        <w:tc>
          <w:tcPr>
            <w:tcW w:w="3888" w:type="pct"/>
            <w:vAlign w:val="center"/>
          </w:tcPr>
          <w:p w14:paraId="168FE1A7">
            <w:pPr>
              <w:snapToGrid w:val="0"/>
              <w:spacing w:line="440" w:lineRule="exact"/>
              <w:textAlignment w:val="bottom"/>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（十）报价文件不存在采购文件所规定的其它无效响应条款要求。</w:t>
            </w:r>
          </w:p>
        </w:tc>
      </w:tr>
    </w:tbl>
    <w:p w14:paraId="5F976233">
      <w:pPr>
        <w:widowControl/>
        <w:spacing w:before="156" w:beforeLines="50"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（三）响应无效的情形</w:t>
      </w:r>
      <w:bookmarkEnd w:id="71"/>
      <w:bookmarkEnd w:id="72"/>
    </w:p>
    <w:p w14:paraId="4D9F2674">
      <w:pPr>
        <w:spacing w:line="360" w:lineRule="auto"/>
        <w:ind w:firstLine="440" w:firstLineChars="200"/>
        <w:contextualSpacing/>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实质上没有响应采购文件要求的响应将被视为无效响应。投标人不得通过修正或撤消不合要求的偏离或保留从而使其响应成为实质上响应的响应，但经评标委员会认定属于投标人疏忽、笔误所造成的差错，应当允许其在评标结束之前进行修改或者补正。修改或者补正响应文件必须以书面形式进行，限期内不补正或经补正后仍不符合采购文件要求的，应认定其响应无效。投标人修改、补正响应文件后，不影响评标委员会对其响应文件所作的评价和评分结果。</w:t>
      </w:r>
    </w:p>
    <w:p w14:paraId="6D930781">
      <w:pPr>
        <w:spacing w:line="360" w:lineRule="auto"/>
        <w:ind w:firstLine="442" w:firstLineChars="200"/>
        <w:contextualSpacing/>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A、在电子响应文件解密时，如发现下列情形之一的，将被视为无效响应文件：</w:t>
      </w:r>
    </w:p>
    <w:p w14:paraId="3C93D820">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1、电子响应文件解密失败的，且未在规定时间内提交备份的电子响应文件的或备份的电子响应文件解密失败的。</w:t>
      </w:r>
    </w:p>
    <w:p w14:paraId="0ED70BA2">
      <w:pPr>
        <w:spacing w:line="360" w:lineRule="auto"/>
        <w:ind w:firstLine="442" w:firstLineChars="200"/>
        <w:contextualSpacing/>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B、在资格审查时，如发现下列情形之一的，将被视为无效响应文件：</w:t>
      </w:r>
    </w:p>
    <w:p w14:paraId="6AE60EAE">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1、资格证明文件不全的或者不符合采购文件标明的资格要求的；</w:t>
      </w:r>
    </w:p>
    <w:p w14:paraId="16CE1855">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2、未按照采购文件规定要求签署或盖章；</w:t>
      </w:r>
    </w:p>
    <w:p w14:paraId="7B8836BD">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3、响应文件无法定代表人签署本人姓名（或印盖本人姓名章），或签署人未提供有效的法定代表人授权委托书或授权委托书填写项目不齐全的；</w:t>
      </w:r>
    </w:p>
    <w:p w14:paraId="33A8E3E7">
      <w:pPr>
        <w:spacing w:line="360" w:lineRule="auto"/>
        <w:ind w:firstLine="442" w:firstLineChars="200"/>
        <w:contextualSpacing/>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C、在符合性审查（商务技术文件）时，如发现下列情形之一的，将被视为无效响应文件：</w:t>
      </w:r>
    </w:p>
    <w:p w14:paraId="713BD67A">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1、未按照采购文件规定要求签署或盖章；</w:t>
      </w:r>
    </w:p>
    <w:p w14:paraId="1FA0040D">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2、响应文件项目不齐全；</w:t>
      </w:r>
    </w:p>
    <w:p w14:paraId="58C838C5">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3、响应文件标明的响应或偏离与事实不符或虚假响应的；</w:t>
      </w:r>
    </w:p>
    <w:p w14:paraId="1436B370">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4、响应文件的实质性内容未使用中文表述、意思表述不明确、前后矛盾或者使用计量单位不符合采购文件要求的（经评标委员会认定并允许其当场更正的笔误除外）；</w:t>
      </w:r>
    </w:p>
    <w:p w14:paraId="118E894F">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5、带“▲”的条款不能满足采购文件要求、未实质性响应采购文件要求或者响应文件有采购人不能接受的附加条件的；</w:t>
      </w:r>
    </w:p>
    <w:p w14:paraId="24366954">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6、响应技术方案不明确，存在一个或一个以上备选（替代）响应方案的；</w:t>
      </w:r>
    </w:p>
    <w:p w14:paraId="567375E2">
      <w:pPr>
        <w:spacing w:line="360" w:lineRule="auto"/>
        <w:ind w:firstLine="440" w:firstLineChars="200"/>
        <w:contextualSpacing/>
        <w:rPr>
          <w:rFonts w:hint="eastAsia" w:ascii="仿宋" w:hAnsi="仿宋" w:eastAsia="仿宋" w:cs="仿宋"/>
          <w:color w:val="auto"/>
          <w:kern w:val="1"/>
          <w:sz w:val="22"/>
          <w:szCs w:val="22"/>
          <w:highlight w:val="none"/>
        </w:rPr>
      </w:pPr>
      <w:r>
        <w:rPr>
          <w:rFonts w:hint="eastAsia" w:ascii="仿宋" w:hAnsi="仿宋" w:eastAsia="仿宋" w:cs="仿宋"/>
          <w:color w:val="auto"/>
          <w:kern w:val="1"/>
          <w:sz w:val="22"/>
          <w:szCs w:val="22"/>
          <w:highlight w:val="none"/>
        </w:rPr>
        <w:t>7、商务技术文件中出现报价或单价的；</w:t>
      </w:r>
    </w:p>
    <w:p w14:paraId="267E4C0D">
      <w:pPr>
        <w:spacing w:line="360" w:lineRule="auto"/>
        <w:ind w:firstLine="440" w:firstLineChars="200"/>
        <w:contextualSpacing/>
        <w:rPr>
          <w:rFonts w:hint="eastAsia" w:ascii="仿宋" w:hAnsi="仿宋" w:eastAsia="仿宋" w:cs="仿宋"/>
          <w:color w:val="auto"/>
          <w:kern w:val="1"/>
          <w:sz w:val="22"/>
          <w:szCs w:val="22"/>
          <w:highlight w:val="none"/>
        </w:rPr>
      </w:pPr>
      <w:r>
        <w:rPr>
          <w:rFonts w:hint="eastAsia" w:ascii="仿宋" w:hAnsi="仿宋" w:eastAsia="仿宋" w:cs="仿宋"/>
          <w:color w:val="auto"/>
          <w:kern w:val="1"/>
          <w:sz w:val="22"/>
          <w:szCs w:val="22"/>
          <w:highlight w:val="none"/>
        </w:rPr>
        <w:t>8、法律、法规和采购文件规定的其他无效情形；</w:t>
      </w:r>
    </w:p>
    <w:p w14:paraId="5638463E">
      <w:pPr>
        <w:spacing w:line="360" w:lineRule="auto"/>
        <w:ind w:firstLine="440" w:firstLineChars="200"/>
        <w:contextualSpacing/>
        <w:rPr>
          <w:rFonts w:hint="eastAsia" w:ascii="仿宋" w:hAnsi="仿宋" w:eastAsia="仿宋" w:cs="仿宋"/>
          <w:color w:val="auto"/>
          <w:kern w:val="1"/>
          <w:sz w:val="22"/>
          <w:szCs w:val="22"/>
          <w:highlight w:val="none"/>
        </w:rPr>
      </w:pPr>
      <w:r>
        <w:rPr>
          <w:rFonts w:hint="eastAsia" w:ascii="仿宋" w:hAnsi="仿宋" w:eastAsia="仿宋" w:cs="仿宋"/>
          <w:color w:val="auto"/>
          <w:kern w:val="1"/>
          <w:sz w:val="22"/>
          <w:szCs w:val="22"/>
          <w:highlight w:val="none"/>
        </w:rPr>
        <w:t>9、响应文件的有效期不满足采购文件要求；</w:t>
      </w:r>
    </w:p>
    <w:p w14:paraId="47EBA937">
      <w:pPr>
        <w:spacing w:line="360" w:lineRule="auto"/>
        <w:ind w:firstLine="440" w:firstLineChars="200"/>
        <w:contextualSpacing/>
        <w:rPr>
          <w:rFonts w:hint="eastAsia" w:ascii="仿宋" w:hAnsi="仿宋" w:eastAsia="仿宋" w:cs="仿宋"/>
          <w:color w:val="auto"/>
          <w:kern w:val="1"/>
          <w:sz w:val="22"/>
          <w:szCs w:val="22"/>
          <w:highlight w:val="none"/>
        </w:rPr>
      </w:pPr>
      <w:r>
        <w:rPr>
          <w:rFonts w:hint="eastAsia" w:ascii="仿宋" w:hAnsi="仿宋" w:eastAsia="仿宋" w:cs="仿宋"/>
          <w:color w:val="auto"/>
          <w:kern w:val="1"/>
          <w:sz w:val="22"/>
          <w:szCs w:val="22"/>
          <w:highlight w:val="none"/>
        </w:rPr>
        <w:t>10、商务技术文件存在采购文件所规定的其它无效响应条款要求。</w:t>
      </w:r>
    </w:p>
    <w:p w14:paraId="36C78403">
      <w:pPr>
        <w:spacing w:line="360" w:lineRule="auto"/>
        <w:ind w:firstLine="442" w:firstLineChars="200"/>
        <w:contextualSpacing/>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D、在符合性审查（报价文件）时，如发现下列情形之一的，将被视为无效响应文件：</w:t>
      </w:r>
    </w:p>
    <w:p w14:paraId="1F20498C">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1、未按照采购文件规定要求签署或盖章；</w:t>
      </w:r>
    </w:p>
    <w:p w14:paraId="34B24D43">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2、响应文件项目不齐全；</w:t>
      </w:r>
    </w:p>
    <w:p w14:paraId="374ACF2B">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3、未采用人民币报价或者未按照采购文件标明的币种报价的；</w:t>
      </w:r>
    </w:p>
    <w:p w14:paraId="4BFA7791">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4、报价超出最高限价</w:t>
      </w:r>
      <w:r>
        <w:rPr>
          <w:rFonts w:hint="eastAsia" w:ascii="仿宋" w:hAnsi="仿宋" w:eastAsia="仿宋" w:cs="仿宋"/>
          <w:color w:val="auto"/>
          <w:sz w:val="22"/>
          <w:szCs w:val="22"/>
          <w:highlight w:val="none"/>
          <w:lang w:val="en-US" w:eastAsia="zh-CN"/>
        </w:rPr>
        <w:t>或最高限价</w:t>
      </w:r>
      <w:r>
        <w:rPr>
          <w:rFonts w:hint="eastAsia" w:ascii="仿宋" w:hAnsi="仿宋" w:eastAsia="仿宋" w:cs="仿宋"/>
          <w:color w:val="auto"/>
          <w:sz w:val="22"/>
          <w:szCs w:val="22"/>
          <w:highlight w:val="none"/>
        </w:rPr>
        <w:t>，或者超出采购预算金额，采购人不能支付的；</w:t>
      </w:r>
    </w:p>
    <w:p w14:paraId="62C9D26F">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5、投标报价具有选择性的；</w:t>
      </w:r>
    </w:p>
    <w:p w14:paraId="739AE794">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6、投标报价中出现重大缺项、漏项；</w:t>
      </w:r>
    </w:p>
    <w:p w14:paraId="18B31141">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7、评标委员会认为投标人的报价明显低于其他通过符合性审查投标人的报价，有可能影响产品质量或者不能诚信履约的，且不能在评标现场合理时间内提供相关证明材料说明其报价的合理性的；</w:t>
      </w:r>
    </w:p>
    <w:p w14:paraId="28A9A117">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8、响应文件（报价文件）内容与响应文件（商务技术文件）内容有重大差异的；</w:t>
      </w:r>
    </w:p>
    <w:p w14:paraId="0E95A4DC">
      <w:pPr>
        <w:spacing w:line="360" w:lineRule="auto"/>
        <w:ind w:firstLine="440" w:firstLineChars="20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9、法律、法规和采购文件规定的其他无效情形；</w:t>
      </w:r>
    </w:p>
    <w:p w14:paraId="1DE23390">
      <w:pPr>
        <w:tabs>
          <w:tab w:val="left" w:pos="0"/>
          <w:tab w:val="left" w:pos="723"/>
        </w:tabs>
        <w:spacing w:line="360" w:lineRule="auto"/>
        <w:ind w:firstLine="440" w:firstLineChars="200"/>
        <w:contextualSpacing/>
        <w:rPr>
          <w:rFonts w:hint="eastAsia" w:ascii="仿宋" w:hAnsi="仿宋" w:eastAsia="仿宋" w:cs="仿宋"/>
          <w:color w:val="auto"/>
          <w:kern w:val="1"/>
          <w:sz w:val="22"/>
          <w:szCs w:val="22"/>
          <w:highlight w:val="none"/>
        </w:rPr>
      </w:pPr>
      <w:r>
        <w:rPr>
          <w:rFonts w:hint="eastAsia" w:ascii="仿宋" w:hAnsi="仿宋" w:eastAsia="仿宋" w:cs="仿宋"/>
          <w:color w:val="auto"/>
          <w:kern w:val="1"/>
          <w:sz w:val="22"/>
          <w:szCs w:val="22"/>
          <w:highlight w:val="none"/>
        </w:rPr>
        <w:t>10、报价文件存在采购文件所规定的其它无效响应条款要求。</w:t>
      </w:r>
    </w:p>
    <w:p w14:paraId="09E0D22A">
      <w:pPr>
        <w:spacing w:line="360" w:lineRule="auto"/>
        <w:ind w:left="396"/>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E、评审时如发现下列情形之一的，视为投标人串通响应，其响应无效：</w:t>
      </w:r>
    </w:p>
    <w:p w14:paraId="10EB473D">
      <w:pPr>
        <w:spacing w:line="360" w:lineRule="auto"/>
        <w:ind w:left="39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 不同投标人的响应文件由同一单位或者个人编制；</w:t>
      </w:r>
    </w:p>
    <w:p w14:paraId="2D18A88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2、不同投标人委托同一单位或者个人办理响应事宜；</w:t>
      </w:r>
    </w:p>
    <w:p w14:paraId="26072EA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3、不同投标人的响应文件载明的项目管理成员或者联系人员为同一人；</w:t>
      </w:r>
    </w:p>
    <w:p w14:paraId="7C96433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4、不同投标人的响应文件异常一致或者投标报价呈规律性差异；</w:t>
      </w:r>
    </w:p>
    <w:p w14:paraId="2B9D80C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5、不同投标人的响应文件相互混装；</w:t>
      </w:r>
    </w:p>
    <w:p w14:paraId="546320FF">
      <w:pPr>
        <w:tabs>
          <w:tab w:val="left" w:pos="0"/>
          <w:tab w:val="left" w:pos="723"/>
        </w:tabs>
        <w:spacing w:line="360" w:lineRule="auto"/>
        <w:ind w:firstLine="442" w:firstLineChars="200"/>
        <w:contextualSpacing/>
        <w:rPr>
          <w:rFonts w:hint="eastAsia" w:ascii="仿宋" w:hAnsi="仿宋" w:eastAsia="仿宋" w:cs="仿宋"/>
          <w:b/>
          <w:bCs/>
          <w:color w:val="auto"/>
          <w:kern w:val="1"/>
          <w:sz w:val="22"/>
          <w:szCs w:val="22"/>
          <w:highlight w:val="none"/>
        </w:rPr>
      </w:pPr>
      <w:r>
        <w:rPr>
          <w:rFonts w:hint="eastAsia" w:ascii="仿宋" w:hAnsi="仿宋" w:eastAsia="仿宋" w:cs="仿宋"/>
          <w:b/>
          <w:bCs/>
          <w:color w:val="auto"/>
          <w:kern w:val="1"/>
          <w:sz w:val="22"/>
          <w:szCs w:val="22"/>
          <w:highlight w:val="none"/>
        </w:rPr>
        <w:t>F、不同投标人的响应文件出自同一终端设备或在相同Internet主机分配地址（相同IP地址）网上报名响应。</w:t>
      </w:r>
    </w:p>
    <w:p w14:paraId="2E6B17AD">
      <w:pPr>
        <w:widowControl/>
        <w:spacing w:line="360" w:lineRule="auto"/>
        <w:ind w:right="25" w:rightChars="1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Cs w:val="21"/>
          <w:highlight w:val="none"/>
        </w:rPr>
        <w:t xml:space="preserve">附表3:商务技术评分表             </w:t>
      </w:r>
    </w:p>
    <w:tbl>
      <w:tblPr>
        <w:tblStyle w:val="51"/>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47"/>
        <w:gridCol w:w="5"/>
        <w:gridCol w:w="7556"/>
        <w:gridCol w:w="599"/>
      </w:tblGrid>
      <w:tr w14:paraId="1117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9560" w:type="dxa"/>
            <w:gridSpan w:val="4"/>
            <w:tcBorders>
              <w:tl2br w:val="single" w:color="000000" w:sz="4" w:space="0"/>
            </w:tcBorders>
            <w:noWrap w:val="0"/>
            <w:vAlign w:val="top"/>
          </w:tcPr>
          <w:p w14:paraId="7B1E2C7E">
            <w:pPr>
              <w:keepNext w:val="0"/>
              <w:keepLines w:val="0"/>
              <w:pageBreakBefore w:val="0"/>
              <w:kinsoku/>
              <w:wordWrap/>
              <w:overflowPunct/>
              <w:topLinePunct w:val="0"/>
              <w:bidi w:val="0"/>
              <w:spacing w:line="360" w:lineRule="exact"/>
              <w:ind w:right="420" w:firstLine="4427" w:firstLineChars="2100"/>
              <w:jc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b/>
                <w:bCs/>
                <w:color w:val="auto"/>
                <w:sz w:val="21"/>
                <w:szCs w:val="21"/>
                <w:highlight w:val="none"/>
                <w:lang w:val="en-US" w:eastAsia="zh-CN"/>
              </w:rPr>
              <w:t xml:space="preserve">                                      分值</w:t>
            </w:r>
          </w:p>
          <w:p w14:paraId="1F22A6B1">
            <w:pPr>
              <w:keepNext w:val="0"/>
              <w:keepLines w:val="0"/>
              <w:pageBreakBefore w:val="0"/>
              <w:kinsoku/>
              <w:wordWrap/>
              <w:overflowPunct/>
              <w:topLinePunct w:val="0"/>
              <w:bidi w:val="0"/>
              <w:spacing w:line="360" w:lineRule="exact"/>
              <w:ind w:firstLine="632" w:firstLineChars="300"/>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b/>
                <w:bCs/>
                <w:snapToGrid w:val="0"/>
                <w:color w:val="auto"/>
                <w:kern w:val="0"/>
                <w:sz w:val="21"/>
                <w:szCs w:val="21"/>
                <w:highlight w:val="none"/>
                <w:lang w:val="en-US" w:eastAsia="zh-CN"/>
              </w:rPr>
              <w:t>评分项</w:t>
            </w:r>
          </w:p>
        </w:tc>
        <w:tc>
          <w:tcPr>
            <w:tcW w:w="599" w:type="dxa"/>
            <w:noWrap w:val="0"/>
            <w:vAlign w:val="center"/>
          </w:tcPr>
          <w:p w14:paraId="3A672EA8">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lang w:val="ru-RU"/>
              </w:rPr>
            </w:pPr>
            <w:r>
              <w:rPr>
                <w:rFonts w:hint="eastAsia" w:ascii="仿宋" w:hAnsi="仿宋" w:eastAsia="仿宋" w:cs="仿宋"/>
                <w:snapToGrid w:val="0"/>
                <w:color w:val="auto"/>
                <w:kern w:val="0"/>
                <w:sz w:val="21"/>
                <w:szCs w:val="21"/>
                <w:highlight w:val="none"/>
                <w:lang w:val="ru-RU"/>
              </w:rPr>
              <w:t>分值</w:t>
            </w:r>
          </w:p>
        </w:tc>
      </w:tr>
      <w:tr w14:paraId="5683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restart"/>
            <w:noWrap w:val="0"/>
            <w:vAlign w:val="center"/>
          </w:tcPr>
          <w:p w14:paraId="1C44982D">
            <w:pPr>
              <w:keepNext w:val="0"/>
              <w:keepLines w:val="0"/>
              <w:pageBreakBefore w:val="0"/>
              <w:kinsoku/>
              <w:wordWrap/>
              <w:overflowPunct/>
              <w:topLinePunct w:val="0"/>
              <w:bidi w:val="0"/>
              <w:spacing w:line="360" w:lineRule="exact"/>
              <w:jc w:val="center"/>
              <w:rPr>
                <w:rFonts w:hint="eastAsia" w:ascii="仿宋" w:hAnsi="仿宋" w:eastAsia="仿宋" w:cs="仿宋"/>
                <w:b/>
                <w:bCs/>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商务技 术</w:t>
            </w:r>
          </w:p>
          <w:p w14:paraId="6CFAAEBB">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分</w:t>
            </w:r>
            <w:r>
              <w:rPr>
                <w:rFonts w:hint="eastAsia" w:ascii="仿宋" w:hAnsi="仿宋" w:eastAsia="仿宋" w:cs="仿宋"/>
                <w:b/>
                <w:bCs/>
                <w:snapToGrid w:val="0"/>
                <w:color w:val="auto"/>
                <w:kern w:val="0"/>
                <w:sz w:val="21"/>
                <w:szCs w:val="21"/>
                <w:highlight w:val="none"/>
                <w:lang w:val="en-US" w:eastAsia="zh-CN"/>
              </w:rPr>
              <w:t>85</w:t>
            </w:r>
            <w:r>
              <w:rPr>
                <w:rFonts w:hint="eastAsia" w:ascii="仿宋" w:hAnsi="仿宋" w:eastAsia="仿宋" w:cs="仿宋"/>
                <w:b/>
                <w:bCs/>
                <w:snapToGrid w:val="0"/>
                <w:color w:val="auto"/>
                <w:kern w:val="0"/>
                <w:sz w:val="21"/>
                <w:szCs w:val="21"/>
                <w:highlight w:val="none"/>
              </w:rPr>
              <w:t>分</w:t>
            </w:r>
          </w:p>
        </w:tc>
        <w:tc>
          <w:tcPr>
            <w:tcW w:w="1452" w:type="dxa"/>
            <w:gridSpan w:val="2"/>
            <w:noWrap w:val="0"/>
            <w:vAlign w:val="center"/>
          </w:tcPr>
          <w:p w14:paraId="5B0AC9BF">
            <w:pPr>
              <w:keepNext w:val="0"/>
              <w:keepLines w:val="0"/>
              <w:pageBreakBefore w:val="0"/>
              <w:kinsoku/>
              <w:wordWrap/>
              <w:overflowPunct/>
              <w:topLinePunct w:val="0"/>
              <w:bidi w:val="0"/>
              <w:spacing w:line="360" w:lineRule="exact"/>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1、采购需求的响应性</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6.5</w:t>
            </w:r>
            <w:r>
              <w:rPr>
                <w:rFonts w:hint="eastAsia" w:ascii="仿宋" w:hAnsi="仿宋" w:eastAsia="仿宋" w:cs="仿宋"/>
                <w:b w:val="0"/>
                <w:bCs w:val="0"/>
                <w:color w:val="auto"/>
                <w:sz w:val="21"/>
                <w:szCs w:val="21"/>
                <w:highlight w:val="none"/>
              </w:rPr>
              <w:t>分）</w:t>
            </w:r>
          </w:p>
        </w:tc>
        <w:tc>
          <w:tcPr>
            <w:tcW w:w="7556" w:type="dxa"/>
            <w:noWrap w:val="0"/>
            <w:vAlign w:val="center"/>
          </w:tcPr>
          <w:p w14:paraId="521E551D">
            <w:pPr>
              <w:keepNext w:val="0"/>
              <w:keepLines w:val="0"/>
              <w:pageBreakBefore w:val="0"/>
              <w:kinsoku/>
              <w:wordWrap/>
              <w:overflowPunct/>
              <w:topLinePunct w:val="0"/>
              <w:bidi w:val="0"/>
              <w:spacing w:line="36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完全响应“第</w:t>
            </w:r>
            <w:r>
              <w:rPr>
                <w:rFonts w:hint="eastAsia" w:ascii="仿宋" w:hAnsi="仿宋" w:eastAsia="仿宋" w:cs="仿宋"/>
                <w:bCs/>
                <w:color w:val="auto"/>
                <w:sz w:val="21"/>
                <w:szCs w:val="21"/>
                <w:highlight w:val="none"/>
                <w:lang w:val="en-US" w:eastAsia="zh-CN"/>
              </w:rPr>
              <w:t>二</w:t>
            </w:r>
            <w:r>
              <w:rPr>
                <w:rFonts w:hint="eastAsia" w:ascii="仿宋" w:hAnsi="仿宋" w:eastAsia="仿宋" w:cs="仿宋"/>
                <w:bCs/>
                <w:color w:val="auto"/>
                <w:sz w:val="21"/>
                <w:szCs w:val="21"/>
                <w:highlight w:val="none"/>
              </w:rPr>
              <w:t>章</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val="en-US" w:eastAsia="zh-CN"/>
              </w:rPr>
              <w:t>采购</w:t>
            </w:r>
            <w:r>
              <w:rPr>
                <w:rFonts w:hint="eastAsia" w:ascii="仿宋" w:hAnsi="仿宋" w:eastAsia="仿宋" w:cs="仿宋"/>
                <w:bCs/>
                <w:color w:val="auto"/>
                <w:sz w:val="21"/>
                <w:szCs w:val="21"/>
                <w:highlight w:val="none"/>
              </w:rPr>
              <w:t>需求”中</w:t>
            </w:r>
            <w:r>
              <w:rPr>
                <w:rFonts w:hint="eastAsia" w:ascii="仿宋" w:hAnsi="仿宋" w:eastAsia="仿宋" w:cs="仿宋"/>
                <w:color w:val="auto"/>
                <w:sz w:val="21"/>
                <w:szCs w:val="21"/>
                <w:highlight w:val="none"/>
              </w:rPr>
              <w:t>所有</w:t>
            </w:r>
            <w:r>
              <w:rPr>
                <w:rFonts w:hint="eastAsia" w:ascii="仿宋" w:hAnsi="仿宋" w:eastAsia="仿宋" w:cs="仿宋"/>
                <w:b w:val="0"/>
                <w:bCs w:val="0"/>
                <w:color w:val="auto"/>
                <w:sz w:val="21"/>
                <w:szCs w:val="21"/>
                <w:highlight w:val="none"/>
                <w:lang w:val="en-US" w:eastAsia="zh-CN"/>
              </w:rPr>
              <w:t>采购</w:t>
            </w:r>
            <w:r>
              <w:rPr>
                <w:rFonts w:hint="eastAsia" w:ascii="仿宋" w:hAnsi="仿宋" w:eastAsia="仿宋" w:cs="仿宋"/>
                <w:bCs/>
                <w:color w:val="auto"/>
                <w:sz w:val="21"/>
                <w:szCs w:val="21"/>
                <w:highlight w:val="none"/>
              </w:rPr>
              <w:t>需求</w:t>
            </w:r>
            <w:r>
              <w:rPr>
                <w:rFonts w:hint="eastAsia" w:ascii="仿宋" w:hAnsi="仿宋" w:eastAsia="仿宋" w:cs="仿宋"/>
                <w:color w:val="auto"/>
                <w:sz w:val="21"/>
                <w:szCs w:val="21"/>
                <w:highlight w:val="none"/>
              </w:rPr>
              <w:t>的得</w:t>
            </w:r>
            <w:r>
              <w:rPr>
                <w:rFonts w:hint="eastAsia" w:ascii="仿宋" w:hAnsi="仿宋" w:eastAsia="仿宋" w:cs="仿宋"/>
                <w:bCs/>
                <w:color w:val="auto"/>
                <w:sz w:val="21"/>
                <w:szCs w:val="21"/>
                <w:highlight w:val="none"/>
                <w:lang w:val="en-US" w:eastAsia="zh-CN"/>
              </w:rPr>
              <w:t>6.5</w:t>
            </w:r>
            <w:r>
              <w:rPr>
                <w:rFonts w:hint="eastAsia" w:ascii="仿宋" w:hAnsi="仿宋" w:eastAsia="仿宋" w:cs="仿宋"/>
                <w:bCs/>
                <w:color w:val="auto"/>
                <w:sz w:val="21"/>
                <w:szCs w:val="21"/>
                <w:highlight w:val="none"/>
              </w:rPr>
              <w:t>分；</w:t>
            </w:r>
            <w:r>
              <w:rPr>
                <w:rFonts w:hint="eastAsia" w:ascii="仿宋" w:hAnsi="仿宋" w:eastAsia="仿宋" w:cs="仿宋"/>
                <w:color w:val="auto"/>
                <w:sz w:val="21"/>
                <w:szCs w:val="21"/>
                <w:highlight w:val="none"/>
              </w:rPr>
              <w:t>每偏离（负偏离）1条</w:t>
            </w:r>
            <w:r>
              <w:rPr>
                <w:rFonts w:hint="eastAsia" w:ascii="仿宋" w:hAnsi="仿宋" w:eastAsia="仿宋" w:cs="仿宋"/>
                <w:color w:val="auto"/>
                <w:sz w:val="21"/>
                <w:szCs w:val="21"/>
                <w:highlight w:val="none"/>
                <w:lang w:val="en-US" w:eastAsia="zh-CN"/>
              </w:rPr>
              <w:t>带</w:t>
            </w:r>
            <w:r>
              <w:rPr>
                <w:rFonts w:hint="eastAsia" w:ascii="仿宋" w:hAnsi="仿宋" w:eastAsia="仿宋" w:cs="仿宋"/>
                <w:color w:val="auto"/>
                <w:kern w:val="0"/>
                <w:sz w:val="22"/>
                <w:szCs w:val="22"/>
                <w:highlight w:val="none"/>
              </w:rPr>
              <w:t>★</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分，每偏离（负偏离）1条</w:t>
            </w:r>
            <w:r>
              <w:rPr>
                <w:rFonts w:hint="eastAsia" w:ascii="仿宋" w:hAnsi="仿宋" w:eastAsia="仿宋" w:cs="仿宋"/>
                <w:color w:val="auto"/>
                <w:sz w:val="21"/>
                <w:szCs w:val="21"/>
                <w:highlight w:val="none"/>
                <w:lang w:val="en-US" w:eastAsia="zh-CN"/>
              </w:rPr>
              <w:t>不带</w:t>
            </w:r>
            <w:r>
              <w:rPr>
                <w:rFonts w:hint="eastAsia" w:ascii="仿宋" w:hAnsi="仿宋" w:eastAsia="仿宋" w:cs="仿宋"/>
                <w:color w:val="auto"/>
                <w:kern w:val="0"/>
                <w:sz w:val="22"/>
                <w:szCs w:val="22"/>
                <w:highlight w:val="none"/>
              </w:rPr>
              <w:t>★</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扣</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bCs w:val="0"/>
                <w:color w:val="auto"/>
                <w:sz w:val="21"/>
                <w:szCs w:val="21"/>
                <w:highlight w:val="none"/>
              </w:rPr>
              <w:t>扣</w:t>
            </w:r>
            <w:r>
              <w:rPr>
                <w:rFonts w:hint="eastAsia" w:ascii="仿宋" w:hAnsi="仿宋" w:eastAsia="仿宋" w:cs="仿宋"/>
                <w:bCs w:val="0"/>
                <w:color w:val="auto"/>
                <w:sz w:val="21"/>
                <w:szCs w:val="21"/>
                <w:highlight w:val="none"/>
                <w:lang w:val="en-US" w:eastAsia="zh-CN"/>
              </w:rPr>
              <w:t>完为止</w:t>
            </w:r>
            <w:r>
              <w:rPr>
                <w:rFonts w:hint="eastAsia" w:ascii="仿宋" w:hAnsi="仿宋" w:eastAsia="仿宋" w:cs="仿宋"/>
                <w:color w:val="auto"/>
                <w:sz w:val="21"/>
                <w:szCs w:val="21"/>
                <w:highlight w:val="none"/>
              </w:rPr>
              <w:t>。</w:t>
            </w:r>
          </w:p>
        </w:tc>
        <w:tc>
          <w:tcPr>
            <w:tcW w:w="599" w:type="dxa"/>
            <w:noWrap w:val="0"/>
            <w:vAlign w:val="center"/>
          </w:tcPr>
          <w:p w14:paraId="1D650197">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6.5</w:t>
            </w:r>
          </w:p>
        </w:tc>
      </w:tr>
      <w:tr w14:paraId="4706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1B27A68F">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52" w:type="dxa"/>
            <w:gridSpan w:val="2"/>
            <w:noWrap w:val="0"/>
            <w:vAlign w:val="center"/>
          </w:tcPr>
          <w:p w14:paraId="61857B9C">
            <w:pPr>
              <w:keepNext w:val="0"/>
              <w:keepLines w:val="0"/>
              <w:pageBreakBefore w:val="0"/>
              <w:kinsoku/>
              <w:wordWrap/>
              <w:overflowPunct/>
              <w:topLinePunct w:val="0"/>
              <w:bidi w:val="0"/>
              <w:spacing w:line="36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整体服务方案</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6分</w:t>
            </w:r>
            <w:r>
              <w:rPr>
                <w:rFonts w:hint="eastAsia" w:ascii="仿宋" w:hAnsi="仿宋" w:eastAsia="仿宋" w:cs="仿宋"/>
                <w:b w:val="0"/>
                <w:bCs w:val="0"/>
                <w:color w:val="auto"/>
                <w:sz w:val="21"/>
                <w:szCs w:val="21"/>
                <w:highlight w:val="none"/>
                <w:lang w:eastAsia="zh-CN"/>
              </w:rPr>
              <w:t>）</w:t>
            </w:r>
          </w:p>
        </w:tc>
        <w:tc>
          <w:tcPr>
            <w:tcW w:w="7556" w:type="dxa"/>
            <w:noWrap w:val="0"/>
            <w:vAlign w:val="center"/>
          </w:tcPr>
          <w:p w14:paraId="63AD0FF9">
            <w:pPr>
              <w:keepNext w:val="0"/>
              <w:keepLines w:val="0"/>
              <w:pageBreakBefore w:val="0"/>
              <w:kinsoku/>
              <w:wordWrap/>
              <w:overflowPunct/>
              <w:topLinePunct w:val="0"/>
              <w:bidi w:val="0"/>
              <w:spacing w:line="36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评标委员会对</w:t>
            </w:r>
            <w:r>
              <w:rPr>
                <w:rFonts w:hint="eastAsia" w:ascii="仿宋" w:hAnsi="仿宋" w:eastAsia="仿宋" w:cs="仿宋"/>
                <w:b/>
                <w:bCs/>
                <w:color w:val="auto"/>
                <w:sz w:val="21"/>
                <w:szCs w:val="21"/>
                <w:highlight w:val="none"/>
                <w:lang w:val="en-US" w:eastAsia="zh-CN"/>
              </w:rPr>
              <w:t>投标人</w:t>
            </w:r>
            <w:r>
              <w:rPr>
                <w:rFonts w:hint="eastAsia" w:ascii="仿宋" w:hAnsi="仿宋" w:eastAsia="仿宋" w:cs="仿宋"/>
                <w:b/>
                <w:bCs/>
                <w:color w:val="auto"/>
                <w:sz w:val="21"/>
                <w:szCs w:val="21"/>
                <w:highlight w:val="none"/>
              </w:rPr>
              <w:t>针对本项目的整体服务方案，是否符合项目的实际情况，内容是否详尽、可行、方案编制是否合理，对项目实施地区现状是否进行了充分调研，理解项目实施地区现状及业主需求进行评议：</w:t>
            </w:r>
          </w:p>
          <w:p w14:paraId="26105420">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方案内容科学、合理、操作性强，能较好地匹配项目实际情况的得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14:paraId="26875ADD">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方案内容片面，操作性较为一般与项目实际情况匹配为一般的得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4BD19234">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方案内容不科学合理，存在较大纰漏，操作性弱的得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分，未提供不得分。</w:t>
            </w:r>
          </w:p>
        </w:tc>
        <w:tc>
          <w:tcPr>
            <w:tcW w:w="599" w:type="dxa"/>
            <w:noWrap w:val="0"/>
            <w:vAlign w:val="center"/>
          </w:tcPr>
          <w:p w14:paraId="0DA07985">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r>
      <w:tr w14:paraId="1FD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4366146C">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52" w:type="dxa"/>
            <w:gridSpan w:val="2"/>
            <w:noWrap w:val="0"/>
            <w:vAlign w:val="center"/>
          </w:tcPr>
          <w:p w14:paraId="1EAB8135">
            <w:pPr>
              <w:keepNext w:val="0"/>
              <w:keepLines w:val="0"/>
              <w:pageBreakBefore w:val="0"/>
              <w:kinsoku/>
              <w:wordWrap/>
              <w:overflowPunct/>
              <w:topLinePunct w:val="0"/>
              <w:bidi w:val="0"/>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项目实施方案</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6分</w:t>
            </w:r>
            <w:r>
              <w:rPr>
                <w:rFonts w:hint="eastAsia" w:ascii="仿宋" w:hAnsi="仿宋" w:eastAsia="仿宋" w:cs="仿宋"/>
                <w:b w:val="0"/>
                <w:bCs w:val="0"/>
                <w:color w:val="auto"/>
                <w:sz w:val="21"/>
                <w:szCs w:val="21"/>
                <w:highlight w:val="none"/>
                <w:lang w:eastAsia="zh-CN"/>
              </w:rPr>
              <w:t>）</w:t>
            </w:r>
          </w:p>
        </w:tc>
        <w:tc>
          <w:tcPr>
            <w:tcW w:w="7556" w:type="dxa"/>
            <w:noWrap w:val="0"/>
            <w:vAlign w:val="center"/>
          </w:tcPr>
          <w:p w14:paraId="01B6B5C1">
            <w:pPr>
              <w:keepNext w:val="0"/>
              <w:keepLines w:val="0"/>
              <w:pageBreakBefore w:val="0"/>
              <w:numPr>
                <w:ilvl w:val="0"/>
                <w:numId w:val="0"/>
              </w:numPr>
              <w:kinsoku/>
              <w:wordWrap/>
              <w:overflowPunct/>
              <w:topLinePunct w:val="0"/>
              <w:bidi w:val="0"/>
              <w:spacing w:line="360" w:lineRule="exact"/>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rPr>
              <w:t>评标委员根据</w:t>
            </w:r>
            <w:r>
              <w:rPr>
                <w:rFonts w:hint="eastAsia" w:ascii="仿宋" w:hAnsi="仿宋" w:eastAsia="仿宋" w:cs="仿宋"/>
                <w:b/>
                <w:bCs/>
                <w:color w:val="auto"/>
                <w:sz w:val="21"/>
                <w:szCs w:val="21"/>
                <w:highlight w:val="none"/>
                <w:lang w:val="en-US" w:eastAsia="zh-CN"/>
              </w:rPr>
              <w:t>投标人</w:t>
            </w:r>
            <w:r>
              <w:rPr>
                <w:rFonts w:hint="eastAsia" w:ascii="仿宋" w:hAnsi="仿宋" w:eastAsia="仿宋" w:cs="仿宋"/>
                <w:b/>
                <w:bCs/>
                <w:color w:val="auto"/>
                <w:sz w:val="21"/>
                <w:szCs w:val="21"/>
                <w:highlight w:val="none"/>
              </w:rPr>
              <w:t>提供的项目实施方案</w:t>
            </w:r>
            <w:r>
              <w:rPr>
                <w:rFonts w:hint="eastAsia" w:ascii="仿宋" w:hAnsi="仿宋" w:eastAsia="仿宋" w:cs="仿宋"/>
                <w:b/>
                <w:bCs/>
                <w:color w:val="auto"/>
                <w:sz w:val="21"/>
                <w:szCs w:val="21"/>
                <w:highlight w:val="none"/>
                <w:lang w:val="en-US" w:eastAsia="zh-CN"/>
              </w:rPr>
              <w:t>包括：</w:t>
            </w:r>
            <w:r>
              <w:rPr>
                <w:rFonts w:hint="eastAsia" w:ascii="仿宋" w:hAnsi="仿宋" w:eastAsia="仿宋" w:cs="仿宋"/>
                <w:b/>
                <w:bCs/>
                <w:color w:val="auto"/>
                <w:sz w:val="21"/>
                <w:szCs w:val="21"/>
                <w:highlight w:val="none"/>
              </w:rPr>
              <w:t>组织方案、计划安排、</w:t>
            </w:r>
            <w:r>
              <w:rPr>
                <w:rFonts w:hint="eastAsia" w:ascii="仿宋" w:hAnsi="仿宋" w:eastAsia="仿宋" w:cs="仿宋"/>
                <w:b/>
                <w:bCs/>
                <w:color w:val="auto"/>
                <w:sz w:val="21"/>
                <w:szCs w:val="21"/>
                <w:highlight w:val="none"/>
                <w:lang w:val="zh-CN"/>
              </w:rPr>
              <w:t>安装调试验收计划、</w:t>
            </w:r>
            <w:r>
              <w:rPr>
                <w:rFonts w:hint="eastAsia" w:ascii="仿宋" w:hAnsi="仿宋" w:eastAsia="仿宋" w:cs="仿宋"/>
                <w:b/>
                <w:bCs/>
                <w:color w:val="auto"/>
                <w:sz w:val="21"/>
                <w:szCs w:val="21"/>
                <w:highlight w:val="none"/>
              </w:rPr>
              <w:t>实施时间进度进行评议</w:t>
            </w:r>
            <w:r>
              <w:rPr>
                <w:rFonts w:hint="eastAsia" w:ascii="仿宋" w:hAnsi="仿宋" w:eastAsia="仿宋" w:cs="仿宋"/>
                <w:b/>
                <w:bCs/>
                <w:color w:val="auto"/>
                <w:sz w:val="21"/>
                <w:szCs w:val="21"/>
                <w:highlight w:val="none"/>
                <w:lang w:val="zh-CN"/>
              </w:rPr>
              <w:t>：</w:t>
            </w:r>
          </w:p>
          <w:p w14:paraId="1998595B">
            <w:pPr>
              <w:keepNext w:val="0"/>
              <w:keepLines w:val="0"/>
              <w:pageBreakBefore w:val="0"/>
              <w:numPr>
                <w:ilvl w:val="0"/>
                <w:numId w:val="0"/>
              </w:numPr>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方案内容科学、合理、操作性强，能较好地匹配项目实际情况的得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14:paraId="3049BC52">
            <w:pPr>
              <w:keepNext w:val="0"/>
              <w:keepLines w:val="0"/>
              <w:pageBreakBefore w:val="0"/>
              <w:numPr>
                <w:ilvl w:val="0"/>
                <w:numId w:val="0"/>
              </w:numPr>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方案内容片面，操作性较为一般与项目实际情况匹配为一般的得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68974473">
            <w:pPr>
              <w:keepNext w:val="0"/>
              <w:keepLines w:val="0"/>
              <w:pageBreakBefore w:val="0"/>
              <w:numPr>
                <w:ilvl w:val="0"/>
                <w:numId w:val="0"/>
              </w:numPr>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方案内容不科学合理，存在较大纰漏，操作性弱的得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分，未提供不得分。</w:t>
            </w:r>
          </w:p>
        </w:tc>
        <w:tc>
          <w:tcPr>
            <w:tcW w:w="599" w:type="dxa"/>
            <w:noWrap w:val="0"/>
            <w:vAlign w:val="center"/>
          </w:tcPr>
          <w:p w14:paraId="64F57649">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snapToGrid w:val="0"/>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r>
      <w:tr w14:paraId="17AC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02732961">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52" w:type="dxa"/>
            <w:gridSpan w:val="2"/>
            <w:noWrap w:val="0"/>
            <w:vAlign w:val="center"/>
          </w:tcPr>
          <w:p w14:paraId="2A5234B7">
            <w:pPr>
              <w:keepNext w:val="0"/>
              <w:keepLines w:val="0"/>
              <w:pageBreakBefore w:val="0"/>
              <w:numPr>
                <w:ilvl w:val="0"/>
                <w:numId w:val="7"/>
              </w:numPr>
              <w:kinsoku/>
              <w:wordWrap/>
              <w:overflowPunct/>
              <w:topLinePunct w:val="0"/>
              <w:bidi w:val="0"/>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后续检查维护方案</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6分</w:t>
            </w:r>
            <w:r>
              <w:rPr>
                <w:rFonts w:hint="eastAsia" w:ascii="仿宋" w:hAnsi="仿宋" w:eastAsia="仿宋" w:cs="仿宋"/>
                <w:b w:val="0"/>
                <w:bCs w:val="0"/>
                <w:color w:val="auto"/>
                <w:sz w:val="21"/>
                <w:szCs w:val="21"/>
                <w:highlight w:val="none"/>
                <w:lang w:eastAsia="zh-CN"/>
              </w:rPr>
              <w:t>）</w:t>
            </w:r>
          </w:p>
        </w:tc>
        <w:tc>
          <w:tcPr>
            <w:tcW w:w="7556" w:type="dxa"/>
            <w:noWrap w:val="0"/>
            <w:vAlign w:val="center"/>
          </w:tcPr>
          <w:p w14:paraId="3A4EC098">
            <w:pPr>
              <w:keepNext w:val="0"/>
              <w:keepLines w:val="0"/>
              <w:pageBreakBefore w:val="0"/>
              <w:kinsoku/>
              <w:wordWrap/>
              <w:overflowPunct/>
              <w:topLinePunct w:val="0"/>
              <w:bidi w:val="0"/>
              <w:spacing w:line="36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评标委员会对</w:t>
            </w:r>
            <w:r>
              <w:rPr>
                <w:rFonts w:hint="eastAsia" w:ascii="仿宋" w:hAnsi="仿宋" w:eastAsia="仿宋" w:cs="仿宋"/>
                <w:b/>
                <w:bCs/>
                <w:color w:val="auto"/>
                <w:sz w:val="21"/>
                <w:szCs w:val="21"/>
                <w:highlight w:val="none"/>
                <w:lang w:val="en-US" w:eastAsia="zh-CN"/>
              </w:rPr>
              <w:t>投标人</w:t>
            </w:r>
            <w:r>
              <w:rPr>
                <w:rFonts w:hint="eastAsia" w:ascii="仿宋" w:hAnsi="仿宋" w:eastAsia="仿宋" w:cs="仿宋"/>
                <w:b/>
                <w:bCs/>
                <w:color w:val="auto"/>
                <w:sz w:val="21"/>
                <w:szCs w:val="21"/>
                <w:highlight w:val="none"/>
              </w:rPr>
              <w:t>提供的白蚁预防</w:t>
            </w:r>
            <w:r>
              <w:rPr>
                <w:rFonts w:hint="eastAsia" w:ascii="仿宋" w:hAnsi="仿宋" w:eastAsia="仿宋" w:cs="仿宋"/>
                <w:b/>
                <w:bCs/>
                <w:color w:val="auto"/>
                <w:sz w:val="21"/>
                <w:szCs w:val="21"/>
                <w:highlight w:val="none"/>
                <w:lang w:val="en-US" w:eastAsia="zh-CN"/>
              </w:rPr>
              <w:t>监测</w:t>
            </w:r>
            <w:r>
              <w:rPr>
                <w:rFonts w:hint="eastAsia" w:ascii="仿宋" w:hAnsi="仿宋" w:eastAsia="仿宋" w:cs="仿宋"/>
                <w:b/>
                <w:bCs/>
                <w:color w:val="auto"/>
                <w:spacing w:val="4"/>
                <w:sz w:val="21"/>
                <w:szCs w:val="21"/>
                <w:highlight w:val="none"/>
              </w:rPr>
              <w:t>装置</w:t>
            </w:r>
            <w:r>
              <w:rPr>
                <w:rFonts w:hint="eastAsia" w:ascii="仿宋" w:hAnsi="仿宋" w:eastAsia="仿宋" w:cs="仿宋"/>
                <w:b/>
                <w:bCs/>
                <w:color w:val="auto"/>
                <w:sz w:val="21"/>
                <w:szCs w:val="21"/>
                <w:highlight w:val="none"/>
                <w:lang w:val="en-US" w:eastAsia="zh-CN"/>
              </w:rPr>
              <w:t>后续检查维护</w:t>
            </w:r>
            <w:r>
              <w:rPr>
                <w:rFonts w:hint="eastAsia" w:ascii="仿宋" w:hAnsi="仿宋" w:eastAsia="仿宋" w:cs="仿宋"/>
                <w:b/>
                <w:bCs/>
                <w:color w:val="auto"/>
                <w:sz w:val="21"/>
                <w:szCs w:val="21"/>
                <w:highlight w:val="none"/>
              </w:rPr>
              <w:t>方案的可行性、合理性进行评议：</w:t>
            </w:r>
          </w:p>
          <w:p w14:paraId="51C34F5D">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方案内容科学、合理、操作性强，能较好地匹配项目实际情况的得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14:paraId="0D2E608E">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方案内容片面，操作性较为一般与项目实际情况匹配为一般的得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746971EE">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方案内容不科学合理，存在较大纰漏，操作性弱的得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分，未提供不得分。</w:t>
            </w:r>
          </w:p>
        </w:tc>
        <w:tc>
          <w:tcPr>
            <w:tcW w:w="599" w:type="dxa"/>
            <w:noWrap w:val="0"/>
            <w:vAlign w:val="center"/>
          </w:tcPr>
          <w:p w14:paraId="31A396A8">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r>
      <w:tr w14:paraId="0319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2019C381">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52" w:type="dxa"/>
            <w:gridSpan w:val="2"/>
            <w:noWrap w:val="0"/>
            <w:vAlign w:val="center"/>
          </w:tcPr>
          <w:p w14:paraId="2085BB0A">
            <w:pPr>
              <w:keepNext w:val="0"/>
              <w:keepLines w:val="0"/>
              <w:pageBreakBefore w:val="0"/>
              <w:kinsoku/>
              <w:wordWrap/>
              <w:overflowPunct/>
              <w:topLinePunct w:val="0"/>
              <w:bidi w:val="0"/>
              <w:spacing w:line="36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5、回访复查方案</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6分</w:t>
            </w:r>
            <w:r>
              <w:rPr>
                <w:rFonts w:hint="eastAsia" w:ascii="仿宋" w:hAnsi="仿宋" w:eastAsia="仿宋" w:cs="仿宋"/>
                <w:b w:val="0"/>
                <w:bCs w:val="0"/>
                <w:color w:val="auto"/>
                <w:sz w:val="21"/>
                <w:szCs w:val="21"/>
                <w:highlight w:val="none"/>
                <w:lang w:eastAsia="zh-CN"/>
              </w:rPr>
              <w:t>）</w:t>
            </w:r>
          </w:p>
        </w:tc>
        <w:tc>
          <w:tcPr>
            <w:tcW w:w="7556" w:type="dxa"/>
            <w:noWrap w:val="0"/>
            <w:vAlign w:val="center"/>
          </w:tcPr>
          <w:p w14:paraId="0E800DE3">
            <w:pPr>
              <w:keepNext w:val="0"/>
              <w:keepLines w:val="0"/>
              <w:pageBreakBefore w:val="0"/>
              <w:kinsoku/>
              <w:wordWrap/>
              <w:overflowPunct/>
              <w:topLinePunct w:val="0"/>
              <w:bidi w:val="0"/>
              <w:spacing w:line="36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评标委员会对</w:t>
            </w:r>
            <w:r>
              <w:rPr>
                <w:rFonts w:hint="eastAsia" w:ascii="仿宋" w:hAnsi="仿宋" w:eastAsia="仿宋" w:cs="仿宋"/>
                <w:b/>
                <w:bCs/>
                <w:color w:val="auto"/>
                <w:sz w:val="21"/>
                <w:szCs w:val="21"/>
                <w:highlight w:val="none"/>
                <w:lang w:val="en-US" w:eastAsia="zh-CN"/>
              </w:rPr>
              <w:t>投标人</w:t>
            </w:r>
            <w:r>
              <w:rPr>
                <w:rFonts w:hint="eastAsia" w:ascii="仿宋" w:hAnsi="仿宋" w:eastAsia="仿宋" w:cs="仿宋"/>
                <w:b/>
                <w:bCs/>
                <w:color w:val="auto"/>
                <w:sz w:val="21"/>
                <w:szCs w:val="21"/>
                <w:highlight w:val="none"/>
              </w:rPr>
              <w:t>提供的</w:t>
            </w:r>
            <w:r>
              <w:rPr>
                <w:rFonts w:hint="eastAsia" w:ascii="仿宋" w:hAnsi="仿宋" w:eastAsia="仿宋" w:cs="仿宋"/>
                <w:b/>
                <w:bCs/>
                <w:color w:val="auto"/>
                <w:sz w:val="21"/>
                <w:szCs w:val="21"/>
                <w:highlight w:val="none"/>
                <w:lang w:val="en-US" w:eastAsia="zh-CN"/>
              </w:rPr>
              <w:t>回访复查方案</w:t>
            </w:r>
            <w:r>
              <w:rPr>
                <w:rFonts w:hint="eastAsia" w:ascii="仿宋" w:hAnsi="仿宋" w:eastAsia="仿宋" w:cs="仿宋"/>
                <w:b/>
                <w:bCs/>
                <w:color w:val="auto"/>
                <w:sz w:val="21"/>
                <w:szCs w:val="21"/>
                <w:highlight w:val="none"/>
              </w:rPr>
              <w:t>的可行性、合理性进行评议：</w:t>
            </w:r>
          </w:p>
          <w:p w14:paraId="5A3C6AB0">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方案内容科学、合理、操作性强，能较好地匹配项目实际情况的得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14:paraId="52676B69">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方案内容片面，操作性较为一般与项目实际情况匹配为一般的得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3E7B4F2B">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方案内容不科学合理，存在较大纰漏，操作性弱的得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分，未提供不得分。</w:t>
            </w:r>
          </w:p>
        </w:tc>
        <w:tc>
          <w:tcPr>
            <w:tcW w:w="599" w:type="dxa"/>
            <w:noWrap w:val="0"/>
            <w:vAlign w:val="center"/>
          </w:tcPr>
          <w:p w14:paraId="21BA8DA1">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r>
      <w:tr w14:paraId="2383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6754A0F1">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52" w:type="dxa"/>
            <w:gridSpan w:val="2"/>
            <w:noWrap w:val="0"/>
            <w:vAlign w:val="center"/>
          </w:tcPr>
          <w:p w14:paraId="5C4FD2B9">
            <w:pPr>
              <w:keepNext w:val="0"/>
              <w:keepLines w:val="0"/>
              <w:pageBreakBefore w:val="0"/>
              <w:kinsoku/>
              <w:wordWrap/>
              <w:overflowPunct/>
              <w:topLinePunct w:val="0"/>
              <w:bidi w:val="0"/>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val="0"/>
                <w:bCs/>
                <w:color w:val="auto"/>
                <w:sz w:val="21"/>
                <w:szCs w:val="21"/>
                <w:highlight w:val="none"/>
                <w:lang w:val="en-US" w:eastAsia="zh-CN"/>
              </w:rPr>
              <w:t>6、</w:t>
            </w:r>
            <w:r>
              <w:rPr>
                <w:rFonts w:hint="eastAsia" w:ascii="仿宋" w:hAnsi="仿宋" w:eastAsia="仿宋" w:cs="仿宋"/>
                <w:b w:val="0"/>
                <w:bCs/>
                <w:color w:val="auto"/>
                <w:sz w:val="21"/>
                <w:szCs w:val="21"/>
                <w:highlight w:val="none"/>
              </w:rPr>
              <w:t>安全保障措施</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6分</w:t>
            </w:r>
            <w:r>
              <w:rPr>
                <w:rFonts w:hint="eastAsia" w:ascii="仿宋" w:hAnsi="仿宋" w:eastAsia="仿宋" w:cs="仿宋"/>
                <w:b w:val="0"/>
                <w:bCs w:val="0"/>
                <w:color w:val="auto"/>
                <w:sz w:val="21"/>
                <w:szCs w:val="21"/>
                <w:highlight w:val="none"/>
                <w:lang w:eastAsia="zh-CN"/>
              </w:rPr>
              <w:t>）</w:t>
            </w:r>
          </w:p>
        </w:tc>
        <w:tc>
          <w:tcPr>
            <w:tcW w:w="7556" w:type="dxa"/>
            <w:noWrap w:val="0"/>
            <w:vAlign w:val="center"/>
          </w:tcPr>
          <w:p w14:paraId="47C973BD">
            <w:pPr>
              <w:keepNext w:val="0"/>
              <w:keepLines w:val="0"/>
              <w:pageBreakBefore w:val="0"/>
              <w:kinsoku/>
              <w:wordWrap/>
              <w:overflowPunct/>
              <w:topLinePunct w:val="0"/>
              <w:bidi w:val="0"/>
              <w:spacing w:line="360" w:lineRule="exact"/>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t>评标委员</w:t>
            </w:r>
            <w:r>
              <w:rPr>
                <w:rFonts w:hint="eastAsia" w:ascii="仿宋" w:hAnsi="仿宋" w:eastAsia="仿宋" w:cs="仿宋"/>
                <w:b/>
                <w:bCs w:val="0"/>
                <w:color w:val="auto"/>
                <w:sz w:val="21"/>
                <w:szCs w:val="21"/>
                <w:highlight w:val="none"/>
              </w:rPr>
              <w:t>根据投标人提供的投标文件，对其制定的安全保障措施，安全生产责任制分配进行评议：</w:t>
            </w:r>
          </w:p>
          <w:p w14:paraId="013A6A51">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方案内容科学、明确、合理、到位、操作性强的得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14:paraId="54666832">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方案内容片面、含糊、操作性较为普通得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37850DBD">
            <w:pPr>
              <w:keepNext w:val="0"/>
              <w:keepLines w:val="0"/>
              <w:pageBreakBefore w:val="0"/>
              <w:kinsoku/>
              <w:wordWrap/>
              <w:overflowPunct/>
              <w:topLinePunct w:val="0"/>
              <w:bidi w:val="0"/>
              <w:spacing w:line="360" w:lineRule="exac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方案内容操作性弱，不够具体合理的得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分，未提供不得分。</w:t>
            </w:r>
          </w:p>
        </w:tc>
        <w:tc>
          <w:tcPr>
            <w:tcW w:w="599" w:type="dxa"/>
            <w:noWrap w:val="0"/>
            <w:vAlign w:val="center"/>
          </w:tcPr>
          <w:p w14:paraId="37D19615">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r>
      <w:tr w14:paraId="29A5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49F32C00">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52" w:type="dxa"/>
            <w:gridSpan w:val="2"/>
            <w:noWrap w:val="0"/>
            <w:vAlign w:val="center"/>
          </w:tcPr>
          <w:p w14:paraId="5108A761">
            <w:pPr>
              <w:keepNext w:val="0"/>
              <w:keepLines w:val="0"/>
              <w:pageBreakBefore w:val="0"/>
              <w:kinsoku/>
              <w:wordWrap/>
              <w:overflowPunct/>
              <w:topLinePunct w:val="0"/>
              <w:bidi w:val="0"/>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val="0"/>
                <w:bCs w:val="0"/>
                <w:color w:val="auto"/>
                <w:sz w:val="21"/>
                <w:szCs w:val="21"/>
                <w:highlight w:val="none"/>
                <w:lang w:val="en-US" w:eastAsia="zh-CN"/>
              </w:rPr>
              <w:t>7、</w:t>
            </w:r>
            <w:r>
              <w:rPr>
                <w:rFonts w:hint="eastAsia" w:ascii="仿宋" w:hAnsi="仿宋" w:eastAsia="仿宋" w:cs="仿宋"/>
                <w:b w:val="0"/>
                <w:bCs w:val="0"/>
                <w:color w:val="auto"/>
                <w:sz w:val="21"/>
                <w:szCs w:val="21"/>
                <w:highlight w:val="none"/>
              </w:rPr>
              <w:t>日常维护和售后服务方案</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6分</w:t>
            </w:r>
            <w:r>
              <w:rPr>
                <w:rFonts w:hint="eastAsia" w:ascii="仿宋" w:hAnsi="仿宋" w:eastAsia="仿宋" w:cs="仿宋"/>
                <w:b w:val="0"/>
                <w:bCs w:val="0"/>
                <w:color w:val="auto"/>
                <w:sz w:val="21"/>
                <w:szCs w:val="21"/>
                <w:highlight w:val="none"/>
                <w:lang w:eastAsia="zh-CN"/>
              </w:rPr>
              <w:t>）</w:t>
            </w:r>
          </w:p>
        </w:tc>
        <w:tc>
          <w:tcPr>
            <w:tcW w:w="7556" w:type="dxa"/>
            <w:noWrap w:val="0"/>
            <w:vAlign w:val="center"/>
          </w:tcPr>
          <w:p w14:paraId="53DE56FD">
            <w:pPr>
              <w:keepNext w:val="0"/>
              <w:keepLines w:val="0"/>
              <w:pageBreakBefore w:val="0"/>
              <w:kinsoku/>
              <w:wordWrap/>
              <w:overflowPunct/>
              <w:topLinePunct w:val="0"/>
              <w:bidi w:val="0"/>
              <w:spacing w:line="36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评标委员会对各</w:t>
            </w:r>
            <w:r>
              <w:rPr>
                <w:rFonts w:hint="eastAsia" w:ascii="仿宋" w:hAnsi="仿宋" w:eastAsia="仿宋" w:cs="仿宋"/>
                <w:b/>
                <w:bCs/>
                <w:color w:val="auto"/>
                <w:sz w:val="21"/>
                <w:szCs w:val="21"/>
                <w:highlight w:val="none"/>
                <w:lang w:val="en-US" w:eastAsia="zh-CN"/>
              </w:rPr>
              <w:t>投标人</w:t>
            </w:r>
            <w:r>
              <w:rPr>
                <w:rFonts w:hint="eastAsia" w:ascii="仿宋" w:hAnsi="仿宋" w:eastAsia="仿宋" w:cs="仿宋"/>
                <w:b/>
                <w:bCs/>
                <w:color w:val="auto"/>
                <w:sz w:val="21"/>
                <w:szCs w:val="21"/>
                <w:highlight w:val="none"/>
              </w:rPr>
              <w:t>的日常维护和售后服务方案（包含但不仅限于培训方案、技术支持、响应时间、发生质量问题后的措施）进行评议：</w:t>
            </w:r>
          </w:p>
          <w:p w14:paraId="364D3EC0">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方案内容科学、合理、操作性强，能较好地匹配项目实际情况的得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14:paraId="5AA2B412">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方案内容片面，操作性较为一般与项目实际情况匹配为一般的得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1A6B40CD">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方案内容不科学合理，存在较大纰漏，操作性弱的得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分，未提供不得分。</w:t>
            </w:r>
          </w:p>
        </w:tc>
        <w:tc>
          <w:tcPr>
            <w:tcW w:w="599" w:type="dxa"/>
            <w:noWrap w:val="0"/>
            <w:vAlign w:val="center"/>
          </w:tcPr>
          <w:p w14:paraId="161A9366">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r>
      <w:tr w14:paraId="7E9E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52" w:type="dxa"/>
            <w:vMerge w:val="continue"/>
            <w:noWrap w:val="0"/>
            <w:vAlign w:val="center"/>
          </w:tcPr>
          <w:p w14:paraId="438CDA41">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52" w:type="dxa"/>
            <w:gridSpan w:val="2"/>
            <w:noWrap w:val="0"/>
            <w:vAlign w:val="center"/>
          </w:tcPr>
          <w:p w14:paraId="5E4D173C">
            <w:pPr>
              <w:keepNext w:val="0"/>
              <w:keepLines w:val="0"/>
              <w:pageBreakBefore w:val="0"/>
              <w:kinsoku/>
              <w:wordWrap/>
              <w:overflowPunct/>
              <w:topLinePunct w:val="0"/>
              <w:bidi w:val="0"/>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8</w:t>
            </w:r>
            <w:r>
              <w:rPr>
                <w:rFonts w:hint="eastAsia" w:ascii="仿宋" w:hAnsi="仿宋" w:eastAsia="仿宋" w:cs="仿宋"/>
                <w:b w:val="0"/>
                <w:bCs w:val="0"/>
                <w:color w:val="auto"/>
                <w:sz w:val="21"/>
                <w:szCs w:val="21"/>
                <w:highlight w:val="none"/>
              </w:rPr>
              <w:t>、档案管理方案</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6分</w:t>
            </w:r>
            <w:r>
              <w:rPr>
                <w:rFonts w:hint="eastAsia" w:ascii="仿宋" w:hAnsi="仿宋" w:eastAsia="仿宋" w:cs="仿宋"/>
                <w:b w:val="0"/>
                <w:bCs w:val="0"/>
                <w:color w:val="auto"/>
                <w:sz w:val="21"/>
                <w:szCs w:val="21"/>
                <w:highlight w:val="none"/>
                <w:lang w:eastAsia="zh-CN"/>
              </w:rPr>
              <w:t>）</w:t>
            </w:r>
          </w:p>
        </w:tc>
        <w:tc>
          <w:tcPr>
            <w:tcW w:w="7556" w:type="dxa"/>
            <w:noWrap w:val="0"/>
            <w:vAlign w:val="center"/>
          </w:tcPr>
          <w:p w14:paraId="7F2EC6A2">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评标委员根据</w:t>
            </w:r>
            <w:r>
              <w:rPr>
                <w:rFonts w:hint="eastAsia" w:ascii="仿宋" w:hAnsi="仿宋" w:eastAsia="仿宋" w:cs="仿宋"/>
                <w:b/>
                <w:bCs/>
                <w:color w:val="auto"/>
                <w:sz w:val="21"/>
                <w:szCs w:val="21"/>
                <w:highlight w:val="none"/>
                <w:lang w:val="en-US" w:eastAsia="zh-CN"/>
              </w:rPr>
              <w:t>投标人</w:t>
            </w:r>
            <w:r>
              <w:rPr>
                <w:rFonts w:hint="eastAsia" w:ascii="仿宋" w:hAnsi="仿宋" w:eastAsia="仿宋" w:cs="仿宋"/>
                <w:b/>
                <w:bCs/>
                <w:color w:val="auto"/>
                <w:sz w:val="21"/>
                <w:szCs w:val="21"/>
                <w:highlight w:val="none"/>
              </w:rPr>
              <w:t>档案管理方案：</w:t>
            </w:r>
            <w:r>
              <w:rPr>
                <w:rFonts w:hint="eastAsia" w:ascii="仿宋" w:hAnsi="仿宋" w:eastAsia="仿宋" w:cs="仿宋"/>
                <w:b/>
                <w:bCs/>
                <w:color w:val="auto"/>
                <w:sz w:val="21"/>
                <w:szCs w:val="21"/>
                <w:highlight w:val="none"/>
                <w:lang w:val="en-US" w:eastAsia="zh-CN"/>
              </w:rPr>
              <w:t>包含但不限于</w:t>
            </w:r>
            <w:r>
              <w:rPr>
                <w:rFonts w:hint="eastAsia" w:ascii="仿宋" w:hAnsi="仿宋" w:eastAsia="仿宋" w:cs="仿宋"/>
                <w:b/>
                <w:color w:val="auto"/>
                <w:sz w:val="21"/>
                <w:szCs w:val="21"/>
                <w:highlight w:val="none"/>
              </w:rPr>
              <w:t>供货及监测装置放置、质量验收、巡查记录各流程资料档案管理完整性、档案管理流程合理性进行评议</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（投标文件中提供</w:t>
            </w:r>
            <w:r>
              <w:rPr>
                <w:rFonts w:hint="eastAsia" w:ascii="仿宋" w:hAnsi="仿宋" w:eastAsia="仿宋" w:cs="仿宋"/>
                <w:b/>
                <w:bCs/>
                <w:color w:val="auto"/>
                <w:sz w:val="21"/>
                <w:szCs w:val="21"/>
                <w:highlight w:val="none"/>
                <w:lang w:val="en-US" w:eastAsia="zh-CN"/>
              </w:rPr>
              <w:t>投标人</w:t>
            </w:r>
            <w:r>
              <w:rPr>
                <w:rFonts w:hint="eastAsia" w:ascii="仿宋" w:hAnsi="仿宋" w:eastAsia="仿宋" w:cs="仿宋"/>
                <w:b/>
                <w:color w:val="auto"/>
                <w:sz w:val="21"/>
                <w:szCs w:val="21"/>
                <w:highlight w:val="none"/>
              </w:rPr>
              <w:t>自行设计记录资料表格）</w:t>
            </w:r>
          </w:p>
          <w:p w14:paraId="556F8D64">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方案内容科学、合理、操作性强，能较好地匹配项目实际情况的得6分；</w:t>
            </w:r>
          </w:p>
          <w:p w14:paraId="21C7B989">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方案内容片面，操作性较为一般与项目实际情况匹配为一般的得4分；</w:t>
            </w:r>
          </w:p>
          <w:p w14:paraId="62A5A767">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方案内容不科学合理，存在较大纰漏，操作性弱的得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分，未提供不得分。</w:t>
            </w:r>
          </w:p>
        </w:tc>
        <w:tc>
          <w:tcPr>
            <w:tcW w:w="599" w:type="dxa"/>
            <w:noWrap w:val="0"/>
            <w:vAlign w:val="center"/>
          </w:tcPr>
          <w:p w14:paraId="3401FF48">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rPr>
              <w:t>6</w:t>
            </w:r>
          </w:p>
        </w:tc>
      </w:tr>
      <w:tr w14:paraId="603B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4F0875DE">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52" w:type="dxa"/>
            <w:gridSpan w:val="2"/>
            <w:noWrap w:val="0"/>
            <w:vAlign w:val="center"/>
          </w:tcPr>
          <w:p w14:paraId="388E64D2">
            <w:pPr>
              <w:spacing w:line="360" w:lineRule="exact"/>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Cs/>
                <w:color w:val="auto"/>
                <w:szCs w:val="21"/>
                <w:highlight w:val="none"/>
              </w:rPr>
              <w:t>9、服务保障创新能力（</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分）</w:t>
            </w:r>
          </w:p>
        </w:tc>
        <w:tc>
          <w:tcPr>
            <w:tcW w:w="7556" w:type="dxa"/>
            <w:noWrap w:val="0"/>
            <w:vAlign w:val="center"/>
          </w:tcPr>
          <w:p w14:paraId="014929A2">
            <w:pPr>
              <w:widowControl/>
              <w:spacing w:line="360" w:lineRule="exact"/>
              <w:ind w:right="34" w:rightChars="16"/>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根据</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实际工作内容，提供相关创新性保障</w:t>
            </w:r>
            <w:r>
              <w:rPr>
                <w:rFonts w:hint="eastAsia" w:ascii="仿宋" w:hAnsi="仿宋" w:eastAsia="仿宋" w:cs="仿宋"/>
                <w:b/>
                <w:bCs/>
                <w:color w:val="auto"/>
                <w:szCs w:val="21"/>
                <w:highlight w:val="none"/>
                <w:lang w:val="en-US" w:eastAsia="zh-CN"/>
              </w:rPr>
              <w:t>措施</w:t>
            </w:r>
            <w:r>
              <w:rPr>
                <w:rFonts w:hint="eastAsia" w:ascii="仿宋" w:hAnsi="仿宋" w:eastAsia="仿宋" w:cs="仿宋"/>
                <w:b/>
                <w:bCs/>
                <w:color w:val="auto"/>
                <w:szCs w:val="21"/>
                <w:highlight w:val="none"/>
              </w:rPr>
              <w:t>进行综合评议打分。</w:t>
            </w:r>
          </w:p>
          <w:p w14:paraId="406AD261">
            <w:pPr>
              <w:spacing w:line="3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方案内容科学、合理、操作性强，能较好地匹配项目实际情况的得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p w14:paraId="6F77C5F7">
            <w:pPr>
              <w:spacing w:line="3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方案内容片面，操作性较为一般与项目实际情况匹配为一般的得2分；</w:t>
            </w:r>
          </w:p>
          <w:p w14:paraId="48312797">
            <w:pPr>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方案内容不科学合理，存在较大纰漏，操作性弱的得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 w:val="21"/>
                <w:szCs w:val="21"/>
                <w:highlight w:val="none"/>
              </w:rPr>
              <w:t>未提供不得分</w:t>
            </w:r>
            <w:r>
              <w:rPr>
                <w:rFonts w:hint="eastAsia" w:ascii="仿宋" w:hAnsi="仿宋" w:eastAsia="仿宋" w:cs="仿宋"/>
                <w:color w:val="auto"/>
                <w:szCs w:val="21"/>
                <w:highlight w:val="none"/>
              </w:rPr>
              <w:t>。</w:t>
            </w:r>
          </w:p>
        </w:tc>
        <w:tc>
          <w:tcPr>
            <w:tcW w:w="599" w:type="dxa"/>
            <w:noWrap w:val="0"/>
            <w:vAlign w:val="center"/>
          </w:tcPr>
          <w:p w14:paraId="4C083D6B">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r>
      <w:tr w14:paraId="60EB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48FF68C2">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47" w:type="dxa"/>
            <w:noWrap w:val="0"/>
            <w:vAlign w:val="center"/>
          </w:tcPr>
          <w:p w14:paraId="58A82D06">
            <w:pPr>
              <w:keepNext w:val="0"/>
              <w:keepLines w:val="0"/>
              <w:pageBreakBefore w:val="0"/>
              <w:kinsoku/>
              <w:wordWrap/>
              <w:overflowPunct/>
              <w:topLinePunct w:val="0"/>
              <w:bidi w:val="0"/>
              <w:spacing w:line="360" w:lineRule="exact"/>
              <w:jc w:val="center"/>
              <w:rPr>
                <w:rFonts w:hint="eastAsia" w:ascii="仿宋" w:hAnsi="仿宋" w:eastAsia="仿宋" w:cs="仿宋"/>
                <w:b/>
                <w:bCs/>
                <w:color w:val="auto"/>
                <w:sz w:val="21"/>
                <w:szCs w:val="21"/>
                <w:highlight w:val="none"/>
              </w:rPr>
            </w:pPr>
            <w:r>
              <w:rPr>
                <w:rFonts w:hint="eastAsia" w:ascii="仿宋" w:hAnsi="仿宋" w:eastAsia="仿宋" w:cs="仿宋"/>
                <w:b w:val="0"/>
                <w:bCs/>
                <w:color w:val="auto"/>
                <w:sz w:val="21"/>
                <w:szCs w:val="21"/>
                <w:highlight w:val="none"/>
                <w:lang w:val="en-US" w:eastAsia="zh-CN"/>
              </w:rPr>
              <w:t>10</w:t>
            </w:r>
            <w:r>
              <w:rPr>
                <w:rFonts w:hint="eastAsia" w:ascii="仿宋" w:hAnsi="仿宋" w:eastAsia="仿宋" w:cs="仿宋"/>
                <w:b w:val="0"/>
                <w:bCs/>
                <w:color w:val="auto"/>
                <w:sz w:val="21"/>
                <w:szCs w:val="21"/>
                <w:highlight w:val="none"/>
              </w:rPr>
              <w:t>、服务响应</w:t>
            </w:r>
            <w:r>
              <w:rPr>
                <w:rFonts w:hint="eastAsia" w:ascii="仿宋" w:hAnsi="仿宋" w:eastAsia="仿宋" w:cs="仿宋"/>
                <w:b w:val="0"/>
                <w:bCs/>
                <w:color w:val="auto"/>
                <w:sz w:val="21"/>
                <w:szCs w:val="21"/>
                <w:highlight w:val="none"/>
                <w:lang w:val="en-US" w:eastAsia="zh-CN"/>
              </w:rPr>
              <w:t>（3分）</w:t>
            </w:r>
          </w:p>
        </w:tc>
        <w:tc>
          <w:tcPr>
            <w:tcW w:w="7561" w:type="dxa"/>
            <w:gridSpan w:val="2"/>
            <w:noWrap w:val="0"/>
            <w:vAlign w:val="center"/>
          </w:tcPr>
          <w:p w14:paraId="21FF479E">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评标委员根据投标人针对本项目的服务</w:t>
            </w:r>
            <w:r>
              <w:rPr>
                <w:rFonts w:hint="eastAsia" w:ascii="仿宋" w:hAnsi="仿宋" w:eastAsia="仿宋" w:cs="仿宋"/>
                <w:b/>
                <w:bCs/>
                <w:color w:val="auto"/>
                <w:sz w:val="21"/>
                <w:szCs w:val="21"/>
                <w:highlight w:val="none"/>
                <w:lang w:val="en-US" w:eastAsia="zh-CN"/>
              </w:rPr>
              <w:t>能力</w:t>
            </w:r>
            <w:r>
              <w:rPr>
                <w:rFonts w:hint="eastAsia" w:ascii="仿宋" w:hAnsi="仿宋" w:eastAsia="仿宋" w:cs="仿宋"/>
                <w:b/>
                <w:bCs/>
                <w:color w:val="auto"/>
                <w:sz w:val="21"/>
                <w:szCs w:val="21"/>
                <w:highlight w:val="none"/>
              </w:rPr>
              <w:t>（包括办公</w:t>
            </w:r>
            <w:r>
              <w:rPr>
                <w:rFonts w:hint="eastAsia" w:ascii="仿宋" w:hAnsi="仿宋" w:eastAsia="仿宋" w:cs="仿宋"/>
                <w:b/>
                <w:bCs/>
                <w:color w:val="auto"/>
                <w:sz w:val="21"/>
                <w:szCs w:val="21"/>
                <w:highlight w:val="none"/>
                <w:lang w:val="en-US" w:eastAsia="zh-CN"/>
              </w:rPr>
              <w:t>区</w:t>
            </w:r>
            <w:r>
              <w:rPr>
                <w:rFonts w:hint="eastAsia" w:ascii="仿宋" w:hAnsi="仿宋" w:eastAsia="仿宋" w:cs="仿宋"/>
                <w:b/>
                <w:bCs/>
                <w:color w:val="auto"/>
                <w:sz w:val="21"/>
                <w:szCs w:val="21"/>
                <w:highlight w:val="none"/>
              </w:rPr>
              <w:t>、针对本项目设立的管理</w:t>
            </w:r>
            <w:r>
              <w:rPr>
                <w:rFonts w:hint="eastAsia" w:ascii="仿宋" w:hAnsi="仿宋" w:eastAsia="仿宋" w:cs="仿宋"/>
                <w:b/>
                <w:bCs/>
                <w:color w:val="auto"/>
                <w:sz w:val="21"/>
                <w:szCs w:val="21"/>
                <w:highlight w:val="none"/>
                <w:lang w:val="en-US" w:eastAsia="zh-CN"/>
              </w:rPr>
              <w:t>区</w:t>
            </w:r>
            <w:r>
              <w:rPr>
                <w:rFonts w:hint="eastAsia" w:ascii="仿宋" w:hAnsi="仿宋" w:eastAsia="仿宋" w:cs="仿宋"/>
                <w:b/>
                <w:bCs/>
                <w:color w:val="auto"/>
                <w:sz w:val="21"/>
                <w:szCs w:val="21"/>
                <w:highlight w:val="none"/>
              </w:rPr>
              <w:t>、车辆停放</w:t>
            </w:r>
            <w:r>
              <w:rPr>
                <w:rFonts w:hint="eastAsia" w:ascii="仿宋" w:hAnsi="仿宋" w:eastAsia="仿宋" w:cs="仿宋"/>
                <w:b/>
                <w:bCs/>
                <w:color w:val="auto"/>
                <w:sz w:val="21"/>
                <w:szCs w:val="21"/>
                <w:highlight w:val="none"/>
                <w:lang w:val="en-US" w:eastAsia="zh-CN"/>
              </w:rPr>
              <w:t>区</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服务响应情况</w:t>
            </w:r>
            <w:r>
              <w:rPr>
                <w:rFonts w:hint="eastAsia" w:ascii="仿宋" w:hAnsi="仿宋" w:eastAsia="仿宋" w:cs="仿宋"/>
                <w:b/>
                <w:bCs/>
                <w:color w:val="auto"/>
                <w:sz w:val="21"/>
                <w:szCs w:val="21"/>
                <w:highlight w:val="none"/>
              </w:rPr>
              <w:t>进行评议</w:t>
            </w:r>
            <w:r>
              <w:rPr>
                <w:rFonts w:hint="eastAsia" w:ascii="仿宋" w:hAnsi="仿宋" w:eastAsia="仿宋" w:cs="仿宋"/>
                <w:b/>
                <w:bCs/>
                <w:color w:val="auto"/>
                <w:sz w:val="21"/>
                <w:szCs w:val="21"/>
                <w:highlight w:val="none"/>
                <w:lang w:eastAsia="zh-CN"/>
              </w:rPr>
              <w:t>：</w:t>
            </w:r>
          </w:p>
          <w:p w14:paraId="4DA0555C">
            <w:pPr>
              <w:keepNext w:val="0"/>
              <w:keepLines w:val="0"/>
              <w:pageBreakBefore w:val="0"/>
              <w:kinsoku/>
              <w:wordWrap/>
              <w:overflowPunct/>
              <w:topLinePunct w:val="0"/>
              <w:bidi w:val="0"/>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方案内容科学、合理、操作性强，能较好地匹配项目实际情况的得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5FD1B536">
            <w:pPr>
              <w:keepNext w:val="0"/>
              <w:keepLines w:val="0"/>
              <w:pageBreakBefore w:val="0"/>
              <w:kinsoku/>
              <w:wordWrap/>
              <w:overflowPunct/>
              <w:topLinePunct w:val="0"/>
              <w:bidi w:val="0"/>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方案内容片面，操作性较为一般与项目实际情况匹配为一般的得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2FCBB134">
            <w:pPr>
              <w:keepNext w:val="0"/>
              <w:keepLines w:val="0"/>
              <w:pageBreakBefore w:val="0"/>
              <w:kinsoku/>
              <w:wordWrap/>
              <w:overflowPunct/>
              <w:topLinePunct w:val="0"/>
              <w:bidi w:val="0"/>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方案内容不科学合理，存在较大纰漏，操作性弱的得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分，未提供不得分。</w:t>
            </w:r>
          </w:p>
        </w:tc>
        <w:tc>
          <w:tcPr>
            <w:tcW w:w="599" w:type="dxa"/>
            <w:noWrap w:val="0"/>
            <w:vAlign w:val="center"/>
          </w:tcPr>
          <w:p w14:paraId="0033CD9D">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r>
      <w:tr w14:paraId="173E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6" w:hRule="atLeast"/>
          <w:jc w:val="center"/>
        </w:trPr>
        <w:tc>
          <w:tcPr>
            <w:tcW w:w="552" w:type="dxa"/>
            <w:vMerge w:val="continue"/>
            <w:noWrap w:val="0"/>
            <w:vAlign w:val="center"/>
          </w:tcPr>
          <w:p w14:paraId="3B658BEC">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47" w:type="dxa"/>
            <w:vMerge w:val="restart"/>
            <w:noWrap w:val="0"/>
            <w:vAlign w:val="center"/>
          </w:tcPr>
          <w:p w14:paraId="09009C64">
            <w:pPr>
              <w:keepNext w:val="0"/>
              <w:keepLines w:val="0"/>
              <w:pageBreakBefore w:val="0"/>
              <w:kinsoku/>
              <w:wordWrap/>
              <w:overflowPunct/>
              <w:topLinePunct w:val="0"/>
              <w:bidi w:val="0"/>
              <w:spacing w:line="360" w:lineRule="exact"/>
              <w:jc w:val="both"/>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11</w:t>
            </w:r>
            <w:r>
              <w:rPr>
                <w:rFonts w:hint="eastAsia" w:ascii="仿宋" w:hAnsi="仿宋" w:eastAsia="仿宋" w:cs="仿宋"/>
                <w:b w:val="0"/>
                <w:bCs w:val="0"/>
                <w:color w:val="auto"/>
                <w:sz w:val="21"/>
                <w:szCs w:val="21"/>
                <w:highlight w:val="none"/>
              </w:rPr>
              <w:t>、拟投入项目团队人员情况</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12分</w:t>
            </w:r>
            <w:r>
              <w:rPr>
                <w:rFonts w:hint="eastAsia" w:ascii="仿宋" w:hAnsi="仿宋" w:eastAsia="仿宋" w:cs="仿宋"/>
                <w:b w:val="0"/>
                <w:bCs w:val="0"/>
                <w:color w:val="auto"/>
                <w:sz w:val="21"/>
                <w:szCs w:val="21"/>
                <w:highlight w:val="none"/>
                <w:lang w:eastAsia="zh-CN"/>
              </w:rPr>
              <w:t>）</w:t>
            </w:r>
          </w:p>
          <w:p w14:paraId="4ECFA251">
            <w:pPr>
              <w:keepNext w:val="0"/>
              <w:keepLines w:val="0"/>
              <w:pageBreakBefore w:val="0"/>
              <w:kinsoku/>
              <w:wordWrap/>
              <w:overflowPunct/>
              <w:topLinePunct w:val="0"/>
              <w:bidi w:val="0"/>
              <w:spacing w:line="360" w:lineRule="exact"/>
              <w:rPr>
                <w:rFonts w:hint="eastAsia" w:ascii="仿宋" w:hAnsi="仿宋" w:eastAsia="仿宋" w:cs="仿宋"/>
                <w:b/>
                <w:bCs/>
                <w:color w:val="auto"/>
                <w:sz w:val="21"/>
                <w:szCs w:val="21"/>
                <w:highlight w:val="none"/>
                <w:lang w:val="en-US" w:eastAsia="zh-CN"/>
              </w:rPr>
            </w:pPr>
          </w:p>
        </w:tc>
        <w:tc>
          <w:tcPr>
            <w:tcW w:w="7561" w:type="dxa"/>
            <w:gridSpan w:val="2"/>
            <w:noWrap w:val="0"/>
            <w:vAlign w:val="center"/>
          </w:tcPr>
          <w:p w14:paraId="56C0BCE5">
            <w:pPr>
              <w:keepNext w:val="0"/>
              <w:keepLines w:val="0"/>
              <w:pageBreakBefore w:val="0"/>
              <w:widowControl/>
              <w:numPr>
                <w:ilvl w:val="0"/>
                <w:numId w:val="0"/>
              </w:numPr>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（1）</w:t>
            </w:r>
            <w:r>
              <w:rPr>
                <w:rFonts w:hint="eastAsia" w:ascii="仿宋" w:hAnsi="仿宋" w:eastAsia="仿宋" w:cs="仿宋"/>
                <w:b/>
                <w:bCs/>
                <w:color w:val="auto"/>
                <w:sz w:val="21"/>
                <w:szCs w:val="21"/>
                <w:highlight w:val="none"/>
                <w:lang w:val="en-US" w:eastAsia="zh-CN"/>
              </w:rPr>
              <w:t>项目负责人</w:t>
            </w:r>
          </w:p>
          <w:p w14:paraId="7C68C939">
            <w:pPr>
              <w:pStyle w:val="68"/>
              <w:keepNext w:val="0"/>
              <w:keepLines w:val="0"/>
              <w:pageBreakBefore w:val="0"/>
              <w:numPr>
                <w:ilvl w:val="0"/>
                <w:numId w:val="0"/>
              </w:numPr>
              <w:kinsoku/>
              <w:wordWrap/>
              <w:overflowPunct/>
              <w:topLinePunct w:val="0"/>
              <w:bidi w:val="0"/>
              <w:spacing w:line="36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拟派项目负责人具有白蚁防治相关专业高级</w:t>
            </w:r>
            <w:r>
              <w:rPr>
                <w:rFonts w:hint="eastAsia" w:ascii="仿宋" w:hAnsi="仿宋" w:eastAsia="仿宋" w:cs="仿宋"/>
                <w:color w:val="auto"/>
                <w:sz w:val="21"/>
                <w:szCs w:val="21"/>
                <w:highlight w:val="none"/>
                <w:lang w:val="en-US" w:eastAsia="zh-CN"/>
              </w:rPr>
              <w:t>技术职称</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6F9CF7D5">
            <w:pPr>
              <w:pStyle w:val="68"/>
              <w:keepNext w:val="0"/>
              <w:keepLines w:val="0"/>
              <w:pageBreakBefore w:val="0"/>
              <w:numPr>
                <w:ilvl w:val="0"/>
                <w:numId w:val="0"/>
              </w:numPr>
              <w:kinsoku/>
              <w:wordWrap/>
              <w:overflowPunct/>
              <w:topLinePunct w:val="0"/>
              <w:bidi w:val="0"/>
              <w:spacing w:line="36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拟派项目负责人具有白蚁防治相关专业</w:t>
            </w:r>
            <w:r>
              <w:rPr>
                <w:rFonts w:hint="eastAsia" w:ascii="仿宋" w:hAnsi="仿宋" w:eastAsia="仿宋" w:cs="仿宋"/>
                <w:color w:val="auto"/>
                <w:sz w:val="21"/>
                <w:szCs w:val="21"/>
                <w:highlight w:val="none"/>
                <w:lang w:val="en-US" w:eastAsia="zh-CN"/>
              </w:rPr>
              <w:t>中</w:t>
            </w:r>
            <w:r>
              <w:rPr>
                <w:rFonts w:hint="eastAsia" w:ascii="仿宋" w:hAnsi="仿宋" w:eastAsia="仿宋" w:cs="仿宋"/>
                <w:color w:val="auto"/>
                <w:sz w:val="21"/>
                <w:szCs w:val="21"/>
                <w:highlight w:val="none"/>
                <w:lang w:eastAsia="zh-CN"/>
              </w:rPr>
              <w:t>级</w:t>
            </w:r>
            <w:r>
              <w:rPr>
                <w:rFonts w:hint="eastAsia" w:ascii="仿宋" w:hAnsi="仿宋" w:eastAsia="仿宋" w:cs="仿宋"/>
                <w:color w:val="auto"/>
                <w:sz w:val="21"/>
                <w:szCs w:val="21"/>
                <w:highlight w:val="none"/>
                <w:lang w:val="en-US" w:eastAsia="zh-CN"/>
              </w:rPr>
              <w:t>技术职称</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5D951027">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拟</w:t>
            </w:r>
            <w:r>
              <w:rPr>
                <w:rFonts w:hint="eastAsia" w:ascii="仿宋" w:hAnsi="仿宋" w:eastAsia="仿宋" w:cs="仿宋"/>
                <w:color w:val="auto"/>
                <w:kern w:val="2"/>
                <w:sz w:val="21"/>
                <w:szCs w:val="21"/>
                <w:highlight w:val="none"/>
                <w:lang w:val="en-US" w:eastAsia="zh-CN" w:bidi="ar-SA"/>
              </w:rPr>
              <w:t>派项目负责人具有白蚁防治相关专业初级技术职称或职业资格证书或白蚁防治职业培训合格证书的得0.5分；</w:t>
            </w:r>
          </w:p>
          <w:p w14:paraId="19257487">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满足第二章“采购需求，6.1拟投入项目组人员最低要求”基础上</w:t>
            </w:r>
            <w:r>
              <w:rPr>
                <w:rFonts w:hint="eastAsia" w:ascii="仿宋" w:hAnsi="仿宋" w:eastAsia="仿宋" w:cs="仿宋"/>
                <w:b/>
                <w:bCs/>
                <w:color w:val="auto"/>
                <w:sz w:val="21"/>
                <w:szCs w:val="21"/>
                <w:highlight w:val="none"/>
              </w:rPr>
              <w:t>评委根据投标人拟委派的项目负责人的资历、类似项目经验进行评议</w:t>
            </w:r>
            <w:r>
              <w:rPr>
                <w:rFonts w:hint="eastAsia" w:ascii="仿宋" w:hAnsi="仿宋" w:eastAsia="仿宋" w:cs="仿宋"/>
                <w:b/>
                <w:bCs/>
                <w:color w:val="auto"/>
                <w:sz w:val="21"/>
                <w:szCs w:val="21"/>
                <w:highlight w:val="none"/>
                <w:lang w:val="en-US" w:eastAsia="zh-CN"/>
              </w:rPr>
              <w:t>:</w:t>
            </w:r>
          </w:p>
          <w:p w14:paraId="54FC24AF">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拟派项目负责人经验全面，丰富的管理经验得4分</w:t>
            </w:r>
          </w:p>
          <w:p w14:paraId="2B2ED407">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拟派项目负责人经验较全面，具有一定的管理经验得2.7分</w:t>
            </w:r>
          </w:p>
          <w:p w14:paraId="16488D2E">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拟派项目负责人经验差，无管理经验得1.3分；</w:t>
            </w:r>
            <w:r>
              <w:rPr>
                <w:rFonts w:hint="eastAsia" w:ascii="仿宋" w:hAnsi="仿宋" w:eastAsia="仿宋" w:cs="仿宋"/>
                <w:color w:val="auto"/>
                <w:sz w:val="21"/>
                <w:szCs w:val="21"/>
                <w:highlight w:val="none"/>
              </w:rPr>
              <w:t>未提供不得分。</w:t>
            </w:r>
          </w:p>
          <w:p w14:paraId="79A5FF27">
            <w:pPr>
              <w:keepNext w:val="0"/>
              <w:keepLines w:val="0"/>
              <w:pageBreakBefore w:val="0"/>
              <w:kinsoku/>
              <w:wordWrap/>
              <w:overflowPunct/>
              <w:topLinePunct w:val="0"/>
              <w:bidi w:val="0"/>
              <w:spacing w:line="360" w:lineRule="exact"/>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w:t>
            </w:r>
            <w:r>
              <w:rPr>
                <w:rFonts w:hint="eastAsia" w:ascii="仿宋" w:hAnsi="仿宋" w:eastAsia="仿宋" w:cs="仿宋"/>
                <w:b/>
                <w:bCs/>
                <w:color w:val="auto"/>
                <w:sz w:val="21"/>
                <w:szCs w:val="21"/>
                <w:highlight w:val="none"/>
              </w:rPr>
              <w:t>投标文件中提供</w:t>
            </w:r>
            <w:r>
              <w:rPr>
                <w:rFonts w:hint="eastAsia" w:ascii="仿宋" w:hAnsi="仿宋" w:eastAsia="仿宋" w:cs="仿宋"/>
                <w:b/>
                <w:bCs/>
                <w:color w:val="auto"/>
                <w:sz w:val="21"/>
                <w:szCs w:val="21"/>
                <w:highlight w:val="none"/>
                <w:lang w:val="en-US" w:eastAsia="zh-CN"/>
              </w:rPr>
              <w:t>以上</w:t>
            </w:r>
            <w:r>
              <w:rPr>
                <w:rFonts w:hint="eastAsia" w:ascii="仿宋" w:hAnsi="仿宋" w:eastAsia="仿宋" w:cs="仿宋"/>
                <w:b/>
                <w:bCs/>
                <w:color w:val="auto"/>
                <w:sz w:val="21"/>
                <w:szCs w:val="21"/>
                <w:highlight w:val="none"/>
              </w:rPr>
              <w:t>项目负责人</w:t>
            </w:r>
            <w:r>
              <w:rPr>
                <w:rFonts w:hint="eastAsia" w:ascii="仿宋" w:hAnsi="仿宋" w:eastAsia="仿宋" w:cs="仿宋"/>
                <w:b/>
                <w:bCs/>
                <w:color w:val="auto"/>
                <w:sz w:val="21"/>
                <w:szCs w:val="21"/>
                <w:highlight w:val="none"/>
                <w:lang w:val="en-US" w:eastAsia="zh-CN"/>
              </w:rPr>
              <w:t>相关证明材料</w:t>
            </w:r>
            <w:r>
              <w:rPr>
                <w:rFonts w:hint="eastAsia" w:ascii="仿宋" w:hAnsi="仿宋" w:eastAsia="仿宋" w:cs="仿宋"/>
                <w:b/>
                <w:bCs/>
                <w:color w:val="auto"/>
                <w:sz w:val="21"/>
                <w:szCs w:val="21"/>
                <w:highlight w:val="none"/>
              </w:rPr>
              <w:t>、社保部门出具的</w:t>
            </w:r>
            <w:r>
              <w:rPr>
                <w:rFonts w:hint="eastAsia" w:ascii="仿宋" w:hAnsi="仿宋" w:eastAsia="仿宋" w:cs="仿宋"/>
                <w:b/>
                <w:bCs/>
                <w:color w:val="auto"/>
                <w:sz w:val="21"/>
                <w:szCs w:val="21"/>
                <w:highlight w:val="none"/>
                <w:lang w:val="en-US" w:eastAsia="zh-CN"/>
              </w:rPr>
              <w:t>投标人</w:t>
            </w:r>
            <w:r>
              <w:rPr>
                <w:rFonts w:hint="eastAsia" w:ascii="仿宋" w:hAnsi="仿宋" w:eastAsia="仿宋" w:cs="仿宋"/>
                <w:b/>
                <w:bCs/>
                <w:color w:val="auto"/>
                <w:sz w:val="21"/>
                <w:szCs w:val="21"/>
                <w:highlight w:val="none"/>
              </w:rPr>
              <w:t>为</w:t>
            </w:r>
            <w:r>
              <w:rPr>
                <w:rFonts w:hint="eastAsia" w:ascii="仿宋" w:hAnsi="仿宋" w:eastAsia="仿宋" w:cs="仿宋"/>
                <w:b/>
                <w:bCs/>
                <w:color w:val="auto"/>
                <w:sz w:val="21"/>
                <w:szCs w:val="21"/>
                <w:highlight w:val="none"/>
                <w:lang w:val="en-US" w:eastAsia="zh-CN"/>
              </w:rPr>
              <w:t>其该</w:t>
            </w:r>
            <w:r>
              <w:rPr>
                <w:rFonts w:hint="eastAsia" w:ascii="仿宋" w:hAnsi="仿宋" w:eastAsia="仿宋" w:cs="仿宋"/>
                <w:b/>
                <w:bCs/>
                <w:color w:val="auto"/>
                <w:sz w:val="21"/>
                <w:szCs w:val="21"/>
                <w:highlight w:val="none"/>
              </w:rPr>
              <w:t>人员</w:t>
            </w:r>
            <w:r>
              <w:rPr>
                <w:rFonts w:hint="eastAsia" w:ascii="仿宋" w:hAnsi="仿宋" w:eastAsia="仿宋" w:cs="仿宋"/>
                <w:b/>
                <w:bCs/>
                <w:color w:val="auto"/>
                <w:sz w:val="21"/>
                <w:szCs w:val="21"/>
                <w:highlight w:val="none"/>
                <w:lang w:val="en-US" w:eastAsia="zh-CN"/>
              </w:rPr>
              <w:t>的缴纳的</w:t>
            </w:r>
            <w:r>
              <w:rPr>
                <w:rFonts w:hint="eastAsia" w:ascii="仿宋" w:hAnsi="仿宋" w:eastAsia="仿宋" w:cs="仿宋"/>
                <w:b/>
                <w:bCs/>
                <w:color w:val="auto"/>
                <w:sz w:val="21"/>
                <w:szCs w:val="21"/>
                <w:highlight w:val="none"/>
              </w:rPr>
              <w:t>202</w:t>
            </w: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年</w:t>
            </w:r>
            <w:r>
              <w:rPr>
                <w:rFonts w:hint="eastAsia" w:ascii="仿宋" w:hAnsi="仿宋" w:eastAsia="仿宋" w:cs="仿宋"/>
                <w:b/>
                <w:bCs/>
                <w:color w:val="auto"/>
                <w:sz w:val="21"/>
                <w:szCs w:val="21"/>
                <w:highlight w:val="none"/>
                <w:lang w:val="en-US" w:eastAsia="zh-CN"/>
              </w:rPr>
              <w:t>11</w:t>
            </w:r>
            <w:r>
              <w:rPr>
                <w:rFonts w:hint="eastAsia" w:ascii="仿宋" w:hAnsi="仿宋" w:eastAsia="仿宋" w:cs="仿宋"/>
                <w:b/>
                <w:bCs/>
                <w:color w:val="auto"/>
                <w:sz w:val="21"/>
                <w:szCs w:val="21"/>
                <w:highlight w:val="none"/>
              </w:rPr>
              <w:t>月</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202</w:t>
            </w: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年</w:t>
            </w:r>
            <w:r>
              <w:rPr>
                <w:rFonts w:hint="eastAsia" w:ascii="仿宋" w:hAnsi="仿宋" w:eastAsia="仿宋" w:cs="仿宋"/>
                <w:b/>
                <w:bCs/>
                <w:color w:val="auto"/>
                <w:sz w:val="21"/>
                <w:szCs w:val="21"/>
                <w:highlight w:val="none"/>
                <w:lang w:val="en-US" w:eastAsia="zh-CN"/>
              </w:rPr>
              <w:t>12</w:t>
            </w:r>
            <w:r>
              <w:rPr>
                <w:rFonts w:hint="eastAsia" w:ascii="仿宋" w:hAnsi="仿宋" w:eastAsia="仿宋" w:cs="仿宋"/>
                <w:b/>
                <w:bCs/>
                <w:color w:val="auto"/>
                <w:sz w:val="21"/>
                <w:szCs w:val="21"/>
                <w:highlight w:val="none"/>
              </w:rPr>
              <w:t>月</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2025年1月</w:t>
            </w:r>
            <w:r>
              <w:rPr>
                <w:rFonts w:hint="eastAsia" w:ascii="仿宋" w:hAnsi="仿宋" w:eastAsia="仿宋" w:cs="仿宋"/>
                <w:b/>
                <w:bCs/>
                <w:color w:val="auto"/>
                <w:sz w:val="21"/>
                <w:szCs w:val="21"/>
                <w:highlight w:val="none"/>
              </w:rPr>
              <w:t>连续三个月社保的证明资料等扫描件加盖</w:t>
            </w:r>
            <w:r>
              <w:rPr>
                <w:rFonts w:hint="eastAsia" w:ascii="仿宋" w:hAnsi="仿宋" w:eastAsia="仿宋" w:cs="仿宋"/>
                <w:b/>
                <w:bCs/>
                <w:color w:val="auto"/>
                <w:sz w:val="21"/>
                <w:szCs w:val="21"/>
                <w:highlight w:val="none"/>
                <w:lang w:val="en-US" w:eastAsia="zh-CN"/>
              </w:rPr>
              <w:t>投标人单位</w:t>
            </w:r>
            <w:r>
              <w:rPr>
                <w:rFonts w:hint="eastAsia" w:ascii="仿宋" w:hAnsi="仿宋" w:eastAsia="仿宋" w:cs="仿宋"/>
                <w:b/>
                <w:bCs/>
                <w:color w:val="auto"/>
                <w:sz w:val="21"/>
                <w:szCs w:val="21"/>
                <w:highlight w:val="none"/>
              </w:rPr>
              <w:t>公章</w:t>
            </w:r>
            <w:r>
              <w:rPr>
                <w:rFonts w:hint="eastAsia" w:ascii="仿宋" w:hAnsi="仿宋" w:eastAsia="仿宋" w:cs="仿宋"/>
                <w:b/>
                <w:bCs/>
                <w:color w:val="auto"/>
                <w:sz w:val="21"/>
                <w:szCs w:val="21"/>
                <w:highlight w:val="none"/>
                <w:lang w:eastAsia="zh-CN"/>
              </w:rPr>
              <w:t>。</w:t>
            </w:r>
          </w:p>
        </w:tc>
        <w:tc>
          <w:tcPr>
            <w:tcW w:w="599" w:type="dxa"/>
            <w:noWrap w:val="0"/>
            <w:vAlign w:val="center"/>
          </w:tcPr>
          <w:p w14:paraId="19966A08">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r>
      <w:tr w14:paraId="387E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5D942908">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47" w:type="dxa"/>
            <w:vMerge w:val="continue"/>
            <w:noWrap w:val="0"/>
            <w:vAlign w:val="center"/>
          </w:tcPr>
          <w:p w14:paraId="6B92ABD5">
            <w:pPr>
              <w:keepNext w:val="0"/>
              <w:keepLines w:val="0"/>
              <w:pageBreakBefore w:val="0"/>
              <w:kinsoku/>
              <w:wordWrap/>
              <w:overflowPunct/>
              <w:topLinePunct w:val="0"/>
              <w:bidi w:val="0"/>
              <w:spacing w:line="360" w:lineRule="exact"/>
              <w:rPr>
                <w:rFonts w:hint="eastAsia" w:ascii="仿宋" w:hAnsi="仿宋" w:eastAsia="仿宋" w:cs="仿宋"/>
                <w:b/>
                <w:bCs/>
                <w:color w:val="auto"/>
                <w:sz w:val="21"/>
                <w:szCs w:val="21"/>
                <w:highlight w:val="none"/>
                <w:lang w:val="en-US" w:eastAsia="zh-CN"/>
              </w:rPr>
            </w:pPr>
          </w:p>
        </w:tc>
        <w:tc>
          <w:tcPr>
            <w:tcW w:w="7561" w:type="dxa"/>
            <w:gridSpan w:val="2"/>
            <w:noWrap w:val="0"/>
            <w:vAlign w:val="center"/>
          </w:tcPr>
          <w:p w14:paraId="78559B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（3）满足第二章“采购需求，6.1拟投入项目组人员最低要求”基础上评委</w:t>
            </w:r>
            <w:r>
              <w:rPr>
                <w:rFonts w:hint="eastAsia" w:ascii="仿宋" w:hAnsi="仿宋" w:eastAsia="仿宋" w:cs="仿宋"/>
                <w:b/>
                <w:bCs/>
                <w:color w:val="auto"/>
                <w:sz w:val="21"/>
                <w:szCs w:val="21"/>
                <w:highlight w:val="none"/>
              </w:rPr>
              <w:t>根据各投标人提供的拟投入本项目人员配备情况</w:t>
            </w:r>
            <w:r>
              <w:rPr>
                <w:rFonts w:hint="eastAsia" w:ascii="仿宋" w:hAnsi="仿宋" w:eastAsia="仿宋" w:cs="仿宋"/>
                <w:b/>
                <w:bCs/>
                <w:color w:val="auto"/>
                <w:sz w:val="21"/>
                <w:szCs w:val="21"/>
                <w:highlight w:val="none"/>
                <w:lang w:eastAsia="zh-CN"/>
              </w:rPr>
              <w:t>（不包括</w:t>
            </w:r>
            <w:r>
              <w:rPr>
                <w:rFonts w:hint="eastAsia" w:ascii="仿宋" w:hAnsi="仿宋" w:eastAsia="仿宋" w:cs="仿宋"/>
                <w:b/>
                <w:bCs/>
                <w:color w:val="auto"/>
                <w:sz w:val="21"/>
                <w:szCs w:val="21"/>
                <w:highlight w:val="none"/>
                <w:lang w:val="en-US" w:eastAsia="zh-CN"/>
              </w:rPr>
              <w:t>项目负责人</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包括</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人员岗位设置、</w:t>
            </w:r>
            <w:r>
              <w:rPr>
                <w:rFonts w:hint="eastAsia" w:ascii="仿宋" w:hAnsi="仿宋" w:eastAsia="仿宋" w:cs="仿宋"/>
                <w:b/>
                <w:bCs/>
                <w:color w:val="auto"/>
                <w:spacing w:val="-1"/>
                <w:sz w:val="21"/>
                <w:szCs w:val="21"/>
                <w:highlight w:val="none"/>
                <w:lang w:eastAsia="zh-CN"/>
              </w:rPr>
              <w:t>专业学历</w:t>
            </w:r>
            <w:r>
              <w:rPr>
                <w:rFonts w:hint="eastAsia" w:ascii="仿宋" w:hAnsi="仿宋" w:eastAsia="仿宋" w:cs="仿宋"/>
                <w:color w:val="auto"/>
                <w:spacing w:val="-1"/>
                <w:sz w:val="21"/>
                <w:szCs w:val="21"/>
                <w:highlight w:val="none"/>
                <w:lang w:eastAsia="zh-CN"/>
              </w:rPr>
              <w:t>、</w:t>
            </w:r>
            <w:r>
              <w:rPr>
                <w:rFonts w:hint="eastAsia" w:ascii="仿宋" w:hAnsi="仿宋" w:eastAsia="仿宋" w:cs="仿宋"/>
                <w:b/>
                <w:bCs/>
                <w:color w:val="auto"/>
                <w:sz w:val="21"/>
                <w:szCs w:val="21"/>
                <w:highlight w:val="none"/>
              </w:rPr>
              <w:t>技能水平、数量、</w:t>
            </w:r>
            <w:r>
              <w:rPr>
                <w:rFonts w:hint="eastAsia" w:ascii="仿宋" w:hAnsi="仿宋" w:eastAsia="仿宋" w:cs="仿宋"/>
                <w:b/>
                <w:bCs/>
                <w:color w:val="auto"/>
                <w:sz w:val="21"/>
                <w:szCs w:val="21"/>
                <w:highlight w:val="none"/>
                <w:lang w:val="en-US" w:eastAsia="zh-CN"/>
              </w:rPr>
              <w:t>人员稳定性措施</w:t>
            </w:r>
            <w:r>
              <w:rPr>
                <w:rFonts w:hint="eastAsia" w:ascii="仿宋" w:hAnsi="仿宋" w:eastAsia="仿宋" w:cs="仿宋"/>
                <w:b/>
                <w:bCs/>
                <w:color w:val="auto"/>
                <w:sz w:val="21"/>
                <w:szCs w:val="21"/>
                <w:highlight w:val="none"/>
              </w:rPr>
              <w:t>进行</w:t>
            </w: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rPr>
              <w:t>。</w:t>
            </w:r>
          </w:p>
          <w:p w14:paraId="41EAA93A">
            <w:pPr>
              <w:keepNext w:val="0"/>
              <w:keepLines w:val="0"/>
              <w:pageBreakBefore w:val="0"/>
              <w:suppressLineNumbers w:val="0"/>
              <w:shd w:val="clear" w:color="auto" w:fill="auto"/>
              <w:kinsoku/>
              <w:wordWrap/>
              <w:overflowPunct/>
              <w:topLinePunct w:val="0"/>
              <w:autoSpaceDE/>
              <w:autoSpaceDN/>
              <w:bidi w:val="0"/>
              <w:snapToGrid w:val="0"/>
              <w:spacing w:before="0" w:beforeAutospacing="0" w:after="0" w:afterAutospacing="0" w:line="360" w:lineRule="exact"/>
              <w:ind w:left="0" w:right="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人员配置合理、</w:t>
            </w:r>
            <w:r>
              <w:rPr>
                <w:rFonts w:hint="eastAsia" w:ascii="仿宋" w:hAnsi="仿宋" w:eastAsia="仿宋" w:cs="仿宋"/>
                <w:b w:val="0"/>
                <w:bCs w:val="0"/>
                <w:color w:val="auto"/>
                <w:spacing w:val="-1"/>
                <w:sz w:val="21"/>
                <w:szCs w:val="21"/>
                <w:highlight w:val="none"/>
                <w:lang w:eastAsia="zh-CN"/>
              </w:rPr>
              <w:t>专业学历、</w:t>
            </w:r>
            <w:r>
              <w:rPr>
                <w:rFonts w:hint="eastAsia" w:ascii="仿宋" w:hAnsi="仿宋" w:eastAsia="仿宋" w:cs="仿宋"/>
                <w:b w:val="0"/>
                <w:bCs w:val="0"/>
                <w:color w:val="auto"/>
                <w:sz w:val="21"/>
                <w:szCs w:val="21"/>
                <w:highlight w:val="none"/>
              </w:rPr>
              <w:t>技能水平</w:t>
            </w:r>
            <w:r>
              <w:rPr>
                <w:rFonts w:hint="eastAsia" w:ascii="仿宋" w:hAnsi="仿宋" w:eastAsia="仿宋" w:cs="仿宋"/>
                <w:b w:val="0"/>
                <w:bCs w:val="0"/>
                <w:color w:val="auto"/>
                <w:sz w:val="21"/>
                <w:szCs w:val="21"/>
                <w:highlight w:val="none"/>
                <w:lang w:val="en-US" w:eastAsia="zh-CN"/>
              </w:rPr>
              <w:t>强</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分工安排可行，稳定性保障方案明确、合理</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得6分；</w:t>
            </w:r>
          </w:p>
          <w:p w14:paraId="6C1575ED">
            <w:pPr>
              <w:keepNext w:val="0"/>
              <w:keepLines w:val="0"/>
              <w:pageBreakBefore w:val="0"/>
              <w:suppressLineNumbers w:val="0"/>
              <w:shd w:val="clear" w:color="auto" w:fill="auto"/>
              <w:kinsoku/>
              <w:wordWrap/>
              <w:overflowPunct/>
              <w:topLinePunct w:val="0"/>
              <w:autoSpaceDE/>
              <w:autoSpaceDN/>
              <w:bidi w:val="0"/>
              <w:snapToGrid w:val="0"/>
              <w:spacing w:before="0" w:beforeAutospacing="0" w:after="0" w:afterAutospacing="0" w:line="360" w:lineRule="exact"/>
              <w:ind w:left="0"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人员配置合理性一般、</w:t>
            </w:r>
            <w:r>
              <w:rPr>
                <w:rFonts w:hint="eastAsia" w:ascii="仿宋" w:hAnsi="仿宋" w:eastAsia="仿宋" w:cs="仿宋"/>
                <w:b w:val="0"/>
                <w:bCs w:val="0"/>
                <w:color w:val="auto"/>
                <w:spacing w:val="-1"/>
                <w:sz w:val="21"/>
                <w:szCs w:val="21"/>
                <w:highlight w:val="none"/>
                <w:lang w:eastAsia="zh-CN"/>
              </w:rPr>
              <w:t>专业学历、</w:t>
            </w:r>
            <w:r>
              <w:rPr>
                <w:rFonts w:hint="eastAsia" w:ascii="仿宋" w:hAnsi="仿宋" w:eastAsia="仿宋" w:cs="仿宋"/>
                <w:b w:val="0"/>
                <w:bCs w:val="0"/>
                <w:color w:val="auto"/>
                <w:sz w:val="21"/>
                <w:szCs w:val="21"/>
                <w:highlight w:val="none"/>
              </w:rPr>
              <w:t>技能水平</w:t>
            </w:r>
            <w:r>
              <w:rPr>
                <w:rFonts w:hint="eastAsia" w:ascii="仿宋" w:hAnsi="仿宋" w:eastAsia="仿宋" w:cs="仿宋"/>
                <w:b w:val="0"/>
                <w:bCs w:val="0"/>
                <w:color w:val="auto"/>
                <w:sz w:val="21"/>
                <w:szCs w:val="21"/>
                <w:highlight w:val="none"/>
                <w:lang w:val="en-US" w:eastAsia="zh-CN"/>
              </w:rPr>
              <w:t>较强</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分工安排可行性一般，稳定性保障方案</w:t>
            </w:r>
            <w:r>
              <w:rPr>
                <w:rFonts w:hint="eastAsia" w:ascii="仿宋" w:hAnsi="仿宋" w:eastAsia="仿宋" w:cs="仿宋"/>
                <w:color w:val="auto"/>
                <w:sz w:val="21"/>
                <w:szCs w:val="21"/>
                <w:highlight w:val="none"/>
                <w:lang w:val="en-US" w:eastAsia="zh-CN"/>
              </w:rPr>
              <w:t>较合理的</w:t>
            </w:r>
            <w:r>
              <w:rPr>
                <w:rFonts w:hint="eastAsia" w:ascii="仿宋" w:hAnsi="仿宋" w:eastAsia="仿宋" w:cs="仿宋"/>
                <w:color w:val="auto"/>
                <w:sz w:val="21"/>
                <w:szCs w:val="21"/>
                <w:highlight w:val="none"/>
              </w:rPr>
              <w:t>得4分；</w:t>
            </w:r>
          </w:p>
          <w:p w14:paraId="04345D12">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人员配置不够合理、</w:t>
            </w:r>
            <w:r>
              <w:rPr>
                <w:rFonts w:hint="eastAsia" w:ascii="仿宋" w:hAnsi="仿宋" w:eastAsia="仿宋" w:cs="仿宋"/>
                <w:b w:val="0"/>
                <w:bCs w:val="0"/>
                <w:color w:val="auto"/>
                <w:spacing w:val="-1"/>
                <w:sz w:val="21"/>
                <w:szCs w:val="21"/>
                <w:highlight w:val="none"/>
                <w:lang w:eastAsia="zh-CN"/>
              </w:rPr>
              <w:t>专业学历、</w:t>
            </w:r>
            <w:r>
              <w:rPr>
                <w:rFonts w:hint="eastAsia" w:ascii="仿宋" w:hAnsi="仿宋" w:eastAsia="仿宋" w:cs="仿宋"/>
                <w:b w:val="0"/>
                <w:bCs w:val="0"/>
                <w:color w:val="auto"/>
                <w:sz w:val="21"/>
                <w:szCs w:val="21"/>
                <w:highlight w:val="none"/>
              </w:rPr>
              <w:t>技能水平</w:t>
            </w:r>
            <w:r>
              <w:rPr>
                <w:rFonts w:hint="eastAsia" w:ascii="仿宋" w:hAnsi="仿宋" w:eastAsia="仿宋" w:cs="仿宋"/>
                <w:b w:val="0"/>
                <w:bCs w:val="0"/>
                <w:color w:val="auto"/>
                <w:sz w:val="21"/>
                <w:szCs w:val="21"/>
                <w:highlight w:val="none"/>
                <w:lang w:val="en-US" w:eastAsia="zh-CN"/>
              </w:rPr>
              <w:t>较弱</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分工安排不够可行，稳定性保障方案</w:t>
            </w:r>
            <w:r>
              <w:rPr>
                <w:rFonts w:hint="eastAsia" w:ascii="仿宋" w:hAnsi="仿宋" w:eastAsia="仿宋" w:cs="仿宋"/>
                <w:color w:val="auto"/>
                <w:sz w:val="21"/>
                <w:szCs w:val="21"/>
                <w:highlight w:val="none"/>
                <w:lang w:val="en-US" w:eastAsia="zh-CN"/>
              </w:rPr>
              <w:t>不合理</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分；未提供不得分</w:t>
            </w:r>
            <w:r>
              <w:rPr>
                <w:rFonts w:hint="eastAsia" w:ascii="仿宋" w:hAnsi="仿宋" w:eastAsia="仿宋" w:cs="仿宋"/>
                <w:color w:val="auto"/>
                <w:sz w:val="21"/>
                <w:szCs w:val="21"/>
                <w:highlight w:val="none"/>
                <w:lang w:eastAsia="zh-CN"/>
              </w:rPr>
              <w:t>。</w:t>
            </w:r>
          </w:p>
        </w:tc>
        <w:tc>
          <w:tcPr>
            <w:tcW w:w="599" w:type="dxa"/>
            <w:noWrap w:val="0"/>
            <w:vAlign w:val="center"/>
          </w:tcPr>
          <w:p w14:paraId="5EBAF44C">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r>
      <w:tr w14:paraId="513F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552" w:type="dxa"/>
            <w:vMerge w:val="continue"/>
            <w:noWrap w:val="0"/>
            <w:vAlign w:val="center"/>
          </w:tcPr>
          <w:p w14:paraId="5C586CE5">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47" w:type="dxa"/>
            <w:vMerge w:val="restart"/>
            <w:noWrap w:val="0"/>
            <w:vAlign w:val="center"/>
          </w:tcPr>
          <w:p w14:paraId="602D0D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设备、药械配置情况（</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7561" w:type="dxa"/>
            <w:gridSpan w:val="2"/>
            <w:noWrap w:val="0"/>
            <w:vAlign w:val="center"/>
          </w:tcPr>
          <w:p w14:paraId="62CB3F68">
            <w:pPr>
              <w:pStyle w:val="18"/>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sz w:val="21"/>
                <w:szCs w:val="21"/>
                <w:highlight w:val="none"/>
              </w:rPr>
              <w:t>评标委员</w:t>
            </w:r>
            <w:r>
              <w:rPr>
                <w:rFonts w:hint="eastAsia" w:ascii="仿宋" w:hAnsi="仿宋" w:eastAsia="仿宋" w:cs="仿宋"/>
                <w:b/>
                <w:bCs/>
                <w:color w:val="auto"/>
                <w:kern w:val="0"/>
                <w:sz w:val="21"/>
                <w:szCs w:val="21"/>
                <w:highlight w:val="none"/>
              </w:rPr>
              <w:t>根据投标人对本项目的设备、药械配置</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rPr>
              <w:t>药械性能进行评议</w:t>
            </w:r>
            <w:r>
              <w:rPr>
                <w:rFonts w:hint="eastAsia" w:ascii="仿宋" w:hAnsi="仿宋" w:eastAsia="仿宋" w:cs="仿宋"/>
                <w:b/>
                <w:bCs/>
                <w:color w:val="auto"/>
                <w:kern w:val="0"/>
                <w:sz w:val="21"/>
                <w:szCs w:val="21"/>
                <w:highlight w:val="none"/>
                <w:lang w:eastAsia="zh-CN"/>
              </w:rPr>
              <w:t>：</w:t>
            </w:r>
          </w:p>
          <w:p w14:paraId="2853AB37">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拟投入本项目</w:t>
            </w:r>
            <w:r>
              <w:rPr>
                <w:rFonts w:hint="eastAsia" w:ascii="仿宋" w:hAnsi="仿宋" w:eastAsia="仿宋" w:cs="仿宋"/>
                <w:color w:val="auto"/>
                <w:kern w:val="0"/>
                <w:sz w:val="21"/>
                <w:szCs w:val="21"/>
                <w:highlight w:val="none"/>
              </w:rPr>
              <w:t>设备、药械配置</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药械性能</w:t>
            </w:r>
            <w:r>
              <w:rPr>
                <w:rFonts w:hint="eastAsia" w:ascii="仿宋" w:hAnsi="仿宋" w:eastAsia="仿宋" w:cs="仿宋"/>
                <w:color w:val="auto"/>
                <w:sz w:val="21"/>
                <w:szCs w:val="21"/>
                <w:highlight w:val="none"/>
              </w:rPr>
              <w:t>科学、明确、合理、到位的得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72DBB3F0">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拟投入本项目</w:t>
            </w:r>
            <w:r>
              <w:rPr>
                <w:rFonts w:hint="eastAsia" w:ascii="仿宋" w:hAnsi="仿宋" w:eastAsia="仿宋" w:cs="仿宋"/>
                <w:color w:val="auto"/>
                <w:kern w:val="0"/>
                <w:sz w:val="21"/>
                <w:szCs w:val="21"/>
                <w:highlight w:val="none"/>
              </w:rPr>
              <w:t>设备、药械配置</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药械性能</w:t>
            </w:r>
            <w:r>
              <w:rPr>
                <w:rFonts w:hint="eastAsia" w:ascii="仿宋" w:hAnsi="仿宋" w:eastAsia="仿宋" w:cs="仿宋"/>
                <w:color w:val="auto"/>
                <w:sz w:val="21"/>
                <w:szCs w:val="21"/>
                <w:highlight w:val="none"/>
              </w:rPr>
              <w:t>较为普通得</w:t>
            </w:r>
            <w:r>
              <w:rPr>
                <w:rFonts w:hint="eastAsia" w:ascii="仿宋" w:hAnsi="仿宋" w:eastAsia="仿宋" w:cs="仿宋"/>
                <w:color w:val="auto"/>
                <w:sz w:val="21"/>
                <w:szCs w:val="21"/>
                <w:highlight w:val="none"/>
                <w:lang w:val="en-US" w:eastAsia="zh-CN"/>
              </w:rPr>
              <w:t>2.7</w:t>
            </w:r>
            <w:r>
              <w:rPr>
                <w:rFonts w:hint="eastAsia" w:ascii="仿宋" w:hAnsi="仿宋" w:eastAsia="仿宋" w:cs="仿宋"/>
                <w:color w:val="auto"/>
                <w:sz w:val="21"/>
                <w:szCs w:val="21"/>
                <w:highlight w:val="none"/>
              </w:rPr>
              <w:t>分；</w:t>
            </w:r>
          </w:p>
          <w:p w14:paraId="32296AE0">
            <w:pPr>
              <w:pStyle w:val="49"/>
              <w:keepNext w:val="0"/>
              <w:keepLines w:val="0"/>
              <w:pageBreakBefore w:val="0"/>
              <w:kinsoku/>
              <w:wordWrap/>
              <w:overflowPunct/>
              <w:topLinePunct w:val="0"/>
              <w:bidi w:val="0"/>
              <w:spacing w:line="360" w:lineRule="exact"/>
              <w:rPr>
                <w:rFonts w:hint="eastAsia" w:ascii="仿宋" w:hAnsi="仿宋" w:eastAsia="仿宋" w:cs="仿宋"/>
                <w:color w:val="auto"/>
                <w:highlight w:val="none"/>
                <w:lang w:eastAsia="zh-CN"/>
              </w:rPr>
            </w:pPr>
            <w:r>
              <w:rPr>
                <w:rFonts w:hint="eastAsia" w:ascii="仿宋" w:hAnsi="仿宋" w:eastAsia="仿宋" w:cs="仿宋"/>
                <w:color w:val="auto"/>
                <w:kern w:val="0"/>
                <w:sz w:val="21"/>
                <w:szCs w:val="21"/>
                <w:highlight w:val="none"/>
                <w:lang w:val="en-US" w:eastAsia="zh-CN"/>
              </w:rPr>
              <w:t>拟投入本项目</w:t>
            </w:r>
            <w:r>
              <w:rPr>
                <w:rFonts w:hint="eastAsia" w:ascii="仿宋" w:hAnsi="仿宋" w:eastAsia="仿宋" w:cs="仿宋"/>
                <w:color w:val="auto"/>
                <w:kern w:val="0"/>
                <w:sz w:val="21"/>
                <w:szCs w:val="21"/>
                <w:highlight w:val="none"/>
              </w:rPr>
              <w:t>设备、药械配置</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药械性能</w:t>
            </w:r>
            <w:r>
              <w:rPr>
                <w:rFonts w:hint="eastAsia" w:ascii="仿宋" w:hAnsi="仿宋" w:eastAsia="仿宋" w:cs="仿宋"/>
                <w:color w:val="auto"/>
                <w:kern w:val="0"/>
                <w:sz w:val="21"/>
                <w:szCs w:val="21"/>
                <w:highlight w:val="none"/>
                <w:lang w:val="en-US" w:eastAsia="zh-CN"/>
              </w:rPr>
              <w:t>较</w:t>
            </w:r>
            <w:r>
              <w:rPr>
                <w:rFonts w:hint="eastAsia" w:ascii="仿宋" w:hAnsi="仿宋" w:eastAsia="仿宋" w:cs="仿宋"/>
                <w:color w:val="auto"/>
                <w:sz w:val="21"/>
                <w:szCs w:val="21"/>
                <w:highlight w:val="none"/>
              </w:rPr>
              <w:t>弱，不够具体合理的得</w:t>
            </w: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未提供不得分</w:t>
            </w:r>
            <w:r>
              <w:rPr>
                <w:rFonts w:hint="eastAsia" w:ascii="仿宋" w:hAnsi="仿宋" w:eastAsia="仿宋" w:cs="仿宋"/>
                <w:color w:val="auto"/>
                <w:sz w:val="21"/>
                <w:szCs w:val="21"/>
                <w:highlight w:val="none"/>
                <w:lang w:eastAsia="zh-CN"/>
              </w:rPr>
              <w:t>。</w:t>
            </w:r>
          </w:p>
        </w:tc>
        <w:tc>
          <w:tcPr>
            <w:tcW w:w="599" w:type="dxa"/>
            <w:noWrap w:val="0"/>
            <w:vAlign w:val="center"/>
          </w:tcPr>
          <w:p w14:paraId="356F25CB">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r>
      <w:tr w14:paraId="1081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552" w:type="dxa"/>
            <w:vMerge w:val="continue"/>
            <w:noWrap w:val="0"/>
            <w:vAlign w:val="center"/>
          </w:tcPr>
          <w:p w14:paraId="6720011E">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47" w:type="dxa"/>
            <w:vMerge w:val="continue"/>
            <w:noWrap w:val="0"/>
            <w:vAlign w:val="center"/>
          </w:tcPr>
          <w:p w14:paraId="289816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1"/>
                <w:szCs w:val="21"/>
                <w:highlight w:val="none"/>
                <w:lang w:val="en-US" w:eastAsia="zh-CN"/>
              </w:rPr>
            </w:pPr>
          </w:p>
        </w:tc>
        <w:tc>
          <w:tcPr>
            <w:tcW w:w="7561" w:type="dxa"/>
            <w:gridSpan w:val="2"/>
            <w:noWrap w:val="0"/>
            <w:vAlign w:val="center"/>
          </w:tcPr>
          <w:p w14:paraId="13FCF797">
            <w:pPr>
              <w:keepNext w:val="0"/>
              <w:keepLines w:val="0"/>
              <w:pageBreakBefore w:val="0"/>
              <w:kinsoku/>
              <w:wordWrap/>
              <w:overflowPunct/>
              <w:topLinePunct w:val="0"/>
              <w:bidi w:val="0"/>
              <w:spacing w:line="360" w:lineRule="exac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拟投入本项目房屋白蚁防治药物（粉剂、饵剂和液剂），分别具备“三证”的得2分，有缺项的不得分。</w:t>
            </w:r>
          </w:p>
          <w:p w14:paraId="4F8E0436">
            <w:pPr>
              <w:keepNext w:val="0"/>
              <w:keepLines w:val="0"/>
              <w:pageBreakBefore w:val="0"/>
              <w:kinsoku/>
              <w:wordWrap/>
              <w:overflowPunct/>
              <w:topLinePunct w:val="0"/>
              <w:bidi w:val="0"/>
              <w:spacing w:line="360" w:lineRule="exact"/>
              <w:rPr>
                <w:rFonts w:hint="eastAsia" w:ascii="仿宋" w:hAnsi="仿宋" w:eastAsia="仿宋" w:cs="仿宋"/>
                <w:b/>
                <w:bCs/>
                <w:color w:val="auto"/>
                <w:highlight w:val="none"/>
                <w:lang w:val="en-US" w:eastAsia="zh-CN"/>
              </w:rPr>
            </w:pPr>
            <w:r>
              <w:rPr>
                <w:rFonts w:hint="eastAsia" w:ascii="仿宋" w:hAnsi="仿宋" w:eastAsia="仿宋" w:cs="仿宋"/>
                <w:b/>
                <w:bCs/>
                <w:color w:val="auto"/>
                <w:kern w:val="0"/>
                <w:sz w:val="21"/>
                <w:szCs w:val="21"/>
                <w:highlight w:val="none"/>
                <w:lang w:val="en-US" w:eastAsia="zh-CN"/>
              </w:rPr>
              <w:t>注：投标文件中应分别提供以上“粉剂、饵剂和液剂”产品相关证书复印件并加盖投标单位公章。</w:t>
            </w:r>
          </w:p>
        </w:tc>
        <w:tc>
          <w:tcPr>
            <w:tcW w:w="599" w:type="dxa"/>
            <w:noWrap w:val="0"/>
            <w:vAlign w:val="center"/>
          </w:tcPr>
          <w:p w14:paraId="423CB845">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r>
      <w:tr w14:paraId="1DCB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552" w:type="dxa"/>
            <w:vMerge w:val="continue"/>
            <w:noWrap w:val="0"/>
            <w:vAlign w:val="center"/>
          </w:tcPr>
          <w:p w14:paraId="289F03C3">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47" w:type="dxa"/>
            <w:vMerge w:val="restart"/>
            <w:noWrap w:val="0"/>
            <w:vAlign w:val="center"/>
          </w:tcPr>
          <w:p w14:paraId="586D6A2F">
            <w:pPr>
              <w:keepNext w:val="0"/>
              <w:keepLines w:val="0"/>
              <w:pageBreakBefore w:val="0"/>
              <w:kinsoku/>
              <w:wordWrap/>
              <w:overflowPunct/>
              <w:topLinePunct w:val="0"/>
              <w:bidi w:val="0"/>
              <w:spacing w:line="360" w:lineRule="exact"/>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13、</w:t>
            </w:r>
            <w:r>
              <w:rPr>
                <w:rFonts w:hint="eastAsia" w:ascii="仿宋" w:hAnsi="仿宋" w:eastAsia="仿宋" w:cs="仿宋"/>
                <w:b w:val="0"/>
                <w:bCs w:val="0"/>
                <w:color w:val="auto"/>
                <w:sz w:val="21"/>
                <w:szCs w:val="21"/>
                <w:highlight w:val="none"/>
              </w:rPr>
              <w:t>车辆</w:t>
            </w:r>
            <w:r>
              <w:rPr>
                <w:rFonts w:hint="eastAsia" w:ascii="仿宋" w:hAnsi="仿宋" w:eastAsia="仿宋" w:cs="仿宋"/>
                <w:b w:val="0"/>
                <w:bCs w:val="0"/>
                <w:color w:val="auto"/>
                <w:sz w:val="21"/>
                <w:szCs w:val="21"/>
                <w:highlight w:val="none"/>
                <w:lang w:val="en-US" w:eastAsia="zh-CN"/>
              </w:rPr>
              <w:t>管理方案</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eastAsia="zh-CN"/>
              </w:rPr>
              <w:t>）</w:t>
            </w:r>
          </w:p>
        </w:tc>
        <w:tc>
          <w:tcPr>
            <w:tcW w:w="7561" w:type="dxa"/>
            <w:gridSpan w:val="2"/>
            <w:noWrap w:val="0"/>
            <w:vAlign w:val="center"/>
          </w:tcPr>
          <w:p w14:paraId="5B6667C0">
            <w:pPr>
              <w:keepNext w:val="0"/>
              <w:keepLines w:val="0"/>
              <w:pageBreakBefore w:val="0"/>
              <w:kinsoku/>
              <w:wordWrap/>
              <w:overflowPunct/>
              <w:topLinePunct w:val="0"/>
              <w:bidi w:val="0"/>
              <w:spacing w:line="360" w:lineRule="exact"/>
              <w:ind w:left="0" w:leftChars="0" w:right="34" w:rightChars="16" w:firstLine="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评委根据投标人提供的</w:t>
            </w:r>
            <w:r>
              <w:rPr>
                <w:rFonts w:hint="eastAsia" w:ascii="仿宋" w:hAnsi="仿宋" w:eastAsia="仿宋" w:cs="仿宋"/>
                <w:b/>
                <w:bCs/>
                <w:color w:val="auto"/>
                <w:sz w:val="21"/>
                <w:szCs w:val="21"/>
                <w:highlight w:val="none"/>
                <w:lang w:val="en-US" w:eastAsia="zh-CN"/>
              </w:rPr>
              <w:t>车辆配置情况</w:t>
            </w:r>
            <w:r>
              <w:rPr>
                <w:rFonts w:hint="eastAsia" w:ascii="仿宋" w:hAnsi="仿宋" w:eastAsia="仿宋" w:cs="仿宋"/>
                <w:b/>
                <w:bCs/>
                <w:color w:val="auto"/>
                <w:sz w:val="21"/>
                <w:szCs w:val="21"/>
                <w:highlight w:val="none"/>
              </w:rPr>
              <w:t>、更新方案进行评议</w:t>
            </w:r>
            <w:r>
              <w:rPr>
                <w:rFonts w:hint="eastAsia" w:ascii="仿宋" w:hAnsi="仿宋" w:eastAsia="仿宋" w:cs="仿宋"/>
                <w:b/>
                <w:bCs/>
                <w:color w:val="auto"/>
                <w:sz w:val="21"/>
                <w:szCs w:val="21"/>
                <w:highlight w:val="none"/>
                <w:lang w:eastAsia="zh-CN"/>
              </w:rPr>
              <w:t>：</w:t>
            </w:r>
          </w:p>
          <w:p w14:paraId="4C9BF358">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所配备</w:t>
            </w:r>
            <w:r>
              <w:rPr>
                <w:rFonts w:hint="eastAsia" w:ascii="仿宋" w:hAnsi="仿宋" w:eastAsia="仿宋" w:cs="仿宋"/>
                <w:color w:val="auto"/>
                <w:sz w:val="21"/>
                <w:szCs w:val="21"/>
                <w:highlight w:val="none"/>
              </w:rPr>
              <w:t>车辆满足日常管理要求、更新方案合理、完全具有可操作性的</w:t>
            </w:r>
            <w:r>
              <w:rPr>
                <w:rFonts w:hint="eastAsia" w:ascii="仿宋" w:hAnsi="仿宋" w:eastAsia="仿宋" w:cs="仿宋"/>
                <w:color w:val="auto"/>
                <w:sz w:val="21"/>
                <w:szCs w:val="21"/>
                <w:highlight w:val="none"/>
                <w:lang w:val="en-US" w:eastAsia="zh-CN"/>
              </w:rPr>
              <w:t>得2.5分；</w:t>
            </w:r>
          </w:p>
          <w:p w14:paraId="2D495501">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所配备</w:t>
            </w:r>
            <w:r>
              <w:rPr>
                <w:rFonts w:hint="eastAsia" w:ascii="仿宋" w:hAnsi="仿宋" w:eastAsia="仿宋" w:cs="仿宋"/>
                <w:color w:val="auto"/>
                <w:sz w:val="21"/>
                <w:szCs w:val="21"/>
                <w:highlight w:val="none"/>
              </w:rPr>
              <w:t>车辆满足日常管理要求</w:t>
            </w:r>
            <w:r>
              <w:rPr>
                <w:rFonts w:hint="eastAsia" w:ascii="仿宋" w:hAnsi="仿宋" w:eastAsia="仿宋" w:cs="仿宋"/>
                <w:color w:val="auto"/>
                <w:sz w:val="21"/>
                <w:szCs w:val="21"/>
                <w:highlight w:val="none"/>
                <w:lang w:val="en-US" w:eastAsia="zh-CN"/>
              </w:rPr>
              <w:t>但</w:t>
            </w:r>
            <w:r>
              <w:rPr>
                <w:rFonts w:hint="eastAsia" w:ascii="仿宋" w:hAnsi="仿宋" w:eastAsia="仿宋" w:cs="仿宋"/>
                <w:color w:val="auto"/>
                <w:sz w:val="21"/>
                <w:szCs w:val="21"/>
                <w:highlight w:val="none"/>
              </w:rPr>
              <w:t>更新方案</w:t>
            </w:r>
            <w:r>
              <w:rPr>
                <w:rFonts w:hint="eastAsia" w:ascii="仿宋" w:hAnsi="仿宋" w:eastAsia="仿宋" w:cs="仿宋"/>
                <w:color w:val="auto"/>
                <w:sz w:val="21"/>
                <w:szCs w:val="21"/>
                <w:highlight w:val="none"/>
                <w:lang w:val="en-US" w:eastAsia="zh-CN"/>
              </w:rPr>
              <w:t>基本</w:t>
            </w:r>
            <w:r>
              <w:rPr>
                <w:rFonts w:hint="eastAsia" w:ascii="仿宋" w:hAnsi="仿宋" w:eastAsia="仿宋" w:cs="仿宋"/>
                <w:color w:val="auto"/>
                <w:sz w:val="21"/>
                <w:szCs w:val="21"/>
                <w:highlight w:val="none"/>
              </w:rPr>
              <w:t>合理、可操作性</w:t>
            </w:r>
            <w:r>
              <w:rPr>
                <w:rFonts w:hint="eastAsia" w:ascii="仿宋" w:hAnsi="仿宋" w:eastAsia="仿宋" w:cs="仿宋"/>
                <w:color w:val="auto"/>
                <w:sz w:val="21"/>
                <w:szCs w:val="21"/>
                <w:highlight w:val="none"/>
                <w:lang w:val="en-US" w:eastAsia="zh-CN"/>
              </w:rPr>
              <w:t>尚可</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得1.7分；</w:t>
            </w:r>
          </w:p>
          <w:p w14:paraId="4B93EC30">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所配备</w:t>
            </w:r>
            <w:r>
              <w:rPr>
                <w:rFonts w:hint="eastAsia" w:ascii="仿宋" w:hAnsi="仿宋" w:eastAsia="仿宋" w:cs="仿宋"/>
                <w:color w:val="auto"/>
                <w:sz w:val="21"/>
                <w:szCs w:val="21"/>
                <w:highlight w:val="none"/>
              </w:rPr>
              <w:t>车辆</w:t>
            </w:r>
            <w:r>
              <w:rPr>
                <w:rFonts w:hint="eastAsia" w:ascii="仿宋" w:hAnsi="仿宋" w:eastAsia="仿宋" w:cs="仿宋"/>
                <w:color w:val="auto"/>
                <w:sz w:val="21"/>
                <w:szCs w:val="21"/>
                <w:highlight w:val="none"/>
                <w:lang w:val="en-US" w:eastAsia="zh-CN"/>
              </w:rPr>
              <w:t>无法</w:t>
            </w:r>
            <w:r>
              <w:rPr>
                <w:rFonts w:hint="eastAsia" w:ascii="仿宋" w:hAnsi="仿宋" w:eastAsia="仿宋" w:cs="仿宋"/>
                <w:color w:val="auto"/>
                <w:sz w:val="21"/>
                <w:szCs w:val="21"/>
                <w:highlight w:val="none"/>
              </w:rPr>
              <w:t>满足日常管理要求</w:t>
            </w:r>
            <w:r>
              <w:rPr>
                <w:rFonts w:hint="eastAsia" w:ascii="仿宋" w:hAnsi="仿宋" w:eastAsia="仿宋" w:cs="仿宋"/>
                <w:color w:val="auto"/>
                <w:sz w:val="21"/>
                <w:szCs w:val="21"/>
                <w:highlight w:val="none"/>
                <w:lang w:val="en-US" w:eastAsia="zh-CN"/>
              </w:rPr>
              <w:t>的且</w:t>
            </w:r>
            <w:r>
              <w:rPr>
                <w:rFonts w:hint="eastAsia" w:ascii="仿宋" w:hAnsi="仿宋" w:eastAsia="仿宋" w:cs="仿宋"/>
                <w:color w:val="auto"/>
                <w:sz w:val="21"/>
                <w:szCs w:val="21"/>
                <w:highlight w:val="none"/>
              </w:rPr>
              <w:t>更新方案</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合理、</w:t>
            </w:r>
            <w:r>
              <w:rPr>
                <w:rFonts w:hint="eastAsia" w:ascii="仿宋" w:hAnsi="仿宋" w:eastAsia="仿宋" w:cs="仿宋"/>
                <w:color w:val="auto"/>
                <w:sz w:val="21"/>
                <w:szCs w:val="21"/>
                <w:highlight w:val="none"/>
                <w:lang w:val="en-US" w:eastAsia="zh-CN"/>
              </w:rPr>
              <w:t>不具备</w:t>
            </w:r>
            <w:r>
              <w:rPr>
                <w:rFonts w:hint="eastAsia" w:ascii="仿宋" w:hAnsi="仿宋" w:eastAsia="仿宋" w:cs="仿宋"/>
                <w:color w:val="auto"/>
                <w:sz w:val="21"/>
                <w:szCs w:val="21"/>
                <w:highlight w:val="none"/>
              </w:rPr>
              <w:t>操作性</w:t>
            </w:r>
            <w:r>
              <w:rPr>
                <w:rFonts w:hint="eastAsia" w:ascii="仿宋" w:hAnsi="仿宋" w:eastAsia="仿宋" w:cs="仿宋"/>
                <w:color w:val="auto"/>
                <w:sz w:val="21"/>
                <w:szCs w:val="21"/>
                <w:highlight w:val="none"/>
                <w:lang w:val="en-US" w:eastAsia="zh-CN"/>
              </w:rPr>
              <w:t>的得0.8分；</w:t>
            </w:r>
            <w:r>
              <w:rPr>
                <w:rFonts w:hint="eastAsia" w:ascii="仿宋" w:hAnsi="仿宋" w:eastAsia="仿宋" w:cs="仿宋"/>
                <w:color w:val="auto"/>
                <w:sz w:val="21"/>
                <w:szCs w:val="21"/>
                <w:highlight w:val="none"/>
              </w:rPr>
              <w:t>未提供不得分</w:t>
            </w:r>
            <w:r>
              <w:rPr>
                <w:rFonts w:hint="eastAsia" w:ascii="仿宋" w:hAnsi="仿宋" w:eastAsia="仿宋" w:cs="仿宋"/>
                <w:color w:val="auto"/>
                <w:sz w:val="21"/>
                <w:szCs w:val="21"/>
                <w:highlight w:val="none"/>
                <w:lang w:eastAsia="zh-CN"/>
              </w:rPr>
              <w:t>。</w:t>
            </w:r>
          </w:p>
        </w:tc>
        <w:tc>
          <w:tcPr>
            <w:tcW w:w="599" w:type="dxa"/>
            <w:noWrap w:val="0"/>
            <w:vAlign w:val="center"/>
          </w:tcPr>
          <w:p w14:paraId="55B2C1F2">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2.5</w:t>
            </w:r>
          </w:p>
        </w:tc>
      </w:tr>
      <w:tr w14:paraId="4D88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79E3A458">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47" w:type="dxa"/>
            <w:vMerge w:val="continue"/>
            <w:noWrap w:val="0"/>
            <w:vAlign w:val="center"/>
          </w:tcPr>
          <w:p w14:paraId="026D2435">
            <w:pPr>
              <w:keepNext w:val="0"/>
              <w:keepLines w:val="0"/>
              <w:pageBreakBefore w:val="0"/>
              <w:kinsoku/>
              <w:wordWrap/>
              <w:overflowPunct/>
              <w:topLinePunct w:val="0"/>
              <w:bidi w:val="0"/>
              <w:spacing w:line="360" w:lineRule="exact"/>
              <w:rPr>
                <w:rFonts w:hint="eastAsia" w:ascii="仿宋" w:hAnsi="仿宋" w:eastAsia="仿宋" w:cs="仿宋"/>
                <w:b/>
                <w:bCs/>
                <w:color w:val="auto"/>
                <w:sz w:val="21"/>
                <w:szCs w:val="21"/>
                <w:highlight w:val="none"/>
                <w:lang w:val="en-US" w:eastAsia="zh-CN"/>
              </w:rPr>
            </w:pPr>
          </w:p>
        </w:tc>
        <w:tc>
          <w:tcPr>
            <w:tcW w:w="7561" w:type="dxa"/>
            <w:gridSpan w:val="2"/>
            <w:noWrap w:val="0"/>
            <w:vAlign w:val="center"/>
          </w:tcPr>
          <w:p w14:paraId="39C4731B">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评委根据投标人提供的</w:t>
            </w:r>
            <w:r>
              <w:rPr>
                <w:rFonts w:hint="eastAsia" w:ascii="仿宋" w:hAnsi="仿宋" w:eastAsia="仿宋" w:cs="仿宋"/>
                <w:b/>
                <w:bCs/>
                <w:color w:val="auto"/>
                <w:sz w:val="21"/>
                <w:szCs w:val="21"/>
                <w:highlight w:val="none"/>
                <w:lang w:val="en-US" w:eastAsia="zh-CN"/>
              </w:rPr>
              <w:t>针对</w:t>
            </w:r>
            <w:r>
              <w:rPr>
                <w:rFonts w:hint="eastAsia" w:ascii="仿宋" w:hAnsi="仿宋" w:eastAsia="仿宋" w:cs="仿宋"/>
                <w:b/>
                <w:bCs/>
                <w:color w:val="auto"/>
                <w:sz w:val="21"/>
                <w:szCs w:val="21"/>
                <w:highlight w:val="none"/>
              </w:rPr>
              <w:t>车辆维修保养情况</w:t>
            </w:r>
            <w:r>
              <w:rPr>
                <w:rFonts w:hint="eastAsia" w:ascii="仿宋" w:hAnsi="仿宋" w:eastAsia="仿宋" w:cs="仿宋"/>
                <w:b/>
                <w:bCs/>
                <w:color w:val="auto"/>
                <w:sz w:val="21"/>
                <w:szCs w:val="21"/>
                <w:highlight w:val="none"/>
                <w:lang w:val="en-US" w:eastAsia="zh-CN"/>
              </w:rPr>
              <w:t>导致车辆</w:t>
            </w:r>
            <w:r>
              <w:rPr>
                <w:rFonts w:hint="eastAsia" w:ascii="仿宋" w:hAnsi="仿宋" w:eastAsia="仿宋" w:cs="仿宋"/>
                <w:b/>
                <w:bCs/>
                <w:color w:val="auto"/>
                <w:sz w:val="21"/>
                <w:szCs w:val="21"/>
                <w:highlight w:val="none"/>
              </w:rPr>
              <w:t>数量不足的应对</w:t>
            </w:r>
            <w:r>
              <w:rPr>
                <w:rFonts w:hint="eastAsia" w:ascii="仿宋" w:hAnsi="仿宋" w:eastAsia="仿宋" w:cs="仿宋"/>
                <w:b/>
                <w:bCs/>
                <w:color w:val="auto"/>
                <w:sz w:val="21"/>
                <w:szCs w:val="21"/>
                <w:highlight w:val="none"/>
                <w:lang w:val="en-US" w:eastAsia="zh-CN"/>
              </w:rPr>
              <w:t>方案进行评议：</w:t>
            </w:r>
          </w:p>
          <w:p w14:paraId="0818FA1A">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应对方案切实可行且符合日常生产需求的得2.5分；</w:t>
            </w:r>
          </w:p>
          <w:p w14:paraId="666F4363">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应对方案较切实可行，基本符合日常生产需求得1.7分；</w:t>
            </w:r>
          </w:p>
          <w:p w14:paraId="51E8729F">
            <w:pPr>
              <w:keepNext w:val="0"/>
              <w:keepLines w:val="0"/>
              <w:pageBreakBefore w:val="0"/>
              <w:widowControl/>
              <w:kinsoku/>
              <w:wordWrap/>
              <w:overflowPunct/>
              <w:topLinePunct w:val="0"/>
              <w:autoSpaceDE/>
              <w:autoSpaceDN/>
              <w:bidi w:val="0"/>
              <w:adjustRightInd/>
              <w:snapToGrid/>
              <w:spacing w:before="0" w:line="360" w:lineRule="exact"/>
              <w:ind w:right="34" w:rightChars="16"/>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应对方案不切实际或不符合日常生产需求求的得0.8分；</w:t>
            </w:r>
            <w:r>
              <w:rPr>
                <w:rFonts w:hint="eastAsia" w:ascii="仿宋" w:hAnsi="仿宋" w:eastAsia="仿宋" w:cs="仿宋"/>
                <w:color w:val="auto"/>
                <w:sz w:val="21"/>
                <w:szCs w:val="21"/>
                <w:highlight w:val="none"/>
              </w:rPr>
              <w:t>未提供不得分</w:t>
            </w:r>
            <w:r>
              <w:rPr>
                <w:rFonts w:hint="eastAsia" w:ascii="仿宋" w:hAnsi="仿宋" w:eastAsia="仿宋" w:cs="仿宋"/>
                <w:color w:val="auto"/>
                <w:sz w:val="21"/>
                <w:szCs w:val="21"/>
                <w:highlight w:val="none"/>
                <w:lang w:eastAsia="zh-CN"/>
              </w:rPr>
              <w:t>。</w:t>
            </w:r>
          </w:p>
        </w:tc>
        <w:tc>
          <w:tcPr>
            <w:tcW w:w="599" w:type="dxa"/>
            <w:noWrap w:val="0"/>
            <w:vAlign w:val="center"/>
          </w:tcPr>
          <w:p w14:paraId="2B2AB527">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2.5</w:t>
            </w:r>
          </w:p>
        </w:tc>
      </w:tr>
      <w:tr w14:paraId="6183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51A0E071">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47" w:type="dxa"/>
            <w:noWrap w:val="0"/>
            <w:vAlign w:val="center"/>
          </w:tcPr>
          <w:p w14:paraId="17200D36">
            <w:pPr>
              <w:keepNext w:val="0"/>
              <w:keepLines w:val="0"/>
              <w:pageBreakBefore w:val="0"/>
              <w:kinsoku/>
              <w:wordWrap/>
              <w:overflowPunct/>
              <w:topLinePunct w:val="0"/>
              <w:autoSpaceDE/>
              <w:autoSpaceDN/>
              <w:bidi w:val="0"/>
              <w:snapToGrid w:val="0"/>
              <w:spacing w:line="36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14、企业</w:t>
            </w:r>
            <w:r>
              <w:rPr>
                <w:rFonts w:hint="eastAsia" w:ascii="仿宋" w:hAnsi="仿宋" w:eastAsia="仿宋" w:cs="仿宋"/>
                <w:b w:val="0"/>
                <w:bCs w:val="0"/>
                <w:color w:val="auto"/>
                <w:sz w:val="21"/>
                <w:szCs w:val="21"/>
                <w:highlight w:val="none"/>
                <w:lang w:eastAsia="zh-CN"/>
              </w:rPr>
              <w:t>履约能力</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b w:val="0"/>
                <w:bCs w:val="0"/>
                <w:color w:val="auto"/>
                <w:sz w:val="21"/>
                <w:szCs w:val="21"/>
                <w:highlight w:val="none"/>
              </w:rPr>
              <w:t>分）</w:t>
            </w:r>
          </w:p>
        </w:tc>
        <w:tc>
          <w:tcPr>
            <w:tcW w:w="7561" w:type="dxa"/>
            <w:gridSpan w:val="2"/>
            <w:noWrap w:val="0"/>
            <w:vAlign w:val="center"/>
          </w:tcPr>
          <w:p w14:paraId="63CB309D">
            <w:pPr>
              <w:keepNext w:val="0"/>
              <w:keepLines w:val="0"/>
              <w:pageBreakBefore w:val="0"/>
              <w:kinsoku/>
              <w:wordWrap/>
              <w:overflowPunct/>
              <w:topLinePunct w:val="0"/>
              <w:bidi w:val="0"/>
              <w:snapToGrid w:val="0"/>
              <w:spacing w:line="360" w:lineRule="exac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评委根据投标人</w:t>
            </w:r>
            <w:r>
              <w:rPr>
                <w:rFonts w:hint="eastAsia" w:ascii="仿宋" w:hAnsi="仿宋" w:eastAsia="仿宋" w:cs="仿宋"/>
                <w:b w:val="0"/>
                <w:bCs w:val="0"/>
                <w:color w:val="auto"/>
                <w:sz w:val="21"/>
                <w:szCs w:val="21"/>
                <w:highlight w:val="none"/>
                <w:lang w:eastAsia="zh-CN"/>
              </w:rPr>
              <w:t>的</w:t>
            </w:r>
            <w:r>
              <w:rPr>
                <w:rFonts w:hint="eastAsia" w:ascii="仿宋" w:hAnsi="仿宋" w:eastAsia="仿宋" w:cs="仿宋"/>
                <w:b w:val="0"/>
                <w:bCs w:val="0"/>
                <w:color w:val="auto"/>
                <w:sz w:val="21"/>
                <w:szCs w:val="21"/>
                <w:highlight w:val="none"/>
                <w:lang w:val="en-US" w:eastAsia="zh-CN"/>
              </w:rPr>
              <w:t>企业</w:t>
            </w:r>
            <w:r>
              <w:rPr>
                <w:rFonts w:hint="eastAsia" w:ascii="仿宋" w:hAnsi="仿宋" w:eastAsia="仿宋" w:cs="仿宋"/>
                <w:b w:val="0"/>
                <w:bCs w:val="0"/>
                <w:color w:val="auto"/>
                <w:sz w:val="21"/>
                <w:szCs w:val="21"/>
                <w:highlight w:val="none"/>
                <w:lang w:eastAsia="zh-CN"/>
              </w:rPr>
              <w:t>履约能力</w:t>
            </w:r>
            <w:r>
              <w:rPr>
                <w:rFonts w:hint="eastAsia" w:ascii="仿宋" w:hAnsi="仿宋" w:eastAsia="仿宋" w:cs="仿宋"/>
                <w:b w:val="0"/>
                <w:bCs w:val="0"/>
                <w:color w:val="auto"/>
                <w:sz w:val="21"/>
                <w:szCs w:val="21"/>
                <w:highlight w:val="none"/>
                <w:lang w:val="en-US" w:eastAsia="zh-CN"/>
              </w:rPr>
              <w:t>情况</w:t>
            </w:r>
            <w:r>
              <w:rPr>
                <w:rFonts w:hint="eastAsia" w:ascii="仿宋" w:hAnsi="仿宋" w:eastAsia="仿宋" w:cs="仿宋"/>
                <w:b w:val="0"/>
                <w:bCs w:val="0"/>
                <w:color w:val="auto"/>
                <w:sz w:val="21"/>
                <w:szCs w:val="21"/>
                <w:highlight w:val="none"/>
              </w:rPr>
              <w:t>进行评议</w:t>
            </w:r>
            <w:r>
              <w:rPr>
                <w:rFonts w:hint="eastAsia" w:ascii="仿宋" w:hAnsi="仿宋" w:eastAsia="仿宋" w:cs="仿宋"/>
                <w:b w:val="0"/>
                <w:bCs w:val="0"/>
                <w:color w:val="auto"/>
                <w:sz w:val="21"/>
                <w:szCs w:val="21"/>
                <w:highlight w:val="none"/>
                <w:lang w:eastAsia="zh-CN"/>
              </w:rPr>
              <w:t>：</w:t>
            </w:r>
          </w:p>
          <w:p w14:paraId="6BA918D9">
            <w:pPr>
              <w:keepNext w:val="0"/>
              <w:keepLines w:val="0"/>
              <w:pageBreakBefore w:val="0"/>
              <w:kinsoku/>
              <w:wordWrap/>
              <w:overflowPunct/>
              <w:topLinePunct w:val="0"/>
              <w:bidi w:val="0"/>
              <w:spacing w:line="360" w:lineRule="exac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r>
              <w:rPr>
                <w:rFonts w:hint="eastAsia" w:ascii="仿宋" w:hAnsi="仿宋" w:eastAsia="仿宋" w:cs="仿宋"/>
                <w:b w:val="0"/>
                <w:bCs w:val="0"/>
                <w:color w:val="auto"/>
                <w:sz w:val="21"/>
                <w:szCs w:val="21"/>
                <w:highlight w:val="none"/>
                <w:lang w:eastAsia="zh-CN"/>
              </w:rPr>
              <w:t>履约能力强、完全满足项目需求</w:t>
            </w:r>
            <w:r>
              <w:rPr>
                <w:rFonts w:hint="eastAsia" w:ascii="仿宋" w:hAnsi="仿宋" w:eastAsia="仿宋" w:cs="仿宋"/>
                <w:b w:val="0"/>
                <w:bCs w:val="0"/>
                <w:color w:val="auto"/>
                <w:sz w:val="21"/>
                <w:szCs w:val="21"/>
                <w:highlight w:val="none"/>
              </w:rPr>
              <w:t>的，得</w:t>
            </w: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b w:val="0"/>
                <w:bCs w:val="0"/>
                <w:color w:val="auto"/>
                <w:sz w:val="21"/>
                <w:szCs w:val="21"/>
                <w:highlight w:val="none"/>
              </w:rPr>
              <w:t>分；</w:t>
            </w:r>
          </w:p>
          <w:p w14:paraId="5B9172B5">
            <w:pPr>
              <w:keepNext w:val="0"/>
              <w:keepLines w:val="0"/>
              <w:pageBreakBefore w:val="0"/>
              <w:kinsoku/>
              <w:wordWrap/>
              <w:overflowPunct/>
              <w:topLinePunct w:val="0"/>
              <w:bidi w:val="0"/>
              <w:spacing w:line="360" w:lineRule="exac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w:t>
            </w:r>
            <w:r>
              <w:rPr>
                <w:rFonts w:hint="eastAsia" w:ascii="仿宋" w:hAnsi="仿宋" w:eastAsia="仿宋" w:cs="仿宋"/>
                <w:b w:val="0"/>
                <w:bCs w:val="0"/>
                <w:color w:val="auto"/>
                <w:sz w:val="21"/>
                <w:szCs w:val="21"/>
                <w:highlight w:val="none"/>
                <w:lang w:eastAsia="zh-CN"/>
              </w:rPr>
              <w:t>履约能力一般</w:t>
            </w:r>
            <w:r>
              <w:rPr>
                <w:rFonts w:hint="eastAsia" w:ascii="仿宋" w:hAnsi="仿宋" w:eastAsia="仿宋" w:cs="仿宋"/>
                <w:b w:val="0"/>
                <w:bCs w:val="0"/>
                <w:color w:val="auto"/>
                <w:sz w:val="21"/>
                <w:szCs w:val="21"/>
                <w:highlight w:val="none"/>
              </w:rPr>
              <w:t>、基本满足项目需求的，得</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rPr>
              <w:t>分；</w:t>
            </w:r>
          </w:p>
          <w:p w14:paraId="51A28B9B">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rPr>
              <w:t>3）</w:t>
            </w:r>
            <w:r>
              <w:rPr>
                <w:rFonts w:hint="eastAsia" w:ascii="仿宋" w:hAnsi="仿宋" w:eastAsia="仿宋" w:cs="仿宋"/>
                <w:b w:val="0"/>
                <w:bCs w:val="0"/>
                <w:color w:val="auto"/>
                <w:sz w:val="21"/>
                <w:szCs w:val="21"/>
                <w:highlight w:val="none"/>
                <w:lang w:eastAsia="zh-CN"/>
              </w:rPr>
              <w:t>履约能力差</w:t>
            </w:r>
            <w:r>
              <w:rPr>
                <w:rFonts w:hint="eastAsia" w:ascii="仿宋" w:hAnsi="仿宋" w:eastAsia="仿宋" w:cs="仿宋"/>
                <w:b w:val="0"/>
                <w:bCs w:val="0"/>
                <w:color w:val="auto"/>
                <w:sz w:val="21"/>
                <w:szCs w:val="21"/>
                <w:highlight w:val="none"/>
              </w:rPr>
              <w:t>、不能满足项目需求的，得</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分；未提供不得分。</w:t>
            </w:r>
          </w:p>
        </w:tc>
        <w:tc>
          <w:tcPr>
            <w:tcW w:w="599" w:type="dxa"/>
            <w:noWrap w:val="0"/>
            <w:vAlign w:val="center"/>
          </w:tcPr>
          <w:p w14:paraId="526475F7">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r>
      <w:tr w14:paraId="5569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vMerge w:val="continue"/>
            <w:noWrap w:val="0"/>
            <w:vAlign w:val="center"/>
          </w:tcPr>
          <w:p w14:paraId="5F868D00">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p>
        </w:tc>
        <w:tc>
          <w:tcPr>
            <w:tcW w:w="1447" w:type="dxa"/>
            <w:noWrap w:val="0"/>
            <w:vAlign w:val="center"/>
          </w:tcPr>
          <w:p w14:paraId="61D2CD2A">
            <w:pPr>
              <w:pStyle w:val="66"/>
              <w:keepNext w:val="0"/>
              <w:keepLines w:val="0"/>
              <w:pageBreakBefore w:val="0"/>
              <w:numPr>
                <w:ilvl w:val="0"/>
                <w:numId w:val="0"/>
              </w:numPr>
              <w:suppressLineNumbers w:val="0"/>
              <w:kinsoku/>
              <w:wordWrap/>
              <w:overflowPunct/>
              <w:topLinePunct w:val="0"/>
              <w:bidi w:val="0"/>
              <w:spacing w:before="0" w:beforeAutospacing="0" w:after="0" w:afterAutospacing="0" w:line="360" w:lineRule="exact"/>
              <w:ind w:left="0" w:leftChars="0" w:right="0" w:rightChars="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15、</w:t>
            </w:r>
            <w:r>
              <w:rPr>
                <w:rFonts w:hint="eastAsia" w:ascii="仿宋" w:hAnsi="仿宋" w:eastAsia="仿宋" w:cs="仿宋"/>
                <w:b w:val="0"/>
                <w:bCs w:val="0"/>
                <w:color w:val="auto"/>
                <w:sz w:val="21"/>
                <w:szCs w:val="21"/>
                <w:highlight w:val="none"/>
                <w:lang w:val="en-US"/>
              </w:rPr>
              <w:t>业绩</w:t>
            </w:r>
          </w:p>
          <w:p w14:paraId="2E40C077">
            <w:pPr>
              <w:pStyle w:val="66"/>
              <w:keepNext w:val="0"/>
              <w:keepLines w:val="0"/>
              <w:pageBreakBefore w:val="0"/>
              <w:numPr>
                <w:ilvl w:val="0"/>
                <w:numId w:val="0"/>
              </w:numPr>
              <w:suppressLineNumbers w:val="0"/>
              <w:kinsoku/>
              <w:wordWrap/>
              <w:overflowPunct/>
              <w:topLinePunct w:val="0"/>
              <w:bidi w:val="0"/>
              <w:spacing w:before="0" w:beforeAutospacing="0" w:after="0" w:afterAutospacing="0" w:line="360" w:lineRule="exact"/>
              <w:ind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（1.5分）</w:t>
            </w:r>
          </w:p>
        </w:tc>
        <w:tc>
          <w:tcPr>
            <w:tcW w:w="7561" w:type="dxa"/>
            <w:gridSpan w:val="2"/>
            <w:noWrap w:val="0"/>
            <w:vAlign w:val="center"/>
          </w:tcPr>
          <w:p w14:paraId="75BB1911">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val="en-US" w:eastAsia="zh-CN"/>
              </w:rPr>
              <w:t>2022</w:t>
            </w:r>
            <w:r>
              <w:rPr>
                <w:rFonts w:hint="eastAsia" w:ascii="仿宋" w:hAnsi="仿宋" w:eastAsia="仿宋" w:cs="仿宋"/>
                <w:b/>
                <w:bCs/>
                <w:color w:val="auto"/>
                <w:sz w:val="21"/>
                <w:szCs w:val="21"/>
                <w:highlight w:val="none"/>
              </w:rPr>
              <w:t>年1月1日（合同签订时间）至今，</w:t>
            </w:r>
            <w:r>
              <w:rPr>
                <w:rFonts w:hint="eastAsia" w:ascii="仿宋" w:hAnsi="仿宋" w:eastAsia="仿宋" w:cs="仿宋"/>
                <w:color w:val="auto"/>
                <w:sz w:val="21"/>
                <w:szCs w:val="21"/>
                <w:highlight w:val="none"/>
              </w:rPr>
              <w:t>具有类似项目业绩</w:t>
            </w:r>
            <w:r>
              <w:rPr>
                <w:rFonts w:hint="eastAsia" w:ascii="仿宋" w:hAnsi="仿宋" w:eastAsia="仿宋" w:cs="仿宋"/>
                <w:b/>
                <w:bCs/>
                <w:color w:val="auto"/>
                <w:sz w:val="21"/>
                <w:szCs w:val="21"/>
                <w:highlight w:val="none"/>
              </w:rPr>
              <w:t>，</w:t>
            </w:r>
            <w:r>
              <w:rPr>
                <w:rFonts w:hint="eastAsia" w:ascii="仿宋" w:hAnsi="仿宋" w:eastAsia="仿宋" w:cs="仿宋"/>
                <w:color w:val="auto"/>
                <w:sz w:val="21"/>
                <w:szCs w:val="21"/>
                <w:highlight w:val="none"/>
              </w:rPr>
              <w:t>每提供一个合同得0.5分，最高1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p w14:paraId="24BC6B60">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备注：投标文件中需提供合同复印件加盖公章，未提供不得分。</w:t>
            </w:r>
          </w:p>
        </w:tc>
        <w:tc>
          <w:tcPr>
            <w:tcW w:w="599" w:type="dxa"/>
            <w:noWrap w:val="0"/>
            <w:vAlign w:val="center"/>
          </w:tcPr>
          <w:p w14:paraId="5E4CC5D4">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.5</w:t>
            </w:r>
          </w:p>
        </w:tc>
      </w:tr>
      <w:tr w14:paraId="2A4C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2" w:type="dxa"/>
            <w:noWrap w:val="0"/>
            <w:vAlign w:val="center"/>
          </w:tcPr>
          <w:p w14:paraId="4A6E6A06">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价格分</w:t>
            </w:r>
            <w:r>
              <w:rPr>
                <w:rFonts w:hint="eastAsia" w:ascii="仿宋" w:hAnsi="仿宋" w:eastAsia="仿宋" w:cs="仿宋"/>
                <w:snapToGrid w:val="0"/>
                <w:color w:val="auto"/>
                <w:kern w:val="0"/>
                <w:sz w:val="21"/>
                <w:szCs w:val="21"/>
                <w:highlight w:val="none"/>
                <w:lang w:val="en-US" w:eastAsia="zh-CN"/>
              </w:rPr>
              <w:t>15</w:t>
            </w:r>
            <w:r>
              <w:rPr>
                <w:rFonts w:hint="eastAsia" w:ascii="仿宋" w:hAnsi="仿宋" w:eastAsia="仿宋" w:cs="仿宋"/>
                <w:snapToGrid w:val="0"/>
                <w:color w:val="auto"/>
                <w:kern w:val="0"/>
                <w:sz w:val="21"/>
                <w:szCs w:val="21"/>
                <w:highlight w:val="none"/>
              </w:rPr>
              <w:t>分</w:t>
            </w:r>
          </w:p>
        </w:tc>
        <w:tc>
          <w:tcPr>
            <w:tcW w:w="9008" w:type="dxa"/>
            <w:gridSpan w:val="3"/>
            <w:noWrap w:val="0"/>
            <w:vAlign w:val="center"/>
          </w:tcPr>
          <w:p w14:paraId="0B62521D">
            <w:pPr>
              <w:keepNext w:val="0"/>
              <w:keepLines w:val="0"/>
              <w:pageBreakBefore w:val="0"/>
              <w:kinsoku/>
              <w:wordWrap/>
              <w:overflowPunct/>
              <w:topLinePunct w:val="0"/>
              <w:bidi w:val="0"/>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评标基准价指的是满足采购文件要求且参与评审最低的有效投标报价折扣率。</w:t>
            </w:r>
          </w:p>
          <w:p w14:paraId="0C63D08C">
            <w:pPr>
              <w:keepNext w:val="0"/>
              <w:keepLines w:val="0"/>
              <w:pageBreakBefore w:val="0"/>
              <w:kinsoku/>
              <w:wordWrap/>
              <w:overflowPunct/>
              <w:topLinePunct w:val="0"/>
              <w:bidi w:val="0"/>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参与评审的价格=有效投标报价折扣率。</w:t>
            </w:r>
          </w:p>
          <w:p w14:paraId="564526F1">
            <w:pPr>
              <w:keepNext w:val="0"/>
              <w:keepLines w:val="0"/>
              <w:pageBreakBefore w:val="0"/>
              <w:kinsoku/>
              <w:wordWrap/>
              <w:overflowPunct/>
              <w:topLinePunct w:val="0"/>
              <w:bidi w:val="0"/>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参与评审的价格为评标基准价的其价格得分得满分15分。</w:t>
            </w:r>
          </w:p>
          <w:p w14:paraId="63741CB5">
            <w:pPr>
              <w:keepNext w:val="0"/>
              <w:keepLines w:val="0"/>
              <w:pageBreakBefore w:val="0"/>
              <w:kinsoku/>
              <w:wordWrap/>
              <w:overflowPunct/>
              <w:topLinePunct w:val="0"/>
              <w:bidi w:val="0"/>
              <w:spacing w:line="36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其他投标人价格得分按照下列公式计算：</w:t>
            </w:r>
          </w:p>
          <w:p w14:paraId="2F109E62">
            <w:pPr>
              <w:keepNext w:val="0"/>
              <w:keepLines w:val="0"/>
              <w:pageBreakBefore w:val="0"/>
              <w:kinsoku/>
              <w:wordWrap/>
              <w:overflowPunct/>
              <w:topLinePunct w:val="0"/>
              <w:bidi w:val="0"/>
              <w:spacing w:line="360" w:lineRule="exact"/>
              <w:rPr>
                <w:rFonts w:hint="eastAsia" w:ascii="仿宋" w:hAnsi="仿宋" w:eastAsia="仿宋" w:cs="仿宋"/>
                <w:color w:val="auto"/>
                <w:sz w:val="21"/>
                <w:szCs w:val="21"/>
                <w:highlight w:val="none"/>
                <w:lang w:val="en-US"/>
              </w:rPr>
            </w:pPr>
            <w:r>
              <w:rPr>
                <w:rFonts w:hint="eastAsia" w:ascii="仿宋" w:hAnsi="仿宋" w:eastAsia="仿宋" w:cs="仿宋"/>
                <w:color w:val="auto"/>
                <w:sz w:val="22"/>
                <w:szCs w:val="22"/>
                <w:highlight w:val="none"/>
                <w:lang w:val="en-US" w:eastAsia="zh-CN"/>
              </w:rPr>
              <w:t>价格得分=（评标基准价/各投标人参与评审的价格）×15。</w:t>
            </w:r>
          </w:p>
        </w:tc>
        <w:tc>
          <w:tcPr>
            <w:tcW w:w="599" w:type="dxa"/>
            <w:noWrap w:val="0"/>
            <w:vAlign w:val="center"/>
          </w:tcPr>
          <w:p w14:paraId="5CC90954">
            <w:pPr>
              <w:keepNext w:val="0"/>
              <w:keepLines w:val="0"/>
              <w:pageBreakBefore w:val="0"/>
              <w:widowControl/>
              <w:kinsoku/>
              <w:wordWrap/>
              <w:overflowPunct/>
              <w:topLinePunct w:val="0"/>
              <w:bidi w:val="0"/>
              <w:spacing w:line="360" w:lineRule="exact"/>
              <w:jc w:val="center"/>
              <w:textAlignment w:val="center"/>
              <w:rPr>
                <w:rFonts w:hint="eastAsia" w:ascii="仿宋" w:hAnsi="仿宋" w:eastAsia="仿宋" w:cs="仿宋"/>
                <w:snapToGrid w:val="0"/>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r>
      <w:tr w14:paraId="7FFE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60" w:type="dxa"/>
            <w:gridSpan w:val="4"/>
            <w:noWrap w:val="0"/>
            <w:vAlign w:val="center"/>
          </w:tcPr>
          <w:p w14:paraId="762BEE6A">
            <w:pPr>
              <w:keepNext w:val="0"/>
              <w:keepLines w:val="0"/>
              <w:pageBreakBefore w:val="0"/>
              <w:kinsoku/>
              <w:wordWrap/>
              <w:overflowPunct/>
              <w:topLinePunct w:val="0"/>
              <w:bidi w:val="0"/>
              <w:spacing w:line="36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综合得分100分</w:t>
            </w:r>
          </w:p>
        </w:tc>
        <w:tc>
          <w:tcPr>
            <w:tcW w:w="599" w:type="dxa"/>
            <w:noWrap w:val="0"/>
            <w:vAlign w:val="center"/>
          </w:tcPr>
          <w:p w14:paraId="594F7014">
            <w:pPr>
              <w:keepNext w:val="0"/>
              <w:keepLines w:val="0"/>
              <w:pageBreakBefore w:val="0"/>
              <w:kinsoku/>
              <w:wordWrap/>
              <w:overflowPunct/>
              <w:topLinePunct w:val="0"/>
              <w:bidi w:val="0"/>
              <w:spacing w:line="360" w:lineRule="exact"/>
              <w:jc w:val="center"/>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fldChar w:fldCharType="begin"/>
            </w:r>
            <w:r>
              <w:rPr>
                <w:rFonts w:hint="eastAsia" w:ascii="仿宋" w:hAnsi="仿宋" w:eastAsia="仿宋" w:cs="仿宋"/>
                <w:snapToGrid w:val="0"/>
                <w:color w:val="auto"/>
                <w:kern w:val="0"/>
                <w:sz w:val="21"/>
                <w:szCs w:val="21"/>
                <w:highlight w:val="none"/>
              </w:rPr>
              <w:instrText xml:space="preserve"> =SUM(ABOVE) </w:instrText>
            </w:r>
            <w:r>
              <w:rPr>
                <w:rFonts w:hint="eastAsia" w:ascii="仿宋" w:hAnsi="仿宋" w:eastAsia="仿宋" w:cs="仿宋"/>
                <w:snapToGrid w:val="0"/>
                <w:color w:val="auto"/>
                <w:kern w:val="0"/>
                <w:sz w:val="21"/>
                <w:szCs w:val="21"/>
                <w:highlight w:val="none"/>
              </w:rPr>
              <w:fldChar w:fldCharType="separate"/>
            </w:r>
            <w:r>
              <w:rPr>
                <w:rFonts w:hint="eastAsia" w:ascii="仿宋" w:hAnsi="仿宋" w:eastAsia="仿宋" w:cs="仿宋"/>
                <w:snapToGrid w:val="0"/>
                <w:color w:val="auto"/>
                <w:kern w:val="0"/>
                <w:sz w:val="21"/>
                <w:szCs w:val="21"/>
                <w:highlight w:val="none"/>
              </w:rPr>
              <w:t>100</w:t>
            </w:r>
            <w:r>
              <w:rPr>
                <w:rFonts w:hint="eastAsia" w:ascii="仿宋" w:hAnsi="仿宋" w:eastAsia="仿宋" w:cs="仿宋"/>
                <w:snapToGrid w:val="0"/>
                <w:color w:val="auto"/>
                <w:kern w:val="0"/>
                <w:sz w:val="21"/>
                <w:szCs w:val="21"/>
                <w:highlight w:val="none"/>
              </w:rPr>
              <w:fldChar w:fldCharType="end"/>
            </w:r>
          </w:p>
        </w:tc>
      </w:tr>
    </w:tbl>
    <w:p w14:paraId="6F15588F">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304700F6">
      <w:pPr>
        <w:pStyle w:val="21"/>
        <w:numPr>
          <w:ilvl w:val="0"/>
          <w:numId w:val="0"/>
        </w:numPr>
        <w:spacing w:line="480" w:lineRule="auto"/>
        <w:ind w:firstLine="602" w:firstLineChars="200"/>
        <w:jc w:val="center"/>
        <w:outlineLvl w:val="0"/>
        <w:rPr>
          <w:rFonts w:hint="eastAsia" w:ascii="仿宋" w:hAnsi="仿宋" w:eastAsia="仿宋" w:cs="仿宋"/>
          <w:b/>
          <w:bCs/>
          <w:color w:val="auto"/>
          <w:spacing w:val="0"/>
          <w:kern w:val="2"/>
          <w:sz w:val="30"/>
          <w:szCs w:val="30"/>
          <w:highlight w:val="none"/>
          <w:lang w:val="en-US" w:eastAsia="zh-CN" w:bidi="ar-SA"/>
        </w:rPr>
      </w:pPr>
      <w:bookmarkStart w:id="73" w:name="_Toc180597610"/>
      <w:bookmarkStart w:id="74" w:name="_Toc382546952"/>
      <w:r>
        <w:rPr>
          <w:rFonts w:hint="eastAsia" w:ascii="仿宋" w:hAnsi="仿宋" w:eastAsia="仿宋" w:cs="仿宋"/>
          <w:b/>
          <w:bCs/>
          <w:color w:val="auto"/>
          <w:spacing w:val="0"/>
          <w:kern w:val="2"/>
          <w:sz w:val="30"/>
          <w:szCs w:val="30"/>
          <w:highlight w:val="none"/>
          <w:lang w:val="en-US" w:eastAsia="zh-CN" w:bidi="ar-SA"/>
        </w:rPr>
        <w:t>第五章  合同条款</w:t>
      </w:r>
      <w:bookmarkEnd w:id="73"/>
      <w:bookmarkEnd w:id="74"/>
    </w:p>
    <w:p w14:paraId="5F4AE555">
      <w:pPr>
        <w:pStyle w:val="28"/>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（本合同为合同样稿，最终稿由甲乙双方协商后确定。）</w:t>
      </w:r>
    </w:p>
    <w:p w14:paraId="6382D1E8">
      <w:pPr>
        <w:keepNext w:val="0"/>
        <w:keepLines w:val="0"/>
        <w:pageBreakBefore w:val="0"/>
        <w:kinsoku/>
        <w:wordWrap/>
        <w:topLinePunct w:val="0"/>
        <w:bidi w:val="0"/>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合  同  编  号：                </w:t>
      </w:r>
    </w:p>
    <w:p w14:paraId="214087D8">
      <w:pPr>
        <w:keepNext w:val="0"/>
        <w:keepLines w:val="0"/>
        <w:pageBreakBefore w:val="0"/>
        <w:kinsoku/>
        <w:wordWrap/>
        <w:topLinePunct w:val="0"/>
        <w:bidi w:val="0"/>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签约日期和地点：                 </w:t>
      </w:r>
    </w:p>
    <w:p w14:paraId="657327F9">
      <w:pPr>
        <w:keepNext w:val="0"/>
        <w:keepLines w:val="0"/>
        <w:pageBreakBefore w:val="0"/>
        <w:kinsoku/>
        <w:wordWrap/>
        <w:topLinePunct w:val="0"/>
        <w:bidi w:val="0"/>
        <w:spacing w:line="400" w:lineRule="exac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none"/>
          <w:lang w:val="en-US" w:eastAsia="zh-CN"/>
        </w:rPr>
        <w:t xml:space="preserve">       </w:t>
      </w:r>
    </w:p>
    <w:p w14:paraId="5D2DAF8B">
      <w:pPr>
        <w:keepNext w:val="0"/>
        <w:keepLines w:val="0"/>
        <w:pageBreakBefore w:val="0"/>
        <w:kinsoku/>
        <w:wordWrap/>
        <w:topLinePunct w:val="0"/>
        <w:bidi w:val="0"/>
        <w:spacing w:line="4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p>
    <w:p w14:paraId="5364F627">
      <w:pPr>
        <w:keepNext w:val="0"/>
        <w:keepLines w:val="0"/>
        <w:pageBreakBefore w:val="0"/>
        <w:widowControl/>
        <w:kinsoku/>
        <w:wordWrap/>
        <w:overflowPunct w:val="0"/>
        <w:topLinePunct w:val="0"/>
        <w:autoSpaceDE w:val="0"/>
        <w:autoSpaceDN w:val="0"/>
        <w:bidi w:val="0"/>
        <w:adjustRightInd w:val="0"/>
        <w:snapToGrid w:val="0"/>
        <w:spacing w:line="400" w:lineRule="exact"/>
        <w:ind w:left="-170" w:leftChars="-81" w:firstLine="420" w:firstLineChars="200"/>
        <w:jc w:val="left"/>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w:t>
      </w:r>
      <w:r>
        <w:rPr>
          <w:rFonts w:hint="eastAsia" w:ascii="仿宋" w:hAnsi="仿宋" w:eastAsia="仿宋" w:cs="仿宋"/>
          <w:color w:val="auto"/>
          <w:kern w:val="0"/>
          <w:sz w:val="21"/>
          <w:szCs w:val="21"/>
          <w:highlight w:val="none"/>
          <w:u w:val="single"/>
        </w:rPr>
        <w:t xml:space="preserve">    （项目名称）   </w:t>
      </w:r>
      <w:r>
        <w:rPr>
          <w:rFonts w:hint="eastAsia" w:ascii="仿宋" w:hAnsi="仿宋" w:eastAsia="仿宋" w:cs="仿宋"/>
          <w:color w:val="auto"/>
          <w:kern w:val="0"/>
          <w:sz w:val="21"/>
          <w:szCs w:val="21"/>
          <w:highlight w:val="none"/>
        </w:rPr>
        <w:t>公开招标采购结果（采购编号：</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），确定</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为中标单位，甲、乙双方经协商，达成以下条款：</w:t>
      </w:r>
    </w:p>
    <w:p w14:paraId="1C981A9E">
      <w:pPr>
        <w:keepNext w:val="0"/>
        <w:keepLines w:val="0"/>
        <w:pageBreakBefore w:val="0"/>
        <w:kinsoku/>
        <w:wordWrap/>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甲方的《招标文件》、乙方的《投标文件》及其澄清文件、中标通知书均为本合同不可分割部分。</w:t>
      </w:r>
    </w:p>
    <w:p w14:paraId="73D38CF9">
      <w:pPr>
        <w:keepNext w:val="0"/>
        <w:keepLines w:val="0"/>
        <w:pageBreakBefore w:val="0"/>
        <w:numPr>
          <w:ilvl w:val="0"/>
          <w:numId w:val="8"/>
        </w:numPr>
        <w:kinsoku/>
        <w:wordWrap/>
        <w:topLinePunct w:val="0"/>
        <w:bidi w:val="0"/>
        <w:spacing w:after="120" w:afterLines="50"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  合同金额、</w:t>
      </w:r>
      <w:r>
        <w:rPr>
          <w:rFonts w:hint="eastAsia" w:ascii="仿宋" w:hAnsi="仿宋" w:eastAsia="仿宋" w:cs="仿宋"/>
          <w:b/>
          <w:color w:val="auto"/>
          <w:sz w:val="21"/>
          <w:szCs w:val="21"/>
          <w:highlight w:val="none"/>
          <w:lang w:val="en-US" w:eastAsia="zh-CN"/>
        </w:rPr>
        <w:t>合同履行</w:t>
      </w:r>
      <w:r>
        <w:rPr>
          <w:rFonts w:hint="eastAsia" w:ascii="仿宋" w:hAnsi="仿宋" w:eastAsia="仿宋" w:cs="仿宋"/>
          <w:b/>
          <w:color w:val="auto"/>
          <w:sz w:val="21"/>
          <w:szCs w:val="21"/>
          <w:highlight w:val="none"/>
        </w:rPr>
        <w:t>期限：</w:t>
      </w:r>
    </w:p>
    <w:p w14:paraId="52CD1AEA">
      <w:pPr>
        <w:pStyle w:val="45"/>
        <w:keepNext w:val="0"/>
        <w:keepLines w:val="0"/>
        <w:pageBreakBefore w:val="0"/>
        <w:kinsoku/>
        <w:wordWrap/>
        <w:topLinePunct w:val="0"/>
        <w:bidi w:val="0"/>
        <w:spacing w:before="0" w:beforeAutospacing="0" w:after="0" w:afterAutospacing="0"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1、</w:t>
      </w:r>
      <w:r>
        <w:rPr>
          <w:rFonts w:hint="eastAsia" w:ascii="仿宋" w:hAnsi="仿宋" w:eastAsia="仿宋" w:cs="仿宋"/>
          <w:b/>
          <w:color w:val="auto"/>
          <w:sz w:val="21"/>
          <w:szCs w:val="21"/>
          <w:highlight w:val="none"/>
          <w:lang w:val="en-US" w:eastAsia="zh-CN"/>
        </w:rPr>
        <w:t>合同履行</w:t>
      </w:r>
      <w:r>
        <w:rPr>
          <w:rFonts w:hint="eastAsia" w:ascii="仿宋" w:hAnsi="仿宋" w:eastAsia="仿宋" w:cs="仿宋"/>
          <w:b/>
          <w:color w:val="auto"/>
          <w:sz w:val="21"/>
          <w:szCs w:val="21"/>
          <w:highlight w:val="none"/>
        </w:rPr>
        <w:t>期限</w:t>
      </w:r>
      <w:r>
        <w:rPr>
          <w:rFonts w:hint="eastAsia" w:ascii="仿宋" w:hAnsi="仿宋" w:eastAsia="仿宋" w:cs="仿宋"/>
          <w:color w:val="auto"/>
          <w:kern w:val="2"/>
          <w:sz w:val="21"/>
          <w:szCs w:val="21"/>
          <w:highlight w:val="none"/>
        </w:rPr>
        <w:t>：</w:t>
      </w:r>
      <w:r>
        <w:rPr>
          <w:rFonts w:hint="eastAsia" w:ascii="仿宋" w:hAnsi="仿宋" w:eastAsia="仿宋" w:cs="仿宋"/>
          <w:color w:val="auto"/>
          <w:sz w:val="22"/>
          <w:szCs w:val="22"/>
          <w:highlight w:val="none"/>
          <w:lang w:val="en-US" w:eastAsia="zh-CN"/>
        </w:rPr>
        <w:t>自合同签订之日起3年。</w:t>
      </w:r>
      <w:r>
        <w:rPr>
          <w:rFonts w:hint="eastAsia" w:ascii="仿宋" w:hAnsi="仿宋" w:eastAsia="仿宋" w:cs="仿宋"/>
          <w:bCs/>
          <w:color w:val="auto"/>
          <w:sz w:val="22"/>
          <w:szCs w:val="22"/>
          <w:highlight w:val="none"/>
          <w:lang w:val="en-US" w:eastAsia="zh-CN"/>
        </w:rPr>
        <w:t>合同一年一签，采购人根据乙方在上一阶段合同履约及考核情况、财政资金审批及相关政策情况决定是否续签。</w:t>
      </w:r>
    </w:p>
    <w:p w14:paraId="77B5E975">
      <w:pPr>
        <w:keepNext w:val="0"/>
        <w:keepLines w:val="0"/>
        <w:pageBreakBefore w:val="0"/>
        <w:kinsoku/>
        <w:wordWrap/>
        <w:topLinePunct w:val="0"/>
        <w:bidi w:val="0"/>
        <w:spacing w:line="400" w:lineRule="exact"/>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2、价格清单</w:t>
      </w:r>
    </w:p>
    <w:tbl>
      <w:tblPr>
        <w:tblStyle w:val="51"/>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892"/>
        <w:gridCol w:w="2200"/>
        <w:gridCol w:w="2147"/>
        <w:gridCol w:w="2134"/>
      </w:tblGrid>
      <w:tr w14:paraId="2D61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79A93F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6F002D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0B8F13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监测装置类型</w:t>
            </w:r>
          </w:p>
        </w:tc>
        <w:tc>
          <w:tcPr>
            <w:tcW w:w="2147" w:type="dxa"/>
            <w:tcBorders>
              <w:top w:val="single" w:color="auto" w:sz="4" w:space="0"/>
              <w:left w:val="single" w:color="auto" w:sz="4" w:space="0"/>
              <w:bottom w:val="single" w:color="auto" w:sz="4" w:space="0"/>
              <w:right w:val="single" w:color="auto" w:sz="4" w:space="0"/>
            </w:tcBorders>
            <w:vAlign w:val="center"/>
          </w:tcPr>
          <w:p w14:paraId="6AAB82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综合单价最高限价</w:t>
            </w:r>
          </w:p>
        </w:tc>
        <w:tc>
          <w:tcPr>
            <w:tcW w:w="2134" w:type="dxa"/>
            <w:tcBorders>
              <w:top w:val="single" w:color="auto" w:sz="4" w:space="0"/>
              <w:left w:val="single" w:color="auto" w:sz="4" w:space="0"/>
              <w:bottom w:val="single" w:color="auto" w:sz="4" w:space="0"/>
              <w:right w:val="single" w:color="auto" w:sz="4" w:space="0"/>
            </w:tcBorders>
            <w:vAlign w:val="center"/>
          </w:tcPr>
          <w:p w14:paraId="3479628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中标折扣率</w:t>
            </w:r>
          </w:p>
        </w:tc>
      </w:tr>
      <w:tr w14:paraId="4FAF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38E2707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4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0AB5A6">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监测装置后续检查维护</w:t>
            </w:r>
          </w:p>
        </w:tc>
        <w:tc>
          <w:tcPr>
            <w:tcW w:w="2147" w:type="dxa"/>
            <w:tcBorders>
              <w:top w:val="single" w:color="auto" w:sz="4" w:space="0"/>
              <w:left w:val="single" w:color="auto" w:sz="4" w:space="0"/>
              <w:bottom w:val="single" w:color="auto" w:sz="4" w:space="0"/>
              <w:right w:val="single" w:color="auto" w:sz="4" w:space="0"/>
            </w:tcBorders>
            <w:vAlign w:val="center"/>
          </w:tcPr>
          <w:p w14:paraId="42E9E9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13.42元/套·次</w:t>
            </w:r>
          </w:p>
        </w:tc>
        <w:tc>
          <w:tcPr>
            <w:tcW w:w="2134" w:type="dxa"/>
            <w:vMerge w:val="restart"/>
            <w:tcBorders>
              <w:left w:val="single" w:color="auto" w:sz="4" w:space="0"/>
              <w:right w:val="single" w:color="auto" w:sz="4" w:space="0"/>
            </w:tcBorders>
            <w:vAlign w:val="center"/>
          </w:tcPr>
          <w:p w14:paraId="10331D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p>
        </w:tc>
      </w:tr>
      <w:tr w14:paraId="05EC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23177DB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40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5C8288">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回访复查</w:t>
            </w:r>
          </w:p>
        </w:tc>
        <w:tc>
          <w:tcPr>
            <w:tcW w:w="2147" w:type="dxa"/>
            <w:tcBorders>
              <w:top w:val="single" w:color="auto" w:sz="4" w:space="0"/>
              <w:left w:val="single" w:color="auto" w:sz="4" w:space="0"/>
              <w:bottom w:val="single" w:color="auto" w:sz="4" w:space="0"/>
              <w:right w:val="single" w:color="auto" w:sz="4" w:space="0"/>
            </w:tcBorders>
            <w:vAlign w:val="center"/>
          </w:tcPr>
          <w:p w14:paraId="2B0FE5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0.071元/平方米·次（用地面积）</w:t>
            </w:r>
          </w:p>
        </w:tc>
        <w:tc>
          <w:tcPr>
            <w:tcW w:w="2134" w:type="dxa"/>
            <w:vMerge w:val="continue"/>
            <w:tcBorders>
              <w:left w:val="single" w:color="auto" w:sz="4" w:space="0"/>
              <w:right w:val="single" w:color="auto" w:sz="4" w:space="0"/>
            </w:tcBorders>
            <w:vAlign w:val="center"/>
          </w:tcPr>
          <w:p w14:paraId="0C01992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p>
        </w:tc>
      </w:tr>
      <w:tr w14:paraId="48D3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vMerge w:val="restart"/>
            <w:tcBorders>
              <w:top w:val="single" w:color="auto" w:sz="4" w:space="0"/>
              <w:left w:val="single" w:color="auto" w:sz="4" w:space="0"/>
              <w:right w:val="single" w:color="auto" w:sz="4" w:space="0"/>
            </w:tcBorders>
            <w:vAlign w:val="center"/>
          </w:tcPr>
          <w:p w14:paraId="6C8F9C5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892" w:type="dxa"/>
            <w:vMerge w:val="restart"/>
            <w:tcBorders>
              <w:top w:val="single" w:color="auto" w:sz="4" w:space="0"/>
              <w:left w:val="single" w:color="auto" w:sz="4" w:space="0"/>
              <w:right w:val="single" w:color="auto" w:sz="4" w:space="0"/>
            </w:tcBorders>
            <w:shd w:val="clear" w:color="auto" w:fill="auto"/>
            <w:vAlign w:val="center"/>
          </w:tcPr>
          <w:p w14:paraId="7D22F8FD">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回访灭治</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2F44812A">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140m</w:t>
            </w:r>
            <w:r>
              <w:rPr>
                <w:rFonts w:hint="eastAsia" w:ascii="仿宋" w:hAnsi="仿宋" w:eastAsia="仿宋" w:cs="仿宋"/>
                <w:color w:val="auto"/>
                <w:sz w:val="21"/>
                <w:szCs w:val="21"/>
                <w:highlight w:val="none"/>
                <w:vertAlign w:val="superscript"/>
                <w:lang w:val="en-US" w:eastAsia="zh-CN"/>
              </w:rPr>
              <w:t>2</w:t>
            </w:r>
            <w:r>
              <w:rPr>
                <w:rFonts w:hint="eastAsia" w:ascii="仿宋" w:hAnsi="仿宋" w:eastAsia="仿宋" w:cs="仿宋"/>
                <w:color w:val="auto"/>
                <w:sz w:val="21"/>
                <w:szCs w:val="21"/>
                <w:highlight w:val="none"/>
                <w:lang w:val="en-US" w:eastAsia="zh-CN"/>
              </w:rPr>
              <w:t>以下房屋</w:t>
            </w:r>
          </w:p>
        </w:tc>
        <w:tc>
          <w:tcPr>
            <w:tcW w:w="2147" w:type="dxa"/>
            <w:tcBorders>
              <w:top w:val="single" w:color="auto" w:sz="4" w:space="0"/>
              <w:left w:val="single" w:color="auto" w:sz="4" w:space="0"/>
              <w:bottom w:val="single" w:color="auto" w:sz="4" w:space="0"/>
              <w:right w:val="single" w:color="auto" w:sz="4" w:space="0"/>
            </w:tcBorders>
            <w:vAlign w:val="center"/>
          </w:tcPr>
          <w:p w14:paraId="6C3ED6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500元/户</w:t>
            </w:r>
          </w:p>
        </w:tc>
        <w:tc>
          <w:tcPr>
            <w:tcW w:w="2134" w:type="dxa"/>
            <w:vMerge w:val="continue"/>
            <w:tcBorders>
              <w:left w:val="single" w:color="auto" w:sz="4" w:space="0"/>
              <w:right w:val="single" w:color="auto" w:sz="4" w:space="0"/>
            </w:tcBorders>
            <w:vAlign w:val="center"/>
          </w:tcPr>
          <w:p w14:paraId="3A8B68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p>
        </w:tc>
      </w:tr>
      <w:tr w14:paraId="222B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63" w:type="dxa"/>
            <w:vMerge w:val="continue"/>
            <w:tcBorders>
              <w:left w:val="single" w:color="auto" w:sz="4" w:space="0"/>
              <w:bottom w:val="single" w:color="auto" w:sz="4" w:space="0"/>
              <w:right w:val="single" w:color="auto" w:sz="4" w:space="0"/>
            </w:tcBorders>
            <w:vAlign w:val="center"/>
          </w:tcPr>
          <w:p w14:paraId="7561974C">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color w:val="auto"/>
                <w:sz w:val="21"/>
                <w:szCs w:val="21"/>
                <w:highlight w:val="none"/>
              </w:rPr>
            </w:pPr>
          </w:p>
        </w:tc>
        <w:tc>
          <w:tcPr>
            <w:tcW w:w="1892" w:type="dxa"/>
            <w:vMerge w:val="continue"/>
            <w:tcBorders>
              <w:left w:val="single" w:color="auto" w:sz="4" w:space="0"/>
              <w:bottom w:val="single" w:color="auto" w:sz="4" w:space="0"/>
              <w:right w:val="single" w:color="auto" w:sz="4" w:space="0"/>
            </w:tcBorders>
            <w:shd w:val="clear" w:color="auto" w:fill="auto"/>
            <w:vAlign w:val="center"/>
          </w:tcPr>
          <w:p w14:paraId="641FA17E">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4BFE8C90">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140m</w:t>
            </w:r>
            <w:r>
              <w:rPr>
                <w:rFonts w:hint="eastAsia" w:ascii="仿宋" w:hAnsi="仿宋" w:eastAsia="仿宋" w:cs="仿宋"/>
                <w:color w:val="auto"/>
                <w:sz w:val="21"/>
                <w:szCs w:val="21"/>
                <w:highlight w:val="none"/>
                <w:vertAlign w:val="superscript"/>
              </w:rPr>
              <w:t>2</w:t>
            </w:r>
            <w:r>
              <w:rPr>
                <w:rFonts w:hint="eastAsia" w:ascii="仿宋" w:hAnsi="仿宋" w:eastAsia="仿宋" w:cs="仿宋"/>
                <w:color w:val="auto"/>
                <w:sz w:val="21"/>
                <w:szCs w:val="21"/>
                <w:highlight w:val="none"/>
              </w:rPr>
              <w:t>以</w:t>
            </w:r>
            <w:r>
              <w:rPr>
                <w:rFonts w:hint="eastAsia" w:ascii="仿宋" w:hAnsi="仿宋" w:eastAsia="仿宋" w:cs="仿宋"/>
                <w:color w:val="auto"/>
                <w:sz w:val="21"/>
                <w:szCs w:val="21"/>
                <w:highlight w:val="none"/>
                <w:lang w:val="en-US" w:eastAsia="zh-CN"/>
              </w:rPr>
              <w:t>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含140m</w:t>
            </w:r>
            <w:r>
              <w:rPr>
                <w:rFonts w:hint="eastAsia" w:ascii="仿宋" w:hAnsi="仿宋" w:eastAsia="仿宋" w:cs="仿宋"/>
                <w:color w:val="auto"/>
                <w:sz w:val="21"/>
                <w:szCs w:val="21"/>
                <w:highlight w:val="none"/>
                <w:vertAlign w:val="superscript"/>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房屋</w:t>
            </w:r>
          </w:p>
        </w:tc>
        <w:tc>
          <w:tcPr>
            <w:tcW w:w="2147" w:type="dxa"/>
            <w:tcBorders>
              <w:top w:val="single" w:color="auto" w:sz="4" w:space="0"/>
              <w:left w:val="single" w:color="auto" w:sz="4" w:space="0"/>
              <w:bottom w:val="single" w:color="auto" w:sz="4" w:space="0"/>
              <w:right w:val="single" w:color="auto" w:sz="4" w:space="0"/>
            </w:tcBorders>
            <w:vAlign w:val="center"/>
          </w:tcPr>
          <w:p w14:paraId="54AA08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550元/户</w:t>
            </w:r>
          </w:p>
        </w:tc>
        <w:tc>
          <w:tcPr>
            <w:tcW w:w="2134" w:type="dxa"/>
            <w:vMerge w:val="continue"/>
            <w:tcBorders>
              <w:left w:val="single" w:color="auto" w:sz="4" w:space="0"/>
              <w:right w:val="single" w:color="auto" w:sz="4" w:space="0"/>
            </w:tcBorders>
            <w:vAlign w:val="center"/>
          </w:tcPr>
          <w:p w14:paraId="34A0C66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p>
        </w:tc>
      </w:tr>
      <w:tr w14:paraId="5202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63" w:type="dxa"/>
            <w:vMerge w:val="restart"/>
            <w:tcBorders>
              <w:left w:val="single" w:color="auto" w:sz="4" w:space="0"/>
              <w:right w:val="single" w:color="auto" w:sz="4" w:space="0"/>
            </w:tcBorders>
            <w:vAlign w:val="center"/>
          </w:tcPr>
          <w:p w14:paraId="4FF80F5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892" w:type="dxa"/>
            <w:vMerge w:val="restart"/>
            <w:tcBorders>
              <w:left w:val="single" w:color="auto" w:sz="4" w:space="0"/>
              <w:right w:val="single" w:color="auto" w:sz="4" w:space="0"/>
            </w:tcBorders>
            <w:shd w:val="clear" w:color="auto" w:fill="auto"/>
            <w:vAlign w:val="center"/>
          </w:tcPr>
          <w:p w14:paraId="30E9185B">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新建房屋白蚁预防</w:t>
            </w:r>
            <w:r>
              <w:rPr>
                <w:rFonts w:hint="eastAsia" w:ascii="仿宋" w:hAnsi="仿宋" w:eastAsia="仿宋" w:cs="仿宋"/>
                <w:color w:val="auto"/>
                <w:sz w:val="21"/>
                <w:szCs w:val="21"/>
                <w:highlight w:val="none"/>
                <w:lang w:val="en-US" w:eastAsia="zh-CN"/>
              </w:rPr>
              <w:t>安装监测装置</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1EA32677">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地下型，含饵剂</w:t>
            </w:r>
          </w:p>
        </w:tc>
        <w:tc>
          <w:tcPr>
            <w:tcW w:w="2147" w:type="dxa"/>
            <w:tcBorders>
              <w:top w:val="single" w:color="auto" w:sz="4" w:space="0"/>
              <w:left w:val="single" w:color="auto" w:sz="4" w:space="0"/>
              <w:bottom w:val="single" w:color="auto" w:sz="4" w:space="0"/>
              <w:right w:val="single" w:color="auto" w:sz="4" w:space="0"/>
            </w:tcBorders>
            <w:vAlign w:val="center"/>
          </w:tcPr>
          <w:p w14:paraId="65774D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47.16元/套</w:t>
            </w:r>
          </w:p>
        </w:tc>
        <w:tc>
          <w:tcPr>
            <w:tcW w:w="2134" w:type="dxa"/>
            <w:vMerge w:val="continue"/>
            <w:tcBorders>
              <w:left w:val="single" w:color="auto" w:sz="4" w:space="0"/>
              <w:right w:val="single" w:color="auto" w:sz="4" w:space="0"/>
            </w:tcBorders>
            <w:vAlign w:val="center"/>
          </w:tcPr>
          <w:p w14:paraId="5C0F57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p>
        </w:tc>
      </w:tr>
      <w:tr w14:paraId="6956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63" w:type="dxa"/>
            <w:vMerge w:val="continue"/>
            <w:tcBorders>
              <w:left w:val="single" w:color="auto" w:sz="4" w:space="0"/>
              <w:bottom w:val="single" w:color="auto" w:sz="4" w:space="0"/>
              <w:right w:val="single" w:color="auto" w:sz="4" w:space="0"/>
            </w:tcBorders>
            <w:vAlign w:val="center"/>
          </w:tcPr>
          <w:p w14:paraId="11F7D50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rPr>
            </w:pPr>
          </w:p>
        </w:tc>
        <w:tc>
          <w:tcPr>
            <w:tcW w:w="1892" w:type="dxa"/>
            <w:vMerge w:val="continue"/>
            <w:tcBorders>
              <w:left w:val="single" w:color="auto" w:sz="4" w:space="0"/>
              <w:bottom w:val="single" w:color="auto" w:sz="4" w:space="0"/>
              <w:right w:val="single" w:color="auto" w:sz="4" w:space="0"/>
            </w:tcBorders>
            <w:shd w:val="clear" w:color="auto" w:fill="auto"/>
            <w:vAlign w:val="center"/>
          </w:tcPr>
          <w:p w14:paraId="4C26572E">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4AC304EF">
            <w:pPr>
              <w:keepNext w:val="0"/>
              <w:keepLines w:val="0"/>
              <w:pageBreakBefore w:val="0"/>
              <w:widowControl/>
              <w:suppressLineNumbers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全智能型</w:t>
            </w:r>
          </w:p>
        </w:tc>
        <w:tc>
          <w:tcPr>
            <w:tcW w:w="2147" w:type="dxa"/>
            <w:tcBorders>
              <w:top w:val="single" w:color="auto" w:sz="4" w:space="0"/>
              <w:left w:val="single" w:color="auto" w:sz="4" w:space="0"/>
              <w:bottom w:val="single" w:color="auto" w:sz="4" w:space="0"/>
              <w:right w:val="single" w:color="auto" w:sz="4" w:space="0"/>
            </w:tcBorders>
            <w:vAlign w:val="center"/>
          </w:tcPr>
          <w:p w14:paraId="0B416F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360.00元/套</w:t>
            </w:r>
          </w:p>
        </w:tc>
        <w:tc>
          <w:tcPr>
            <w:tcW w:w="2134" w:type="dxa"/>
            <w:vMerge w:val="continue"/>
            <w:tcBorders>
              <w:left w:val="single" w:color="auto" w:sz="4" w:space="0"/>
              <w:right w:val="single" w:color="auto" w:sz="4" w:space="0"/>
            </w:tcBorders>
            <w:vAlign w:val="center"/>
          </w:tcPr>
          <w:p w14:paraId="6D4644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p>
        </w:tc>
      </w:tr>
      <w:tr w14:paraId="6A2A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14:paraId="03B642A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备注说明</w:t>
            </w:r>
          </w:p>
        </w:tc>
        <w:tc>
          <w:tcPr>
            <w:tcW w:w="8373" w:type="dxa"/>
            <w:gridSpan w:val="4"/>
            <w:tcBorders>
              <w:top w:val="single" w:color="auto" w:sz="4" w:space="0"/>
              <w:left w:val="single" w:color="auto" w:sz="4" w:space="0"/>
              <w:bottom w:val="single" w:color="auto" w:sz="4" w:space="0"/>
            </w:tcBorders>
            <w:vAlign w:val="center"/>
          </w:tcPr>
          <w:p w14:paraId="2CBD0E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1、监测装置后续检查维护、回访复查、回访灭治所需项目任务由采购人提供；检查维护一年不少于2次；检查维护所用饵</w:t>
            </w:r>
            <w:r>
              <w:rPr>
                <w:rFonts w:ascii="仿宋" w:hAnsi="仿宋" w:eastAsia="仿宋" w:cs="仿宋"/>
                <w:color w:val="auto"/>
                <w:sz w:val="21"/>
                <w:szCs w:val="21"/>
                <w:highlight w:val="none"/>
                <w:lang w:val="en-US" w:eastAsia="zh-CN"/>
              </w:rPr>
              <w:t>料</w:t>
            </w:r>
            <w:r>
              <w:rPr>
                <w:rFonts w:hint="eastAsia" w:ascii="仿宋" w:hAnsi="仿宋" w:eastAsia="仿宋" w:cs="仿宋"/>
                <w:color w:val="auto"/>
                <w:sz w:val="21"/>
                <w:szCs w:val="21"/>
                <w:highlight w:val="none"/>
                <w:lang w:val="en-US" w:eastAsia="zh-CN"/>
              </w:rPr>
              <w:t>须与原装置匹配。</w:t>
            </w:r>
          </w:p>
          <w:p w14:paraId="350FAB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2、回访复查每个项目均按平均容积率2.5来计算用地面积。</w:t>
            </w:r>
          </w:p>
          <w:p w14:paraId="4917A4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3、本项目为单价招标项目，甲方不保证中标人的业务量，乙方需自行承担相关风险。</w:t>
            </w:r>
          </w:p>
          <w:p w14:paraId="726C01F6">
            <w:pPr>
              <w:pStyle w:val="66"/>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default"/>
                <w:color w:val="auto"/>
                <w:highlight w:val="none"/>
                <w:lang w:val="en-US" w:eastAsia="zh-CN"/>
              </w:rPr>
            </w:pPr>
            <w:r>
              <w:rPr>
                <w:rFonts w:hint="eastAsia" w:ascii="仿宋" w:hAnsi="仿宋" w:eastAsia="仿宋" w:cs="仿宋"/>
                <w:color w:val="auto"/>
                <w:sz w:val="21"/>
                <w:szCs w:val="21"/>
                <w:highlight w:val="none"/>
                <w:lang w:val="en-US" w:eastAsia="zh-CN"/>
              </w:rPr>
              <w:t>4、与本项目服务相关的所有</w:t>
            </w:r>
            <w:r>
              <w:rPr>
                <w:rFonts w:hint="eastAsia" w:ascii="仿宋" w:hAnsi="仿宋" w:eastAsia="仿宋" w:cs="仿宋"/>
                <w:color w:val="auto"/>
                <w:sz w:val="21"/>
                <w:szCs w:val="21"/>
                <w:highlight w:val="none"/>
              </w:rPr>
              <w:t>新建房屋白蚁预防</w:t>
            </w:r>
            <w:r>
              <w:rPr>
                <w:rFonts w:hint="eastAsia" w:ascii="仿宋" w:hAnsi="仿宋" w:eastAsia="仿宋" w:cs="仿宋"/>
                <w:color w:val="auto"/>
                <w:sz w:val="21"/>
                <w:szCs w:val="21"/>
                <w:highlight w:val="none"/>
                <w:lang w:val="en-US" w:eastAsia="zh-CN"/>
              </w:rPr>
              <w:t>监测装置的设施设备安装，在本项目服务期限中及服务期满后或在服务期限中出现</w:t>
            </w:r>
            <w:r>
              <w:rPr>
                <w:rFonts w:hint="eastAsia" w:ascii="仿宋" w:hAnsi="仿宋" w:eastAsia="仿宋" w:cs="仿宋"/>
                <w:bCs/>
                <w:color w:val="auto"/>
                <w:sz w:val="22"/>
                <w:szCs w:val="22"/>
                <w:highlight w:val="none"/>
                <w:shd w:val="clear" w:color="auto" w:fill="auto"/>
              </w:rPr>
              <w:t>合同终止</w:t>
            </w:r>
            <w:r>
              <w:rPr>
                <w:rFonts w:hint="eastAsia" w:ascii="仿宋" w:hAnsi="仿宋" w:eastAsia="仿宋" w:cs="仿宋"/>
                <w:bCs/>
                <w:color w:val="auto"/>
                <w:sz w:val="22"/>
                <w:szCs w:val="22"/>
                <w:highlight w:val="none"/>
                <w:shd w:val="clear" w:color="auto" w:fill="auto"/>
                <w:lang w:val="en-US" w:eastAsia="zh-CN"/>
              </w:rPr>
              <w:t>的情况，</w:t>
            </w:r>
            <w:r>
              <w:rPr>
                <w:rFonts w:hint="eastAsia" w:ascii="仿宋" w:hAnsi="仿宋" w:eastAsia="仿宋" w:cs="仿宋"/>
                <w:color w:val="auto"/>
                <w:sz w:val="21"/>
                <w:szCs w:val="21"/>
                <w:highlight w:val="none"/>
                <w:lang w:val="en-US" w:eastAsia="zh-CN"/>
              </w:rPr>
              <w:t>所有设施设备的归属权、所有权均归甲方所有，乙方不得拆除。</w:t>
            </w:r>
          </w:p>
        </w:tc>
      </w:tr>
    </w:tbl>
    <w:p w14:paraId="6C5FEB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right="0" w:firstLine="422" w:firstLineChars="200"/>
        <w:jc w:val="lef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注：</w:t>
      </w:r>
      <w:r>
        <w:rPr>
          <w:rFonts w:hint="eastAsia" w:ascii="仿宋" w:hAnsi="仿宋" w:eastAsia="仿宋" w:cs="仿宋"/>
          <w:b/>
          <w:bCs/>
          <w:color w:val="auto"/>
          <w:sz w:val="21"/>
          <w:szCs w:val="21"/>
          <w:highlight w:val="none"/>
          <w:lang w:val="en-US" w:eastAsia="zh-CN"/>
        </w:rPr>
        <w:t>项目具体实施时以甲方发出的任务单为准</w:t>
      </w:r>
      <w:r>
        <w:rPr>
          <w:rFonts w:hint="eastAsia" w:ascii="仿宋" w:hAnsi="仿宋" w:eastAsia="仿宋" w:cs="仿宋"/>
          <w:b/>
          <w:bCs/>
          <w:color w:val="auto"/>
          <w:kern w:val="0"/>
          <w:sz w:val="21"/>
          <w:szCs w:val="21"/>
          <w:highlight w:val="none"/>
          <w:lang w:val="en-US" w:eastAsia="zh-CN"/>
        </w:rPr>
        <w:t>。在项目实施过程中，根据各分项中标综合单价（中标综合单价=综合单价最高限价×中标折扣率）及任务单按实结算，乙方须自负盈亏。</w:t>
      </w:r>
    </w:p>
    <w:p w14:paraId="678ECDF6">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二</w:t>
      </w:r>
      <w:r>
        <w:rPr>
          <w:rFonts w:hint="eastAsia" w:ascii="仿宋" w:hAnsi="仿宋" w:eastAsia="仿宋" w:cs="仿宋"/>
          <w:b/>
          <w:color w:val="auto"/>
          <w:sz w:val="21"/>
          <w:szCs w:val="21"/>
          <w:highlight w:val="none"/>
        </w:rPr>
        <w:t>条  质量要求</w:t>
      </w:r>
    </w:p>
    <w:p w14:paraId="6210C821">
      <w:pPr>
        <w:keepNext w:val="0"/>
        <w:keepLines w:val="0"/>
        <w:pageBreakBefore w:val="0"/>
        <w:kinsoku/>
        <w:wordWrap/>
        <w:topLinePunct w:val="0"/>
        <w:bidi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符合我国国家有关技术规范要求和技术标准。</w:t>
      </w:r>
    </w:p>
    <w:p w14:paraId="407A2CF6">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三</w:t>
      </w:r>
      <w:r>
        <w:rPr>
          <w:rFonts w:hint="eastAsia" w:ascii="仿宋" w:hAnsi="仿宋" w:eastAsia="仿宋" w:cs="仿宋"/>
          <w:b/>
          <w:color w:val="auto"/>
          <w:sz w:val="21"/>
          <w:szCs w:val="21"/>
          <w:highlight w:val="none"/>
        </w:rPr>
        <w:t>条   付款方式</w:t>
      </w:r>
    </w:p>
    <w:p w14:paraId="7916E64C">
      <w:pPr>
        <w:keepNext w:val="0"/>
        <w:keepLines w:val="0"/>
        <w:pageBreakBefore w:val="0"/>
        <w:kinsoku/>
        <w:wordWrap/>
        <w:topLinePunct w:val="0"/>
        <w:bidi w:val="0"/>
        <w:spacing w:line="40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详见招标文件第</w:t>
      </w:r>
      <w:r>
        <w:rPr>
          <w:rFonts w:hint="eastAsia" w:ascii="仿宋" w:hAnsi="仿宋" w:eastAsia="仿宋" w:cs="仿宋"/>
          <w:color w:val="auto"/>
          <w:kern w:val="0"/>
          <w:sz w:val="21"/>
          <w:szCs w:val="21"/>
          <w:highlight w:val="none"/>
          <w:lang w:val="en-US" w:eastAsia="zh-CN"/>
        </w:rPr>
        <w:t>二</w:t>
      </w:r>
      <w:r>
        <w:rPr>
          <w:rFonts w:hint="eastAsia" w:ascii="仿宋" w:hAnsi="仿宋" w:eastAsia="仿宋" w:cs="仿宋"/>
          <w:color w:val="auto"/>
          <w:kern w:val="0"/>
          <w:sz w:val="21"/>
          <w:szCs w:val="21"/>
          <w:highlight w:val="none"/>
        </w:rPr>
        <w:t>章“商务</w:t>
      </w:r>
      <w:r>
        <w:rPr>
          <w:rFonts w:hint="eastAsia" w:ascii="仿宋" w:hAnsi="仿宋" w:eastAsia="仿宋" w:cs="仿宋"/>
          <w:color w:val="auto"/>
          <w:kern w:val="0"/>
          <w:sz w:val="21"/>
          <w:szCs w:val="21"/>
          <w:highlight w:val="none"/>
          <w:lang w:val="en-US" w:eastAsia="zh-CN"/>
        </w:rPr>
        <w:t>要求</w:t>
      </w:r>
      <w:r>
        <w:rPr>
          <w:rFonts w:hint="eastAsia" w:ascii="仿宋" w:hAnsi="仿宋" w:eastAsia="仿宋" w:cs="仿宋"/>
          <w:color w:val="auto"/>
          <w:kern w:val="0"/>
          <w:sz w:val="21"/>
          <w:szCs w:val="21"/>
          <w:highlight w:val="none"/>
        </w:rPr>
        <w:t>”。</w:t>
      </w:r>
    </w:p>
    <w:p w14:paraId="1BA9146A">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四</w:t>
      </w:r>
      <w:r>
        <w:rPr>
          <w:rFonts w:hint="eastAsia" w:ascii="仿宋" w:hAnsi="仿宋" w:eastAsia="仿宋" w:cs="仿宋"/>
          <w:b/>
          <w:color w:val="auto"/>
          <w:sz w:val="21"/>
          <w:szCs w:val="21"/>
          <w:highlight w:val="none"/>
        </w:rPr>
        <w:t>条 履约保证金</w:t>
      </w:r>
    </w:p>
    <w:p w14:paraId="1C97C4C9">
      <w:pPr>
        <w:keepNext w:val="0"/>
        <w:keepLines w:val="0"/>
        <w:pageBreakBefore w:val="0"/>
        <w:kinsoku/>
        <w:wordWrap/>
        <w:topLinePunct w:val="0"/>
        <w:bidi w:val="0"/>
        <w:spacing w:line="40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履约保证金金额：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元 。</w:t>
      </w:r>
    </w:p>
    <w:p w14:paraId="139AC696">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五</w:t>
      </w:r>
      <w:r>
        <w:rPr>
          <w:rFonts w:hint="eastAsia" w:ascii="仿宋" w:hAnsi="仿宋" w:eastAsia="仿宋" w:cs="仿宋"/>
          <w:b/>
          <w:color w:val="auto"/>
          <w:sz w:val="21"/>
          <w:szCs w:val="21"/>
          <w:highlight w:val="none"/>
        </w:rPr>
        <w:t>条   税费</w:t>
      </w:r>
    </w:p>
    <w:p w14:paraId="6E3E3713">
      <w:pPr>
        <w:keepNext w:val="0"/>
        <w:keepLines w:val="0"/>
        <w:pageBreakBefore w:val="0"/>
        <w:kinsoku/>
        <w:wordWrap/>
        <w:topLinePunct w:val="0"/>
        <w:bidi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本合同执行中相关的一切税费均由乙方负担。</w:t>
      </w:r>
    </w:p>
    <w:p w14:paraId="6F2099AF">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六</w:t>
      </w:r>
      <w:r>
        <w:rPr>
          <w:rFonts w:hint="eastAsia" w:ascii="仿宋" w:hAnsi="仿宋" w:eastAsia="仿宋" w:cs="仿宋"/>
          <w:b/>
          <w:color w:val="auto"/>
          <w:sz w:val="21"/>
          <w:szCs w:val="21"/>
          <w:highlight w:val="none"/>
        </w:rPr>
        <w:t xml:space="preserve">条   </w:t>
      </w:r>
      <w:r>
        <w:rPr>
          <w:rFonts w:hint="eastAsia" w:ascii="仿宋" w:hAnsi="仿宋" w:eastAsia="仿宋" w:cs="仿宋"/>
          <w:b/>
          <w:color w:val="auto"/>
          <w:sz w:val="21"/>
          <w:szCs w:val="21"/>
          <w:highlight w:val="none"/>
          <w:lang w:val="en-US" w:eastAsia="zh-CN"/>
        </w:rPr>
        <w:t>服务</w:t>
      </w:r>
      <w:r>
        <w:rPr>
          <w:rFonts w:hint="eastAsia" w:ascii="仿宋" w:hAnsi="仿宋" w:eastAsia="仿宋" w:cs="仿宋"/>
          <w:b/>
          <w:color w:val="auto"/>
          <w:sz w:val="21"/>
          <w:szCs w:val="21"/>
          <w:highlight w:val="none"/>
        </w:rPr>
        <w:t>范围</w:t>
      </w:r>
      <w:r>
        <w:rPr>
          <w:rFonts w:hint="eastAsia" w:ascii="仿宋" w:hAnsi="仿宋" w:eastAsia="仿宋" w:cs="仿宋"/>
          <w:b/>
          <w:color w:val="auto"/>
          <w:sz w:val="21"/>
          <w:szCs w:val="21"/>
          <w:highlight w:val="none"/>
          <w:lang w:val="en-US" w:eastAsia="zh-CN"/>
        </w:rPr>
        <w:t>及服务要求</w:t>
      </w:r>
    </w:p>
    <w:p w14:paraId="39716611">
      <w:pPr>
        <w:keepNext w:val="0"/>
        <w:keepLines w:val="0"/>
        <w:pageBreakBefore w:val="0"/>
        <w:kinsoku/>
        <w:wordWrap/>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服务范围：江北区（不包含慈城镇）</w:t>
      </w:r>
      <w:r>
        <w:rPr>
          <w:rFonts w:hint="eastAsia" w:ascii="仿宋" w:hAnsi="仿宋" w:eastAsia="仿宋" w:cs="仿宋"/>
          <w:color w:val="auto"/>
          <w:sz w:val="21"/>
          <w:szCs w:val="21"/>
          <w:highlight w:val="none"/>
        </w:rPr>
        <w:t>。</w:t>
      </w:r>
    </w:p>
    <w:p w14:paraId="28721F79">
      <w:pPr>
        <w:keepNext w:val="0"/>
        <w:keepLines w:val="0"/>
        <w:pageBreakBefore w:val="0"/>
        <w:kinsoku/>
        <w:wordWrap/>
        <w:topLinePunct w:val="0"/>
        <w:bidi w:val="0"/>
        <w:spacing w:line="400" w:lineRule="exact"/>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color w:val="auto"/>
          <w:sz w:val="21"/>
          <w:szCs w:val="21"/>
          <w:highlight w:val="none"/>
          <w:lang w:val="en-US" w:eastAsia="zh-CN"/>
        </w:rPr>
        <w:t xml:space="preserve"> 服务要求：具体详见第二章  采购需求</w:t>
      </w:r>
    </w:p>
    <w:p w14:paraId="0A1F98D3">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七</w:t>
      </w:r>
      <w:r>
        <w:rPr>
          <w:rFonts w:hint="eastAsia" w:ascii="仿宋" w:hAnsi="仿宋" w:eastAsia="仿宋" w:cs="仿宋"/>
          <w:b/>
          <w:color w:val="auto"/>
          <w:sz w:val="21"/>
          <w:szCs w:val="21"/>
          <w:highlight w:val="none"/>
        </w:rPr>
        <w:t>条  检验</w:t>
      </w:r>
    </w:p>
    <w:p w14:paraId="49FA7B35">
      <w:pPr>
        <w:keepNext w:val="0"/>
        <w:keepLines w:val="0"/>
        <w:pageBreakBefore w:val="0"/>
        <w:kinsoku/>
        <w:wordWrap/>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1、甲方有权派人员到生产现场跟踪检查，乙方不得以任何理由拒绝，并需提供配合。对于生产过程中发现的质量缺陷，需及时处理，否则因此造成对甲方产生一切损失，由乙方承担。</w:t>
      </w:r>
    </w:p>
    <w:p w14:paraId="33CA8F5D">
      <w:pPr>
        <w:keepNext w:val="0"/>
        <w:keepLines w:val="0"/>
        <w:pageBreakBefore w:val="0"/>
        <w:kinsoku/>
        <w:wordWrap/>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在发货之前，对货物的有关内在和外观质量、规格、性能、参数、数量和重量进行准确的和全面的检验，并出具其材料符合本合同规定的检验合格证书。该证书将作为提交给甲方付款单据的组成部分，但不应视为是对质量、规格、性能、参数、数量的最终质量确认。</w:t>
      </w:r>
    </w:p>
    <w:p w14:paraId="1FFFC87D">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八</w:t>
      </w:r>
      <w:r>
        <w:rPr>
          <w:rFonts w:hint="eastAsia" w:ascii="仿宋" w:hAnsi="仿宋" w:eastAsia="仿宋" w:cs="仿宋"/>
          <w:b/>
          <w:color w:val="auto"/>
          <w:sz w:val="21"/>
          <w:szCs w:val="21"/>
          <w:highlight w:val="none"/>
        </w:rPr>
        <w:t>条   合同双方的责任及义务</w:t>
      </w:r>
    </w:p>
    <w:p w14:paraId="4860BCC3">
      <w:pPr>
        <w:keepNext w:val="0"/>
        <w:keepLines w:val="0"/>
        <w:pageBreakBefore w:val="0"/>
        <w:kinsoku/>
        <w:wordWrap/>
        <w:topLinePunct w:val="0"/>
        <w:bidi w:val="0"/>
        <w:spacing w:line="400" w:lineRule="exact"/>
        <w:rPr>
          <w:rFonts w:hint="eastAsia" w:ascii="仿宋" w:hAnsi="仿宋" w:eastAsia="仿宋" w:cs="仿宋"/>
          <w:color w:val="auto"/>
          <w:sz w:val="22"/>
          <w:szCs w:val="22"/>
          <w:highlight w:val="none"/>
        </w:rPr>
      </w:pPr>
      <w:bookmarkStart w:id="75" w:name="_Toc81103167"/>
      <w:bookmarkStart w:id="76" w:name="_Toc215887382"/>
      <w:bookmarkStart w:id="77" w:name="_Toc253043118"/>
      <w:r>
        <w:rPr>
          <w:rFonts w:hint="eastAsia" w:ascii="仿宋" w:hAnsi="仿宋" w:eastAsia="仿宋" w:cs="仿宋"/>
          <w:bCs/>
          <w:color w:val="auto"/>
          <w:sz w:val="22"/>
          <w:szCs w:val="22"/>
          <w:highlight w:val="none"/>
        </w:rPr>
        <w:t>甲方：</w:t>
      </w:r>
    </w:p>
    <w:p w14:paraId="28CE23D9">
      <w:pPr>
        <w:keepNext w:val="0"/>
        <w:keepLines w:val="0"/>
        <w:pageBreakBefore w:val="0"/>
        <w:kinsoku/>
        <w:wordWrap/>
        <w:topLinePunct w:val="0"/>
        <w:bidi w:val="0"/>
        <w:spacing w:line="40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bCs/>
          <w:color w:val="auto"/>
          <w:sz w:val="22"/>
          <w:szCs w:val="22"/>
          <w:highlight w:val="none"/>
        </w:rPr>
        <w:t>甲方联系人：</w:t>
      </w:r>
      <w:r>
        <w:rPr>
          <w:rFonts w:hint="eastAsia" w:ascii="仿宋" w:hAnsi="仿宋" w:eastAsia="仿宋" w:cs="仿宋"/>
          <w:bCs/>
          <w:color w:val="auto"/>
          <w:sz w:val="22"/>
          <w:szCs w:val="22"/>
          <w:highlight w:val="none"/>
          <w:u w:val="single"/>
          <w:lang w:val="en-US" w:eastAsia="zh-CN"/>
        </w:rPr>
        <w:t xml:space="preserve">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联系电话：</w:t>
      </w:r>
      <w:r>
        <w:rPr>
          <w:rFonts w:hint="eastAsia" w:ascii="仿宋" w:hAnsi="仿宋" w:eastAsia="仿宋" w:cs="仿宋"/>
          <w:bCs/>
          <w:color w:val="auto"/>
          <w:sz w:val="22"/>
          <w:szCs w:val="22"/>
          <w:highlight w:val="none"/>
          <w:u w:val="single"/>
          <w:lang w:val="en-US" w:eastAsia="zh-CN"/>
        </w:rPr>
        <w:t xml:space="preserve">     </w:t>
      </w:r>
      <w:r>
        <w:rPr>
          <w:rFonts w:hint="eastAsia" w:ascii="仿宋" w:hAnsi="仿宋" w:eastAsia="仿宋" w:cs="仿宋"/>
          <w:bCs/>
          <w:color w:val="auto"/>
          <w:sz w:val="22"/>
          <w:szCs w:val="22"/>
          <w:highlight w:val="none"/>
        </w:rPr>
        <w:t>。</w:t>
      </w:r>
    </w:p>
    <w:p w14:paraId="18665DE4">
      <w:pPr>
        <w:keepNext w:val="0"/>
        <w:keepLines w:val="0"/>
        <w:pageBreakBefore w:val="0"/>
        <w:kinsoku/>
        <w:wordWrap/>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bCs/>
          <w:color w:val="auto"/>
          <w:sz w:val="22"/>
          <w:szCs w:val="22"/>
          <w:highlight w:val="none"/>
        </w:rPr>
        <w:t>（</w:t>
      </w:r>
      <w:r>
        <w:rPr>
          <w:rFonts w:hint="eastAsia" w:ascii="仿宋" w:hAnsi="仿宋" w:eastAsia="仿宋" w:cs="仿宋"/>
          <w:color w:val="auto"/>
          <w:sz w:val="21"/>
          <w:szCs w:val="21"/>
          <w:highlight w:val="none"/>
        </w:rPr>
        <w:t>2）甲方按协议约定支付服务费。</w:t>
      </w:r>
    </w:p>
    <w:p w14:paraId="27525A02">
      <w:pPr>
        <w:keepNext w:val="0"/>
        <w:keepLines w:val="0"/>
        <w:pageBreakBefore w:val="0"/>
        <w:kinsoku/>
        <w:wordWrap/>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（3）在项目实施期间，甲方协助乙方解决工作现场遇到的特殊问题。</w:t>
      </w:r>
    </w:p>
    <w:p w14:paraId="0BD98B06">
      <w:pPr>
        <w:keepNext w:val="0"/>
        <w:keepLines w:val="0"/>
        <w:pageBreakBefore w:val="0"/>
        <w:kinsoku/>
        <w:wordWrap/>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（4）甲方有权对乙方服务进行检查，并根据实际需求提出合理要求。</w:t>
      </w:r>
    </w:p>
    <w:p w14:paraId="6254553D">
      <w:pPr>
        <w:keepNext w:val="0"/>
        <w:keepLines w:val="0"/>
        <w:pageBreakBefore w:val="0"/>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乙方：</w:t>
      </w:r>
    </w:p>
    <w:p w14:paraId="4FF0F1C4">
      <w:pPr>
        <w:keepNext w:val="0"/>
        <w:keepLines w:val="0"/>
        <w:pageBreakBefore w:val="0"/>
        <w:numPr>
          <w:ilvl w:val="0"/>
          <w:numId w:val="9"/>
        </w:numPr>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乙方项目负责人：</w:t>
      </w:r>
      <w:r>
        <w:rPr>
          <w:rFonts w:hint="eastAsia" w:ascii="仿宋" w:hAnsi="仿宋" w:eastAsia="仿宋" w:cs="仿宋"/>
          <w:bCs/>
          <w:color w:val="auto"/>
          <w:sz w:val="22"/>
          <w:szCs w:val="22"/>
          <w:highlight w:val="none"/>
          <w:u w:val="single"/>
          <w:lang w:val="en-US" w:eastAsia="zh-CN"/>
        </w:rPr>
        <w:t xml:space="preserve">     </w:t>
      </w:r>
      <w:r>
        <w:rPr>
          <w:rFonts w:hint="eastAsia" w:ascii="仿宋" w:hAnsi="仿宋" w:eastAsia="仿宋" w:cs="仿宋"/>
          <w:bCs/>
          <w:color w:val="auto"/>
          <w:sz w:val="22"/>
          <w:szCs w:val="22"/>
          <w:highlight w:val="none"/>
        </w:rPr>
        <w:t>联系电话：</w:t>
      </w:r>
      <w:r>
        <w:rPr>
          <w:rFonts w:hint="eastAsia" w:ascii="仿宋" w:hAnsi="仿宋" w:eastAsia="仿宋" w:cs="仿宋"/>
          <w:bCs/>
          <w:color w:val="auto"/>
          <w:sz w:val="22"/>
          <w:szCs w:val="22"/>
          <w:highlight w:val="none"/>
          <w:u w:val="single"/>
          <w:lang w:val="en-US" w:eastAsia="zh-CN"/>
        </w:rPr>
        <w:t xml:space="preserve">     </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未经甲方同意，乙方不得擅自更换项目负责人。</w:t>
      </w:r>
    </w:p>
    <w:p w14:paraId="2C502DB2">
      <w:pPr>
        <w:keepNext w:val="0"/>
        <w:keepLines w:val="0"/>
        <w:pageBreakBefore w:val="0"/>
        <w:numPr>
          <w:ilvl w:val="0"/>
          <w:numId w:val="9"/>
        </w:numPr>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乙方派驻的员工应具备丰富经验及工作资质，甲方根据乙方工作人员的工作能力及表现，有权要求乙方更换工作人员。未经甲方同意，乙方不得擅自更换。</w:t>
      </w:r>
    </w:p>
    <w:p w14:paraId="522D094A">
      <w:pPr>
        <w:keepNext w:val="0"/>
        <w:keepLines w:val="0"/>
        <w:pageBreakBefore w:val="0"/>
        <w:numPr>
          <w:ilvl w:val="0"/>
          <w:numId w:val="9"/>
        </w:numPr>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乙方负责白蚁防治设施的建设和日常维修保养，乙方进行作业所用的专业机械，工具及各种杀虫剂等物种均自行负责。</w:t>
      </w:r>
    </w:p>
    <w:p w14:paraId="08152D9A">
      <w:pPr>
        <w:keepNext w:val="0"/>
        <w:keepLines w:val="0"/>
        <w:pageBreakBefore w:val="0"/>
        <w:kinsoku/>
        <w:wordWrap/>
        <w:topLinePunct w:val="0"/>
        <w:bidi w:val="0"/>
        <w:spacing w:line="40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bCs/>
          <w:color w:val="auto"/>
          <w:sz w:val="22"/>
          <w:szCs w:val="22"/>
          <w:highlight w:val="none"/>
        </w:rPr>
        <w:t>乙方严格按照经甲方审定通过的方案布点，并对</w:t>
      </w:r>
      <w:r>
        <w:rPr>
          <w:rFonts w:hint="eastAsia" w:ascii="仿宋" w:hAnsi="仿宋" w:eastAsia="仿宋" w:cs="仿宋"/>
          <w:color w:val="auto"/>
          <w:sz w:val="22"/>
          <w:szCs w:val="22"/>
          <w:highlight w:val="none"/>
        </w:rPr>
        <w:t>装置（包括诱饵站）进行编号。</w:t>
      </w:r>
    </w:p>
    <w:p w14:paraId="7EC2E55E">
      <w:pPr>
        <w:keepNext w:val="0"/>
        <w:keepLines w:val="0"/>
        <w:pageBreakBefore w:val="0"/>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乙方应负责技术人员的全面管理工作。乙方应严格按照国家及项目地的有关劳动法规与相关服务人员建立劳动或劳务关系，不得无故拖欠员工薪金，如与相关服务人员发生任何纠纷由乙方负责处理并承担由此产生的一切责任。</w:t>
      </w:r>
    </w:p>
    <w:p w14:paraId="7850AFBA">
      <w:pPr>
        <w:keepNext w:val="0"/>
        <w:keepLines w:val="0"/>
        <w:pageBreakBefore w:val="0"/>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（6）乙方相关服务人员造成自身或第三人人身财产损失的均由乙方承担全部责任，与甲方无涉。</w:t>
      </w:r>
    </w:p>
    <w:p w14:paraId="7EC7F31B">
      <w:pPr>
        <w:keepNext w:val="0"/>
        <w:keepLines w:val="0"/>
        <w:pageBreakBefore w:val="0"/>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（7）乙方需遵守国家法律法规以及甲方的有关规章制度和协议要求。</w:t>
      </w:r>
    </w:p>
    <w:p w14:paraId="42D499B5">
      <w:pPr>
        <w:keepNext w:val="0"/>
        <w:keepLines w:val="0"/>
        <w:pageBreakBefore w:val="0"/>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（8）乙方应确保甲方建筑物和构筑物不被破坏，必要时需经过甲方同意，否则一切损失由乙方承担；如因甲方指挥错误所造成的损失，由甲方承担责任。</w:t>
      </w:r>
    </w:p>
    <w:p w14:paraId="2C672AA1">
      <w:pPr>
        <w:keepNext w:val="0"/>
        <w:keepLines w:val="0"/>
        <w:pageBreakBefore w:val="0"/>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（9）乙方要确保合同实施阶段人身和财产安全，因乙方治理不及时不达标等乙方原因造成甲方或第三人人身财产损失的，乙方承担由此造成的全部损失。</w:t>
      </w:r>
    </w:p>
    <w:p w14:paraId="0E738826">
      <w:pPr>
        <w:keepNext w:val="0"/>
        <w:keepLines w:val="0"/>
        <w:pageBreakBefore w:val="0"/>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（10）乙方做到文明施工，进入管理区域内进行服务工作的员工应遵守各项规章制度和操作流程，服从景区管理人员的安排，做到不影响商户正常营业、不影响景区的日常工作。</w:t>
      </w:r>
    </w:p>
    <w:p w14:paraId="20A2F767">
      <w:pPr>
        <w:keepNext w:val="0"/>
        <w:keepLines w:val="0"/>
        <w:pageBreakBefore w:val="0"/>
        <w:kinsoku/>
        <w:wordWrap/>
        <w:topLinePunct w:val="0"/>
        <w:bidi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（11）乙方应严格按照合同约定履行白蚁综合治理服务。</w:t>
      </w:r>
    </w:p>
    <w:bookmarkEnd w:id="75"/>
    <w:bookmarkEnd w:id="76"/>
    <w:bookmarkEnd w:id="77"/>
    <w:p w14:paraId="6ED9CEFC">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九</w:t>
      </w:r>
      <w:r>
        <w:rPr>
          <w:rFonts w:hint="eastAsia" w:ascii="仿宋" w:hAnsi="仿宋" w:eastAsia="仿宋" w:cs="仿宋"/>
          <w:b/>
          <w:color w:val="auto"/>
          <w:sz w:val="21"/>
          <w:szCs w:val="21"/>
          <w:highlight w:val="none"/>
        </w:rPr>
        <w:t>条   安全</w:t>
      </w:r>
    </w:p>
    <w:p w14:paraId="2D9A62C5">
      <w:pPr>
        <w:keepNext w:val="0"/>
        <w:keepLines w:val="0"/>
        <w:pageBreakBefore w:val="0"/>
        <w:kinsoku/>
        <w:wordWrap/>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乙方必须无条件满足甲方的安全生产管理要求，如乙方原因引起的任何安全事故，与甲方无涉。</w:t>
      </w:r>
    </w:p>
    <w:p w14:paraId="5EE08761">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第十条   不可抗力</w:t>
      </w:r>
    </w:p>
    <w:p w14:paraId="2B951255">
      <w:pPr>
        <w:keepNext w:val="0"/>
        <w:keepLines w:val="0"/>
        <w:pageBreakBefore w:val="0"/>
        <w:kinsoku/>
        <w:wordWrap/>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双方当事人中任一方由于受诸如战争、严重火灾、洪水、台风、地震等不可抗力事故的影响而不能执行本合同时，履行合同的期限应予以延长，则延长的期限应相当于事故所影响的时间。不可抗力系指双方在缔结本合同时所不能预见的，并且它的发生及其后果是无法避免或无法克服的。</w:t>
      </w:r>
    </w:p>
    <w:p w14:paraId="790E4B9D">
      <w:pPr>
        <w:keepNext w:val="0"/>
        <w:keepLines w:val="0"/>
        <w:pageBreakBefore w:val="0"/>
        <w:kinsoku/>
        <w:wordWrap/>
        <w:topLinePunct w:val="0"/>
        <w:bidi w:val="0"/>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受阻一方应在不可抗力发生后尽快用电话、传真或邮件及时通知对方，并于事故发生后14日内将有关当局出具的证明文件用特快专递或挂号信等方式提交对方审阅确认。一旦不可抗力事故的影响持续120日以上，双方应通过友好协商在合理的时间内达成进一步履行合同的协议。</w:t>
      </w:r>
    </w:p>
    <w:p w14:paraId="6C5DE72B">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一</w:t>
      </w:r>
      <w:r>
        <w:rPr>
          <w:rFonts w:hint="eastAsia" w:ascii="仿宋" w:hAnsi="仿宋" w:eastAsia="仿宋" w:cs="仿宋"/>
          <w:b/>
          <w:color w:val="auto"/>
          <w:sz w:val="21"/>
          <w:szCs w:val="21"/>
          <w:highlight w:val="none"/>
        </w:rPr>
        <w:t xml:space="preserve">条   </w:t>
      </w:r>
      <w:r>
        <w:rPr>
          <w:rFonts w:hint="eastAsia" w:ascii="仿宋" w:hAnsi="仿宋" w:eastAsia="仿宋" w:cs="仿宋"/>
          <w:b/>
          <w:color w:val="auto"/>
          <w:sz w:val="21"/>
          <w:szCs w:val="21"/>
          <w:highlight w:val="none"/>
          <w:lang w:val="en-US" w:eastAsia="zh-CN"/>
        </w:rPr>
        <w:t>整改措施</w:t>
      </w:r>
    </w:p>
    <w:p w14:paraId="2FBF0A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质量检查中若发现监测装置安装位置明显不符合技术规程和招标文件要求，或实际操作与标示图、《房屋白蚁预防工程（监测控制）项目质量检查表》填写内容明显不符，安装数量存在明显弄虚作假等质量问题，则对该工程质量做不合格处理，发整改通知书，要求当天或第二天内整改到位、提交书面整改报告书，扣除5000元，在经费结算时扣除；若整改仍不到位，则该工程经费不予结算，直到整改到位为止，否则再扣除5000元。</w:t>
      </w:r>
    </w:p>
    <w:p w14:paraId="7383DD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预防项目交接后，若不按时施工，造成建设单位或住户不满意意见反馈，口头责令当天或第二天做出整改响应；若仍无故拖拉，则发整改通知书，要求当天或第二天整改到位、提交书面整改报告书，扣除5000元，在经费结算时扣除；若再出现上述工程质量问题，再发整改通知书，该工程经费不予结算，直到整改到位为止，否则再扣除5000元。</w:t>
      </w:r>
    </w:p>
    <w:p w14:paraId="091AA9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监控技术后续检查维护应按上述质量管理要求检查维护到位，如质量检查中发现实际操作与《房屋白蚁预防工程（监测控制）检查、维护与处理记录表》填写内容明显不符，工作敷衍了事，存在弄虚作假行为的，则发整改通知书责令当天或第二天整改到位，并要求提交书面整改报告书，扣除5000元，在经费结算时扣除；若整改仍不到位，该工程项目经费不予结算，直到整改到位为止，否则再扣除5000元。</w:t>
      </w:r>
    </w:p>
    <w:p w14:paraId="476D8A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回访复查应按上述质量管理要求回访复查到位，如质量检查中发现实际操作与《房屋白蚁预防工程（药物屏障）复查回访表》填写内容明显不符，存在明显弄虚作假行为，则发整改通知书责令整改，要求提交书面整改报告书，扣除5000元，在经费结算时扣除；若整改仍不到位，该工程项目经费不予结算，直到整改到位为止，否则再扣除5000元。</w:t>
      </w:r>
    </w:p>
    <w:p w14:paraId="68FAF795">
      <w:pPr>
        <w:pStyle w:val="28"/>
        <w:keepNext w:val="0"/>
        <w:keepLines w:val="0"/>
        <w:pageBreakBefore w:val="0"/>
        <w:widowControl w:val="0"/>
        <w:kinsoku/>
        <w:wordWrap/>
        <w:overflowPunct/>
        <w:topLinePunct w:val="0"/>
        <w:bidi w:val="0"/>
        <w:adjustRightInd/>
        <w:snapToGrid w:val="0"/>
        <w:spacing w:before="156" w:after="156"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二</w:t>
      </w:r>
      <w:r>
        <w:rPr>
          <w:rFonts w:hint="eastAsia" w:ascii="仿宋" w:hAnsi="仿宋" w:eastAsia="仿宋" w:cs="仿宋"/>
          <w:b/>
          <w:color w:val="auto"/>
          <w:sz w:val="21"/>
          <w:szCs w:val="21"/>
          <w:highlight w:val="none"/>
        </w:rPr>
        <w:t>条</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违约责任</w:t>
      </w:r>
    </w:p>
    <w:p w14:paraId="13B1A1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乙方未能如期提供服务的，每日向甲方支付合同款项的千分之六作为违约金。乙方超过约定日期10个工作日仍不能提供服务的，甲方可解除本合同。乙方因未能如期提供服务或因其他违约行为导致乙方</w:t>
      </w:r>
      <w:r>
        <w:rPr>
          <w:rFonts w:ascii="仿宋" w:hAnsi="仿宋" w:eastAsia="仿宋" w:cs="仿宋"/>
          <w:color w:val="auto"/>
          <w:sz w:val="21"/>
          <w:szCs w:val="21"/>
          <w:highlight w:val="none"/>
          <w:lang w:val="en-US" w:eastAsia="zh-CN"/>
        </w:rPr>
        <w:t>被</w:t>
      </w:r>
      <w:r>
        <w:rPr>
          <w:rFonts w:hint="eastAsia" w:ascii="仿宋" w:hAnsi="仿宋" w:eastAsia="仿宋" w:cs="仿宋"/>
          <w:color w:val="auto"/>
          <w:sz w:val="21"/>
          <w:szCs w:val="21"/>
          <w:highlight w:val="none"/>
          <w:lang w:val="en-US" w:eastAsia="zh-CN"/>
        </w:rPr>
        <w:t>解除合同的，乙方应向甲方支付暂定合同金额5%的违约金，如造成甲方损失超过违约金的，超出部分由乙方继续承担赔偿责任。</w:t>
      </w:r>
    </w:p>
    <w:p w14:paraId="283957C6">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三</w:t>
      </w:r>
      <w:r>
        <w:rPr>
          <w:rFonts w:hint="eastAsia" w:ascii="仿宋" w:hAnsi="仿宋" w:eastAsia="仿宋" w:cs="仿宋"/>
          <w:b/>
          <w:color w:val="auto"/>
          <w:sz w:val="21"/>
          <w:szCs w:val="21"/>
          <w:highlight w:val="none"/>
        </w:rPr>
        <w:t>条   诉讼</w:t>
      </w:r>
    </w:p>
    <w:p w14:paraId="5162BBCC">
      <w:pPr>
        <w:keepNext w:val="0"/>
        <w:keepLines w:val="0"/>
        <w:pageBreakBefore w:val="0"/>
        <w:kinsoku/>
        <w:wordWrap/>
        <w:topLinePunct w:val="0"/>
        <w:bidi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双方在执行合同中所发生的一切争议，应通过协商解决。如协商不成，可向合同履行地法院起诉。</w:t>
      </w:r>
    </w:p>
    <w:p w14:paraId="563087F6">
      <w:pPr>
        <w:keepNext w:val="0"/>
        <w:keepLines w:val="0"/>
        <w:pageBreakBefore w:val="0"/>
        <w:widowControl/>
        <w:kinsoku/>
        <w:wordWrap/>
        <w:overflowPunct w:val="0"/>
        <w:topLinePunct w:val="0"/>
        <w:autoSpaceDE w:val="0"/>
        <w:autoSpaceDN w:val="0"/>
        <w:bidi w:val="0"/>
        <w:adjustRightInd w:val="0"/>
        <w:snapToGrid w:val="0"/>
        <w:spacing w:line="400" w:lineRule="exact"/>
        <w:jc w:val="left"/>
        <w:textAlignment w:val="baseline"/>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w:t>
      </w:r>
      <w:r>
        <w:rPr>
          <w:rFonts w:hint="eastAsia" w:ascii="仿宋" w:hAnsi="仿宋" w:eastAsia="仿宋" w:cs="仿宋"/>
          <w:b/>
          <w:bCs/>
          <w:color w:val="auto"/>
          <w:kern w:val="0"/>
          <w:sz w:val="21"/>
          <w:szCs w:val="21"/>
          <w:highlight w:val="none"/>
          <w:lang w:val="en-US" w:eastAsia="zh-CN"/>
        </w:rPr>
        <w:t>三</w:t>
      </w:r>
      <w:r>
        <w:rPr>
          <w:rFonts w:hint="eastAsia" w:ascii="仿宋" w:hAnsi="仿宋" w:eastAsia="仿宋" w:cs="仿宋"/>
          <w:b/>
          <w:bCs/>
          <w:color w:val="auto"/>
          <w:kern w:val="0"/>
          <w:sz w:val="21"/>
          <w:szCs w:val="21"/>
          <w:highlight w:val="none"/>
        </w:rPr>
        <w:t>条   合同的生效</w:t>
      </w:r>
    </w:p>
    <w:p w14:paraId="7285B5A4">
      <w:pPr>
        <w:keepNext w:val="0"/>
        <w:keepLines w:val="0"/>
        <w:pageBreakBefore w:val="0"/>
        <w:widowControl/>
        <w:kinsoku/>
        <w:wordWrap/>
        <w:overflowPunct w:val="0"/>
        <w:topLinePunct w:val="0"/>
        <w:autoSpaceDE w:val="0"/>
        <w:autoSpaceDN w:val="0"/>
        <w:bidi w:val="0"/>
        <w:adjustRightInd w:val="0"/>
        <w:snapToGrid w:val="0"/>
        <w:spacing w:line="400" w:lineRule="exact"/>
        <w:ind w:left="-171" w:firstLine="420" w:firstLineChars="200"/>
        <w:jc w:val="left"/>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本合同在甲乙方双方法定代表人或其委托人签字并加盖双方公章后生效。</w:t>
      </w:r>
    </w:p>
    <w:p w14:paraId="62165607">
      <w:pPr>
        <w:keepNext w:val="0"/>
        <w:keepLines w:val="0"/>
        <w:pageBreakBefore w:val="0"/>
        <w:widowControl/>
        <w:kinsoku/>
        <w:wordWrap/>
        <w:overflowPunct w:val="0"/>
        <w:topLinePunct w:val="0"/>
        <w:autoSpaceDE w:val="0"/>
        <w:autoSpaceDN w:val="0"/>
        <w:bidi w:val="0"/>
        <w:adjustRightInd w:val="0"/>
        <w:snapToGrid w:val="0"/>
        <w:spacing w:line="400" w:lineRule="exact"/>
        <w:ind w:left="-171" w:firstLine="420" w:firstLineChars="200"/>
        <w:jc w:val="left"/>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本合同一式</w:t>
      </w:r>
      <w:r>
        <w:rPr>
          <w:rFonts w:hint="eastAsia" w:ascii="仿宋" w:hAnsi="仿宋" w:eastAsia="仿宋" w:cs="仿宋"/>
          <w:color w:val="auto"/>
          <w:kern w:val="0"/>
          <w:sz w:val="21"/>
          <w:szCs w:val="21"/>
          <w:highlight w:val="none"/>
          <w:lang w:val="en-US" w:eastAsia="zh-CN"/>
        </w:rPr>
        <w:t>四</w:t>
      </w:r>
      <w:r>
        <w:rPr>
          <w:rFonts w:hint="eastAsia" w:ascii="仿宋" w:hAnsi="仿宋" w:eastAsia="仿宋" w:cs="仿宋"/>
          <w:color w:val="auto"/>
          <w:kern w:val="0"/>
          <w:sz w:val="21"/>
          <w:szCs w:val="21"/>
          <w:highlight w:val="none"/>
        </w:rPr>
        <w:t>份，甲乙双方各执二份。</w:t>
      </w:r>
    </w:p>
    <w:p w14:paraId="76F9D4DA">
      <w:pPr>
        <w:keepNext w:val="0"/>
        <w:keepLines w:val="0"/>
        <w:pageBreakBefore w:val="0"/>
        <w:widowControl/>
        <w:kinsoku/>
        <w:wordWrap/>
        <w:overflowPunct w:val="0"/>
        <w:topLinePunct w:val="0"/>
        <w:autoSpaceDE w:val="0"/>
        <w:autoSpaceDN w:val="0"/>
        <w:bidi w:val="0"/>
        <w:adjustRightInd w:val="0"/>
        <w:snapToGrid w:val="0"/>
        <w:spacing w:line="400" w:lineRule="exact"/>
        <w:ind w:left="-171"/>
        <w:jc w:val="left"/>
        <w:textAlignment w:val="baseline"/>
        <w:rPr>
          <w:rFonts w:hint="eastAsia" w:ascii="仿宋" w:hAnsi="仿宋" w:eastAsia="仿宋" w:cs="仿宋"/>
          <w:b/>
          <w:bCs/>
          <w:color w:val="auto"/>
          <w:kern w:val="0"/>
          <w:sz w:val="21"/>
          <w:szCs w:val="21"/>
          <w:highlight w:val="none"/>
        </w:rPr>
      </w:pPr>
    </w:p>
    <w:p w14:paraId="3292A019">
      <w:pPr>
        <w:keepNext w:val="0"/>
        <w:keepLines w:val="0"/>
        <w:pageBreakBefore w:val="0"/>
        <w:widowControl/>
        <w:kinsoku/>
        <w:wordWrap/>
        <w:overflowPunct w:val="0"/>
        <w:topLinePunct w:val="0"/>
        <w:autoSpaceDE w:val="0"/>
        <w:autoSpaceDN w:val="0"/>
        <w:bidi w:val="0"/>
        <w:adjustRightInd w:val="0"/>
        <w:snapToGrid w:val="0"/>
        <w:spacing w:line="400" w:lineRule="exact"/>
        <w:ind w:left="-171" w:firstLine="211" w:firstLineChars="100"/>
        <w:jc w:val="left"/>
        <w:textAlignment w:val="baseline"/>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甲方（公章）：                                     乙方（公章）：</w:t>
      </w:r>
    </w:p>
    <w:p w14:paraId="5DD4C08F">
      <w:pPr>
        <w:keepNext w:val="0"/>
        <w:keepLines w:val="0"/>
        <w:pageBreakBefore w:val="0"/>
        <w:widowControl/>
        <w:kinsoku/>
        <w:wordWrap/>
        <w:overflowPunct w:val="0"/>
        <w:topLinePunct w:val="0"/>
        <w:autoSpaceDE w:val="0"/>
        <w:autoSpaceDN w:val="0"/>
        <w:bidi w:val="0"/>
        <w:adjustRightInd w:val="0"/>
        <w:snapToGrid w:val="0"/>
        <w:spacing w:line="400" w:lineRule="exact"/>
        <w:jc w:val="left"/>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法定代表人或受委托人（签字）                       法定代表人或受委托人（签字）</w:t>
      </w:r>
    </w:p>
    <w:p w14:paraId="53FB7F86">
      <w:pPr>
        <w:keepNext w:val="0"/>
        <w:keepLines w:val="0"/>
        <w:pageBreakBefore w:val="0"/>
        <w:widowControl/>
        <w:kinsoku/>
        <w:wordWrap/>
        <w:overflowPunct w:val="0"/>
        <w:topLinePunct w:val="0"/>
        <w:autoSpaceDE w:val="0"/>
        <w:autoSpaceDN w:val="0"/>
        <w:bidi w:val="0"/>
        <w:adjustRightInd w:val="0"/>
        <w:snapToGrid w:val="0"/>
        <w:spacing w:line="400" w:lineRule="exact"/>
        <w:ind w:left="-171" w:firstLine="210" w:firstLineChars="100"/>
        <w:jc w:val="left"/>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地址：                                             地址：</w:t>
      </w:r>
    </w:p>
    <w:p w14:paraId="5964E861">
      <w:pPr>
        <w:keepNext w:val="0"/>
        <w:keepLines w:val="0"/>
        <w:pageBreakBefore w:val="0"/>
        <w:widowControl/>
        <w:kinsoku/>
        <w:wordWrap/>
        <w:overflowPunct w:val="0"/>
        <w:topLinePunct w:val="0"/>
        <w:autoSpaceDE w:val="0"/>
        <w:autoSpaceDN w:val="0"/>
        <w:bidi w:val="0"/>
        <w:adjustRightInd w:val="0"/>
        <w:snapToGrid w:val="0"/>
        <w:spacing w:line="400" w:lineRule="exact"/>
        <w:ind w:left="-171" w:firstLine="210" w:firstLineChars="100"/>
        <w:jc w:val="left"/>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邮编：                                             邮编：</w:t>
      </w:r>
    </w:p>
    <w:p w14:paraId="7B76528A">
      <w:pPr>
        <w:keepNext w:val="0"/>
        <w:keepLines w:val="0"/>
        <w:pageBreakBefore w:val="0"/>
        <w:widowControl/>
        <w:kinsoku/>
        <w:wordWrap/>
        <w:overflowPunct w:val="0"/>
        <w:topLinePunct w:val="0"/>
        <w:autoSpaceDE w:val="0"/>
        <w:autoSpaceDN w:val="0"/>
        <w:bidi w:val="0"/>
        <w:adjustRightInd w:val="0"/>
        <w:snapToGrid w:val="0"/>
        <w:spacing w:line="400" w:lineRule="exact"/>
        <w:ind w:left="-171" w:firstLine="210" w:firstLineChars="100"/>
        <w:jc w:val="left"/>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电话：                                             电话：</w:t>
      </w:r>
    </w:p>
    <w:p w14:paraId="1CAD1690">
      <w:pPr>
        <w:keepNext w:val="0"/>
        <w:keepLines w:val="0"/>
        <w:pageBreakBefore w:val="0"/>
        <w:widowControl/>
        <w:kinsoku/>
        <w:wordWrap/>
        <w:overflowPunct w:val="0"/>
        <w:topLinePunct w:val="0"/>
        <w:autoSpaceDE w:val="0"/>
        <w:autoSpaceDN w:val="0"/>
        <w:bidi w:val="0"/>
        <w:adjustRightInd w:val="0"/>
        <w:snapToGrid w:val="0"/>
        <w:spacing w:line="400" w:lineRule="exact"/>
        <w:ind w:left="-171" w:firstLine="210" w:firstLineChars="100"/>
        <w:jc w:val="left"/>
        <w:textAlignment w:val="baseline"/>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签约时间：    年    月    日</w:t>
      </w:r>
    </w:p>
    <w:p w14:paraId="58C56C10">
      <w:pPr>
        <w:keepNext w:val="0"/>
        <w:keepLines w:val="0"/>
        <w:pageBreakBefore w:val="0"/>
        <w:widowControl/>
        <w:kinsoku/>
        <w:wordWrap/>
        <w:overflowPunct w:val="0"/>
        <w:topLinePunct w:val="0"/>
        <w:autoSpaceDE w:val="0"/>
        <w:autoSpaceDN w:val="0"/>
        <w:bidi w:val="0"/>
        <w:adjustRightInd w:val="0"/>
        <w:snapToGrid w:val="0"/>
        <w:spacing w:line="400" w:lineRule="exact"/>
        <w:ind w:left="29" w:leftChars="14" w:firstLine="52" w:firstLineChars="25"/>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签约地点：</w:t>
      </w:r>
    </w:p>
    <w:p w14:paraId="19077DC2">
      <w:pPr>
        <w:keepNext w:val="0"/>
        <w:keepLines w:val="0"/>
        <w:pageBreakBefore w:val="0"/>
        <w:kinsoku/>
        <w:wordWrap/>
        <w:topLinePunct w:val="0"/>
        <w:bidi w:val="0"/>
        <w:spacing w:line="40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5C1433F3">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附件1：</w:t>
      </w:r>
    </w:p>
    <w:p w14:paraId="4BCC03C1">
      <w:pPr>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宁波市江北区</w:t>
      </w:r>
      <w:r>
        <w:rPr>
          <w:rFonts w:hint="eastAsia" w:ascii="仿宋" w:hAnsi="仿宋" w:eastAsia="仿宋" w:cs="仿宋"/>
          <w:b/>
          <w:color w:val="auto"/>
          <w:sz w:val="24"/>
          <w:szCs w:val="24"/>
          <w:highlight w:val="none"/>
        </w:rPr>
        <w:t>房屋白蚁防治服务考核表》</w:t>
      </w:r>
    </w:p>
    <w:tbl>
      <w:tblPr>
        <w:tblStyle w:val="51"/>
        <w:tblpPr w:leftFromText="180" w:rightFromText="180" w:vertAnchor="page" w:horzAnchor="page" w:tblpX="1430" w:tblpY="192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477"/>
        <w:gridCol w:w="3154"/>
        <w:gridCol w:w="1393"/>
        <w:gridCol w:w="1826"/>
      </w:tblGrid>
      <w:tr w14:paraId="35AD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9" w:type="dxa"/>
            <w:vAlign w:val="center"/>
          </w:tcPr>
          <w:p w14:paraId="6D8F7BC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sz w:val="21"/>
                <w:szCs w:val="21"/>
                <w:highlight w:val="none"/>
              </w:rPr>
            </w:pPr>
            <w:bookmarkStart w:id="78" w:name="_Toc180597744"/>
            <w:r>
              <w:rPr>
                <w:rFonts w:hint="eastAsia" w:ascii="仿宋" w:hAnsi="仿宋" w:eastAsia="仿宋" w:cs="仿宋"/>
                <w:b/>
                <w:color w:val="auto"/>
                <w:sz w:val="21"/>
                <w:szCs w:val="21"/>
                <w:highlight w:val="none"/>
              </w:rPr>
              <w:t>序号</w:t>
            </w:r>
          </w:p>
        </w:tc>
        <w:tc>
          <w:tcPr>
            <w:tcW w:w="2477" w:type="dxa"/>
            <w:vAlign w:val="center"/>
          </w:tcPr>
          <w:p w14:paraId="43200D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检查项目</w:t>
            </w:r>
          </w:p>
        </w:tc>
        <w:tc>
          <w:tcPr>
            <w:tcW w:w="3154" w:type="dxa"/>
            <w:vAlign w:val="center"/>
          </w:tcPr>
          <w:p w14:paraId="7749A2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具体检查内容与要求</w:t>
            </w:r>
          </w:p>
        </w:tc>
        <w:tc>
          <w:tcPr>
            <w:tcW w:w="3219" w:type="dxa"/>
            <w:gridSpan w:val="2"/>
            <w:vAlign w:val="center"/>
          </w:tcPr>
          <w:p w14:paraId="5893D1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评定</w:t>
            </w:r>
          </w:p>
        </w:tc>
      </w:tr>
      <w:tr w14:paraId="195C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69" w:type="dxa"/>
            <w:vAlign w:val="center"/>
          </w:tcPr>
          <w:p w14:paraId="633F32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477" w:type="dxa"/>
            <w:tcBorders>
              <w:left w:val="single" w:color="auto" w:sz="4" w:space="0"/>
            </w:tcBorders>
            <w:vAlign w:val="center"/>
          </w:tcPr>
          <w:p w14:paraId="226551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现场</w:t>
            </w:r>
            <w:r>
              <w:rPr>
                <w:rFonts w:hint="eastAsia" w:ascii="仿宋" w:hAnsi="仿宋" w:eastAsia="仿宋" w:cs="仿宋"/>
                <w:color w:val="auto"/>
                <w:sz w:val="21"/>
                <w:szCs w:val="21"/>
                <w:highlight w:val="none"/>
                <w:lang w:val="en-US" w:eastAsia="zh-CN"/>
              </w:rPr>
              <w:t>调查、技术交底会议</w:t>
            </w:r>
            <w:r>
              <w:rPr>
                <w:rFonts w:hint="eastAsia" w:ascii="仿宋" w:hAnsi="仿宋" w:eastAsia="仿宋" w:cs="仿宋"/>
                <w:color w:val="auto"/>
                <w:sz w:val="21"/>
                <w:szCs w:val="21"/>
                <w:highlight w:val="none"/>
              </w:rPr>
              <w:t>与方案设计</w:t>
            </w:r>
          </w:p>
        </w:tc>
        <w:tc>
          <w:tcPr>
            <w:tcW w:w="3154" w:type="dxa"/>
            <w:tcBorders>
              <w:left w:val="single" w:color="auto" w:sz="4" w:space="0"/>
            </w:tcBorders>
            <w:vAlign w:val="center"/>
          </w:tcPr>
          <w:p w14:paraId="1644351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每个项目均有“施工方案”，“施工方案”内容设计具体、完整、科学、规范。</w:t>
            </w:r>
          </w:p>
        </w:tc>
        <w:tc>
          <w:tcPr>
            <w:tcW w:w="3219" w:type="dxa"/>
            <w:gridSpan w:val="2"/>
            <w:tcBorders>
              <w:left w:val="single" w:color="auto" w:sz="4" w:space="0"/>
            </w:tcBorders>
            <w:vAlign w:val="center"/>
          </w:tcPr>
          <w:p w14:paraId="51BBA0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30C3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69" w:type="dxa"/>
            <w:vAlign w:val="center"/>
          </w:tcPr>
          <w:p w14:paraId="4B4FE3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477" w:type="dxa"/>
            <w:tcBorders>
              <w:left w:val="single" w:color="auto" w:sz="4" w:space="0"/>
            </w:tcBorders>
            <w:vAlign w:val="center"/>
          </w:tcPr>
          <w:p w14:paraId="74BCD28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施工记录</w:t>
            </w:r>
          </w:p>
        </w:tc>
        <w:tc>
          <w:tcPr>
            <w:tcW w:w="3154" w:type="dxa"/>
            <w:tcBorders>
              <w:left w:val="single" w:color="auto" w:sz="4" w:space="0"/>
            </w:tcBorders>
            <w:vAlign w:val="center"/>
          </w:tcPr>
          <w:p w14:paraId="2135CD8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检查每个预防工程的施工记录是否工整、清楚、详尽，是否有工地负责人的签字，是否有现场照片。</w:t>
            </w:r>
          </w:p>
        </w:tc>
        <w:tc>
          <w:tcPr>
            <w:tcW w:w="3219" w:type="dxa"/>
            <w:gridSpan w:val="2"/>
            <w:tcBorders>
              <w:left w:val="single" w:color="auto" w:sz="4" w:space="0"/>
            </w:tcBorders>
            <w:vAlign w:val="center"/>
          </w:tcPr>
          <w:p w14:paraId="77A90E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7CB2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9" w:type="dxa"/>
            <w:vAlign w:val="center"/>
          </w:tcPr>
          <w:p w14:paraId="30BFDD8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477" w:type="dxa"/>
            <w:tcBorders>
              <w:left w:val="single" w:color="auto" w:sz="4" w:space="0"/>
            </w:tcBorders>
            <w:vAlign w:val="center"/>
          </w:tcPr>
          <w:p w14:paraId="18FDA3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复查回访工作台帐</w:t>
            </w:r>
          </w:p>
        </w:tc>
        <w:tc>
          <w:tcPr>
            <w:tcW w:w="3154" w:type="dxa"/>
            <w:tcBorders>
              <w:left w:val="single" w:color="auto" w:sz="4" w:space="0"/>
            </w:tcBorders>
            <w:vAlign w:val="center"/>
          </w:tcPr>
          <w:p w14:paraId="712A01E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“复查回访表”是否详细清楚，复查中发现蚁害是否及时处理。</w:t>
            </w:r>
          </w:p>
        </w:tc>
        <w:tc>
          <w:tcPr>
            <w:tcW w:w="3219" w:type="dxa"/>
            <w:gridSpan w:val="2"/>
            <w:tcBorders>
              <w:left w:val="single" w:color="auto" w:sz="4" w:space="0"/>
            </w:tcBorders>
            <w:vAlign w:val="center"/>
          </w:tcPr>
          <w:p w14:paraId="13D4BB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3FD2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69" w:type="dxa"/>
            <w:vAlign w:val="center"/>
          </w:tcPr>
          <w:p w14:paraId="6E2D3B2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477" w:type="dxa"/>
            <w:tcBorders>
              <w:left w:val="single" w:color="auto" w:sz="4" w:space="0"/>
            </w:tcBorders>
            <w:vAlign w:val="center"/>
          </w:tcPr>
          <w:p w14:paraId="464280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档案管理</w:t>
            </w:r>
          </w:p>
        </w:tc>
        <w:tc>
          <w:tcPr>
            <w:tcW w:w="3154" w:type="dxa"/>
            <w:tcBorders>
              <w:left w:val="single" w:color="auto" w:sz="4" w:space="0"/>
            </w:tcBorders>
            <w:vAlign w:val="center"/>
          </w:tcPr>
          <w:p w14:paraId="2254233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是否有专人管理档案，档案整理与保管规范、有序。</w:t>
            </w:r>
          </w:p>
        </w:tc>
        <w:tc>
          <w:tcPr>
            <w:tcW w:w="3219" w:type="dxa"/>
            <w:gridSpan w:val="2"/>
            <w:tcBorders>
              <w:left w:val="single" w:color="auto" w:sz="4" w:space="0"/>
            </w:tcBorders>
            <w:vAlign w:val="center"/>
          </w:tcPr>
          <w:p w14:paraId="27D2F58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6AD6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69" w:type="dxa"/>
            <w:vAlign w:val="center"/>
          </w:tcPr>
          <w:p w14:paraId="5461B7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477" w:type="dxa"/>
            <w:tcBorders>
              <w:left w:val="single" w:color="auto" w:sz="4" w:space="0"/>
            </w:tcBorders>
            <w:vAlign w:val="center"/>
          </w:tcPr>
          <w:p w14:paraId="187462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技术服务</w:t>
            </w:r>
          </w:p>
        </w:tc>
        <w:tc>
          <w:tcPr>
            <w:tcW w:w="3154" w:type="dxa"/>
            <w:tcBorders>
              <w:left w:val="single" w:color="auto" w:sz="4" w:space="0"/>
            </w:tcBorders>
            <w:vAlign w:val="center"/>
          </w:tcPr>
          <w:p w14:paraId="05163DB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抽查2个已施工的项目，施工的各项程序是否按《技术规程》操作到位。</w:t>
            </w:r>
          </w:p>
        </w:tc>
        <w:tc>
          <w:tcPr>
            <w:tcW w:w="3219" w:type="dxa"/>
            <w:gridSpan w:val="2"/>
            <w:tcBorders>
              <w:left w:val="single" w:color="auto" w:sz="4" w:space="0"/>
            </w:tcBorders>
            <w:vAlign w:val="center"/>
          </w:tcPr>
          <w:p w14:paraId="797AC0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526C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69" w:type="dxa"/>
            <w:vAlign w:val="center"/>
          </w:tcPr>
          <w:p w14:paraId="1DFAEE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477" w:type="dxa"/>
            <w:tcBorders>
              <w:left w:val="single" w:color="auto" w:sz="4" w:space="0"/>
            </w:tcBorders>
            <w:vAlign w:val="center"/>
          </w:tcPr>
          <w:p w14:paraId="6153B8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监测装置后续检查维护</w:t>
            </w:r>
          </w:p>
        </w:tc>
        <w:tc>
          <w:tcPr>
            <w:tcW w:w="3154" w:type="dxa"/>
            <w:tcBorders>
              <w:left w:val="single" w:color="auto" w:sz="4" w:space="0"/>
            </w:tcBorders>
            <w:vAlign w:val="center"/>
          </w:tcPr>
          <w:p w14:paraId="6258F4F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抽查2个项目，发现标示图中的监测装置是否完好。</w:t>
            </w:r>
          </w:p>
        </w:tc>
        <w:tc>
          <w:tcPr>
            <w:tcW w:w="3219" w:type="dxa"/>
            <w:gridSpan w:val="2"/>
            <w:tcBorders>
              <w:left w:val="single" w:color="auto" w:sz="4" w:space="0"/>
            </w:tcBorders>
            <w:vAlign w:val="center"/>
          </w:tcPr>
          <w:p w14:paraId="4E8692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05BB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569" w:type="dxa"/>
            <w:vAlign w:val="center"/>
          </w:tcPr>
          <w:p w14:paraId="64AB463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477" w:type="dxa"/>
            <w:tcBorders>
              <w:left w:val="single" w:color="auto" w:sz="4" w:space="0"/>
            </w:tcBorders>
            <w:vAlign w:val="center"/>
          </w:tcPr>
          <w:p w14:paraId="54B1C6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工程竣工验收</w:t>
            </w:r>
          </w:p>
        </w:tc>
        <w:tc>
          <w:tcPr>
            <w:tcW w:w="3154" w:type="dxa"/>
            <w:tcBorders>
              <w:left w:val="single" w:color="auto" w:sz="4" w:space="0"/>
            </w:tcBorders>
            <w:vAlign w:val="center"/>
          </w:tcPr>
          <w:p w14:paraId="343DA79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检查每个竣工项目是否按照《技术规程》完成了所有预防步骤。采取检查施工记录、电话建设单位进行抽查等方式。检查每个竣工项目是否有验收记录，验收单是否有双方的签字、盖章。</w:t>
            </w:r>
          </w:p>
        </w:tc>
        <w:tc>
          <w:tcPr>
            <w:tcW w:w="3219" w:type="dxa"/>
            <w:gridSpan w:val="2"/>
            <w:tcBorders>
              <w:left w:val="single" w:color="auto" w:sz="4" w:space="0"/>
            </w:tcBorders>
            <w:vAlign w:val="center"/>
          </w:tcPr>
          <w:p w14:paraId="5C5BC2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73E1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69" w:type="dxa"/>
            <w:vAlign w:val="center"/>
          </w:tcPr>
          <w:p w14:paraId="3AF307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477" w:type="dxa"/>
            <w:tcBorders>
              <w:left w:val="single" w:color="auto" w:sz="4" w:space="0"/>
            </w:tcBorders>
            <w:vAlign w:val="center"/>
          </w:tcPr>
          <w:p w14:paraId="16027D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饵剂、监测装置</w:t>
            </w:r>
            <w:r>
              <w:rPr>
                <w:rFonts w:hint="eastAsia" w:ascii="仿宋" w:hAnsi="仿宋" w:eastAsia="仿宋" w:cs="仿宋"/>
                <w:color w:val="auto"/>
                <w:sz w:val="21"/>
                <w:szCs w:val="21"/>
                <w:highlight w:val="none"/>
              </w:rPr>
              <w:t>存放专用仓库</w:t>
            </w:r>
          </w:p>
        </w:tc>
        <w:tc>
          <w:tcPr>
            <w:tcW w:w="3154" w:type="dxa"/>
            <w:tcBorders>
              <w:left w:val="single" w:color="auto" w:sz="4" w:space="0"/>
            </w:tcBorders>
            <w:vAlign w:val="center"/>
          </w:tcPr>
          <w:p w14:paraId="50388EBB">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实地查看</w:t>
            </w:r>
            <w:r>
              <w:rPr>
                <w:rFonts w:hint="eastAsia" w:ascii="仿宋" w:hAnsi="仿宋" w:eastAsia="仿宋" w:cs="仿宋"/>
                <w:color w:val="auto"/>
                <w:sz w:val="21"/>
                <w:szCs w:val="21"/>
                <w:highlight w:val="none"/>
                <w:lang w:val="en-US" w:eastAsia="zh-CN"/>
              </w:rPr>
              <w:t>饵剂、监测装置</w:t>
            </w:r>
            <w:r>
              <w:rPr>
                <w:rFonts w:hint="eastAsia" w:ascii="仿宋" w:hAnsi="仿宋" w:eastAsia="仿宋" w:cs="仿宋"/>
                <w:color w:val="auto"/>
                <w:sz w:val="21"/>
                <w:szCs w:val="21"/>
                <w:highlight w:val="none"/>
              </w:rPr>
              <w:t>存放仓库是否专用和安全，达到防火、防盗、防水等基本安全要求，使用和管理制度是否健全。</w:t>
            </w:r>
          </w:p>
        </w:tc>
        <w:tc>
          <w:tcPr>
            <w:tcW w:w="3219" w:type="dxa"/>
            <w:gridSpan w:val="2"/>
            <w:tcBorders>
              <w:left w:val="single" w:color="auto" w:sz="4" w:space="0"/>
            </w:tcBorders>
            <w:vAlign w:val="center"/>
          </w:tcPr>
          <w:p w14:paraId="6A63D2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5016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9" w:type="dxa"/>
            <w:vAlign w:val="center"/>
          </w:tcPr>
          <w:p w14:paraId="4F4F9CB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477" w:type="dxa"/>
            <w:tcBorders>
              <w:left w:val="single" w:color="auto" w:sz="4" w:space="0"/>
            </w:tcBorders>
            <w:vAlign w:val="center"/>
          </w:tcPr>
          <w:p w14:paraId="06BC0E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饵剂、监测装置</w:t>
            </w:r>
            <w:r>
              <w:rPr>
                <w:rFonts w:hint="eastAsia" w:ascii="仿宋" w:hAnsi="仿宋" w:eastAsia="仿宋" w:cs="仿宋"/>
                <w:color w:val="auto"/>
                <w:sz w:val="21"/>
                <w:szCs w:val="21"/>
                <w:highlight w:val="none"/>
              </w:rPr>
              <w:t>领用与保管</w:t>
            </w:r>
          </w:p>
        </w:tc>
        <w:tc>
          <w:tcPr>
            <w:tcW w:w="3154" w:type="dxa"/>
            <w:tcBorders>
              <w:left w:val="single" w:color="auto" w:sz="4" w:space="0"/>
            </w:tcBorders>
            <w:vAlign w:val="center"/>
          </w:tcPr>
          <w:p w14:paraId="40EEEFC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是否有仓储制度；是否有</w:t>
            </w:r>
            <w:r>
              <w:rPr>
                <w:rFonts w:hint="eastAsia" w:ascii="仿宋" w:hAnsi="仿宋" w:eastAsia="仿宋" w:cs="仿宋"/>
                <w:color w:val="auto"/>
                <w:sz w:val="21"/>
                <w:szCs w:val="21"/>
                <w:highlight w:val="none"/>
                <w:lang w:val="en-US" w:eastAsia="zh-CN"/>
              </w:rPr>
              <w:t>饵剂</w:t>
            </w:r>
            <w:r>
              <w:rPr>
                <w:rFonts w:hint="eastAsia" w:ascii="仿宋" w:hAnsi="仿宋" w:eastAsia="仿宋" w:cs="仿宋"/>
                <w:color w:val="auto"/>
                <w:sz w:val="21"/>
                <w:szCs w:val="21"/>
                <w:highlight w:val="none"/>
              </w:rPr>
              <w:t>出入库使用台帐，帐物是否相符。</w:t>
            </w:r>
          </w:p>
        </w:tc>
        <w:tc>
          <w:tcPr>
            <w:tcW w:w="3219" w:type="dxa"/>
            <w:gridSpan w:val="2"/>
            <w:tcBorders>
              <w:left w:val="single" w:color="auto" w:sz="4" w:space="0"/>
            </w:tcBorders>
            <w:vAlign w:val="center"/>
          </w:tcPr>
          <w:p w14:paraId="0070DF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2235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69" w:type="dxa"/>
            <w:vAlign w:val="center"/>
          </w:tcPr>
          <w:p w14:paraId="209343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477" w:type="dxa"/>
            <w:tcBorders>
              <w:left w:val="single" w:color="auto" w:sz="4" w:space="0"/>
            </w:tcBorders>
            <w:vAlign w:val="center"/>
          </w:tcPr>
          <w:p w14:paraId="08D7C0F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服务质量</w:t>
            </w:r>
          </w:p>
        </w:tc>
        <w:tc>
          <w:tcPr>
            <w:tcW w:w="3154" w:type="dxa"/>
            <w:tcBorders>
              <w:left w:val="single" w:color="auto" w:sz="4" w:space="0"/>
            </w:tcBorders>
            <w:vAlign w:val="center"/>
          </w:tcPr>
          <w:p w14:paraId="204AED8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服务及时，无建设单位投诉现象。</w:t>
            </w:r>
          </w:p>
        </w:tc>
        <w:tc>
          <w:tcPr>
            <w:tcW w:w="3219" w:type="dxa"/>
            <w:gridSpan w:val="2"/>
            <w:tcBorders>
              <w:left w:val="single" w:color="auto" w:sz="4" w:space="0"/>
            </w:tcBorders>
            <w:vAlign w:val="center"/>
          </w:tcPr>
          <w:p w14:paraId="16FAA2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优秀</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良好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差</w:t>
            </w:r>
            <w:r>
              <w:rPr>
                <w:rFonts w:hint="eastAsia" w:ascii="仿宋" w:hAnsi="仿宋" w:eastAsia="仿宋" w:cs="仿宋"/>
                <w:color w:val="auto"/>
                <w:sz w:val="21"/>
                <w:szCs w:val="21"/>
                <w:highlight w:val="none"/>
                <w:lang w:eastAsia="zh-CN"/>
              </w:rPr>
              <w:t>□</w:t>
            </w:r>
          </w:p>
        </w:tc>
      </w:tr>
      <w:tr w14:paraId="5B1D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046" w:type="dxa"/>
            <w:gridSpan w:val="2"/>
            <w:vAlign w:val="center"/>
          </w:tcPr>
          <w:p w14:paraId="30DE2E8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整改要求</w:t>
            </w:r>
          </w:p>
        </w:tc>
        <w:tc>
          <w:tcPr>
            <w:tcW w:w="3154" w:type="dxa"/>
            <w:tcBorders>
              <w:left w:val="single" w:color="auto" w:sz="4" w:space="0"/>
            </w:tcBorders>
            <w:vAlign w:val="center"/>
          </w:tcPr>
          <w:p w14:paraId="771519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p>
        </w:tc>
        <w:tc>
          <w:tcPr>
            <w:tcW w:w="1393" w:type="dxa"/>
            <w:tcBorders>
              <w:left w:val="single" w:color="auto" w:sz="4" w:space="0"/>
            </w:tcBorders>
            <w:vAlign w:val="center"/>
          </w:tcPr>
          <w:p w14:paraId="72CAC9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总得分</w:t>
            </w:r>
          </w:p>
        </w:tc>
        <w:tc>
          <w:tcPr>
            <w:tcW w:w="1826" w:type="dxa"/>
            <w:tcBorders>
              <w:left w:val="single" w:color="auto" w:sz="4" w:space="0"/>
            </w:tcBorders>
            <w:vAlign w:val="center"/>
          </w:tcPr>
          <w:p w14:paraId="78CA60C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21"/>
                <w:szCs w:val="21"/>
                <w:highlight w:val="none"/>
              </w:rPr>
            </w:pPr>
          </w:p>
        </w:tc>
      </w:tr>
      <w:tr w14:paraId="58E6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419" w:type="dxa"/>
            <w:gridSpan w:val="5"/>
            <w:vAlign w:val="center"/>
          </w:tcPr>
          <w:p w14:paraId="79CC89C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采购人代表（签字）：　　　　　　　　　　　　　　　　年　月　日</w:t>
            </w:r>
          </w:p>
        </w:tc>
      </w:tr>
      <w:tr w14:paraId="3590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19" w:type="dxa"/>
            <w:gridSpan w:val="5"/>
            <w:vAlign w:val="center"/>
          </w:tcPr>
          <w:p w14:paraId="5C455ED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w:t>
            </w:r>
            <w:r>
              <w:rPr>
                <w:rFonts w:hint="eastAsia" w:ascii="仿宋" w:hAnsi="仿宋" w:eastAsia="仿宋" w:cs="仿宋"/>
                <w:color w:val="auto"/>
                <w:sz w:val="21"/>
                <w:szCs w:val="21"/>
                <w:highlight w:val="none"/>
                <w:lang w:eastAsia="zh-CN"/>
              </w:rPr>
              <w:t>人</w:t>
            </w:r>
            <w:r>
              <w:rPr>
                <w:rFonts w:hint="eastAsia" w:ascii="仿宋" w:hAnsi="仿宋" w:eastAsia="仿宋" w:cs="仿宋"/>
                <w:color w:val="auto"/>
                <w:sz w:val="21"/>
                <w:szCs w:val="21"/>
                <w:highlight w:val="none"/>
              </w:rPr>
              <w:t>代表（签字）：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年　月　日</w:t>
            </w:r>
          </w:p>
        </w:tc>
      </w:tr>
      <w:tr w14:paraId="1412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9419" w:type="dxa"/>
            <w:gridSpan w:val="5"/>
            <w:vAlign w:val="center"/>
          </w:tcPr>
          <w:p w14:paraId="0BC4FD9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p w14:paraId="3D1B06A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（1）采购人每季度考核一次，根据季度考核得分核拨服务经费。</w:t>
            </w:r>
          </w:p>
          <w:p w14:paraId="1529DC1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（2）每个评定为优秀的得10分，评定为良好的得8分，评定为一般的得6分，评定为差的不得分。</w:t>
            </w:r>
          </w:p>
          <w:p w14:paraId="27BD26D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（3）整改扣罚与考核扣罚同时累计，整改扣罚详见招标文件第二章“采购需求”四、整改措施。</w:t>
            </w:r>
          </w:p>
          <w:p w14:paraId="44E85EE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（4）中标人履约过程中，采购人有权根据白蚁防治相关最新标准、项目执行情况等对考核细则进</w:t>
            </w:r>
            <w:r>
              <w:rPr>
                <w:rFonts w:hint="eastAsia" w:ascii="仿宋" w:hAnsi="仿宋" w:eastAsia="仿宋" w:cs="仿宋"/>
                <w:b/>
                <w:bCs/>
                <w:color w:val="auto"/>
                <w:sz w:val="21"/>
                <w:szCs w:val="21"/>
                <w:highlight w:val="none"/>
              </w:rPr>
              <w:t>行调整，中标</w:t>
            </w:r>
            <w:r>
              <w:rPr>
                <w:rFonts w:hint="eastAsia" w:ascii="仿宋" w:hAnsi="仿宋" w:eastAsia="仿宋" w:cs="仿宋"/>
                <w:b/>
                <w:bCs/>
                <w:color w:val="auto"/>
                <w:sz w:val="21"/>
                <w:szCs w:val="21"/>
                <w:highlight w:val="none"/>
                <w:lang w:eastAsia="zh-CN"/>
              </w:rPr>
              <w:t>人</w:t>
            </w:r>
            <w:r>
              <w:rPr>
                <w:rFonts w:hint="eastAsia" w:ascii="仿宋" w:hAnsi="仿宋" w:eastAsia="仿宋" w:cs="仿宋"/>
                <w:b/>
                <w:bCs/>
                <w:color w:val="auto"/>
                <w:sz w:val="21"/>
                <w:szCs w:val="21"/>
                <w:highlight w:val="none"/>
              </w:rPr>
              <w:t>须无条件执行。</w:t>
            </w:r>
          </w:p>
        </w:tc>
      </w:tr>
    </w:tbl>
    <w:p w14:paraId="385447DD">
      <w:pPr>
        <w:jc w:val="center"/>
        <w:rPr>
          <w:rFonts w:hint="eastAsia" w:ascii="仿宋" w:hAnsi="仿宋" w:eastAsia="仿宋" w:cs="仿宋"/>
          <w:b/>
          <w:bCs/>
          <w:color w:val="auto"/>
          <w:spacing w:val="0"/>
          <w:kern w:val="2"/>
          <w:sz w:val="30"/>
          <w:szCs w:val="30"/>
          <w:highlight w:val="none"/>
          <w:lang w:val="en-US" w:eastAsia="zh-CN" w:bidi="ar-SA"/>
        </w:rPr>
      </w:pPr>
      <w:r>
        <w:rPr>
          <w:rFonts w:hint="eastAsia" w:ascii="仿宋" w:hAnsi="仿宋" w:eastAsia="仿宋" w:cs="仿宋"/>
          <w:b/>
          <w:bCs/>
          <w:color w:val="auto"/>
          <w:spacing w:val="0"/>
          <w:kern w:val="2"/>
          <w:sz w:val="30"/>
          <w:szCs w:val="30"/>
          <w:highlight w:val="none"/>
          <w:lang w:val="en-US" w:eastAsia="zh-CN" w:bidi="ar-SA"/>
        </w:rPr>
        <w:br w:type="page"/>
      </w:r>
      <w:r>
        <w:rPr>
          <w:rFonts w:hint="eastAsia" w:ascii="仿宋" w:hAnsi="仿宋" w:eastAsia="仿宋" w:cs="仿宋"/>
          <w:b/>
          <w:bCs/>
          <w:color w:val="auto"/>
          <w:spacing w:val="0"/>
          <w:kern w:val="2"/>
          <w:sz w:val="30"/>
          <w:szCs w:val="30"/>
          <w:highlight w:val="none"/>
          <w:lang w:val="en-US" w:eastAsia="zh-CN" w:bidi="ar-SA"/>
        </w:rPr>
        <w:t>第六章  投标文件格式</w:t>
      </w:r>
      <w:bookmarkEnd w:id="78"/>
    </w:p>
    <w:p w14:paraId="57DEAA9A">
      <w:pPr>
        <w:snapToGrid w:val="0"/>
        <w:spacing w:before="120" w:beforeLines="50" w:after="50" w:line="440" w:lineRule="exact"/>
        <w:ind w:firstLine="643" w:firstLineChars="200"/>
        <w:jc w:val="center"/>
        <w:outlineLvl w:val="1"/>
        <w:rPr>
          <w:rFonts w:hint="eastAsia" w:ascii="仿宋" w:hAnsi="仿宋" w:eastAsia="仿宋" w:cs="仿宋"/>
          <w:b/>
          <w:bCs/>
          <w:color w:val="auto"/>
          <w:sz w:val="32"/>
          <w:szCs w:val="28"/>
          <w:highlight w:val="none"/>
          <w:lang w:val="en-US" w:eastAsia="zh-CN"/>
        </w:rPr>
      </w:pPr>
      <w:bookmarkStart w:id="79" w:name="_Toc116251124"/>
      <w:bookmarkStart w:id="80" w:name="_Toc152332557"/>
      <w:bookmarkStart w:id="81" w:name="_Toc183006926"/>
      <w:bookmarkStart w:id="82" w:name="_Toc181259537"/>
    </w:p>
    <w:p w14:paraId="7AE6EC17">
      <w:pPr>
        <w:keepNext w:val="0"/>
        <w:keepLines w:val="0"/>
        <w:pageBreakBefore w:val="0"/>
        <w:widowControl w:val="0"/>
        <w:kinsoku/>
        <w:wordWrap/>
        <w:overflowPunct/>
        <w:topLinePunct w:val="0"/>
        <w:autoSpaceDE/>
        <w:autoSpaceDN/>
        <w:bidi w:val="0"/>
        <w:adjustRightInd/>
        <w:snapToGrid w:val="0"/>
        <w:spacing w:before="120" w:beforeLines="50" w:after="50" w:line="440" w:lineRule="exact"/>
        <w:ind w:firstLine="0" w:firstLineChars="0"/>
        <w:jc w:val="center"/>
        <w:textAlignment w:val="auto"/>
        <w:outlineLvl w:val="1"/>
        <w:rPr>
          <w:rFonts w:hint="eastAsia" w:ascii="仿宋" w:hAnsi="仿宋" w:eastAsia="仿宋" w:cs="仿宋"/>
          <w:b/>
          <w:bCs/>
          <w:color w:val="auto"/>
          <w:sz w:val="32"/>
          <w:szCs w:val="28"/>
          <w:highlight w:val="none"/>
        </w:rPr>
      </w:pPr>
      <w:r>
        <w:rPr>
          <w:rFonts w:hint="eastAsia" w:ascii="仿宋" w:hAnsi="仿宋" w:eastAsia="仿宋" w:cs="仿宋"/>
          <w:b/>
          <w:bCs/>
          <w:color w:val="auto"/>
          <w:sz w:val="32"/>
          <w:szCs w:val="28"/>
          <w:highlight w:val="none"/>
          <w:lang w:val="en-US" w:eastAsia="zh-CN"/>
        </w:rPr>
        <w:t>一</w:t>
      </w:r>
      <w:r>
        <w:rPr>
          <w:rFonts w:hint="eastAsia" w:ascii="仿宋" w:hAnsi="仿宋" w:eastAsia="仿宋" w:cs="仿宋"/>
          <w:b/>
          <w:bCs/>
          <w:color w:val="auto"/>
          <w:sz w:val="32"/>
          <w:szCs w:val="28"/>
          <w:highlight w:val="none"/>
        </w:rPr>
        <w:t>、投标文件封面格式</w:t>
      </w:r>
      <w:bookmarkEnd w:id="79"/>
      <w:bookmarkEnd w:id="80"/>
      <w:bookmarkEnd w:id="81"/>
      <w:bookmarkEnd w:id="82"/>
    </w:p>
    <w:p w14:paraId="07FC280B">
      <w:pPr>
        <w:spacing w:line="300" w:lineRule="auto"/>
        <w:ind w:right="240" w:firstLine="482" w:firstLineChars="200"/>
        <w:jc w:val="right"/>
        <w:rPr>
          <w:rFonts w:hint="eastAsia" w:ascii="仿宋" w:hAnsi="仿宋" w:eastAsia="仿宋" w:cs="仿宋"/>
          <w:color w:val="auto"/>
          <w:sz w:val="24"/>
          <w:szCs w:val="22"/>
          <w:highlight w:val="none"/>
        </w:rPr>
      </w:pPr>
      <w:r>
        <w:rPr>
          <w:rFonts w:hint="eastAsia" w:ascii="仿宋" w:hAnsi="仿宋" w:eastAsia="仿宋" w:cs="仿宋"/>
          <w:b/>
          <w:bCs/>
          <w:color w:val="auto"/>
          <w:sz w:val="24"/>
          <w:szCs w:val="22"/>
          <w:highlight w:val="none"/>
        </w:rPr>
        <w:t>正本/或副本</w:t>
      </w:r>
    </w:p>
    <w:p w14:paraId="6F98E0DF">
      <w:pPr>
        <w:spacing w:line="300" w:lineRule="auto"/>
        <w:ind w:firstLine="440" w:firstLineChars="200"/>
        <w:jc w:val="center"/>
        <w:rPr>
          <w:rFonts w:hint="eastAsia" w:ascii="仿宋" w:hAnsi="仿宋" w:eastAsia="仿宋" w:cs="仿宋"/>
          <w:color w:val="auto"/>
          <w:sz w:val="22"/>
          <w:highlight w:val="none"/>
        </w:rPr>
      </w:pPr>
    </w:p>
    <w:p w14:paraId="56F7B1AA">
      <w:pPr>
        <w:spacing w:line="300" w:lineRule="auto"/>
        <w:ind w:firstLine="2951" w:firstLineChars="1050"/>
        <w:rPr>
          <w:rFonts w:hint="eastAsia" w:ascii="仿宋" w:hAnsi="仿宋" w:eastAsia="仿宋" w:cs="仿宋"/>
          <w:b/>
          <w:bCs/>
          <w:color w:val="auto"/>
          <w:sz w:val="28"/>
          <w:szCs w:val="28"/>
          <w:highlight w:val="none"/>
        </w:rPr>
      </w:pPr>
    </w:p>
    <w:p w14:paraId="77679AE6">
      <w:pPr>
        <w:spacing w:line="300" w:lineRule="auto"/>
        <w:ind w:firstLine="562" w:firstLineChars="200"/>
        <w:jc w:val="center"/>
        <w:rPr>
          <w:rFonts w:hint="eastAsia" w:ascii="仿宋" w:hAnsi="仿宋" w:eastAsia="仿宋" w:cs="仿宋"/>
          <w:color w:val="auto"/>
          <w:sz w:val="22"/>
          <w:highlight w:val="none"/>
        </w:rPr>
      </w:pPr>
      <w:r>
        <w:rPr>
          <w:rFonts w:hint="eastAsia" w:ascii="仿宋" w:hAnsi="仿宋" w:eastAsia="仿宋" w:cs="仿宋"/>
          <w:b/>
          <w:bCs/>
          <w:color w:val="auto"/>
          <w:sz w:val="28"/>
          <w:szCs w:val="28"/>
          <w:highlight w:val="none"/>
        </w:rPr>
        <w:t>资格审查文件/报价文件/商务技术文件</w:t>
      </w:r>
    </w:p>
    <w:p w14:paraId="5CAE6915">
      <w:pPr>
        <w:spacing w:line="300" w:lineRule="auto"/>
        <w:ind w:firstLine="1320" w:firstLineChars="600"/>
        <w:rPr>
          <w:rFonts w:hint="eastAsia" w:ascii="仿宋" w:hAnsi="仿宋" w:eastAsia="仿宋" w:cs="仿宋"/>
          <w:color w:val="auto"/>
          <w:sz w:val="22"/>
          <w:highlight w:val="none"/>
        </w:rPr>
      </w:pPr>
    </w:p>
    <w:p w14:paraId="2A022A77">
      <w:pPr>
        <w:spacing w:line="360" w:lineRule="auto"/>
        <w:ind w:firstLine="440" w:firstLineChars="200"/>
        <w:rPr>
          <w:rFonts w:hint="eastAsia" w:ascii="仿宋" w:hAnsi="仿宋" w:eastAsia="仿宋" w:cs="仿宋"/>
          <w:color w:val="auto"/>
          <w:sz w:val="22"/>
          <w:highlight w:val="none"/>
        </w:rPr>
      </w:pPr>
    </w:p>
    <w:p w14:paraId="3023D6EC">
      <w:pPr>
        <w:spacing w:line="360" w:lineRule="auto"/>
        <w:ind w:firstLine="440" w:firstLineChars="200"/>
        <w:rPr>
          <w:rFonts w:hint="eastAsia" w:ascii="仿宋" w:hAnsi="仿宋" w:eastAsia="仿宋" w:cs="仿宋"/>
          <w:color w:val="auto"/>
          <w:sz w:val="22"/>
          <w:highlight w:val="none"/>
        </w:rPr>
      </w:pPr>
    </w:p>
    <w:p w14:paraId="69F8DE58">
      <w:pPr>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p w14:paraId="0B76C22B">
      <w:pPr>
        <w:spacing w:line="360" w:lineRule="auto"/>
        <w:ind w:firstLine="210" w:firstLineChars="100"/>
        <w:rPr>
          <w:rFonts w:hint="eastAsia" w:ascii="仿宋" w:hAnsi="仿宋" w:eastAsia="仿宋" w:cs="仿宋"/>
          <w:color w:val="auto"/>
          <w:sz w:val="21"/>
          <w:szCs w:val="21"/>
          <w:highlight w:val="none"/>
        </w:rPr>
      </w:pPr>
    </w:p>
    <w:p w14:paraId="6603AA2F">
      <w:pPr>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p w14:paraId="35A4C09D">
      <w:pPr>
        <w:spacing w:line="360" w:lineRule="auto"/>
        <w:ind w:firstLine="210" w:firstLineChars="100"/>
        <w:rPr>
          <w:rFonts w:hint="eastAsia" w:ascii="仿宋" w:hAnsi="仿宋" w:eastAsia="仿宋" w:cs="仿宋"/>
          <w:color w:val="auto"/>
          <w:sz w:val="21"/>
          <w:szCs w:val="21"/>
          <w:highlight w:val="none"/>
        </w:rPr>
      </w:pPr>
    </w:p>
    <w:p w14:paraId="0C7E2453">
      <w:pPr>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标项：/  </w:t>
      </w:r>
    </w:p>
    <w:p w14:paraId="5E443D19">
      <w:pPr>
        <w:spacing w:line="360" w:lineRule="auto"/>
        <w:ind w:firstLine="210" w:firstLineChars="100"/>
        <w:rPr>
          <w:rFonts w:hint="eastAsia" w:ascii="仿宋" w:hAnsi="仿宋" w:eastAsia="仿宋" w:cs="仿宋"/>
          <w:color w:val="auto"/>
          <w:sz w:val="21"/>
          <w:szCs w:val="21"/>
          <w:highlight w:val="none"/>
        </w:rPr>
      </w:pPr>
    </w:p>
    <w:p w14:paraId="7AE8C3B7">
      <w:pPr>
        <w:spacing w:before="50" w:after="50" w:line="360" w:lineRule="auto"/>
        <w:ind w:firstLine="210" w:firstLineChars="1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投标人名称：</w:t>
      </w:r>
    </w:p>
    <w:p w14:paraId="4EA9494D">
      <w:pPr>
        <w:spacing w:line="360" w:lineRule="auto"/>
        <w:ind w:firstLine="210" w:firstLineChars="100"/>
        <w:rPr>
          <w:rFonts w:hint="eastAsia" w:ascii="仿宋" w:hAnsi="仿宋" w:eastAsia="仿宋" w:cs="仿宋"/>
          <w:bCs/>
          <w:color w:val="auto"/>
          <w:sz w:val="21"/>
          <w:szCs w:val="21"/>
          <w:highlight w:val="none"/>
        </w:rPr>
      </w:pPr>
    </w:p>
    <w:p w14:paraId="4F6DF8B2">
      <w:pPr>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投标人地址：</w:t>
      </w:r>
    </w:p>
    <w:p w14:paraId="48EAA9D1">
      <w:pPr>
        <w:spacing w:line="300" w:lineRule="auto"/>
        <w:ind w:firstLine="220" w:firstLineChars="100"/>
        <w:jc w:val="center"/>
        <w:rPr>
          <w:rFonts w:hint="eastAsia" w:ascii="仿宋" w:hAnsi="仿宋" w:eastAsia="仿宋" w:cs="仿宋"/>
          <w:color w:val="auto"/>
          <w:sz w:val="22"/>
          <w:highlight w:val="none"/>
        </w:rPr>
      </w:pPr>
    </w:p>
    <w:p w14:paraId="6D819901">
      <w:pPr>
        <w:spacing w:line="300" w:lineRule="auto"/>
        <w:ind w:firstLine="440" w:firstLineChars="200"/>
        <w:jc w:val="center"/>
        <w:rPr>
          <w:rFonts w:hint="eastAsia" w:ascii="仿宋" w:hAnsi="仿宋" w:eastAsia="仿宋" w:cs="仿宋"/>
          <w:color w:val="auto"/>
          <w:sz w:val="22"/>
          <w:highlight w:val="none"/>
        </w:rPr>
      </w:pPr>
    </w:p>
    <w:p w14:paraId="1FD7B2A7">
      <w:pPr>
        <w:spacing w:line="300" w:lineRule="auto"/>
        <w:ind w:firstLine="440" w:firstLineChars="200"/>
        <w:jc w:val="center"/>
        <w:rPr>
          <w:rFonts w:hint="eastAsia" w:ascii="仿宋" w:hAnsi="仿宋" w:eastAsia="仿宋" w:cs="仿宋"/>
          <w:color w:val="auto"/>
          <w:sz w:val="22"/>
          <w:highlight w:val="none"/>
        </w:rPr>
      </w:pPr>
    </w:p>
    <w:p w14:paraId="30ED6ABD">
      <w:pPr>
        <w:spacing w:line="300" w:lineRule="auto"/>
        <w:ind w:firstLine="440" w:firstLineChars="200"/>
        <w:jc w:val="center"/>
        <w:rPr>
          <w:rFonts w:hint="eastAsia" w:ascii="仿宋" w:hAnsi="仿宋" w:eastAsia="仿宋" w:cs="仿宋"/>
          <w:color w:val="auto"/>
          <w:sz w:val="22"/>
          <w:highlight w:val="none"/>
        </w:rPr>
      </w:pPr>
    </w:p>
    <w:p w14:paraId="1F24A5BC">
      <w:pPr>
        <w:spacing w:line="300" w:lineRule="auto"/>
        <w:ind w:firstLine="440" w:firstLineChars="200"/>
        <w:jc w:val="center"/>
        <w:rPr>
          <w:rFonts w:hint="eastAsia" w:ascii="仿宋" w:hAnsi="仿宋" w:eastAsia="仿宋" w:cs="仿宋"/>
          <w:color w:val="auto"/>
          <w:sz w:val="22"/>
          <w:highlight w:val="none"/>
        </w:rPr>
      </w:pPr>
    </w:p>
    <w:p w14:paraId="5BF6E54D">
      <w:pPr>
        <w:spacing w:line="300" w:lineRule="auto"/>
        <w:ind w:firstLine="440" w:firstLineChars="20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w:t>
      </w:r>
    </w:p>
    <w:p w14:paraId="29C7AA2B">
      <w:pPr>
        <w:spacing w:line="300" w:lineRule="auto"/>
        <w:ind w:firstLine="440" w:firstLineChars="20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w:t>
      </w:r>
    </w:p>
    <w:p w14:paraId="6BD7FC60">
      <w:pPr>
        <w:spacing w:line="300" w:lineRule="auto"/>
        <w:ind w:firstLine="440" w:firstLineChars="200"/>
        <w:jc w:val="center"/>
        <w:rPr>
          <w:rFonts w:hint="eastAsia" w:ascii="仿宋" w:hAnsi="仿宋" w:eastAsia="仿宋" w:cs="仿宋"/>
          <w:color w:val="auto"/>
          <w:sz w:val="22"/>
          <w:highlight w:val="none"/>
        </w:rPr>
      </w:pPr>
    </w:p>
    <w:p w14:paraId="57F9D706">
      <w:pPr>
        <w:spacing w:line="360" w:lineRule="auto"/>
        <w:ind w:firstLine="220" w:firstLineChars="100"/>
        <w:jc w:val="right"/>
        <w:rPr>
          <w:rFonts w:hint="eastAsia" w:ascii="仿宋" w:hAnsi="仿宋" w:eastAsia="仿宋" w:cs="仿宋"/>
          <w:bCs/>
          <w:color w:val="auto"/>
          <w:sz w:val="22"/>
          <w:highlight w:val="none"/>
        </w:rPr>
      </w:pPr>
      <w:r>
        <w:rPr>
          <w:rFonts w:hint="eastAsia" w:ascii="仿宋" w:hAnsi="仿宋" w:eastAsia="仿宋" w:cs="仿宋"/>
          <w:color w:val="auto"/>
          <w:sz w:val="22"/>
          <w:highlight w:val="none"/>
        </w:rPr>
        <w:t xml:space="preserve">       </w:t>
      </w:r>
      <w:r>
        <w:rPr>
          <w:rFonts w:hint="eastAsia" w:ascii="仿宋" w:hAnsi="仿宋" w:eastAsia="仿宋" w:cs="仿宋"/>
          <w:bCs/>
          <w:color w:val="auto"/>
          <w:sz w:val="22"/>
          <w:highlight w:val="none"/>
        </w:rPr>
        <w:t>投标单位全称（盖章）</w:t>
      </w:r>
    </w:p>
    <w:p w14:paraId="26BAED9A">
      <w:pPr>
        <w:spacing w:line="360" w:lineRule="auto"/>
        <w:ind w:firstLine="220" w:firstLineChars="100"/>
        <w:jc w:val="right"/>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 xml:space="preserve">    年   月   日</w:t>
      </w:r>
    </w:p>
    <w:p w14:paraId="6C3A006A">
      <w:pPr>
        <w:spacing w:line="360" w:lineRule="auto"/>
        <w:ind w:firstLine="220" w:firstLineChars="100"/>
        <w:jc w:val="right"/>
        <w:rPr>
          <w:rFonts w:hint="eastAsia" w:ascii="仿宋" w:hAnsi="仿宋" w:eastAsia="仿宋" w:cs="仿宋"/>
          <w:bCs/>
          <w:color w:val="auto"/>
          <w:sz w:val="22"/>
          <w:highlight w:val="none"/>
        </w:rPr>
      </w:pPr>
    </w:p>
    <w:p w14:paraId="082EC9B0">
      <w:pPr>
        <w:snapToGrid w:val="0"/>
        <w:spacing w:line="440" w:lineRule="exact"/>
        <w:ind w:firstLine="422" w:firstLineChars="200"/>
        <w:rPr>
          <w:rFonts w:hint="eastAsia" w:ascii="仿宋" w:hAnsi="仿宋" w:eastAsia="仿宋" w:cs="仿宋"/>
          <w:b/>
          <w:bCs/>
          <w:color w:val="auto"/>
          <w:kern w:val="44"/>
          <w:highlight w:val="none"/>
        </w:rPr>
      </w:pPr>
    </w:p>
    <w:p w14:paraId="05FC1D10">
      <w:pPr>
        <w:snapToGrid w:val="0"/>
        <w:spacing w:line="440" w:lineRule="exact"/>
        <w:ind w:firstLine="422" w:firstLineChars="200"/>
        <w:jc w:val="center"/>
        <w:rPr>
          <w:rFonts w:hint="eastAsia" w:ascii="仿宋" w:hAnsi="仿宋" w:eastAsia="仿宋" w:cs="仿宋"/>
          <w:b/>
          <w:bCs/>
          <w:color w:val="auto"/>
          <w:kern w:val="44"/>
          <w:highlight w:val="none"/>
        </w:rPr>
      </w:pPr>
    </w:p>
    <w:p w14:paraId="33F3A42A">
      <w:pPr>
        <w:snapToGrid w:val="0"/>
        <w:spacing w:line="440" w:lineRule="exact"/>
        <w:ind w:firstLine="482" w:firstLineChars="200"/>
        <w:jc w:val="center"/>
        <w:rPr>
          <w:rFonts w:hint="eastAsia" w:ascii="仿宋" w:hAnsi="仿宋" w:eastAsia="仿宋" w:cs="仿宋"/>
          <w:b/>
          <w:bCs/>
          <w:color w:val="auto"/>
          <w:kern w:val="44"/>
          <w:sz w:val="24"/>
          <w:highlight w:val="none"/>
        </w:rPr>
      </w:pPr>
    </w:p>
    <w:p w14:paraId="24ED9F53">
      <w:pPr>
        <w:snapToGrid w:val="0"/>
        <w:spacing w:line="440" w:lineRule="exact"/>
        <w:ind w:firstLine="482" w:firstLineChars="200"/>
        <w:jc w:val="center"/>
        <w:rPr>
          <w:rFonts w:hint="eastAsia" w:ascii="仿宋" w:hAnsi="仿宋" w:eastAsia="仿宋" w:cs="仿宋"/>
          <w:b/>
          <w:bCs/>
          <w:color w:val="auto"/>
          <w:kern w:val="44"/>
          <w:sz w:val="24"/>
          <w:highlight w:val="none"/>
        </w:rPr>
      </w:pPr>
    </w:p>
    <w:p w14:paraId="147C9B57">
      <w:pPr>
        <w:snapToGrid w:val="0"/>
        <w:spacing w:before="120" w:beforeLines="50" w:after="50" w:line="480" w:lineRule="auto"/>
        <w:ind w:firstLine="643" w:firstLineChars="200"/>
        <w:jc w:val="center"/>
        <w:outlineLvl w:val="1"/>
        <w:rPr>
          <w:rFonts w:hint="eastAsia" w:ascii="仿宋" w:hAnsi="仿宋" w:eastAsia="仿宋" w:cs="仿宋"/>
          <w:b/>
          <w:bCs/>
          <w:color w:val="auto"/>
          <w:sz w:val="32"/>
          <w:szCs w:val="28"/>
          <w:highlight w:val="none"/>
        </w:rPr>
      </w:pPr>
      <w:bookmarkStart w:id="83" w:name="_Toc152332558"/>
      <w:bookmarkStart w:id="84" w:name="_Toc183006927"/>
      <w:bookmarkStart w:id="85" w:name="_Toc116251125"/>
      <w:bookmarkStart w:id="86" w:name="_Toc181259538"/>
      <w:r>
        <w:rPr>
          <w:rFonts w:hint="eastAsia" w:ascii="仿宋" w:hAnsi="仿宋" w:eastAsia="仿宋" w:cs="仿宋"/>
          <w:b/>
          <w:bCs/>
          <w:color w:val="auto"/>
          <w:sz w:val="32"/>
          <w:szCs w:val="28"/>
          <w:highlight w:val="none"/>
        </w:rPr>
        <w:t>三、资格审查文件格式</w:t>
      </w:r>
      <w:bookmarkEnd w:id="83"/>
      <w:bookmarkEnd w:id="84"/>
      <w:bookmarkEnd w:id="85"/>
      <w:bookmarkEnd w:id="86"/>
    </w:p>
    <w:p w14:paraId="3B6CBADD">
      <w:pPr>
        <w:widowControl/>
        <w:shd w:val="clear" w:color="auto" w:fill="FFFFFF"/>
        <w:spacing w:line="360" w:lineRule="auto"/>
        <w:ind w:firstLine="440" w:firstLineChars="200"/>
        <w:rPr>
          <w:rFonts w:hint="eastAsia" w:ascii="仿宋" w:hAnsi="仿宋" w:eastAsia="仿宋" w:cs="仿宋"/>
          <w:color w:val="auto"/>
          <w:kern w:val="0"/>
          <w:sz w:val="22"/>
          <w:szCs w:val="22"/>
          <w:highlight w:val="none"/>
        </w:rPr>
      </w:pPr>
      <w:bookmarkStart w:id="87" w:name="_Toc116251126"/>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营业执照副本（或事业法人登记证副本或其他登记证明材料）扫描件加盖投标人公章（投标人如果有名称变更的，应提供由行政主管部门出具的变更证明文件扫描件加盖投标人公章）；</w:t>
      </w:r>
    </w:p>
    <w:p w14:paraId="07A5A57A">
      <w:pPr>
        <w:widowControl/>
        <w:shd w:val="clear" w:color="auto" w:fill="FFFFFF"/>
        <w:spacing w:line="360" w:lineRule="auto"/>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w:t>
      </w:r>
      <w:r>
        <w:rPr>
          <w:rFonts w:hint="eastAsia" w:ascii="仿宋" w:hAnsi="仿宋" w:eastAsia="仿宋" w:cs="仿宋"/>
          <w:color w:val="auto"/>
          <w:kern w:val="0"/>
          <w:sz w:val="22"/>
          <w:szCs w:val="22"/>
          <w:highlight w:val="none"/>
        </w:rPr>
        <w:t>2）投标人资格声明函（格式见附件）；</w:t>
      </w:r>
    </w:p>
    <w:p w14:paraId="45182396">
      <w:pPr>
        <w:widowControl/>
        <w:shd w:val="clear" w:color="auto" w:fill="FFFFFF"/>
        <w:spacing w:line="360" w:lineRule="auto"/>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）中小企业声明函（如有)（格式见附件）；</w:t>
      </w:r>
    </w:p>
    <w:p w14:paraId="1A4F2981">
      <w:pPr>
        <w:widowControl/>
        <w:shd w:val="clear" w:color="auto" w:fill="FFFFFF"/>
        <w:spacing w:line="360" w:lineRule="auto"/>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（4</w:t>
      </w:r>
      <w:r>
        <w:rPr>
          <w:rFonts w:hint="eastAsia" w:ascii="仿宋" w:hAnsi="仿宋" w:eastAsia="仿宋" w:cs="仿宋"/>
          <w:color w:val="auto"/>
          <w:kern w:val="0"/>
          <w:sz w:val="22"/>
          <w:szCs w:val="22"/>
          <w:highlight w:val="none"/>
        </w:rPr>
        <w:t>）残疾人福利性单位声明函（非残疾人福利性单位无需提供本函)（格式见附件）；</w:t>
      </w:r>
    </w:p>
    <w:p w14:paraId="6C3DE901">
      <w:pPr>
        <w:numPr>
          <w:ilvl w:val="0"/>
          <w:numId w:val="0"/>
        </w:numPr>
        <w:spacing w:line="360" w:lineRule="auto"/>
        <w:ind w:firstLine="440" w:firstLineChars="200"/>
        <w:jc w:val="left"/>
        <w:rPr>
          <w:rFonts w:hint="eastAsia" w:ascii="仿宋" w:hAnsi="仿宋" w:eastAsia="仿宋" w:cs="仿宋"/>
          <w:color w:val="auto"/>
          <w:sz w:val="22"/>
          <w:szCs w:val="28"/>
          <w:highlight w:val="none"/>
        </w:rPr>
      </w:pPr>
      <w:r>
        <w:rPr>
          <w:rFonts w:hint="eastAsia" w:ascii="仿宋" w:hAnsi="仿宋" w:eastAsia="仿宋" w:cs="仿宋"/>
          <w:color w:val="auto"/>
          <w:kern w:val="0"/>
          <w:sz w:val="22"/>
          <w:szCs w:val="22"/>
          <w:highlight w:val="none"/>
          <w:lang w:val="en-US" w:eastAsia="zh-CN"/>
        </w:rPr>
        <w:t>（</w:t>
      </w:r>
      <w:r>
        <w:rPr>
          <w:rFonts w:hint="eastAsia" w:ascii="仿宋" w:hAnsi="仿宋" w:eastAsia="仿宋" w:cs="仿宋"/>
          <w:color w:val="auto"/>
          <w:kern w:val="2"/>
          <w:sz w:val="22"/>
          <w:szCs w:val="28"/>
          <w:highlight w:val="none"/>
          <w:lang w:val="en-US" w:eastAsia="zh-CN" w:bidi="ar-SA"/>
        </w:rPr>
        <w:t>5）</w:t>
      </w:r>
      <w:r>
        <w:rPr>
          <w:rFonts w:hint="eastAsia" w:ascii="仿宋" w:hAnsi="仿宋" w:eastAsia="仿宋" w:cs="仿宋"/>
          <w:color w:val="auto"/>
          <w:sz w:val="22"/>
          <w:szCs w:val="22"/>
          <w:highlight w:val="none"/>
        </w:rPr>
        <w:t>采购文件要求的其他资格条件证明材料（如有）；</w:t>
      </w:r>
    </w:p>
    <w:p w14:paraId="485B8454">
      <w:pPr>
        <w:snapToGrid w:val="0"/>
        <w:spacing w:before="120" w:beforeLines="50" w:after="50" w:line="440" w:lineRule="exact"/>
        <w:ind w:firstLine="420" w:firstLineChars="200"/>
        <w:rPr>
          <w:rFonts w:hint="eastAsia" w:ascii="仿宋" w:hAnsi="仿宋" w:eastAsia="仿宋" w:cs="仿宋"/>
          <w:color w:val="auto"/>
          <w:sz w:val="22"/>
          <w:highlight w:val="none"/>
        </w:rPr>
      </w:pPr>
      <w:r>
        <w:rPr>
          <w:rFonts w:hint="eastAsia" w:ascii="仿宋" w:hAnsi="仿宋" w:eastAsia="仿宋" w:cs="仿宋"/>
          <w:color w:val="auto"/>
          <w:highlight w:val="none"/>
        </w:rPr>
        <w:br w:type="page"/>
      </w:r>
    </w:p>
    <w:p w14:paraId="7A0D65D6">
      <w:pPr>
        <w:snapToGrid w:val="0"/>
        <w:spacing w:before="50" w:after="50" w:line="440" w:lineRule="exact"/>
        <w:ind w:left="-3" w:leftChars="-72" w:right="-817" w:rightChars="-389" w:hanging="148" w:hangingChars="62"/>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格式</w:t>
      </w:r>
      <w:r>
        <w:rPr>
          <w:rFonts w:hint="eastAsia" w:ascii="仿宋" w:hAnsi="仿宋" w:eastAsia="仿宋" w:cs="仿宋"/>
          <w:color w:val="auto"/>
          <w:sz w:val="24"/>
          <w:szCs w:val="22"/>
          <w:highlight w:val="none"/>
          <w:lang w:val="en-US" w:eastAsia="zh-CN"/>
        </w:rPr>
        <w:t>一</w:t>
      </w:r>
    </w:p>
    <w:p w14:paraId="6F08C903">
      <w:pPr>
        <w:snapToGrid w:val="0"/>
        <w:spacing w:before="120" w:beforeLines="50" w:after="50"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投标人资格声明函</w:t>
      </w:r>
    </w:p>
    <w:p w14:paraId="3F14651C">
      <w:pPr>
        <w:spacing w:after="120" w:line="360" w:lineRule="auto"/>
        <w:ind w:left="420" w:leftChars="200" w:right="1470" w:rightChars="700" w:firstLine="440" w:firstLineChars="20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w:t>
      </w:r>
    </w:p>
    <w:p w14:paraId="0C77C81B">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致：（采购人）</w:t>
      </w:r>
    </w:p>
    <w:p w14:paraId="6A445A9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关于贵方对采购编号为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（项目名称）</w:t>
      </w:r>
      <w:r>
        <w:rPr>
          <w:rFonts w:hint="eastAsia" w:ascii="仿宋" w:hAnsi="仿宋" w:eastAsia="仿宋" w:cs="仿宋"/>
          <w:color w:val="auto"/>
          <w:highlight w:val="none"/>
        </w:rPr>
        <w:t xml:space="preserve">发出的投标邀请，本单位申明如下： </w:t>
      </w:r>
    </w:p>
    <w:p w14:paraId="5B55630C">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1、我单位符合《中华人民共和国政府采购法》第22条的一般资格条件的规定：</w:t>
      </w:r>
    </w:p>
    <w:p w14:paraId="75C5A2AA">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1.1具有独立承担民事责任的能力；</w:t>
      </w:r>
    </w:p>
    <w:p w14:paraId="39FE55C2">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1.2具有良好的商业信誉和健全的财务会计制度；</w:t>
      </w:r>
    </w:p>
    <w:p w14:paraId="6D2CD302">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1.3具有履行合同所必需的设备和专业技术能力；</w:t>
      </w:r>
    </w:p>
    <w:p w14:paraId="6BA7E444">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1.4有依法缴纳税收和社会保障资金的良好记录；</w:t>
      </w:r>
    </w:p>
    <w:p w14:paraId="22ECFE50">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1.5参加政府采购活动前三年内，在经营活动中没有重大违法记录；</w:t>
      </w:r>
    </w:p>
    <w:p w14:paraId="78E51568">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1.6法律、行政法规规定的其他条件。</w:t>
      </w:r>
    </w:p>
    <w:p w14:paraId="07732887">
      <w:pPr>
        <w:spacing w:line="400" w:lineRule="exact"/>
        <w:ind w:firstLine="420" w:firstLineChars="200"/>
        <w:rPr>
          <w:rFonts w:hint="eastAsia" w:ascii="仿宋" w:hAnsi="仿宋" w:eastAsia="仿宋" w:cs="仿宋"/>
          <w:color w:val="auto"/>
          <w:highlight w:val="none"/>
        </w:rPr>
      </w:pPr>
      <w:bookmarkStart w:id="88" w:name="_Hlk106195760"/>
      <w:r>
        <w:rPr>
          <w:rFonts w:hint="eastAsia" w:ascii="仿宋" w:hAnsi="仿宋" w:eastAsia="仿宋" w:cs="仿宋"/>
          <w:color w:val="auto"/>
          <w:highlight w:val="none"/>
        </w:rPr>
        <w:t>2、未被列入失信被执行人、重大税收违法案件当事人名单、政府采购严重违法失信行为记录名单。</w:t>
      </w:r>
    </w:p>
    <w:p w14:paraId="67E66C54">
      <w:pPr>
        <w:spacing w:line="360" w:lineRule="auto"/>
        <w:ind w:firstLine="411" w:firstLineChars="196"/>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bidi="ar"/>
        </w:rPr>
        <w:t>我单位为中小企业/小微企业。</w:t>
      </w:r>
    </w:p>
    <w:bookmarkEnd w:id="88"/>
    <w:p w14:paraId="0DD6AF94">
      <w:pPr>
        <w:spacing w:line="360" w:lineRule="auto"/>
        <w:ind w:firstLine="411" w:firstLineChars="196"/>
        <w:rPr>
          <w:rFonts w:hint="eastAsia" w:ascii="仿宋" w:hAnsi="仿宋" w:eastAsia="仿宋" w:cs="仿宋"/>
          <w:color w:val="auto"/>
          <w:highlight w:val="none"/>
        </w:rPr>
      </w:pPr>
      <w:r>
        <w:rPr>
          <w:rFonts w:hint="eastAsia" w:ascii="仿宋" w:hAnsi="仿宋" w:eastAsia="仿宋" w:cs="仿宋"/>
          <w:color w:val="auto"/>
          <w:highlight w:val="none"/>
        </w:rPr>
        <w:t>4、我单位负责人与所参投的本采购项目的其他投标人的单位负责人不为同一人且与其他投标人之间不存在直接控股、管理关系。</w:t>
      </w:r>
    </w:p>
    <w:p w14:paraId="001A8B2C">
      <w:pPr>
        <w:spacing w:line="360" w:lineRule="auto"/>
        <w:ind w:firstLine="411" w:firstLineChars="196"/>
        <w:rPr>
          <w:rFonts w:hint="eastAsia" w:ascii="仿宋" w:hAnsi="仿宋" w:eastAsia="仿宋" w:cs="仿宋"/>
          <w:color w:val="auto"/>
          <w:highlight w:val="none"/>
        </w:rPr>
      </w:pPr>
      <w:r>
        <w:rPr>
          <w:rFonts w:hint="eastAsia" w:ascii="仿宋" w:hAnsi="仿宋" w:eastAsia="仿宋" w:cs="仿宋"/>
          <w:color w:val="auto"/>
          <w:highlight w:val="none"/>
        </w:rPr>
        <w:t>5、我单位不是本采购项目提供整体设计、规范编制或者项目管理、监理、检测等服务的投标人。</w:t>
      </w:r>
    </w:p>
    <w:p w14:paraId="1559D8A0">
      <w:pPr>
        <w:spacing w:line="360" w:lineRule="auto"/>
        <w:ind w:firstLine="411" w:firstLineChars="196"/>
        <w:rPr>
          <w:rFonts w:hint="eastAsia" w:ascii="仿宋" w:hAnsi="仿宋" w:eastAsia="仿宋" w:cs="仿宋"/>
          <w:color w:val="auto"/>
          <w:highlight w:val="none"/>
        </w:rPr>
      </w:pPr>
      <w:r>
        <w:rPr>
          <w:rFonts w:hint="eastAsia" w:ascii="仿宋" w:hAnsi="仿宋" w:eastAsia="仿宋" w:cs="仿宋"/>
          <w:color w:val="auto"/>
          <w:highlight w:val="none"/>
        </w:rPr>
        <w:t>我单位对上述声明的真实性负责。本次招标采购活动中，如有违法、违规、弄虚作假行为，所造成的损失、不良后果及法律责任，一律由我单位承担。</w:t>
      </w:r>
    </w:p>
    <w:p w14:paraId="32D82A19">
      <w:pPr>
        <w:spacing w:line="360" w:lineRule="auto"/>
        <w:ind w:firstLine="420" w:firstLineChars="200"/>
        <w:rPr>
          <w:rFonts w:hint="eastAsia" w:ascii="仿宋" w:hAnsi="仿宋" w:eastAsia="仿宋" w:cs="仿宋"/>
          <w:color w:val="auto"/>
          <w:highlight w:val="none"/>
        </w:rPr>
      </w:pPr>
    </w:p>
    <w:p w14:paraId="29D3DD3A">
      <w:pPr>
        <w:spacing w:line="360" w:lineRule="auto"/>
        <w:ind w:firstLine="420" w:firstLineChars="200"/>
        <w:jc w:val="center"/>
        <w:rPr>
          <w:rFonts w:hint="eastAsia" w:ascii="仿宋" w:hAnsi="仿宋" w:eastAsia="仿宋" w:cs="仿宋"/>
          <w:color w:val="auto"/>
          <w:highlight w:val="none"/>
        </w:rPr>
      </w:pPr>
    </w:p>
    <w:p w14:paraId="3FDAC573">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投标人名称（盖章）：</w:t>
      </w:r>
    </w:p>
    <w:p w14:paraId="46D59C47">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法定代表人或授权代表（签字或盖章）：</w:t>
      </w:r>
    </w:p>
    <w:p w14:paraId="0BD91EEC">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2383F005">
      <w:pPr>
        <w:pStyle w:val="28"/>
        <w:snapToGrid w:val="0"/>
        <w:spacing w:beforeLines="0" w:afterLines="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br w:type="page"/>
      </w:r>
      <w:r>
        <w:rPr>
          <w:rFonts w:hint="eastAsia" w:ascii="仿宋" w:hAnsi="仿宋" w:eastAsia="仿宋" w:cs="仿宋"/>
          <w:color w:val="auto"/>
          <w:highlight w:val="none"/>
        </w:rPr>
        <w:t>格式</w:t>
      </w:r>
      <w:r>
        <w:rPr>
          <w:rFonts w:hint="eastAsia" w:ascii="仿宋" w:hAnsi="仿宋" w:eastAsia="仿宋" w:cs="仿宋"/>
          <w:color w:val="auto"/>
          <w:highlight w:val="none"/>
          <w:lang w:val="en-US" w:eastAsia="zh-CN"/>
        </w:rPr>
        <w:t>二</w:t>
      </w:r>
    </w:p>
    <w:p w14:paraId="179BB0B5">
      <w:pPr>
        <w:snapToGrid w:val="0"/>
        <w:spacing w:before="120" w:beforeLines="50" w:after="50" w:line="360" w:lineRule="auto"/>
        <w:jc w:val="center"/>
        <w:rPr>
          <w:rFonts w:hint="eastAsia" w:ascii="仿宋" w:hAnsi="仿宋" w:eastAsia="仿宋" w:cs="仿宋"/>
          <w:b/>
          <w:bCs/>
          <w:color w:val="auto"/>
          <w:spacing w:val="6"/>
          <w:highlight w:val="none"/>
        </w:rPr>
      </w:pPr>
      <w:r>
        <w:rPr>
          <w:rFonts w:hint="eastAsia" w:ascii="仿宋" w:hAnsi="仿宋" w:eastAsia="仿宋" w:cs="仿宋"/>
          <w:b/>
          <w:color w:val="auto"/>
          <w:sz w:val="28"/>
          <w:szCs w:val="28"/>
          <w:highlight w:val="none"/>
        </w:rPr>
        <w:t>中小企业声明函（服务）</w:t>
      </w:r>
    </w:p>
    <w:p w14:paraId="4AD6CEC5">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本公司郑重声明，根据《政府采购促进中小企业发展管理办法》（财库﹝2020﹞46 号）的规定，本公司参加</w:t>
      </w:r>
      <w:r>
        <w:rPr>
          <w:rFonts w:hint="eastAsia" w:ascii="仿宋" w:hAnsi="仿宋" w:eastAsia="仿宋" w:cs="仿宋"/>
          <w:color w:val="auto"/>
          <w:highlight w:val="none"/>
          <w:u w:val="single"/>
        </w:rPr>
        <w:t xml:space="preserve"> （单位名称） </w:t>
      </w:r>
      <w:r>
        <w:rPr>
          <w:rFonts w:hint="eastAsia" w:ascii="仿宋" w:hAnsi="仿宋" w:eastAsia="仿宋" w:cs="仿宋"/>
          <w:color w:val="auto"/>
          <w:highlight w:val="none"/>
        </w:rPr>
        <w:t xml:space="preserve"> 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采购活动，服务全部由符合政策要求的中小企业承接。相关企业（含联合体中的中小企业、签订分包意向协议的中小企业）的具体情况如下：</w:t>
      </w:r>
    </w:p>
    <w:p w14:paraId="2DC72C31">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lang w:eastAsia="zh-CN"/>
        </w:rPr>
        <w:t>2025年度江北区白蚁防治第三方服务采购项目</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其他未列明行业</w:t>
      </w:r>
      <w:r>
        <w:rPr>
          <w:rFonts w:hint="eastAsia" w:ascii="仿宋" w:hAnsi="仿宋" w:eastAsia="仿宋" w:cs="仿宋"/>
          <w:color w:val="auto"/>
          <w:highlight w:val="none"/>
        </w:rPr>
        <w:t>；承接企业为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 xml:space="preserve">； </w:t>
      </w:r>
    </w:p>
    <w:p w14:paraId="4CF7185C">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lang w:eastAsia="zh-CN"/>
        </w:rPr>
        <w:t>2025年度江北区白蚁防治第三方服务采购项目</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其他未列明行业</w:t>
      </w:r>
      <w:r>
        <w:rPr>
          <w:rFonts w:hint="eastAsia" w:ascii="仿宋" w:hAnsi="仿宋" w:eastAsia="仿宋" w:cs="仿宋"/>
          <w:color w:val="auto"/>
          <w:highlight w:val="none"/>
        </w:rPr>
        <w:t>；承接企业为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 xml:space="preserve">； </w:t>
      </w:r>
    </w:p>
    <w:p w14:paraId="3E6E62FB">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14:paraId="2BD7FDB1">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182C4638">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本企业对上述声明内容的真实性负责。如有虚假，将依法承担相应责任。 </w:t>
      </w:r>
    </w:p>
    <w:p w14:paraId="758EA0CA">
      <w:pPr>
        <w:spacing w:line="400" w:lineRule="exact"/>
        <w:ind w:firstLine="420" w:firstLineChars="200"/>
        <w:jc w:val="center"/>
        <w:rPr>
          <w:rFonts w:hint="eastAsia" w:ascii="仿宋" w:hAnsi="仿宋" w:eastAsia="仿宋" w:cs="仿宋"/>
          <w:color w:val="auto"/>
          <w:highlight w:val="none"/>
        </w:rPr>
      </w:pPr>
    </w:p>
    <w:p w14:paraId="7BBB6C66">
      <w:pPr>
        <w:spacing w:line="400" w:lineRule="exact"/>
        <w:ind w:firstLine="420" w:firstLineChars="200"/>
        <w:jc w:val="center"/>
        <w:rPr>
          <w:rFonts w:hint="eastAsia" w:ascii="仿宋" w:hAnsi="仿宋" w:eastAsia="仿宋" w:cs="仿宋"/>
          <w:color w:val="auto"/>
          <w:highlight w:val="none"/>
        </w:rPr>
      </w:pPr>
    </w:p>
    <w:p w14:paraId="603A918B">
      <w:pPr>
        <w:pStyle w:val="21"/>
        <w:ind w:firstLine="404"/>
        <w:rPr>
          <w:rFonts w:hint="eastAsia" w:ascii="仿宋" w:hAnsi="仿宋" w:eastAsia="仿宋" w:cs="仿宋"/>
          <w:color w:val="auto"/>
          <w:sz w:val="21"/>
          <w:szCs w:val="21"/>
          <w:highlight w:val="none"/>
        </w:rPr>
      </w:pPr>
    </w:p>
    <w:p w14:paraId="41EE7184">
      <w:pPr>
        <w:pStyle w:val="21"/>
        <w:ind w:firstLine="404"/>
        <w:rPr>
          <w:rFonts w:hint="eastAsia" w:ascii="仿宋" w:hAnsi="仿宋" w:eastAsia="仿宋" w:cs="仿宋"/>
          <w:color w:val="auto"/>
          <w:sz w:val="21"/>
          <w:szCs w:val="21"/>
          <w:highlight w:val="none"/>
        </w:rPr>
      </w:pPr>
    </w:p>
    <w:p w14:paraId="73859DA1">
      <w:pPr>
        <w:spacing w:line="400" w:lineRule="exact"/>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企业名称（盖章）：</w:t>
      </w:r>
    </w:p>
    <w:p w14:paraId="67FD3108">
      <w:pPr>
        <w:spacing w:line="400" w:lineRule="exact"/>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日 期：</w:t>
      </w:r>
    </w:p>
    <w:p w14:paraId="774EF05F">
      <w:pPr>
        <w:spacing w:line="400" w:lineRule="exact"/>
        <w:ind w:firstLine="420" w:firstLineChars="200"/>
        <w:rPr>
          <w:rFonts w:hint="eastAsia" w:ascii="仿宋" w:hAnsi="仿宋" w:eastAsia="仿宋" w:cs="仿宋"/>
          <w:color w:val="auto"/>
          <w:highlight w:val="none"/>
        </w:rPr>
      </w:pPr>
    </w:p>
    <w:p w14:paraId="2A685F01">
      <w:pPr>
        <w:pStyle w:val="21"/>
        <w:ind w:firstLine="404"/>
        <w:rPr>
          <w:rFonts w:hint="eastAsia" w:ascii="仿宋" w:hAnsi="仿宋" w:eastAsia="仿宋" w:cs="仿宋"/>
          <w:color w:val="auto"/>
          <w:sz w:val="21"/>
          <w:szCs w:val="21"/>
          <w:highlight w:val="none"/>
        </w:rPr>
      </w:pPr>
    </w:p>
    <w:p w14:paraId="011171D3">
      <w:pPr>
        <w:pStyle w:val="21"/>
        <w:ind w:firstLine="404"/>
        <w:rPr>
          <w:rFonts w:hint="eastAsia" w:ascii="仿宋" w:hAnsi="仿宋" w:eastAsia="仿宋" w:cs="仿宋"/>
          <w:color w:val="auto"/>
          <w:sz w:val="21"/>
          <w:szCs w:val="21"/>
          <w:highlight w:val="none"/>
        </w:rPr>
      </w:pPr>
    </w:p>
    <w:p w14:paraId="15485192">
      <w:pPr>
        <w:spacing w:line="400" w:lineRule="exact"/>
        <w:ind w:firstLine="420" w:firstLineChars="200"/>
        <w:rPr>
          <w:rFonts w:hint="eastAsia" w:ascii="仿宋" w:hAnsi="仿宋" w:eastAsia="仿宋" w:cs="仿宋"/>
          <w:color w:val="auto"/>
          <w:highlight w:val="none"/>
        </w:rPr>
      </w:pPr>
    </w:p>
    <w:p w14:paraId="126DFE13">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注：1、从业人员、营业收入、资产总额填报上一年度数据，无上一年度数据的新成立企业可不填报。</w:t>
      </w:r>
    </w:p>
    <w:p w14:paraId="20B8C814">
      <w:pPr>
        <w:spacing w:line="400" w:lineRule="exact"/>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2、行业划分参照工信部联企业[2011]300号规定。</w:t>
      </w:r>
    </w:p>
    <w:p w14:paraId="6BE066B1">
      <w:pPr>
        <w:widowControl/>
        <w:rPr>
          <w:rFonts w:hint="eastAsia" w:ascii="仿宋" w:hAnsi="仿宋" w:eastAsia="仿宋" w:cs="仿宋"/>
          <w:color w:val="auto"/>
          <w:highlight w:val="none"/>
        </w:rPr>
      </w:pPr>
    </w:p>
    <w:p w14:paraId="1AD07812">
      <w:pPr>
        <w:pStyle w:val="68"/>
        <w:ind w:firstLine="480"/>
        <w:rPr>
          <w:rFonts w:hint="eastAsia" w:ascii="仿宋" w:hAnsi="仿宋" w:eastAsia="仿宋" w:cs="仿宋"/>
          <w:color w:val="auto"/>
          <w:highlight w:val="none"/>
        </w:rPr>
      </w:pPr>
    </w:p>
    <w:p w14:paraId="4A9B0BA7">
      <w:pPr>
        <w:pStyle w:val="68"/>
        <w:ind w:firstLine="480"/>
        <w:rPr>
          <w:rFonts w:hint="eastAsia" w:ascii="仿宋" w:hAnsi="仿宋" w:eastAsia="仿宋" w:cs="仿宋"/>
          <w:color w:val="auto"/>
          <w:highlight w:val="none"/>
        </w:rPr>
      </w:pPr>
    </w:p>
    <w:p w14:paraId="391AD997">
      <w:pPr>
        <w:pStyle w:val="68"/>
        <w:ind w:firstLine="480"/>
        <w:rPr>
          <w:rFonts w:hint="eastAsia" w:ascii="仿宋" w:hAnsi="仿宋" w:eastAsia="仿宋" w:cs="仿宋"/>
          <w:color w:val="auto"/>
          <w:highlight w:val="none"/>
        </w:rPr>
      </w:pPr>
    </w:p>
    <w:p w14:paraId="561A3A1D">
      <w:pPr>
        <w:pStyle w:val="68"/>
        <w:ind w:firstLine="480"/>
        <w:rPr>
          <w:rFonts w:hint="eastAsia" w:ascii="仿宋" w:hAnsi="仿宋" w:eastAsia="仿宋" w:cs="仿宋"/>
          <w:color w:val="auto"/>
          <w:highlight w:val="none"/>
        </w:rPr>
      </w:pPr>
    </w:p>
    <w:p w14:paraId="47345695">
      <w:pPr>
        <w:pStyle w:val="68"/>
        <w:ind w:firstLine="480"/>
        <w:rPr>
          <w:rFonts w:hint="eastAsia" w:ascii="仿宋" w:hAnsi="仿宋" w:eastAsia="仿宋" w:cs="仿宋"/>
          <w:color w:val="auto"/>
          <w:highlight w:val="none"/>
        </w:rPr>
      </w:pPr>
    </w:p>
    <w:p w14:paraId="3DEA691F">
      <w:pPr>
        <w:pStyle w:val="68"/>
        <w:ind w:firstLine="480"/>
        <w:rPr>
          <w:rFonts w:hint="eastAsia" w:ascii="仿宋" w:hAnsi="仿宋" w:eastAsia="仿宋" w:cs="仿宋"/>
          <w:color w:val="auto"/>
          <w:highlight w:val="none"/>
        </w:rPr>
      </w:pPr>
    </w:p>
    <w:p w14:paraId="64CF9FAE">
      <w:pPr>
        <w:pStyle w:val="68"/>
        <w:ind w:firstLine="480"/>
        <w:rPr>
          <w:rFonts w:hint="eastAsia" w:ascii="仿宋" w:hAnsi="仿宋" w:eastAsia="仿宋" w:cs="仿宋"/>
          <w:color w:val="auto"/>
          <w:highlight w:val="none"/>
        </w:rPr>
      </w:pPr>
    </w:p>
    <w:p w14:paraId="123E18E3">
      <w:pPr>
        <w:pStyle w:val="68"/>
        <w:ind w:firstLine="0" w:firstLineChars="0"/>
        <w:rPr>
          <w:rFonts w:hint="eastAsia" w:ascii="仿宋" w:hAnsi="仿宋" w:eastAsia="仿宋" w:cs="仿宋"/>
          <w:color w:val="auto"/>
          <w:highlight w:val="none"/>
        </w:rPr>
        <w:sectPr>
          <w:headerReference r:id="rId8" w:type="default"/>
          <w:footerReference r:id="rId9" w:type="default"/>
          <w:pgSz w:w="11906" w:h="16838"/>
          <w:pgMar w:top="1134" w:right="1361" w:bottom="1247" w:left="1361" w:header="567" w:footer="624" w:gutter="0"/>
          <w:pgBorders w:offsetFrom="page">
            <w:top w:val="none" w:sz="0" w:space="0"/>
            <w:left w:val="none" w:sz="0" w:space="0"/>
            <w:bottom w:val="none" w:sz="0" w:space="0"/>
            <w:right w:val="none" w:sz="0" w:space="0"/>
          </w:pgBorders>
          <w:cols w:space="720" w:num="1"/>
          <w:docGrid w:linePitch="312" w:charSpace="0"/>
        </w:sectPr>
      </w:pPr>
    </w:p>
    <w:p w14:paraId="4859867F">
      <w:pPr>
        <w:snapToGrid w:val="0"/>
        <w:spacing w:before="120" w:beforeLines="50" w:after="50"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14:paraId="2D89A1A9">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（一）农、林、牧、渔业。营业收入20000万元以下的为中小微型企业。其中， 营业收入500万元及以上的为中型企业，营业收入50万元及以上的为小型企业，营业 收入50万元以下的为微型企业。 </w:t>
      </w:r>
    </w:p>
    <w:p w14:paraId="140B9CF9">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（二）工业。从业人员1000人以下或营业收入40000万元以下的为中小微型企 业。其中，从业人员300人及以上，且营业收入2000万元及以上的为中型企业；从业 人员20人及以上，且营业收入300万元及以上的为小型企业；从业人员20人以下或营 业收入300万元以下的为微型企业。 </w:t>
      </w:r>
    </w:p>
    <w:p w14:paraId="1C91C85D">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14:paraId="1FC04B57">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（四）批发业。从业人员200人以下或营业收入40000万元以下的为中小微型企 业。其中，从业人员20人及以上，且营业收入5000万元及以上的为中型企业；从业 人员5人及以上，且营业收入1000万元及以上的为小型企业；从业人员5人以下或营 业收入1000万元以下的为微型企业。 </w:t>
      </w:r>
    </w:p>
    <w:p w14:paraId="2F16FAE2">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（五）零售业。从业人员300人以下或营业收入20000万元以下的为中小微型企 业。其中，从业人员50人及以上，且营业收入500万元及以上的为中型企业；从业人 员10人及以上，且营业收入100万元及以上的为小型企业；从业人员10人以下或营业 收入100万元以下的为微型企业。 </w:t>
      </w:r>
    </w:p>
    <w:p w14:paraId="1FA3855F">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w:t>
      </w:r>
    </w:p>
    <w:p w14:paraId="5F405C1C">
      <w:pPr>
        <w:wordWrap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（七）仓储业。从业人员200人以下或营业收入30000万元以下的为中小微型企 业。其中，从业人员100人及以上，且营业收入1000万元及以上的为中型企业；从业 人员20人及以上，且营业收入100万元及以上的为小型企业；从业人员20人以下或营 业收入100万元以下的为微型企业。 </w:t>
      </w:r>
    </w:p>
    <w:p w14:paraId="431A8CC4">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（八）邮政业。从业人员1000人以下或营业收入30000万元以下的为中小微型企 业。其中，从业人员300人及以上，且营业收入2000万元及以上的为中型企业；从业 人员20人及以上，且营业收入100万元及以上的为小型企业；从业人员20人以下或营 业收入100万元以下的为微型企业。</w:t>
      </w:r>
    </w:p>
    <w:p w14:paraId="6C9718F0">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w:t>
      </w:r>
    </w:p>
    <w:p w14:paraId="7BA491F1">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w:t>
      </w:r>
    </w:p>
    <w:p w14:paraId="737FB3F9">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14:paraId="0528472E">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（十二）软件和信息技术服务业。从业人员300人以下或营业收入10000万元以 下的为中小微型企业。其中，从业人员100人及以上，且营业收入1000万元及以上的 为中型企业；从业人员10人及以上，且营业收入50万元及以上的为小型企业；从业 人员10人以下或营业收入50万元以下的为微型企业。 </w:t>
      </w:r>
    </w:p>
    <w:p w14:paraId="753F5C97">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（十三）房地产开发经营。营业收入200000万元以下或资产总额10000万元以下 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14:paraId="1AD0057E">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 下或营业收入500万元以下的为微型企业。 </w:t>
      </w:r>
    </w:p>
    <w:p w14:paraId="396F7755">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w:t>
      </w:r>
    </w:p>
    <w:p w14:paraId="132834ED">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（十六）其他未列明行业。从业人员300人以下的为中小微型企业。其中，从业 人员100人及以上的为中型企业；从业人员10人及以上的为小型企业；从业人员10人 以下的为微型企业。</w:t>
      </w:r>
    </w:p>
    <w:p w14:paraId="2A975320">
      <w:pPr>
        <w:widowControl/>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6D31ABB">
      <w:pPr>
        <w:spacing w:line="400" w:lineRule="exact"/>
        <w:ind w:firstLine="440" w:firstLineChars="200"/>
        <w:rPr>
          <w:rFonts w:hint="eastAsia" w:ascii="仿宋" w:hAnsi="仿宋" w:eastAsia="仿宋" w:cs="仿宋"/>
          <w:color w:val="auto"/>
          <w:sz w:val="22"/>
          <w:szCs w:val="21"/>
          <w:highlight w:val="none"/>
          <w:lang w:val="en-US" w:eastAsia="zh-CN"/>
        </w:rPr>
      </w:pPr>
      <w:r>
        <w:rPr>
          <w:rFonts w:hint="eastAsia" w:ascii="仿宋" w:hAnsi="仿宋" w:eastAsia="仿宋" w:cs="仿宋"/>
          <w:color w:val="auto"/>
          <w:sz w:val="22"/>
          <w:szCs w:val="21"/>
          <w:highlight w:val="none"/>
        </w:rPr>
        <w:t>格式</w:t>
      </w:r>
      <w:r>
        <w:rPr>
          <w:rFonts w:hint="eastAsia" w:ascii="仿宋" w:hAnsi="仿宋" w:eastAsia="仿宋" w:cs="仿宋"/>
          <w:color w:val="auto"/>
          <w:sz w:val="22"/>
          <w:szCs w:val="21"/>
          <w:highlight w:val="none"/>
          <w:lang w:val="en-US" w:eastAsia="zh-CN"/>
        </w:rPr>
        <w:t>三</w:t>
      </w:r>
    </w:p>
    <w:p w14:paraId="2BB5469C">
      <w:pPr>
        <w:snapToGrid w:val="0"/>
        <w:spacing w:before="120" w:beforeLines="50" w:after="50"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残疾人福利性单位声明函</w:t>
      </w:r>
    </w:p>
    <w:p w14:paraId="6462A955">
      <w:pPr>
        <w:widowControl/>
        <w:spacing w:line="360" w:lineRule="auto"/>
        <w:rPr>
          <w:rFonts w:hint="eastAsia" w:ascii="仿宋" w:hAnsi="仿宋" w:eastAsia="仿宋" w:cs="仿宋"/>
          <w:color w:val="auto"/>
          <w:highlight w:val="none"/>
        </w:rPr>
      </w:pPr>
    </w:p>
    <w:p w14:paraId="380719D7">
      <w:pPr>
        <w:widowControl/>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1.本单位郑重声明，根据《财政部 民政部 中国残疾人联合会关于促进残疾人就业政府采购政策的通知》（财库〔2017〕141号）的规定，本单位_____（填写：为符合或者不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03771F88">
      <w:pPr>
        <w:widowControl/>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2.本单位对上述声明的真实性负责。如有虚假，将依法承担相应责任。</w:t>
      </w:r>
    </w:p>
    <w:p w14:paraId="0C015065">
      <w:pPr>
        <w:widowControl/>
        <w:tabs>
          <w:tab w:val="left" w:pos="4860"/>
        </w:tabs>
        <w:spacing w:line="360" w:lineRule="auto"/>
        <w:ind w:right="1560"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975D7B5">
      <w:pPr>
        <w:widowControl/>
        <w:tabs>
          <w:tab w:val="left" w:pos="4860"/>
        </w:tabs>
        <w:spacing w:line="360" w:lineRule="auto"/>
        <w:ind w:right="1560" w:firstLine="444" w:firstLineChars="200"/>
        <w:jc w:val="center"/>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 xml:space="preserve">企业名称（盖章）： </w:t>
      </w:r>
    </w:p>
    <w:p w14:paraId="28E10A41">
      <w:pPr>
        <w:spacing w:line="360" w:lineRule="auto"/>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 xml:space="preserve">                         </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rPr>
        <w:t>日  期：</w:t>
      </w:r>
    </w:p>
    <w:p w14:paraId="5C532EBC">
      <w:pPr>
        <w:spacing w:line="360" w:lineRule="auto"/>
        <w:rPr>
          <w:rFonts w:hint="eastAsia" w:ascii="仿宋" w:hAnsi="仿宋" w:eastAsia="仿宋" w:cs="仿宋"/>
          <w:b/>
          <w:bCs/>
          <w:color w:val="auto"/>
          <w:highlight w:val="none"/>
        </w:rPr>
      </w:pPr>
    </w:p>
    <w:p w14:paraId="7E34DB4D">
      <w:pPr>
        <w:spacing w:line="360" w:lineRule="auto"/>
        <w:rPr>
          <w:rFonts w:hint="eastAsia" w:ascii="仿宋" w:hAnsi="仿宋" w:eastAsia="仿宋" w:cs="仿宋"/>
          <w:b/>
          <w:bCs/>
          <w:color w:val="auto"/>
          <w:highlight w:val="none"/>
        </w:rPr>
      </w:pPr>
    </w:p>
    <w:p w14:paraId="4CCE2696">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投标人如为非残疾人福利性单位的，可不提供本声明函。</w:t>
      </w:r>
    </w:p>
    <w:p w14:paraId="1BAB2E06">
      <w:pPr>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11115461">
      <w:pPr>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1、如投标人为非残疾人福利性单位的可不提供本声明函。</w:t>
      </w:r>
    </w:p>
    <w:p w14:paraId="60DEC98E">
      <w:pPr>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2、享受政府采购支持政策的残疾人福利性单位应当同时满足以下条件：</w:t>
      </w:r>
    </w:p>
    <w:p w14:paraId="5DE72EE4">
      <w:pPr>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（一）安置的残疾人占本单位在职职工人数的比例不低于25%（含25%），并且安置的残疾人人数不少于10人（含10人）；</w:t>
      </w:r>
    </w:p>
    <w:p w14:paraId="08FEC6A9">
      <w:pPr>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（二）依法与安置的每位残疾人签订了一年以上（含一年）的劳动合同或服务协议；</w:t>
      </w:r>
    </w:p>
    <w:p w14:paraId="3117EF1A">
      <w:pPr>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（三）为安置的每位残疾人按月足额缴纳了基本养老保险、基本医疗保险、失业保险、工伤保险和生育保险等社会保险费；</w:t>
      </w:r>
    </w:p>
    <w:p w14:paraId="7E3C8AA3">
      <w:pPr>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（四）通过银行等金融机构向安置的每位残疾人，按月支付了不低于单位所在区县适用的经省级人民政府批准的月最低工资标准的工资；</w:t>
      </w:r>
    </w:p>
    <w:p w14:paraId="739F9961">
      <w:pPr>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（五）提供本单位制造的货物、承担的工程或者服务（以下简称产品），或者提供其他残疾人福利性单位制造的货物（不包括使用非残疾人福利性单位注册商标的货物）。</w:t>
      </w:r>
    </w:p>
    <w:p w14:paraId="4CCC1C58">
      <w:pPr>
        <w:widowControl/>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D682A6B">
      <w:pPr>
        <w:pStyle w:val="50"/>
        <w:ind w:firstLine="344"/>
        <w:rPr>
          <w:rFonts w:hint="eastAsia" w:ascii="仿宋" w:hAnsi="仿宋" w:eastAsia="仿宋" w:cs="仿宋"/>
          <w:color w:val="auto"/>
          <w:highlight w:val="none"/>
        </w:rPr>
      </w:pPr>
    </w:p>
    <w:p w14:paraId="30302B88">
      <w:pPr>
        <w:widowControl/>
        <w:snapToGrid w:val="0"/>
        <w:spacing w:beforeAutospacing="1" w:afterAutospacing="1" w:line="440" w:lineRule="exact"/>
        <w:ind w:left="1540" w:right="1540"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p>
    <w:p w14:paraId="4302C005">
      <w:pPr>
        <w:snapToGrid w:val="0"/>
        <w:spacing w:before="50" w:after="50" w:line="440" w:lineRule="exact"/>
        <w:ind w:right="-817" w:rightChars="-389"/>
        <w:rPr>
          <w:rFonts w:hint="eastAsia" w:ascii="仿宋" w:hAnsi="仿宋" w:eastAsia="仿宋" w:cs="仿宋"/>
          <w:color w:val="auto"/>
          <w:szCs w:val="22"/>
          <w:highlight w:val="none"/>
        </w:rPr>
      </w:pPr>
    </w:p>
    <w:p w14:paraId="5B8D61D2">
      <w:pPr>
        <w:snapToGrid w:val="0"/>
        <w:spacing w:before="120" w:beforeLines="50" w:after="50" w:line="480" w:lineRule="auto"/>
        <w:ind w:firstLine="643" w:firstLineChars="200"/>
        <w:jc w:val="center"/>
        <w:outlineLvl w:val="1"/>
        <w:rPr>
          <w:rFonts w:hint="eastAsia" w:ascii="仿宋" w:hAnsi="仿宋" w:eastAsia="仿宋" w:cs="仿宋"/>
          <w:b/>
          <w:bCs/>
          <w:color w:val="auto"/>
          <w:sz w:val="32"/>
          <w:szCs w:val="28"/>
          <w:highlight w:val="none"/>
        </w:rPr>
      </w:pPr>
      <w:r>
        <w:rPr>
          <w:rFonts w:hint="eastAsia" w:ascii="仿宋" w:hAnsi="仿宋" w:eastAsia="仿宋" w:cs="仿宋"/>
          <w:b/>
          <w:bCs/>
          <w:color w:val="auto"/>
          <w:sz w:val="32"/>
          <w:szCs w:val="28"/>
          <w:highlight w:val="none"/>
        </w:rPr>
        <w:br w:type="page"/>
      </w:r>
      <w:bookmarkStart w:id="89" w:name="_Toc152332559"/>
      <w:bookmarkStart w:id="90" w:name="_Toc183006928"/>
      <w:bookmarkStart w:id="91" w:name="_Toc181259539"/>
      <w:r>
        <w:rPr>
          <w:rFonts w:hint="eastAsia" w:ascii="仿宋" w:hAnsi="仿宋" w:eastAsia="仿宋" w:cs="仿宋"/>
          <w:b/>
          <w:bCs/>
          <w:color w:val="auto"/>
          <w:sz w:val="32"/>
          <w:szCs w:val="28"/>
          <w:highlight w:val="none"/>
        </w:rPr>
        <w:t>四、商务技术文件格式</w:t>
      </w:r>
      <w:bookmarkEnd w:id="87"/>
      <w:bookmarkEnd w:id="89"/>
      <w:bookmarkEnd w:id="90"/>
      <w:bookmarkEnd w:id="91"/>
    </w:p>
    <w:p w14:paraId="6CF87C17">
      <w:pPr>
        <w:widowControl/>
        <w:shd w:val="clear" w:color="auto" w:fill="FFFFFF"/>
        <w:spacing w:line="400" w:lineRule="exact"/>
        <w:ind w:firstLine="660" w:firstLineChars="3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（1）商务技术响应表（格式见第六章 投标文件格式）；</w:t>
      </w:r>
    </w:p>
    <w:p w14:paraId="5BAA4C9C">
      <w:pPr>
        <w:widowControl/>
        <w:shd w:val="clear" w:color="auto" w:fill="FFFFFF"/>
        <w:spacing w:line="400" w:lineRule="exact"/>
        <w:ind w:firstLine="660" w:firstLineChars="3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kern w:val="0"/>
          <w:sz w:val="22"/>
          <w:szCs w:val="22"/>
          <w:highlight w:val="none"/>
        </w:rPr>
        <w:t>基本情况表（格式见第六章 投标文件格式）；</w:t>
      </w:r>
    </w:p>
    <w:p w14:paraId="566F1B19">
      <w:pPr>
        <w:widowControl/>
        <w:shd w:val="clear" w:color="auto" w:fill="FFFFFF"/>
        <w:spacing w:line="400" w:lineRule="exact"/>
        <w:ind w:firstLine="660" w:firstLineChars="3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投标人</w:t>
      </w:r>
      <w:r>
        <w:rPr>
          <w:rFonts w:hint="eastAsia" w:ascii="仿宋" w:hAnsi="仿宋" w:eastAsia="仿宋" w:cs="仿宋"/>
          <w:color w:val="auto"/>
          <w:kern w:val="0"/>
          <w:sz w:val="22"/>
          <w:szCs w:val="22"/>
          <w:highlight w:val="none"/>
        </w:rPr>
        <w:t>的代表若为法定代表人，提供法定代表人身份证明书；投标人的代表若为非法定代表人的，提交代表人身份证明书及法定代表人授权书（格式见附件）</w:t>
      </w:r>
    </w:p>
    <w:p w14:paraId="34F3C267">
      <w:pPr>
        <w:widowControl/>
        <w:shd w:val="clear" w:color="auto" w:fill="FFFFFF"/>
        <w:spacing w:line="400" w:lineRule="exact"/>
        <w:ind w:firstLine="660" w:firstLineChars="3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（3）拟派项目负责人简历表（格式见第六章 投标文件格式）；</w:t>
      </w:r>
    </w:p>
    <w:p w14:paraId="34CEF5FB">
      <w:pPr>
        <w:widowControl/>
        <w:shd w:val="clear" w:color="auto" w:fill="FFFFFF"/>
        <w:spacing w:line="400" w:lineRule="exact"/>
        <w:ind w:firstLine="660" w:firstLineChars="3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（4）拟投入的人员配备情况表（格式见第六章 投标文件格式）；</w:t>
      </w:r>
    </w:p>
    <w:p w14:paraId="4737DD81">
      <w:pPr>
        <w:widowControl/>
        <w:shd w:val="clear" w:color="auto" w:fill="FFFFFF"/>
        <w:spacing w:line="400" w:lineRule="exact"/>
        <w:ind w:firstLine="660" w:firstLineChars="3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（5）类似项目业绩一览表（格式见第六章 投标文件格式）；</w:t>
      </w:r>
    </w:p>
    <w:p w14:paraId="108E2547">
      <w:pPr>
        <w:widowControl/>
        <w:shd w:val="clear" w:color="auto" w:fill="FFFFFF"/>
        <w:spacing w:line="400" w:lineRule="exact"/>
        <w:ind w:firstLine="660" w:firstLineChars="3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（6）评分标准中涉及的内容材料；</w:t>
      </w:r>
    </w:p>
    <w:p w14:paraId="5C3E6AF0">
      <w:pPr>
        <w:widowControl/>
        <w:shd w:val="clear" w:color="auto" w:fill="FFFFFF"/>
        <w:spacing w:line="400" w:lineRule="exact"/>
        <w:ind w:firstLine="660" w:firstLineChars="3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（7）承诺书</w:t>
      </w:r>
      <w:r>
        <w:rPr>
          <w:rFonts w:hint="eastAsia" w:ascii="仿宋" w:hAnsi="仿宋" w:eastAsia="仿宋" w:cs="仿宋"/>
          <w:color w:val="auto"/>
          <w:kern w:val="0"/>
          <w:sz w:val="22"/>
          <w:szCs w:val="22"/>
          <w:highlight w:val="none"/>
        </w:rPr>
        <w:t>（格式见附件）；</w:t>
      </w:r>
    </w:p>
    <w:p w14:paraId="667BEC5B">
      <w:pPr>
        <w:widowControl/>
        <w:shd w:val="clear" w:color="auto" w:fill="FFFFFF"/>
        <w:spacing w:line="400" w:lineRule="exact"/>
        <w:ind w:firstLine="660" w:firstLineChars="3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r>
        <w:rPr>
          <w:rFonts w:hint="eastAsia" w:ascii="仿宋" w:hAnsi="仿宋" w:eastAsia="仿宋" w:cs="仿宋"/>
          <w:color w:val="auto"/>
          <w:kern w:val="0"/>
          <w:sz w:val="22"/>
          <w:szCs w:val="22"/>
          <w:highlight w:val="none"/>
          <w:lang w:val="en-US" w:eastAsia="zh-CN"/>
        </w:rPr>
        <w:t>8</w:t>
      </w:r>
      <w:r>
        <w:rPr>
          <w:rFonts w:hint="eastAsia" w:ascii="仿宋" w:hAnsi="仿宋" w:eastAsia="仿宋" w:cs="仿宋"/>
          <w:color w:val="auto"/>
          <w:kern w:val="0"/>
          <w:sz w:val="22"/>
          <w:szCs w:val="22"/>
          <w:highlight w:val="none"/>
        </w:rPr>
        <w:t>）其他招标文件要求或投标人认为有必要提供的文件资料。</w:t>
      </w:r>
    </w:p>
    <w:p w14:paraId="288BBF0C">
      <w:pPr>
        <w:snapToGrid w:val="0"/>
        <w:spacing w:before="50" w:after="50" w:line="440" w:lineRule="exact"/>
        <w:ind w:left="-15" w:leftChars="-72" w:right="-817" w:rightChars="-389" w:hanging="136" w:hangingChars="62"/>
        <w:rPr>
          <w:rFonts w:hint="eastAsia" w:ascii="仿宋" w:hAnsi="仿宋" w:eastAsia="仿宋" w:cs="仿宋"/>
          <w:color w:val="auto"/>
          <w:sz w:val="24"/>
          <w:szCs w:val="22"/>
          <w:highlight w:val="none"/>
          <w:lang w:eastAsia="zh-CN"/>
        </w:rPr>
      </w:pPr>
      <w:r>
        <w:rPr>
          <w:rFonts w:hint="eastAsia" w:ascii="仿宋" w:hAnsi="仿宋" w:eastAsia="仿宋" w:cs="仿宋"/>
          <w:color w:val="auto"/>
          <w:sz w:val="22"/>
          <w:szCs w:val="22"/>
          <w:highlight w:val="none"/>
        </w:rPr>
        <w:br w:type="page"/>
      </w:r>
      <w:r>
        <w:rPr>
          <w:rFonts w:hint="eastAsia" w:ascii="仿宋" w:hAnsi="仿宋" w:eastAsia="仿宋" w:cs="仿宋"/>
          <w:color w:val="auto"/>
          <w:sz w:val="24"/>
          <w:szCs w:val="22"/>
          <w:highlight w:val="none"/>
        </w:rPr>
        <w:t>格式</w:t>
      </w:r>
      <w:r>
        <w:rPr>
          <w:rFonts w:hint="eastAsia" w:ascii="仿宋" w:hAnsi="仿宋" w:eastAsia="仿宋" w:cs="仿宋"/>
          <w:color w:val="auto"/>
          <w:sz w:val="24"/>
          <w:szCs w:val="22"/>
          <w:highlight w:val="none"/>
          <w:lang w:val="en-US" w:eastAsia="zh-CN"/>
        </w:rPr>
        <w:t>四</w:t>
      </w:r>
    </w:p>
    <w:p w14:paraId="142CEB88">
      <w:pPr>
        <w:snapToGrid w:val="0"/>
        <w:spacing w:before="120" w:beforeLines="50" w:after="50"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商务技术响应表</w:t>
      </w:r>
    </w:p>
    <w:p w14:paraId="1A546E6A">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341CA037">
      <w:pPr>
        <w:spacing w:line="360" w:lineRule="auto"/>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916"/>
        <w:gridCol w:w="1516"/>
        <w:gridCol w:w="1534"/>
      </w:tblGrid>
      <w:tr w14:paraId="0F36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ign w:val="center"/>
          </w:tcPr>
          <w:p w14:paraId="73400A1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4916" w:type="dxa"/>
            <w:noWrap/>
            <w:vAlign w:val="center"/>
          </w:tcPr>
          <w:p w14:paraId="5FB7E519">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采购文件</w:t>
            </w:r>
            <w:r>
              <w:rPr>
                <w:rFonts w:hint="eastAsia" w:ascii="仿宋" w:hAnsi="仿宋" w:eastAsia="仿宋" w:cs="仿宋"/>
                <w:color w:val="auto"/>
                <w:szCs w:val="21"/>
                <w:highlight w:val="none"/>
                <w:lang w:val="en-US" w:eastAsia="zh-CN"/>
              </w:rPr>
              <w:t>第二章采购需求内容</w:t>
            </w:r>
          </w:p>
        </w:tc>
        <w:tc>
          <w:tcPr>
            <w:tcW w:w="1516" w:type="dxa"/>
            <w:noWrap/>
            <w:vAlign w:val="center"/>
          </w:tcPr>
          <w:p w14:paraId="35E8794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投标文件的</w:t>
            </w:r>
          </w:p>
          <w:p w14:paraId="41C25E5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响应情况</w:t>
            </w:r>
          </w:p>
        </w:tc>
        <w:tc>
          <w:tcPr>
            <w:tcW w:w="1534" w:type="dxa"/>
            <w:noWrap/>
            <w:vAlign w:val="center"/>
          </w:tcPr>
          <w:p w14:paraId="00E129E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4151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65932DD5">
            <w:pPr>
              <w:spacing w:line="360" w:lineRule="auto"/>
              <w:jc w:val="center"/>
              <w:rPr>
                <w:rFonts w:hint="eastAsia" w:ascii="仿宋" w:hAnsi="仿宋" w:eastAsia="仿宋" w:cs="仿宋"/>
                <w:color w:val="auto"/>
                <w:szCs w:val="21"/>
                <w:highlight w:val="none"/>
              </w:rPr>
            </w:pPr>
          </w:p>
        </w:tc>
        <w:tc>
          <w:tcPr>
            <w:tcW w:w="4916" w:type="dxa"/>
            <w:noWrap/>
            <w:vAlign w:val="center"/>
          </w:tcPr>
          <w:p w14:paraId="3273B563">
            <w:pPr>
              <w:spacing w:line="360" w:lineRule="auto"/>
              <w:rPr>
                <w:rFonts w:hint="eastAsia" w:ascii="仿宋" w:hAnsi="仿宋" w:eastAsia="仿宋" w:cs="仿宋"/>
                <w:b/>
                <w:bCs/>
                <w:color w:val="auto"/>
                <w:szCs w:val="21"/>
                <w:highlight w:val="none"/>
              </w:rPr>
            </w:pPr>
          </w:p>
        </w:tc>
        <w:tc>
          <w:tcPr>
            <w:tcW w:w="1516" w:type="dxa"/>
            <w:noWrap/>
            <w:vAlign w:val="center"/>
          </w:tcPr>
          <w:p w14:paraId="6950A8B8">
            <w:pPr>
              <w:spacing w:line="360" w:lineRule="auto"/>
              <w:jc w:val="center"/>
              <w:rPr>
                <w:rFonts w:hint="eastAsia" w:ascii="仿宋" w:hAnsi="仿宋" w:eastAsia="仿宋" w:cs="仿宋"/>
                <w:color w:val="auto"/>
                <w:szCs w:val="21"/>
                <w:highlight w:val="none"/>
              </w:rPr>
            </w:pPr>
          </w:p>
        </w:tc>
        <w:tc>
          <w:tcPr>
            <w:tcW w:w="1534" w:type="dxa"/>
            <w:noWrap/>
            <w:vAlign w:val="center"/>
          </w:tcPr>
          <w:p w14:paraId="59DD06A1">
            <w:pPr>
              <w:spacing w:line="360" w:lineRule="auto"/>
              <w:jc w:val="center"/>
              <w:rPr>
                <w:rFonts w:hint="eastAsia" w:ascii="仿宋" w:hAnsi="仿宋" w:eastAsia="仿宋" w:cs="仿宋"/>
                <w:color w:val="auto"/>
                <w:szCs w:val="21"/>
                <w:highlight w:val="none"/>
              </w:rPr>
            </w:pPr>
          </w:p>
        </w:tc>
      </w:tr>
      <w:tr w14:paraId="02B9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1C9DC78A">
            <w:pPr>
              <w:spacing w:line="360" w:lineRule="auto"/>
              <w:jc w:val="center"/>
              <w:rPr>
                <w:rFonts w:hint="eastAsia" w:ascii="仿宋" w:hAnsi="仿宋" w:eastAsia="仿宋" w:cs="仿宋"/>
                <w:color w:val="auto"/>
                <w:szCs w:val="21"/>
                <w:highlight w:val="none"/>
              </w:rPr>
            </w:pPr>
          </w:p>
        </w:tc>
        <w:tc>
          <w:tcPr>
            <w:tcW w:w="4916" w:type="dxa"/>
            <w:noWrap/>
            <w:vAlign w:val="center"/>
          </w:tcPr>
          <w:p w14:paraId="03478761">
            <w:pPr>
              <w:spacing w:line="360" w:lineRule="auto"/>
              <w:rPr>
                <w:rFonts w:hint="eastAsia" w:ascii="仿宋" w:hAnsi="仿宋" w:eastAsia="仿宋" w:cs="仿宋"/>
                <w:b/>
                <w:bCs/>
                <w:color w:val="auto"/>
                <w:szCs w:val="21"/>
                <w:highlight w:val="none"/>
              </w:rPr>
            </w:pPr>
          </w:p>
        </w:tc>
        <w:tc>
          <w:tcPr>
            <w:tcW w:w="1516" w:type="dxa"/>
            <w:noWrap/>
            <w:vAlign w:val="center"/>
          </w:tcPr>
          <w:p w14:paraId="5E1A1BDC">
            <w:pPr>
              <w:spacing w:line="360" w:lineRule="auto"/>
              <w:jc w:val="center"/>
              <w:rPr>
                <w:rFonts w:hint="eastAsia" w:ascii="仿宋" w:hAnsi="仿宋" w:eastAsia="仿宋" w:cs="仿宋"/>
                <w:color w:val="auto"/>
                <w:szCs w:val="21"/>
                <w:highlight w:val="none"/>
              </w:rPr>
            </w:pPr>
          </w:p>
        </w:tc>
        <w:tc>
          <w:tcPr>
            <w:tcW w:w="1534" w:type="dxa"/>
            <w:noWrap/>
            <w:vAlign w:val="center"/>
          </w:tcPr>
          <w:p w14:paraId="1404AF12">
            <w:pPr>
              <w:spacing w:line="360" w:lineRule="auto"/>
              <w:jc w:val="center"/>
              <w:rPr>
                <w:rFonts w:hint="eastAsia" w:ascii="仿宋" w:hAnsi="仿宋" w:eastAsia="仿宋" w:cs="仿宋"/>
                <w:color w:val="auto"/>
                <w:szCs w:val="21"/>
                <w:highlight w:val="none"/>
              </w:rPr>
            </w:pPr>
          </w:p>
        </w:tc>
      </w:tr>
      <w:tr w14:paraId="08E0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645D459B">
            <w:pPr>
              <w:spacing w:line="360" w:lineRule="auto"/>
              <w:jc w:val="center"/>
              <w:rPr>
                <w:rFonts w:hint="eastAsia" w:ascii="仿宋" w:hAnsi="仿宋" w:eastAsia="仿宋" w:cs="仿宋"/>
                <w:color w:val="auto"/>
                <w:szCs w:val="21"/>
                <w:highlight w:val="none"/>
              </w:rPr>
            </w:pPr>
          </w:p>
        </w:tc>
        <w:tc>
          <w:tcPr>
            <w:tcW w:w="4916" w:type="dxa"/>
            <w:noWrap/>
            <w:vAlign w:val="center"/>
          </w:tcPr>
          <w:p w14:paraId="5192F684">
            <w:pPr>
              <w:spacing w:line="360" w:lineRule="auto"/>
              <w:rPr>
                <w:rFonts w:hint="eastAsia" w:ascii="仿宋" w:hAnsi="仿宋" w:eastAsia="仿宋" w:cs="仿宋"/>
                <w:b/>
                <w:bCs/>
                <w:color w:val="auto"/>
                <w:szCs w:val="21"/>
                <w:highlight w:val="none"/>
              </w:rPr>
            </w:pPr>
          </w:p>
        </w:tc>
        <w:tc>
          <w:tcPr>
            <w:tcW w:w="1516" w:type="dxa"/>
            <w:noWrap/>
            <w:vAlign w:val="center"/>
          </w:tcPr>
          <w:p w14:paraId="3CED75EF">
            <w:pPr>
              <w:spacing w:line="360" w:lineRule="auto"/>
              <w:jc w:val="center"/>
              <w:rPr>
                <w:rFonts w:hint="eastAsia" w:ascii="仿宋" w:hAnsi="仿宋" w:eastAsia="仿宋" w:cs="仿宋"/>
                <w:color w:val="auto"/>
                <w:szCs w:val="21"/>
                <w:highlight w:val="none"/>
              </w:rPr>
            </w:pPr>
          </w:p>
        </w:tc>
        <w:tc>
          <w:tcPr>
            <w:tcW w:w="1534" w:type="dxa"/>
            <w:noWrap/>
            <w:vAlign w:val="center"/>
          </w:tcPr>
          <w:p w14:paraId="7A145F90">
            <w:pPr>
              <w:spacing w:line="360" w:lineRule="auto"/>
              <w:jc w:val="center"/>
              <w:rPr>
                <w:rFonts w:hint="eastAsia" w:ascii="仿宋" w:hAnsi="仿宋" w:eastAsia="仿宋" w:cs="仿宋"/>
                <w:color w:val="auto"/>
                <w:szCs w:val="21"/>
                <w:highlight w:val="none"/>
              </w:rPr>
            </w:pPr>
          </w:p>
        </w:tc>
      </w:tr>
      <w:tr w14:paraId="5C7C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74DD36F9">
            <w:pPr>
              <w:spacing w:line="360" w:lineRule="auto"/>
              <w:jc w:val="center"/>
              <w:rPr>
                <w:rFonts w:hint="eastAsia" w:ascii="仿宋" w:hAnsi="仿宋" w:eastAsia="仿宋" w:cs="仿宋"/>
                <w:color w:val="auto"/>
                <w:szCs w:val="21"/>
                <w:highlight w:val="none"/>
              </w:rPr>
            </w:pPr>
          </w:p>
        </w:tc>
        <w:tc>
          <w:tcPr>
            <w:tcW w:w="4916" w:type="dxa"/>
            <w:noWrap/>
            <w:vAlign w:val="center"/>
          </w:tcPr>
          <w:p w14:paraId="21C659D2">
            <w:pPr>
              <w:spacing w:line="360" w:lineRule="auto"/>
              <w:rPr>
                <w:rFonts w:hint="eastAsia" w:ascii="仿宋" w:hAnsi="仿宋" w:eastAsia="仿宋" w:cs="仿宋"/>
                <w:b/>
                <w:bCs/>
                <w:color w:val="auto"/>
                <w:szCs w:val="21"/>
                <w:highlight w:val="none"/>
              </w:rPr>
            </w:pPr>
          </w:p>
        </w:tc>
        <w:tc>
          <w:tcPr>
            <w:tcW w:w="1516" w:type="dxa"/>
            <w:noWrap/>
            <w:vAlign w:val="center"/>
          </w:tcPr>
          <w:p w14:paraId="5CA27CA1">
            <w:pPr>
              <w:spacing w:line="360" w:lineRule="auto"/>
              <w:jc w:val="center"/>
              <w:rPr>
                <w:rFonts w:hint="eastAsia" w:ascii="仿宋" w:hAnsi="仿宋" w:eastAsia="仿宋" w:cs="仿宋"/>
                <w:color w:val="auto"/>
                <w:szCs w:val="21"/>
                <w:highlight w:val="none"/>
              </w:rPr>
            </w:pPr>
          </w:p>
        </w:tc>
        <w:tc>
          <w:tcPr>
            <w:tcW w:w="1534" w:type="dxa"/>
            <w:noWrap/>
            <w:vAlign w:val="center"/>
          </w:tcPr>
          <w:p w14:paraId="536E5CDC">
            <w:pPr>
              <w:spacing w:line="360" w:lineRule="auto"/>
              <w:jc w:val="center"/>
              <w:rPr>
                <w:rFonts w:hint="eastAsia" w:ascii="仿宋" w:hAnsi="仿宋" w:eastAsia="仿宋" w:cs="仿宋"/>
                <w:color w:val="auto"/>
                <w:szCs w:val="21"/>
                <w:highlight w:val="none"/>
              </w:rPr>
            </w:pPr>
          </w:p>
        </w:tc>
      </w:tr>
      <w:tr w14:paraId="58DA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582E5E30">
            <w:pPr>
              <w:spacing w:line="360" w:lineRule="auto"/>
              <w:jc w:val="center"/>
              <w:rPr>
                <w:rFonts w:hint="eastAsia" w:ascii="仿宋" w:hAnsi="仿宋" w:eastAsia="仿宋" w:cs="仿宋"/>
                <w:color w:val="auto"/>
                <w:szCs w:val="21"/>
                <w:highlight w:val="none"/>
              </w:rPr>
            </w:pPr>
          </w:p>
        </w:tc>
        <w:tc>
          <w:tcPr>
            <w:tcW w:w="4916" w:type="dxa"/>
            <w:noWrap/>
            <w:vAlign w:val="center"/>
          </w:tcPr>
          <w:p w14:paraId="76009450">
            <w:pPr>
              <w:spacing w:line="360" w:lineRule="auto"/>
              <w:rPr>
                <w:rFonts w:hint="eastAsia" w:ascii="仿宋" w:hAnsi="仿宋" w:eastAsia="仿宋" w:cs="仿宋"/>
                <w:color w:val="auto"/>
                <w:szCs w:val="21"/>
                <w:highlight w:val="none"/>
              </w:rPr>
            </w:pPr>
          </w:p>
        </w:tc>
        <w:tc>
          <w:tcPr>
            <w:tcW w:w="1516" w:type="dxa"/>
            <w:noWrap/>
            <w:vAlign w:val="center"/>
          </w:tcPr>
          <w:p w14:paraId="3CF5A5FA">
            <w:pPr>
              <w:spacing w:line="360" w:lineRule="auto"/>
              <w:jc w:val="center"/>
              <w:rPr>
                <w:rFonts w:hint="eastAsia" w:ascii="仿宋" w:hAnsi="仿宋" w:eastAsia="仿宋" w:cs="仿宋"/>
                <w:color w:val="auto"/>
                <w:szCs w:val="21"/>
                <w:highlight w:val="none"/>
              </w:rPr>
            </w:pPr>
          </w:p>
        </w:tc>
        <w:tc>
          <w:tcPr>
            <w:tcW w:w="1534" w:type="dxa"/>
            <w:noWrap/>
            <w:vAlign w:val="center"/>
          </w:tcPr>
          <w:p w14:paraId="72C394E5">
            <w:pPr>
              <w:spacing w:line="360" w:lineRule="auto"/>
              <w:jc w:val="center"/>
              <w:rPr>
                <w:rFonts w:hint="eastAsia" w:ascii="仿宋" w:hAnsi="仿宋" w:eastAsia="仿宋" w:cs="仿宋"/>
                <w:color w:val="auto"/>
                <w:szCs w:val="21"/>
                <w:highlight w:val="none"/>
              </w:rPr>
            </w:pPr>
          </w:p>
        </w:tc>
      </w:tr>
      <w:tr w14:paraId="357F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38DAC05B">
            <w:pPr>
              <w:spacing w:line="360" w:lineRule="auto"/>
              <w:jc w:val="center"/>
              <w:rPr>
                <w:rFonts w:hint="eastAsia" w:ascii="仿宋" w:hAnsi="仿宋" w:eastAsia="仿宋" w:cs="仿宋"/>
                <w:color w:val="auto"/>
                <w:szCs w:val="21"/>
                <w:highlight w:val="none"/>
              </w:rPr>
            </w:pPr>
          </w:p>
        </w:tc>
        <w:tc>
          <w:tcPr>
            <w:tcW w:w="4916" w:type="dxa"/>
            <w:noWrap/>
            <w:vAlign w:val="center"/>
          </w:tcPr>
          <w:p w14:paraId="06B9BEB3">
            <w:pPr>
              <w:spacing w:line="360" w:lineRule="auto"/>
              <w:rPr>
                <w:rFonts w:hint="eastAsia" w:ascii="仿宋" w:hAnsi="仿宋" w:eastAsia="仿宋" w:cs="仿宋"/>
                <w:color w:val="auto"/>
                <w:szCs w:val="21"/>
                <w:highlight w:val="none"/>
              </w:rPr>
            </w:pPr>
          </w:p>
        </w:tc>
        <w:tc>
          <w:tcPr>
            <w:tcW w:w="1516" w:type="dxa"/>
            <w:noWrap/>
            <w:vAlign w:val="center"/>
          </w:tcPr>
          <w:p w14:paraId="712522A2">
            <w:pPr>
              <w:spacing w:line="360" w:lineRule="auto"/>
              <w:jc w:val="center"/>
              <w:rPr>
                <w:rFonts w:hint="eastAsia" w:ascii="仿宋" w:hAnsi="仿宋" w:eastAsia="仿宋" w:cs="仿宋"/>
                <w:color w:val="auto"/>
                <w:szCs w:val="21"/>
                <w:highlight w:val="none"/>
              </w:rPr>
            </w:pPr>
          </w:p>
        </w:tc>
        <w:tc>
          <w:tcPr>
            <w:tcW w:w="1534" w:type="dxa"/>
            <w:noWrap/>
            <w:vAlign w:val="center"/>
          </w:tcPr>
          <w:p w14:paraId="05805FB4">
            <w:pPr>
              <w:spacing w:line="360" w:lineRule="auto"/>
              <w:jc w:val="center"/>
              <w:rPr>
                <w:rFonts w:hint="eastAsia" w:ascii="仿宋" w:hAnsi="仿宋" w:eastAsia="仿宋" w:cs="仿宋"/>
                <w:color w:val="auto"/>
                <w:szCs w:val="21"/>
                <w:highlight w:val="none"/>
              </w:rPr>
            </w:pPr>
          </w:p>
        </w:tc>
      </w:tr>
      <w:tr w14:paraId="178F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51F821E2">
            <w:pPr>
              <w:spacing w:line="360" w:lineRule="auto"/>
              <w:jc w:val="center"/>
              <w:rPr>
                <w:rFonts w:hint="eastAsia" w:ascii="仿宋" w:hAnsi="仿宋" w:eastAsia="仿宋" w:cs="仿宋"/>
                <w:color w:val="auto"/>
                <w:szCs w:val="21"/>
                <w:highlight w:val="none"/>
              </w:rPr>
            </w:pPr>
          </w:p>
        </w:tc>
        <w:tc>
          <w:tcPr>
            <w:tcW w:w="4916" w:type="dxa"/>
            <w:noWrap/>
            <w:vAlign w:val="center"/>
          </w:tcPr>
          <w:p w14:paraId="4C551D98">
            <w:pPr>
              <w:spacing w:line="360" w:lineRule="auto"/>
              <w:rPr>
                <w:rFonts w:hint="eastAsia" w:ascii="仿宋" w:hAnsi="仿宋" w:eastAsia="仿宋" w:cs="仿宋"/>
                <w:color w:val="auto"/>
                <w:szCs w:val="21"/>
                <w:highlight w:val="none"/>
              </w:rPr>
            </w:pPr>
          </w:p>
        </w:tc>
        <w:tc>
          <w:tcPr>
            <w:tcW w:w="1516" w:type="dxa"/>
            <w:noWrap/>
            <w:vAlign w:val="center"/>
          </w:tcPr>
          <w:p w14:paraId="180063F8">
            <w:pPr>
              <w:spacing w:line="360" w:lineRule="auto"/>
              <w:jc w:val="center"/>
              <w:rPr>
                <w:rFonts w:hint="eastAsia" w:ascii="仿宋" w:hAnsi="仿宋" w:eastAsia="仿宋" w:cs="仿宋"/>
                <w:color w:val="auto"/>
                <w:szCs w:val="21"/>
                <w:highlight w:val="none"/>
              </w:rPr>
            </w:pPr>
          </w:p>
        </w:tc>
        <w:tc>
          <w:tcPr>
            <w:tcW w:w="1534" w:type="dxa"/>
            <w:noWrap/>
            <w:vAlign w:val="center"/>
          </w:tcPr>
          <w:p w14:paraId="11C12A15">
            <w:pPr>
              <w:spacing w:line="360" w:lineRule="auto"/>
              <w:jc w:val="center"/>
              <w:rPr>
                <w:rFonts w:hint="eastAsia" w:ascii="仿宋" w:hAnsi="仿宋" w:eastAsia="仿宋" w:cs="仿宋"/>
                <w:color w:val="auto"/>
                <w:szCs w:val="21"/>
                <w:highlight w:val="none"/>
              </w:rPr>
            </w:pPr>
          </w:p>
        </w:tc>
      </w:tr>
      <w:tr w14:paraId="2905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7E28B64F">
            <w:pPr>
              <w:spacing w:line="360" w:lineRule="auto"/>
              <w:jc w:val="center"/>
              <w:rPr>
                <w:rFonts w:hint="eastAsia" w:ascii="仿宋" w:hAnsi="仿宋" w:eastAsia="仿宋" w:cs="仿宋"/>
                <w:color w:val="auto"/>
                <w:szCs w:val="21"/>
                <w:highlight w:val="none"/>
              </w:rPr>
            </w:pPr>
          </w:p>
        </w:tc>
        <w:tc>
          <w:tcPr>
            <w:tcW w:w="4916" w:type="dxa"/>
            <w:noWrap/>
            <w:vAlign w:val="center"/>
          </w:tcPr>
          <w:p w14:paraId="128FBE7C">
            <w:pPr>
              <w:spacing w:line="360" w:lineRule="auto"/>
              <w:rPr>
                <w:rFonts w:hint="eastAsia" w:ascii="仿宋" w:hAnsi="仿宋" w:eastAsia="仿宋" w:cs="仿宋"/>
                <w:color w:val="auto"/>
                <w:szCs w:val="21"/>
                <w:highlight w:val="none"/>
              </w:rPr>
            </w:pPr>
          </w:p>
        </w:tc>
        <w:tc>
          <w:tcPr>
            <w:tcW w:w="1516" w:type="dxa"/>
            <w:noWrap/>
            <w:vAlign w:val="center"/>
          </w:tcPr>
          <w:p w14:paraId="55BAC4AA">
            <w:pPr>
              <w:spacing w:line="360" w:lineRule="auto"/>
              <w:jc w:val="center"/>
              <w:rPr>
                <w:rFonts w:hint="eastAsia" w:ascii="仿宋" w:hAnsi="仿宋" w:eastAsia="仿宋" w:cs="仿宋"/>
                <w:color w:val="auto"/>
                <w:szCs w:val="21"/>
                <w:highlight w:val="none"/>
              </w:rPr>
            </w:pPr>
          </w:p>
        </w:tc>
        <w:tc>
          <w:tcPr>
            <w:tcW w:w="1534" w:type="dxa"/>
            <w:noWrap/>
            <w:vAlign w:val="center"/>
          </w:tcPr>
          <w:p w14:paraId="06FDC660">
            <w:pPr>
              <w:spacing w:line="360" w:lineRule="auto"/>
              <w:jc w:val="center"/>
              <w:rPr>
                <w:rFonts w:hint="eastAsia" w:ascii="仿宋" w:hAnsi="仿宋" w:eastAsia="仿宋" w:cs="仿宋"/>
                <w:color w:val="auto"/>
                <w:szCs w:val="21"/>
                <w:highlight w:val="none"/>
              </w:rPr>
            </w:pPr>
          </w:p>
        </w:tc>
      </w:tr>
      <w:tr w14:paraId="5F64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43957F95">
            <w:pPr>
              <w:spacing w:line="360" w:lineRule="auto"/>
              <w:jc w:val="center"/>
              <w:rPr>
                <w:rFonts w:hint="eastAsia" w:ascii="仿宋" w:hAnsi="仿宋" w:eastAsia="仿宋" w:cs="仿宋"/>
                <w:color w:val="auto"/>
                <w:szCs w:val="21"/>
                <w:highlight w:val="none"/>
              </w:rPr>
            </w:pPr>
          </w:p>
        </w:tc>
        <w:tc>
          <w:tcPr>
            <w:tcW w:w="4916" w:type="dxa"/>
            <w:noWrap/>
            <w:vAlign w:val="center"/>
          </w:tcPr>
          <w:p w14:paraId="5F5A1E2E">
            <w:pPr>
              <w:spacing w:line="360" w:lineRule="auto"/>
              <w:rPr>
                <w:rFonts w:hint="eastAsia" w:ascii="仿宋" w:hAnsi="仿宋" w:eastAsia="仿宋" w:cs="仿宋"/>
                <w:color w:val="auto"/>
                <w:szCs w:val="21"/>
                <w:highlight w:val="none"/>
              </w:rPr>
            </w:pPr>
          </w:p>
        </w:tc>
        <w:tc>
          <w:tcPr>
            <w:tcW w:w="1516" w:type="dxa"/>
            <w:noWrap/>
            <w:vAlign w:val="center"/>
          </w:tcPr>
          <w:p w14:paraId="4CABED90">
            <w:pPr>
              <w:spacing w:line="360" w:lineRule="auto"/>
              <w:jc w:val="center"/>
              <w:rPr>
                <w:rFonts w:hint="eastAsia" w:ascii="仿宋" w:hAnsi="仿宋" w:eastAsia="仿宋" w:cs="仿宋"/>
                <w:color w:val="auto"/>
                <w:szCs w:val="21"/>
                <w:highlight w:val="none"/>
              </w:rPr>
            </w:pPr>
          </w:p>
        </w:tc>
        <w:tc>
          <w:tcPr>
            <w:tcW w:w="1534" w:type="dxa"/>
            <w:noWrap/>
            <w:vAlign w:val="center"/>
          </w:tcPr>
          <w:p w14:paraId="292755F4">
            <w:pPr>
              <w:spacing w:line="360" w:lineRule="auto"/>
              <w:jc w:val="center"/>
              <w:rPr>
                <w:rFonts w:hint="eastAsia" w:ascii="仿宋" w:hAnsi="仿宋" w:eastAsia="仿宋" w:cs="仿宋"/>
                <w:color w:val="auto"/>
                <w:szCs w:val="21"/>
                <w:highlight w:val="none"/>
              </w:rPr>
            </w:pPr>
          </w:p>
        </w:tc>
      </w:tr>
      <w:tr w14:paraId="097A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3F8FB61D">
            <w:pPr>
              <w:spacing w:line="360" w:lineRule="auto"/>
              <w:jc w:val="center"/>
              <w:rPr>
                <w:rFonts w:hint="eastAsia" w:ascii="仿宋" w:hAnsi="仿宋" w:eastAsia="仿宋" w:cs="仿宋"/>
                <w:color w:val="auto"/>
                <w:szCs w:val="21"/>
                <w:highlight w:val="none"/>
              </w:rPr>
            </w:pPr>
          </w:p>
        </w:tc>
        <w:tc>
          <w:tcPr>
            <w:tcW w:w="4916" w:type="dxa"/>
            <w:noWrap/>
            <w:vAlign w:val="center"/>
          </w:tcPr>
          <w:p w14:paraId="084AC728">
            <w:pPr>
              <w:spacing w:line="360" w:lineRule="auto"/>
              <w:rPr>
                <w:rFonts w:hint="eastAsia" w:ascii="仿宋" w:hAnsi="仿宋" w:eastAsia="仿宋" w:cs="仿宋"/>
                <w:color w:val="auto"/>
                <w:szCs w:val="21"/>
                <w:highlight w:val="none"/>
              </w:rPr>
            </w:pPr>
          </w:p>
        </w:tc>
        <w:tc>
          <w:tcPr>
            <w:tcW w:w="1516" w:type="dxa"/>
            <w:noWrap/>
            <w:vAlign w:val="center"/>
          </w:tcPr>
          <w:p w14:paraId="2A3D0500">
            <w:pPr>
              <w:spacing w:line="360" w:lineRule="auto"/>
              <w:jc w:val="center"/>
              <w:rPr>
                <w:rFonts w:hint="eastAsia" w:ascii="仿宋" w:hAnsi="仿宋" w:eastAsia="仿宋" w:cs="仿宋"/>
                <w:color w:val="auto"/>
                <w:szCs w:val="21"/>
                <w:highlight w:val="none"/>
              </w:rPr>
            </w:pPr>
          </w:p>
        </w:tc>
        <w:tc>
          <w:tcPr>
            <w:tcW w:w="1534" w:type="dxa"/>
            <w:noWrap/>
            <w:vAlign w:val="center"/>
          </w:tcPr>
          <w:p w14:paraId="18C64C41">
            <w:pPr>
              <w:spacing w:line="360" w:lineRule="auto"/>
              <w:jc w:val="center"/>
              <w:rPr>
                <w:rFonts w:hint="eastAsia" w:ascii="仿宋" w:hAnsi="仿宋" w:eastAsia="仿宋" w:cs="仿宋"/>
                <w:color w:val="auto"/>
                <w:szCs w:val="21"/>
                <w:highlight w:val="none"/>
              </w:rPr>
            </w:pPr>
          </w:p>
        </w:tc>
      </w:tr>
      <w:tr w14:paraId="10E8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21B42B9C">
            <w:pPr>
              <w:spacing w:line="360" w:lineRule="auto"/>
              <w:jc w:val="center"/>
              <w:rPr>
                <w:rFonts w:hint="eastAsia" w:ascii="仿宋" w:hAnsi="仿宋" w:eastAsia="仿宋" w:cs="仿宋"/>
                <w:color w:val="auto"/>
                <w:szCs w:val="21"/>
                <w:highlight w:val="none"/>
              </w:rPr>
            </w:pPr>
          </w:p>
        </w:tc>
        <w:tc>
          <w:tcPr>
            <w:tcW w:w="4916" w:type="dxa"/>
            <w:noWrap/>
            <w:vAlign w:val="center"/>
          </w:tcPr>
          <w:p w14:paraId="2F2B3F4D">
            <w:pPr>
              <w:spacing w:line="360" w:lineRule="auto"/>
              <w:rPr>
                <w:rFonts w:hint="eastAsia" w:ascii="仿宋" w:hAnsi="仿宋" w:eastAsia="仿宋" w:cs="仿宋"/>
                <w:color w:val="auto"/>
                <w:szCs w:val="21"/>
                <w:highlight w:val="none"/>
              </w:rPr>
            </w:pPr>
          </w:p>
        </w:tc>
        <w:tc>
          <w:tcPr>
            <w:tcW w:w="1516" w:type="dxa"/>
            <w:noWrap/>
            <w:vAlign w:val="center"/>
          </w:tcPr>
          <w:p w14:paraId="1DAC847C">
            <w:pPr>
              <w:spacing w:line="360" w:lineRule="auto"/>
              <w:jc w:val="center"/>
              <w:rPr>
                <w:rFonts w:hint="eastAsia" w:ascii="仿宋" w:hAnsi="仿宋" w:eastAsia="仿宋" w:cs="仿宋"/>
                <w:color w:val="auto"/>
                <w:szCs w:val="21"/>
                <w:highlight w:val="none"/>
              </w:rPr>
            </w:pPr>
          </w:p>
        </w:tc>
        <w:tc>
          <w:tcPr>
            <w:tcW w:w="1534" w:type="dxa"/>
            <w:noWrap/>
            <w:vAlign w:val="center"/>
          </w:tcPr>
          <w:p w14:paraId="3D078D8A">
            <w:pPr>
              <w:spacing w:line="360" w:lineRule="auto"/>
              <w:jc w:val="center"/>
              <w:rPr>
                <w:rFonts w:hint="eastAsia" w:ascii="仿宋" w:hAnsi="仿宋" w:eastAsia="仿宋" w:cs="仿宋"/>
                <w:color w:val="auto"/>
                <w:szCs w:val="21"/>
                <w:highlight w:val="none"/>
              </w:rPr>
            </w:pPr>
          </w:p>
        </w:tc>
      </w:tr>
      <w:tr w14:paraId="2227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2AA93BF6">
            <w:pPr>
              <w:spacing w:line="360" w:lineRule="auto"/>
              <w:jc w:val="center"/>
              <w:rPr>
                <w:rFonts w:hint="eastAsia" w:ascii="仿宋" w:hAnsi="仿宋" w:eastAsia="仿宋" w:cs="仿宋"/>
                <w:color w:val="auto"/>
                <w:szCs w:val="21"/>
                <w:highlight w:val="none"/>
              </w:rPr>
            </w:pPr>
          </w:p>
        </w:tc>
        <w:tc>
          <w:tcPr>
            <w:tcW w:w="4916" w:type="dxa"/>
            <w:noWrap/>
            <w:vAlign w:val="center"/>
          </w:tcPr>
          <w:p w14:paraId="11649BFD">
            <w:pPr>
              <w:spacing w:line="360" w:lineRule="auto"/>
              <w:rPr>
                <w:rFonts w:hint="eastAsia" w:ascii="仿宋" w:hAnsi="仿宋" w:eastAsia="仿宋" w:cs="仿宋"/>
                <w:color w:val="auto"/>
                <w:szCs w:val="21"/>
                <w:highlight w:val="none"/>
              </w:rPr>
            </w:pPr>
          </w:p>
        </w:tc>
        <w:tc>
          <w:tcPr>
            <w:tcW w:w="1516" w:type="dxa"/>
            <w:noWrap/>
            <w:vAlign w:val="center"/>
          </w:tcPr>
          <w:p w14:paraId="78D2ADE4">
            <w:pPr>
              <w:spacing w:line="360" w:lineRule="auto"/>
              <w:jc w:val="center"/>
              <w:rPr>
                <w:rFonts w:hint="eastAsia" w:ascii="仿宋" w:hAnsi="仿宋" w:eastAsia="仿宋" w:cs="仿宋"/>
                <w:color w:val="auto"/>
                <w:szCs w:val="21"/>
                <w:highlight w:val="none"/>
              </w:rPr>
            </w:pPr>
          </w:p>
        </w:tc>
        <w:tc>
          <w:tcPr>
            <w:tcW w:w="1534" w:type="dxa"/>
            <w:noWrap/>
            <w:vAlign w:val="center"/>
          </w:tcPr>
          <w:p w14:paraId="3EC122FC">
            <w:pPr>
              <w:spacing w:line="360" w:lineRule="auto"/>
              <w:jc w:val="center"/>
              <w:rPr>
                <w:rFonts w:hint="eastAsia" w:ascii="仿宋" w:hAnsi="仿宋" w:eastAsia="仿宋" w:cs="仿宋"/>
                <w:color w:val="auto"/>
                <w:szCs w:val="21"/>
                <w:highlight w:val="none"/>
              </w:rPr>
            </w:pPr>
          </w:p>
        </w:tc>
      </w:tr>
      <w:tr w14:paraId="6B61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2D4F61F2">
            <w:pPr>
              <w:spacing w:line="360" w:lineRule="auto"/>
              <w:jc w:val="center"/>
              <w:rPr>
                <w:rFonts w:hint="eastAsia" w:ascii="仿宋" w:hAnsi="仿宋" w:eastAsia="仿宋" w:cs="仿宋"/>
                <w:color w:val="auto"/>
                <w:szCs w:val="21"/>
                <w:highlight w:val="none"/>
              </w:rPr>
            </w:pPr>
          </w:p>
        </w:tc>
        <w:tc>
          <w:tcPr>
            <w:tcW w:w="4916" w:type="dxa"/>
            <w:noWrap/>
            <w:vAlign w:val="center"/>
          </w:tcPr>
          <w:p w14:paraId="53698F2B">
            <w:pPr>
              <w:spacing w:line="360" w:lineRule="auto"/>
              <w:rPr>
                <w:rFonts w:hint="eastAsia" w:ascii="仿宋" w:hAnsi="仿宋" w:eastAsia="仿宋" w:cs="仿宋"/>
                <w:color w:val="auto"/>
                <w:szCs w:val="21"/>
                <w:highlight w:val="none"/>
              </w:rPr>
            </w:pPr>
          </w:p>
        </w:tc>
        <w:tc>
          <w:tcPr>
            <w:tcW w:w="1516" w:type="dxa"/>
            <w:noWrap/>
            <w:vAlign w:val="center"/>
          </w:tcPr>
          <w:p w14:paraId="755DC0BA">
            <w:pPr>
              <w:spacing w:line="360" w:lineRule="auto"/>
              <w:jc w:val="center"/>
              <w:rPr>
                <w:rFonts w:hint="eastAsia" w:ascii="仿宋" w:hAnsi="仿宋" w:eastAsia="仿宋" w:cs="仿宋"/>
                <w:color w:val="auto"/>
                <w:szCs w:val="21"/>
                <w:highlight w:val="none"/>
              </w:rPr>
            </w:pPr>
          </w:p>
        </w:tc>
        <w:tc>
          <w:tcPr>
            <w:tcW w:w="1534" w:type="dxa"/>
            <w:noWrap/>
            <w:vAlign w:val="center"/>
          </w:tcPr>
          <w:p w14:paraId="403097CB">
            <w:pPr>
              <w:spacing w:line="360" w:lineRule="auto"/>
              <w:jc w:val="center"/>
              <w:rPr>
                <w:rFonts w:hint="eastAsia" w:ascii="仿宋" w:hAnsi="仿宋" w:eastAsia="仿宋" w:cs="仿宋"/>
                <w:color w:val="auto"/>
                <w:szCs w:val="21"/>
                <w:highlight w:val="none"/>
              </w:rPr>
            </w:pPr>
          </w:p>
        </w:tc>
      </w:tr>
      <w:tr w14:paraId="04CB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ign w:val="center"/>
          </w:tcPr>
          <w:p w14:paraId="784369E6">
            <w:pPr>
              <w:spacing w:line="360" w:lineRule="auto"/>
              <w:jc w:val="center"/>
              <w:rPr>
                <w:rFonts w:hint="eastAsia" w:ascii="仿宋" w:hAnsi="仿宋" w:eastAsia="仿宋" w:cs="仿宋"/>
                <w:color w:val="auto"/>
                <w:szCs w:val="21"/>
                <w:highlight w:val="none"/>
              </w:rPr>
            </w:pPr>
          </w:p>
        </w:tc>
        <w:tc>
          <w:tcPr>
            <w:tcW w:w="4916" w:type="dxa"/>
            <w:noWrap/>
            <w:vAlign w:val="center"/>
          </w:tcPr>
          <w:p w14:paraId="177B06B0">
            <w:pPr>
              <w:spacing w:line="360" w:lineRule="auto"/>
              <w:rPr>
                <w:rFonts w:hint="eastAsia" w:ascii="仿宋" w:hAnsi="仿宋" w:eastAsia="仿宋" w:cs="仿宋"/>
                <w:color w:val="auto"/>
                <w:szCs w:val="21"/>
                <w:highlight w:val="none"/>
              </w:rPr>
            </w:pPr>
          </w:p>
        </w:tc>
        <w:tc>
          <w:tcPr>
            <w:tcW w:w="1516" w:type="dxa"/>
            <w:noWrap/>
            <w:vAlign w:val="center"/>
          </w:tcPr>
          <w:p w14:paraId="3512C387">
            <w:pPr>
              <w:spacing w:line="360" w:lineRule="auto"/>
              <w:jc w:val="center"/>
              <w:rPr>
                <w:rFonts w:hint="eastAsia" w:ascii="仿宋" w:hAnsi="仿宋" w:eastAsia="仿宋" w:cs="仿宋"/>
                <w:color w:val="auto"/>
                <w:szCs w:val="21"/>
                <w:highlight w:val="none"/>
              </w:rPr>
            </w:pPr>
          </w:p>
        </w:tc>
        <w:tc>
          <w:tcPr>
            <w:tcW w:w="1534" w:type="dxa"/>
            <w:noWrap/>
            <w:vAlign w:val="center"/>
          </w:tcPr>
          <w:p w14:paraId="3B340679">
            <w:pPr>
              <w:spacing w:line="360" w:lineRule="auto"/>
              <w:jc w:val="center"/>
              <w:rPr>
                <w:rFonts w:hint="eastAsia" w:ascii="仿宋" w:hAnsi="仿宋" w:eastAsia="仿宋" w:cs="仿宋"/>
                <w:color w:val="auto"/>
                <w:szCs w:val="21"/>
                <w:highlight w:val="none"/>
              </w:rPr>
            </w:pPr>
          </w:p>
        </w:tc>
      </w:tr>
    </w:tbl>
    <w:p w14:paraId="5BA073EC">
      <w:pPr>
        <w:spacing w:before="120" w:beforeLines="50" w:line="360" w:lineRule="auto"/>
        <w:ind w:firstLine="422" w:firstLineChars="200"/>
        <w:rPr>
          <w:rFonts w:hint="eastAsia" w:ascii="仿宋" w:hAnsi="仿宋" w:eastAsia="仿宋" w:cs="仿宋"/>
          <w:b/>
          <w:color w:val="auto"/>
          <w:highlight w:val="none"/>
          <w:lang w:val="en-GB"/>
        </w:rPr>
      </w:pPr>
      <w:r>
        <w:rPr>
          <w:rFonts w:hint="eastAsia" w:ascii="仿宋" w:hAnsi="仿宋" w:eastAsia="仿宋" w:cs="仿宋"/>
          <w:b/>
          <w:bCs/>
          <w:color w:val="auto"/>
          <w:highlight w:val="none"/>
        </w:rPr>
        <w:t>注：</w:t>
      </w:r>
      <w:r>
        <w:rPr>
          <w:rFonts w:hint="eastAsia" w:ascii="仿宋" w:hAnsi="仿宋" w:eastAsia="仿宋" w:cs="仿宋"/>
          <w:b/>
          <w:bCs/>
          <w:color w:val="auto"/>
          <w:highlight w:val="none"/>
          <w:lang w:val="en-GB"/>
        </w:rPr>
        <w:t>针对</w:t>
      </w:r>
      <w:r>
        <w:rPr>
          <w:rFonts w:hint="eastAsia" w:ascii="仿宋" w:hAnsi="仿宋" w:eastAsia="仿宋" w:cs="仿宋"/>
          <w:b/>
          <w:color w:val="auto"/>
          <w:highlight w:val="none"/>
          <w:lang w:val="en-GB"/>
        </w:rPr>
        <w:t xml:space="preserve">招标文件“第二章  </w:t>
      </w:r>
      <w:r>
        <w:rPr>
          <w:rFonts w:hint="eastAsia" w:ascii="仿宋" w:hAnsi="仿宋" w:eastAsia="仿宋" w:cs="仿宋"/>
          <w:b/>
          <w:color w:val="auto"/>
          <w:highlight w:val="none"/>
          <w:lang w:val="en-GB" w:eastAsia="zh-CN"/>
        </w:rPr>
        <w:t>采购</w:t>
      </w:r>
      <w:r>
        <w:rPr>
          <w:rFonts w:hint="eastAsia" w:ascii="仿宋" w:hAnsi="仿宋" w:eastAsia="仿宋" w:cs="仿宋"/>
          <w:b/>
          <w:color w:val="auto"/>
          <w:highlight w:val="none"/>
          <w:lang w:val="en-GB"/>
        </w:rPr>
        <w:t>需求”及招标文件中“</w:t>
      </w:r>
      <w:r>
        <w:rPr>
          <w:rFonts w:hint="eastAsia" w:ascii="仿宋" w:hAnsi="仿宋" w:eastAsia="仿宋" w:cs="仿宋"/>
          <w:color w:val="auto"/>
          <w:highlight w:val="none"/>
        </w:rPr>
        <w:t>▲</w:t>
      </w:r>
      <w:r>
        <w:rPr>
          <w:rFonts w:hint="eastAsia" w:ascii="仿宋" w:hAnsi="仿宋" w:eastAsia="仿宋" w:cs="仿宋"/>
          <w:b/>
          <w:color w:val="auto"/>
          <w:highlight w:val="none"/>
          <w:lang w:val="en-GB"/>
        </w:rPr>
        <w:t>”条款，投标人须全部响应或正偏离，否则作无效标处理。如有正偏离，请填写具体解释。如均未偏离，在“偏离说明”处填写“全部响应”即可。</w:t>
      </w:r>
    </w:p>
    <w:p w14:paraId="54778452">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投标人名称（盖章）：</w:t>
      </w:r>
    </w:p>
    <w:p w14:paraId="081C2C2A">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法定代表人或授权代表（签字或盖章）：</w:t>
      </w:r>
    </w:p>
    <w:p w14:paraId="3BD6E9BA">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7E90514D">
      <w:pPr>
        <w:snapToGrid w:val="0"/>
        <w:spacing w:before="50" w:after="50" w:line="440" w:lineRule="exact"/>
        <w:ind w:left="-3" w:leftChars="-72" w:right="-817" w:rightChars="-389" w:hanging="148" w:hangingChars="62"/>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br w:type="page"/>
      </w:r>
      <w:r>
        <w:rPr>
          <w:rFonts w:hint="eastAsia" w:ascii="仿宋" w:hAnsi="仿宋" w:eastAsia="仿宋" w:cs="仿宋"/>
          <w:color w:val="auto"/>
          <w:sz w:val="24"/>
          <w:szCs w:val="22"/>
          <w:highlight w:val="none"/>
        </w:rPr>
        <w:t>格式</w:t>
      </w:r>
      <w:r>
        <w:rPr>
          <w:rFonts w:hint="eastAsia" w:ascii="仿宋" w:hAnsi="仿宋" w:eastAsia="仿宋" w:cs="仿宋"/>
          <w:color w:val="auto"/>
          <w:sz w:val="24"/>
          <w:szCs w:val="22"/>
          <w:highlight w:val="none"/>
          <w:lang w:val="en-US" w:eastAsia="zh-CN"/>
        </w:rPr>
        <w:t>五</w:t>
      </w:r>
    </w:p>
    <w:p w14:paraId="018BE340">
      <w:pPr>
        <w:spacing w:line="360" w:lineRule="auto"/>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投标人基本情况表</w:t>
      </w:r>
    </w:p>
    <w:p w14:paraId="6E99AD7E">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18A1B12A">
      <w:pPr>
        <w:spacing w:line="360" w:lineRule="auto"/>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97"/>
        <w:gridCol w:w="1114"/>
        <w:gridCol w:w="1301"/>
        <w:gridCol w:w="743"/>
        <w:gridCol w:w="562"/>
        <w:gridCol w:w="1301"/>
        <w:gridCol w:w="187"/>
        <w:gridCol w:w="743"/>
        <w:gridCol w:w="1677"/>
      </w:tblGrid>
      <w:tr w14:paraId="25C5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3" w:hRule="atLeast"/>
          <w:jc w:val="center"/>
        </w:trPr>
        <w:tc>
          <w:tcPr>
            <w:tcW w:w="2097" w:type="dxa"/>
            <w:tcBorders>
              <w:top w:val="double" w:color="auto" w:sz="4" w:space="0"/>
              <w:left w:val="double" w:color="auto" w:sz="4" w:space="0"/>
              <w:bottom w:val="single" w:color="auto" w:sz="6" w:space="0"/>
              <w:right w:val="single" w:color="auto" w:sz="6" w:space="0"/>
            </w:tcBorders>
            <w:vAlign w:val="center"/>
          </w:tcPr>
          <w:p w14:paraId="0E1656FA">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7628" w:type="dxa"/>
            <w:gridSpan w:val="8"/>
            <w:tcBorders>
              <w:top w:val="double" w:color="auto" w:sz="4" w:space="0"/>
              <w:left w:val="single" w:color="auto" w:sz="6" w:space="0"/>
              <w:bottom w:val="single" w:color="auto" w:sz="6" w:space="0"/>
              <w:right w:val="double" w:color="auto" w:sz="4" w:space="0"/>
            </w:tcBorders>
            <w:vAlign w:val="center"/>
          </w:tcPr>
          <w:p w14:paraId="0A136993">
            <w:pPr>
              <w:spacing w:line="240" w:lineRule="exact"/>
              <w:ind w:firstLine="420" w:firstLineChars="200"/>
              <w:jc w:val="left"/>
              <w:rPr>
                <w:rFonts w:hint="eastAsia" w:ascii="仿宋" w:hAnsi="仿宋" w:eastAsia="仿宋" w:cs="仿宋"/>
                <w:color w:val="auto"/>
                <w:highlight w:val="none"/>
              </w:rPr>
            </w:pPr>
          </w:p>
        </w:tc>
      </w:tr>
      <w:tr w14:paraId="5852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vAlign w:val="center"/>
          </w:tcPr>
          <w:p w14:paraId="327294B0">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注册地址</w:t>
            </w:r>
          </w:p>
        </w:tc>
        <w:tc>
          <w:tcPr>
            <w:tcW w:w="3720" w:type="dxa"/>
            <w:gridSpan w:val="4"/>
            <w:tcBorders>
              <w:top w:val="single" w:color="auto" w:sz="6" w:space="0"/>
              <w:left w:val="single" w:color="auto" w:sz="6" w:space="0"/>
              <w:bottom w:val="single" w:color="auto" w:sz="6" w:space="0"/>
              <w:right w:val="single" w:color="auto" w:sz="6" w:space="0"/>
            </w:tcBorders>
            <w:vAlign w:val="center"/>
          </w:tcPr>
          <w:p w14:paraId="70BEF887">
            <w:pPr>
              <w:spacing w:line="240" w:lineRule="exact"/>
              <w:ind w:firstLine="420" w:firstLineChars="200"/>
              <w:jc w:val="left"/>
              <w:rPr>
                <w:rFonts w:hint="eastAsia" w:ascii="仿宋" w:hAnsi="仿宋" w:eastAsia="仿宋" w:cs="仿宋"/>
                <w:color w:val="auto"/>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69515604">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邮政编码</w:t>
            </w:r>
          </w:p>
        </w:tc>
        <w:tc>
          <w:tcPr>
            <w:tcW w:w="2607" w:type="dxa"/>
            <w:gridSpan w:val="3"/>
            <w:tcBorders>
              <w:top w:val="single" w:color="auto" w:sz="6" w:space="0"/>
              <w:left w:val="single" w:color="auto" w:sz="6" w:space="0"/>
              <w:bottom w:val="single" w:color="auto" w:sz="6" w:space="0"/>
              <w:right w:val="double" w:color="auto" w:sz="4" w:space="0"/>
            </w:tcBorders>
            <w:vAlign w:val="center"/>
          </w:tcPr>
          <w:p w14:paraId="705DC4C5">
            <w:pPr>
              <w:spacing w:line="240" w:lineRule="exact"/>
              <w:ind w:firstLine="420" w:firstLineChars="200"/>
              <w:jc w:val="left"/>
              <w:rPr>
                <w:rFonts w:hint="eastAsia" w:ascii="仿宋" w:hAnsi="仿宋" w:eastAsia="仿宋" w:cs="仿宋"/>
                <w:color w:val="auto"/>
                <w:highlight w:val="none"/>
              </w:rPr>
            </w:pPr>
          </w:p>
        </w:tc>
      </w:tr>
      <w:tr w14:paraId="772C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vMerge w:val="restart"/>
            <w:tcBorders>
              <w:top w:val="single" w:color="auto" w:sz="6" w:space="0"/>
              <w:left w:val="double" w:color="auto" w:sz="4" w:space="0"/>
              <w:bottom w:val="single" w:color="auto" w:sz="6" w:space="0"/>
              <w:right w:val="single" w:color="auto" w:sz="6" w:space="0"/>
            </w:tcBorders>
            <w:vAlign w:val="center"/>
          </w:tcPr>
          <w:p w14:paraId="78C1AB7B">
            <w:pPr>
              <w:spacing w:line="24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联系方式</w:t>
            </w:r>
          </w:p>
        </w:tc>
        <w:tc>
          <w:tcPr>
            <w:tcW w:w="1114" w:type="dxa"/>
            <w:tcBorders>
              <w:top w:val="single" w:color="auto" w:sz="6" w:space="0"/>
              <w:left w:val="single" w:color="auto" w:sz="6" w:space="0"/>
              <w:bottom w:val="single" w:color="auto" w:sz="6" w:space="0"/>
              <w:right w:val="single" w:color="auto" w:sz="6" w:space="0"/>
            </w:tcBorders>
            <w:vAlign w:val="center"/>
          </w:tcPr>
          <w:p w14:paraId="38DC7E87">
            <w:pPr>
              <w:spacing w:line="2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联系人</w:t>
            </w:r>
          </w:p>
        </w:tc>
        <w:tc>
          <w:tcPr>
            <w:tcW w:w="2606" w:type="dxa"/>
            <w:gridSpan w:val="3"/>
            <w:tcBorders>
              <w:top w:val="single" w:color="auto" w:sz="6" w:space="0"/>
              <w:left w:val="single" w:color="auto" w:sz="6" w:space="0"/>
              <w:bottom w:val="single" w:color="auto" w:sz="6" w:space="0"/>
              <w:right w:val="single" w:color="auto" w:sz="6" w:space="0"/>
            </w:tcBorders>
            <w:vAlign w:val="center"/>
          </w:tcPr>
          <w:p w14:paraId="7DEEC9CB">
            <w:pPr>
              <w:spacing w:line="240" w:lineRule="exact"/>
              <w:ind w:firstLine="420" w:firstLineChars="200"/>
              <w:jc w:val="left"/>
              <w:rPr>
                <w:rFonts w:hint="eastAsia" w:ascii="仿宋" w:hAnsi="仿宋" w:eastAsia="仿宋" w:cs="仿宋"/>
                <w:color w:val="auto"/>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4CC07F42">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电话</w:t>
            </w:r>
          </w:p>
        </w:tc>
        <w:tc>
          <w:tcPr>
            <w:tcW w:w="2607" w:type="dxa"/>
            <w:gridSpan w:val="3"/>
            <w:tcBorders>
              <w:top w:val="single" w:color="auto" w:sz="6" w:space="0"/>
              <w:left w:val="single" w:color="auto" w:sz="6" w:space="0"/>
              <w:bottom w:val="single" w:color="auto" w:sz="6" w:space="0"/>
              <w:right w:val="double" w:color="auto" w:sz="4" w:space="0"/>
            </w:tcBorders>
            <w:vAlign w:val="center"/>
          </w:tcPr>
          <w:p w14:paraId="0FDEF367">
            <w:pPr>
              <w:spacing w:line="240" w:lineRule="exact"/>
              <w:ind w:firstLine="420" w:firstLineChars="200"/>
              <w:jc w:val="left"/>
              <w:rPr>
                <w:rFonts w:hint="eastAsia" w:ascii="仿宋" w:hAnsi="仿宋" w:eastAsia="仿宋" w:cs="仿宋"/>
                <w:color w:val="auto"/>
                <w:highlight w:val="none"/>
              </w:rPr>
            </w:pPr>
          </w:p>
        </w:tc>
      </w:tr>
      <w:tr w14:paraId="1135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vMerge w:val="continue"/>
            <w:tcBorders>
              <w:top w:val="single" w:color="auto" w:sz="6" w:space="0"/>
              <w:left w:val="double" w:color="auto" w:sz="4" w:space="0"/>
              <w:bottom w:val="single" w:color="auto" w:sz="6" w:space="0"/>
              <w:right w:val="single" w:color="auto" w:sz="6" w:space="0"/>
            </w:tcBorders>
            <w:vAlign w:val="center"/>
          </w:tcPr>
          <w:p w14:paraId="7CF2F2DA">
            <w:pPr>
              <w:spacing w:line="240" w:lineRule="exact"/>
              <w:ind w:firstLine="420" w:firstLineChars="200"/>
              <w:jc w:val="left"/>
              <w:rPr>
                <w:rFonts w:hint="eastAsia" w:ascii="仿宋" w:hAnsi="仿宋" w:eastAsia="仿宋" w:cs="仿宋"/>
                <w:color w:val="auto"/>
                <w:highlight w:val="none"/>
              </w:rPr>
            </w:pPr>
          </w:p>
        </w:tc>
        <w:tc>
          <w:tcPr>
            <w:tcW w:w="1114" w:type="dxa"/>
            <w:tcBorders>
              <w:top w:val="single" w:color="auto" w:sz="6" w:space="0"/>
              <w:left w:val="single" w:color="auto" w:sz="6" w:space="0"/>
              <w:bottom w:val="single" w:color="auto" w:sz="6" w:space="0"/>
              <w:right w:val="single" w:color="auto" w:sz="6" w:space="0"/>
            </w:tcBorders>
            <w:vAlign w:val="center"/>
          </w:tcPr>
          <w:p w14:paraId="0F5B9A0C">
            <w:pPr>
              <w:spacing w:line="2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传真</w:t>
            </w:r>
          </w:p>
        </w:tc>
        <w:tc>
          <w:tcPr>
            <w:tcW w:w="2606" w:type="dxa"/>
            <w:gridSpan w:val="3"/>
            <w:tcBorders>
              <w:top w:val="single" w:color="auto" w:sz="6" w:space="0"/>
              <w:left w:val="single" w:color="auto" w:sz="6" w:space="0"/>
              <w:bottom w:val="single" w:color="auto" w:sz="6" w:space="0"/>
              <w:right w:val="single" w:color="auto" w:sz="6" w:space="0"/>
            </w:tcBorders>
            <w:vAlign w:val="center"/>
          </w:tcPr>
          <w:p w14:paraId="483173C8">
            <w:pPr>
              <w:spacing w:line="240" w:lineRule="exact"/>
              <w:ind w:firstLine="420" w:firstLineChars="200"/>
              <w:jc w:val="left"/>
              <w:rPr>
                <w:rFonts w:hint="eastAsia" w:ascii="仿宋" w:hAnsi="仿宋" w:eastAsia="仿宋" w:cs="仿宋"/>
                <w:color w:val="auto"/>
                <w:highlight w:val="none"/>
              </w:rPr>
            </w:pPr>
          </w:p>
        </w:tc>
        <w:tc>
          <w:tcPr>
            <w:tcW w:w="1301" w:type="dxa"/>
            <w:tcBorders>
              <w:top w:val="single" w:color="auto" w:sz="6" w:space="0"/>
              <w:left w:val="single" w:color="auto" w:sz="6" w:space="0"/>
              <w:bottom w:val="single" w:color="auto" w:sz="6" w:space="0"/>
              <w:right w:val="single" w:color="auto" w:sz="6" w:space="0"/>
            </w:tcBorders>
            <w:vAlign w:val="center"/>
          </w:tcPr>
          <w:p w14:paraId="2C33AD0E">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电子邮件</w:t>
            </w:r>
          </w:p>
        </w:tc>
        <w:tc>
          <w:tcPr>
            <w:tcW w:w="2607" w:type="dxa"/>
            <w:gridSpan w:val="3"/>
            <w:tcBorders>
              <w:top w:val="single" w:color="auto" w:sz="6" w:space="0"/>
              <w:left w:val="single" w:color="auto" w:sz="6" w:space="0"/>
              <w:bottom w:val="single" w:color="auto" w:sz="6" w:space="0"/>
              <w:right w:val="double" w:color="auto" w:sz="4" w:space="0"/>
            </w:tcBorders>
            <w:vAlign w:val="center"/>
          </w:tcPr>
          <w:p w14:paraId="5582AD0E">
            <w:pPr>
              <w:spacing w:line="240" w:lineRule="exact"/>
              <w:ind w:firstLine="420" w:firstLineChars="200"/>
              <w:jc w:val="left"/>
              <w:rPr>
                <w:rFonts w:hint="eastAsia" w:ascii="仿宋" w:hAnsi="仿宋" w:eastAsia="仿宋" w:cs="仿宋"/>
                <w:color w:val="auto"/>
                <w:highlight w:val="none"/>
              </w:rPr>
            </w:pPr>
          </w:p>
        </w:tc>
      </w:tr>
      <w:tr w14:paraId="5C42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vAlign w:val="center"/>
          </w:tcPr>
          <w:p w14:paraId="57953800">
            <w:pPr>
              <w:spacing w:line="24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法定代表人</w:t>
            </w:r>
          </w:p>
        </w:tc>
        <w:tc>
          <w:tcPr>
            <w:tcW w:w="1114" w:type="dxa"/>
            <w:tcBorders>
              <w:top w:val="single" w:color="auto" w:sz="6" w:space="0"/>
              <w:left w:val="single" w:color="auto" w:sz="6" w:space="0"/>
              <w:bottom w:val="single" w:color="auto" w:sz="6" w:space="0"/>
              <w:right w:val="single" w:color="auto" w:sz="6" w:space="0"/>
            </w:tcBorders>
            <w:vAlign w:val="center"/>
          </w:tcPr>
          <w:p w14:paraId="12924BB1">
            <w:pPr>
              <w:spacing w:line="2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301" w:type="dxa"/>
            <w:tcBorders>
              <w:top w:val="single" w:color="auto" w:sz="6" w:space="0"/>
              <w:left w:val="single" w:color="auto" w:sz="6" w:space="0"/>
              <w:bottom w:val="single" w:color="auto" w:sz="6" w:space="0"/>
              <w:right w:val="single" w:color="auto" w:sz="6" w:space="0"/>
            </w:tcBorders>
            <w:vAlign w:val="center"/>
          </w:tcPr>
          <w:p w14:paraId="116E8A2A">
            <w:pPr>
              <w:spacing w:line="240" w:lineRule="exact"/>
              <w:ind w:firstLine="420" w:firstLineChars="200"/>
              <w:jc w:val="left"/>
              <w:rPr>
                <w:rFonts w:hint="eastAsia" w:ascii="仿宋" w:hAnsi="仿宋" w:eastAsia="仿宋" w:cs="仿宋"/>
                <w:color w:val="auto"/>
                <w:highlight w:val="none"/>
              </w:rPr>
            </w:pPr>
          </w:p>
        </w:tc>
        <w:tc>
          <w:tcPr>
            <w:tcW w:w="1305" w:type="dxa"/>
            <w:gridSpan w:val="2"/>
            <w:tcBorders>
              <w:top w:val="single" w:color="auto" w:sz="6" w:space="0"/>
              <w:left w:val="single" w:color="auto" w:sz="6" w:space="0"/>
              <w:bottom w:val="single" w:color="auto" w:sz="6" w:space="0"/>
              <w:right w:val="single" w:color="auto" w:sz="6" w:space="0"/>
            </w:tcBorders>
            <w:vAlign w:val="center"/>
          </w:tcPr>
          <w:p w14:paraId="58B71DF6">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技术职称</w:t>
            </w:r>
          </w:p>
        </w:tc>
        <w:tc>
          <w:tcPr>
            <w:tcW w:w="1488" w:type="dxa"/>
            <w:gridSpan w:val="2"/>
            <w:tcBorders>
              <w:top w:val="single" w:color="auto" w:sz="6" w:space="0"/>
              <w:left w:val="single" w:color="auto" w:sz="6" w:space="0"/>
              <w:bottom w:val="single" w:color="auto" w:sz="6" w:space="0"/>
              <w:right w:val="single" w:color="auto" w:sz="6" w:space="0"/>
            </w:tcBorders>
            <w:vAlign w:val="center"/>
          </w:tcPr>
          <w:p w14:paraId="040542C2">
            <w:pPr>
              <w:spacing w:line="240" w:lineRule="exact"/>
              <w:ind w:firstLine="420" w:firstLineChars="200"/>
              <w:jc w:val="left"/>
              <w:rPr>
                <w:rFonts w:hint="eastAsia" w:ascii="仿宋" w:hAnsi="仿宋" w:eastAsia="仿宋" w:cs="仿宋"/>
                <w:color w:val="auto"/>
                <w:highlight w:val="none"/>
              </w:rPr>
            </w:pPr>
          </w:p>
        </w:tc>
        <w:tc>
          <w:tcPr>
            <w:tcW w:w="743" w:type="dxa"/>
            <w:tcBorders>
              <w:top w:val="single" w:color="auto" w:sz="6" w:space="0"/>
              <w:left w:val="single" w:color="auto" w:sz="6" w:space="0"/>
              <w:bottom w:val="single" w:color="auto" w:sz="6" w:space="0"/>
              <w:right w:val="single" w:color="auto" w:sz="6" w:space="0"/>
            </w:tcBorders>
            <w:vAlign w:val="center"/>
          </w:tcPr>
          <w:p w14:paraId="58DEBE87">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电话</w:t>
            </w:r>
          </w:p>
        </w:tc>
        <w:tc>
          <w:tcPr>
            <w:tcW w:w="1677" w:type="dxa"/>
            <w:tcBorders>
              <w:top w:val="single" w:color="auto" w:sz="6" w:space="0"/>
              <w:left w:val="single" w:color="auto" w:sz="6" w:space="0"/>
              <w:bottom w:val="single" w:color="auto" w:sz="6" w:space="0"/>
              <w:right w:val="double" w:color="auto" w:sz="4" w:space="0"/>
            </w:tcBorders>
            <w:vAlign w:val="center"/>
          </w:tcPr>
          <w:p w14:paraId="744027C4">
            <w:pPr>
              <w:spacing w:line="240" w:lineRule="exact"/>
              <w:ind w:firstLine="420" w:firstLineChars="200"/>
              <w:jc w:val="left"/>
              <w:rPr>
                <w:rFonts w:hint="eastAsia" w:ascii="仿宋" w:hAnsi="仿宋" w:eastAsia="仿宋" w:cs="仿宋"/>
                <w:color w:val="auto"/>
                <w:highlight w:val="none"/>
              </w:rPr>
            </w:pPr>
          </w:p>
        </w:tc>
      </w:tr>
      <w:tr w14:paraId="6330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vAlign w:val="center"/>
          </w:tcPr>
          <w:p w14:paraId="7FEFA7A9">
            <w:pPr>
              <w:spacing w:line="24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技术负责人</w:t>
            </w:r>
          </w:p>
        </w:tc>
        <w:tc>
          <w:tcPr>
            <w:tcW w:w="1114" w:type="dxa"/>
            <w:tcBorders>
              <w:top w:val="single" w:color="auto" w:sz="6" w:space="0"/>
              <w:left w:val="single" w:color="auto" w:sz="6" w:space="0"/>
              <w:bottom w:val="single" w:color="auto" w:sz="6" w:space="0"/>
              <w:right w:val="single" w:color="auto" w:sz="6" w:space="0"/>
            </w:tcBorders>
            <w:vAlign w:val="center"/>
          </w:tcPr>
          <w:p w14:paraId="27FFF4A2">
            <w:pPr>
              <w:spacing w:line="2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301" w:type="dxa"/>
            <w:tcBorders>
              <w:top w:val="single" w:color="auto" w:sz="6" w:space="0"/>
              <w:left w:val="single" w:color="auto" w:sz="6" w:space="0"/>
              <w:bottom w:val="single" w:color="auto" w:sz="6" w:space="0"/>
              <w:right w:val="single" w:color="auto" w:sz="6" w:space="0"/>
            </w:tcBorders>
            <w:vAlign w:val="center"/>
          </w:tcPr>
          <w:p w14:paraId="2158B69B">
            <w:pPr>
              <w:spacing w:line="240" w:lineRule="exact"/>
              <w:ind w:firstLine="420" w:firstLineChars="200"/>
              <w:jc w:val="left"/>
              <w:rPr>
                <w:rFonts w:hint="eastAsia" w:ascii="仿宋" w:hAnsi="仿宋" w:eastAsia="仿宋" w:cs="仿宋"/>
                <w:color w:val="auto"/>
                <w:highlight w:val="none"/>
              </w:rPr>
            </w:pPr>
          </w:p>
        </w:tc>
        <w:tc>
          <w:tcPr>
            <w:tcW w:w="1305" w:type="dxa"/>
            <w:gridSpan w:val="2"/>
            <w:tcBorders>
              <w:top w:val="single" w:color="auto" w:sz="6" w:space="0"/>
              <w:left w:val="single" w:color="auto" w:sz="6" w:space="0"/>
              <w:bottom w:val="single" w:color="auto" w:sz="6" w:space="0"/>
              <w:right w:val="single" w:color="auto" w:sz="6" w:space="0"/>
            </w:tcBorders>
            <w:vAlign w:val="center"/>
          </w:tcPr>
          <w:p w14:paraId="63622449">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技术职称</w:t>
            </w:r>
          </w:p>
        </w:tc>
        <w:tc>
          <w:tcPr>
            <w:tcW w:w="1488" w:type="dxa"/>
            <w:gridSpan w:val="2"/>
            <w:tcBorders>
              <w:top w:val="single" w:color="auto" w:sz="6" w:space="0"/>
              <w:left w:val="single" w:color="auto" w:sz="6" w:space="0"/>
              <w:bottom w:val="single" w:color="auto" w:sz="6" w:space="0"/>
              <w:right w:val="single" w:color="auto" w:sz="6" w:space="0"/>
            </w:tcBorders>
            <w:vAlign w:val="center"/>
          </w:tcPr>
          <w:p w14:paraId="4716E567">
            <w:pPr>
              <w:spacing w:line="240" w:lineRule="exact"/>
              <w:ind w:firstLine="420" w:firstLineChars="200"/>
              <w:jc w:val="left"/>
              <w:rPr>
                <w:rFonts w:hint="eastAsia" w:ascii="仿宋" w:hAnsi="仿宋" w:eastAsia="仿宋" w:cs="仿宋"/>
                <w:color w:val="auto"/>
                <w:highlight w:val="none"/>
              </w:rPr>
            </w:pPr>
          </w:p>
        </w:tc>
        <w:tc>
          <w:tcPr>
            <w:tcW w:w="743" w:type="dxa"/>
            <w:tcBorders>
              <w:top w:val="single" w:color="auto" w:sz="6" w:space="0"/>
              <w:left w:val="single" w:color="auto" w:sz="6" w:space="0"/>
              <w:bottom w:val="single" w:color="auto" w:sz="6" w:space="0"/>
              <w:right w:val="single" w:color="auto" w:sz="6" w:space="0"/>
            </w:tcBorders>
            <w:vAlign w:val="center"/>
          </w:tcPr>
          <w:p w14:paraId="546B74F0">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电话</w:t>
            </w:r>
          </w:p>
        </w:tc>
        <w:tc>
          <w:tcPr>
            <w:tcW w:w="1677" w:type="dxa"/>
            <w:tcBorders>
              <w:top w:val="single" w:color="auto" w:sz="6" w:space="0"/>
              <w:left w:val="single" w:color="auto" w:sz="6" w:space="0"/>
              <w:bottom w:val="single" w:color="auto" w:sz="6" w:space="0"/>
              <w:right w:val="double" w:color="auto" w:sz="4" w:space="0"/>
            </w:tcBorders>
            <w:vAlign w:val="center"/>
          </w:tcPr>
          <w:p w14:paraId="3971F0D5">
            <w:pPr>
              <w:spacing w:line="240" w:lineRule="exact"/>
              <w:ind w:firstLine="420" w:firstLineChars="200"/>
              <w:jc w:val="left"/>
              <w:rPr>
                <w:rFonts w:hint="eastAsia" w:ascii="仿宋" w:hAnsi="仿宋" w:eastAsia="仿宋" w:cs="仿宋"/>
                <w:color w:val="auto"/>
                <w:highlight w:val="none"/>
              </w:rPr>
            </w:pPr>
          </w:p>
        </w:tc>
      </w:tr>
      <w:tr w14:paraId="3730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vAlign w:val="center"/>
          </w:tcPr>
          <w:p w14:paraId="6605F07E">
            <w:pPr>
              <w:spacing w:line="24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0CE7F163">
            <w:pPr>
              <w:spacing w:line="240" w:lineRule="exact"/>
              <w:ind w:firstLine="420" w:firstLineChars="200"/>
              <w:jc w:val="left"/>
              <w:rPr>
                <w:rFonts w:hint="eastAsia" w:ascii="仿宋" w:hAnsi="仿宋" w:eastAsia="仿宋" w:cs="仿宋"/>
                <w:color w:val="auto"/>
                <w:highlight w:val="none"/>
              </w:rPr>
            </w:pPr>
          </w:p>
        </w:tc>
        <w:tc>
          <w:tcPr>
            <w:tcW w:w="5213" w:type="dxa"/>
            <w:gridSpan w:val="6"/>
            <w:tcBorders>
              <w:top w:val="single" w:color="auto" w:sz="6" w:space="0"/>
              <w:left w:val="single" w:color="auto" w:sz="6" w:space="0"/>
              <w:bottom w:val="single" w:color="auto" w:sz="6" w:space="0"/>
              <w:right w:val="double" w:color="auto" w:sz="4" w:space="0"/>
            </w:tcBorders>
            <w:vAlign w:val="center"/>
          </w:tcPr>
          <w:p w14:paraId="39240DC0">
            <w:pPr>
              <w:spacing w:line="24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员工总人数：</w:t>
            </w:r>
          </w:p>
        </w:tc>
      </w:tr>
      <w:tr w14:paraId="697E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vAlign w:val="center"/>
          </w:tcPr>
          <w:p w14:paraId="53229D47">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企业资质等级（如有）</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71F89C49">
            <w:pPr>
              <w:spacing w:line="240" w:lineRule="exact"/>
              <w:ind w:firstLine="420" w:firstLineChars="200"/>
              <w:jc w:val="left"/>
              <w:rPr>
                <w:rFonts w:hint="eastAsia" w:ascii="仿宋" w:hAnsi="仿宋" w:eastAsia="仿宋" w:cs="仿宋"/>
                <w:color w:val="auto"/>
                <w:highlight w:val="none"/>
              </w:rPr>
            </w:pPr>
          </w:p>
        </w:tc>
        <w:tc>
          <w:tcPr>
            <w:tcW w:w="743" w:type="dxa"/>
            <w:vMerge w:val="restart"/>
            <w:tcBorders>
              <w:top w:val="single" w:color="auto" w:sz="6" w:space="0"/>
              <w:left w:val="single" w:color="auto" w:sz="6" w:space="0"/>
              <w:bottom w:val="single" w:color="auto" w:sz="6" w:space="0"/>
              <w:right w:val="single" w:color="auto" w:sz="6" w:space="0"/>
            </w:tcBorders>
            <w:vAlign w:val="center"/>
          </w:tcPr>
          <w:p w14:paraId="69908125">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其中</w:t>
            </w:r>
          </w:p>
        </w:tc>
        <w:tc>
          <w:tcPr>
            <w:tcW w:w="2050" w:type="dxa"/>
            <w:gridSpan w:val="3"/>
            <w:tcBorders>
              <w:top w:val="single" w:color="auto" w:sz="6" w:space="0"/>
              <w:left w:val="single" w:color="auto" w:sz="6" w:space="0"/>
              <w:bottom w:val="single" w:color="auto" w:sz="6" w:space="0"/>
              <w:right w:val="single" w:color="auto" w:sz="6" w:space="0"/>
            </w:tcBorders>
            <w:vAlign w:val="center"/>
          </w:tcPr>
          <w:p w14:paraId="67B7668B">
            <w:pPr>
              <w:spacing w:line="24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高级职称</w:t>
            </w:r>
          </w:p>
        </w:tc>
        <w:tc>
          <w:tcPr>
            <w:tcW w:w="2420" w:type="dxa"/>
            <w:gridSpan w:val="2"/>
            <w:tcBorders>
              <w:top w:val="single" w:color="auto" w:sz="6" w:space="0"/>
              <w:left w:val="single" w:color="auto" w:sz="6" w:space="0"/>
              <w:bottom w:val="single" w:color="auto" w:sz="6" w:space="0"/>
              <w:right w:val="double" w:color="auto" w:sz="4" w:space="0"/>
            </w:tcBorders>
            <w:vAlign w:val="center"/>
          </w:tcPr>
          <w:p w14:paraId="01E5D73D">
            <w:pPr>
              <w:spacing w:line="240" w:lineRule="exact"/>
              <w:ind w:firstLine="420" w:firstLineChars="200"/>
              <w:jc w:val="left"/>
              <w:rPr>
                <w:rFonts w:hint="eastAsia" w:ascii="仿宋" w:hAnsi="仿宋" w:eastAsia="仿宋" w:cs="仿宋"/>
                <w:color w:val="auto"/>
                <w:highlight w:val="none"/>
              </w:rPr>
            </w:pPr>
          </w:p>
        </w:tc>
      </w:tr>
      <w:tr w14:paraId="0DC4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vAlign w:val="center"/>
          </w:tcPr>
          <w:p w14:paraId="46296926">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营业执照（法人证书）号</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3DB3A914">
            <w:pPr>
              <w:spacing w:line="240" w:lineRule="exact"/>
              <w:ind w:firstLine="420" w:firstLineChars="200"/>
              <w:jc w:val="left"/>
              <w:rPr>
                <w:rFonts w:hint="eastAsia" w:ascii="仿宋" w:hAnsi="仿宋" w:eastAsia="仿宋" w:cs="仿宋"/>
                <w:color w:val="auto"/>
                <w:highlight w:val="none"/>
              </w:rPr>
            </w:pPr>
          </w:p>
        </w:tc>
        <w:tc>
          <w:tcPr>
            <w:tcW w:w="743" w:type="dxa"/>
            <w:vMerge w:val="continue"/>
            <w:tcBorders>
              <w:top w:val="single" w:color="auto" w:sz="6" w:space="0"/>
              <w:left w:val="single" w:color="auto" w:sz="6" w:space="0"/>
              <w:bottom w:val="single" w:color="auto" w:sz="6" w:space="0"/>
              <w:right w:val="single" w:color="auto" w:sz="6" w:space="0"/>
            </w:tcBorders>
            <w:vAlign w:val="center"/>
          </w:tcPr>
          <w:p w14:paraId="306A28AD">
            <w:pPr>
              <w:spacing w:line="240" w:lineRule="exact"/>
              <w:ind w:firstLine="420" w:firstLineChars="200"/>
              <w:jc w:val="left"/>
              <w:rPr>
                <w:rFonts w:hint="eastAsia" w:ascii="仿宋" w:hAnsi="仿宋" w:eastAsia="仿宋" w:cs="仿宋"/>
                <w:color w:val="auto"/>
                <w:highlight w:val="none"/>
              </w:rPr>
            </w:pPr>
          </w:p>
        </w:tc>
        <w:tc>
          <w:tcPr>
            <w:tcW w:w="2050" w:type="dxa"/>
            <w:gridSpan w:val="3"/>
            <w:tcBorders>
              <w:top w:val="single" w:color="auto" w:sz="6" w:space="0"/>
              <w:left w:val="single" w:color="auto" w:sz="6" w:space="0"/>
              <w:bottom w:val="single" w:color="auto" w:sz="6" w:space="0"/>
              <w:right w:val="single" w:color="auto" w:sz="6" w:space="0"/>
            </w:tcBorders>
            <w:vAlign w:val="center"/>
          </w:tcPr>
          <w:p w14:paraId="73A74877">
            <w:pPr>
              <w:spacing w:line="24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中级职称</w:t>
            </w:r>
          </w:p>
        </w:tc>
        <w:tc>
          <w:tcPr>
            <w:tcW w:w="2420" w:type="dxa"/>
            <w:gridSpan w:val="2"/>
            <w:tcBorders>
              <w:top w:val="single" w:color="auto" w:sz="6" w:space="0"/>
              <w:left w:val="single" w:color="auto" w:sz="6" w:space="0"/>
              <w:bottom w:val="single" w:color="auto" w:sz="6" w:space="0"/>
              <w:right w:val="double" w:color="auto" w:sz="4" w:space="0"/>
            </w:tcBorders>
            <w:vAlign w:val="center"/>
          </w:tcPr>
          <w:p w14:paraId="7393F257">
            <w:pPr>
              <w:spacing w:line="240" w:lineRule="exact"/>
              <w:ind w:firstLine="420" w:firstLineChars="200"/>
              <w:jc w:val="left"/>
              <w:rPr>
                <w:rFonts w:hint="eastAsia" w:ascii="仿宋" w:hAnsi="仿宋" w:eastAsia="仿宋" w:cs="仿宋"/>
                <w:color w:val="auto"/>
                <w:highlight w:val="none"/>
              </w:rPr>
            </w:pPr>
          </w:p>
        </w:tc>
      </w:tr>
      <w:tr w14:paraId="5D34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4" w:space="0"/>
              <w:right w:val="single" w:color="auto" w:sz="6" w:space="0"/>
            </w:tcBorders>
            <w:vAlign w:val="center"/>
          </w:tcPr>
          <w:p w14:paraId="57402427">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注册资金</w:t>
            </w:r>
          </w:p>
        </w:tc>
        <w:tc>
          <w:tcPr>
            <w:tcW w:w="2415" w:type="dxa"/>
            <w:gridSpan w:val="2"/>
            <w:tcBorders>
              <w:top w:val="single" w:color="auto" w:sz="6" w:space="0"/>
              <w:left w:val="single" w:color="auto" w:sz="6" w:space="0"/>
              <w:bottom w:val="single" w:color="auto" w:sz="4" w:space="0"/>
              <w:right w:val="single" w:color="auto" w:sz="6" w:space="0"/>
            </w:tcBorders>
            <w:vAlign w:val="center"/>
          </w:tcPr>
          <w:p w14:paraId="52B7D285">
            <w:pPr>
              <w:spacing w:line="240" w:lineRule="exact"/>
              <w:ind w:firstLine="420" w:firstLineChars="200"/>
              <w:jc w:val="left"/>
              <w:rPr>
                <w:rFonts w:hint="eastAsia" w:ascii="仿宋" w:hAnsi="仿宋" w:eastAsia="仿宋" w:cs="仿宋"/>
                <w:color w:val="auto"/>
                <w:highlight w:val="none"/>
              </w:rPr>
            </w:pPr>
          </w:p>
        </w:tc>
        <w:tc>
          <w:tcPr>
            <w:tcW w:w="743" w:type="dxa"/>
            <w:vMerge w:val="continue"/>
            <w:tcBorders>
              <w:top w:val="single" w:color="auto" w:sz="6" w:space="0"/>
              <w:left w:val="single" w:color="auto" w:sz="6" w:space="0"/>
              <w:bottom w:val="single" w:color="auto" w:sz="4" w:space="0"/>
              <w:right w:val="single" w:color="auto" w:sz="6" w:space="0"/>
            </w:tcBorders>
            <w:vAlign w:val="center"/>
          </w:tcPr>
          <w:p w14:paraId="711416CC">
            <w:pPr>
              <w:spacing w:line="240" w:lineRule="exact"/>
              <w:ind w:firstLine="420" w:firstLineChars="200"/>
              <w:jc w:val="left"/>
              <w:rPr>
                <w:rFonts w:hint="eastAsia" w:ascii="仿宋" w:hAnsi="仿宋" w:eastAsia="仿宋" w:cs="仿宋"/>
                <w:color w:val="auto"/>
                <w:highlight w:val="none"/>
              </w:rPr>
            </w:pPr>
          </w:p>
        </w:tc>
        <w:tc>
          <w:tcPr>
            <w:tcW w:w="2050" w:type="dxa"/>
            <w:gridSpan w:val="3"/>
            <w:tcBorders>
              <w:top w:val="single" w:color="auto" w:sz="6" w:space="0"/>
              <w:left w:val="single" w:color="auto" w:sz="6" w:space="0"/>
              <w:bottom w:val="single" w:color="auto" w:sz="4" w:space="0"/>
              <w:right w:val="single" w:color="auto" w:sz="6" w:space="0"/>
            </w:tcBorders>
            <w:vAlign w:val="center"/>
          </w:tcPr>
          <w:p w14:paraId="2ABB9230">
            <w:pPr>
              <w:spacing w:line="24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各类注册人员</w:t>
            </w:r>
          </w:p>
        </w:tc>
        <w:tc>
          <w:tcPr>
            <w:tcW w:w="2420" w:type="dxa"/>
            <w:gridSpan w:val="2"/>
            <w:tcBorders>
              <w:top w:val="single" w:color="auto" w:sz="6" w:space="0"/>
              <w:left w:val="single" w:color="auto" w:sz="6" w:space="0"/>
              <w:bottom w:val="single" w:color="auto" w:sz="6" w:space="0"/>
              <w:right w:val="double" w:color="auto" w:sz="4" w:space="0"/>
            </w:tcBorders>
            <w:vAlign w:val="center"/>
          </w:tcPr>
          <w:p w14:paraId="78E3FB7F">
            <w:pPr>
              <w:spacing w:line="240" w:lineRule="exact"/>
              <w:ind w:firstLine="420" w:firstLineChars="200"/>
              <w:jc w:val="left"/>
              <w:rPr>
                <w:rFonts w:hint="eastAsia" w:ascii="仿宋" w:hAnsi="仿宋" w:eastAsia="仿宋" w:cs="仿宋"/>
                <w:color w:val="auto"/>
                <w:highlight w:val="none"/>
              </w:rPr>
            </w:pPr>
          </w:p>
        </w:tc>
      </w:tr>
      <w:tr w14:paraId="7FE4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vAlign w:val="center"/>
          </w:tcPr>
          <w:p w14:paraId="38F96262">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基本帐户开户银行</w:t>
            </w:r>
          </w:p>
        </w:tc>
        <w:tc>
          <w:tcPr>
            <w:tcW w:w="7628" w:type="dxa"/>
            <w:gridSpan w:val="8"/>
            <w:tcBorders>
              <w:top w:val="single" w:color="auto" w:sz="6" w:space="0"/>
              <w:left w:val="single" w:color="auto" w:sz="6" w:space="0"/>
              <w:bottom w:val="single" w:color="auto" w:sz="6" w:space="0"/>
              <w:right w:val="double" w:color="auto" w:sz="4" w:space="0"/>
            </w:tcBorders>
            <w:vAlign w:val="center"/>
          </w:tcPr>
          <w:p w14:paraId="524017FA">
            <w:pPr>
              <w:spacing w:line="240" w:lineRule="exact"/>
              <w:ind w:firstLine="420" w:firstLineChars="200"/>
              <w:jc w:val="left"/>
              <w:rPr>
                <w:rFonts w:hint="eastAsia" w:ascii="仿宋" w:hAnsi="仿宋" w:eastAsia="仿宋" w:cs="仿宋"/>
                <w:color w:val="auto"/>
                <w:highlight w:val="none"/>
              </w:rPr>
            </w:pPr>
          </w:p>
        </w:tc>
      </w:tr>
      <w:tr w14:paraId="5D72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jc w:val="center"/>
        </w:trPr>
        <w:tc>
          <w:tcPr>
            <w:tcW w:w="2097" w:type="dxa"/>
            <w:tcBorders>
              <w:top w:val="single" w:color="auto" w:sz="6" w:space="0"/>
              <w:left w:val="double" w:color="auto" w:sz="4" w:space="0"/>
              <w:bottom w:val="single" w:color="auto" w:sz="6" w:space="0"/>
              <w:right w:val="single" w:color="auto" w:sz="6" w:space="0"/>
            </w:tcBorders>
            <w:vAlign w:val="center"/>
          </w:tcPr>
          <w:p w14:paraId="02948454">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基本帐户帐号</w:t>
            </w:r>
          </w:p>
        </w:tc>
        <w:tc>
          <w:tcPr>
            <w:tcW w:w="7628" w:type="dxa"/>
            <w:gridSpan w:val="8"/>
            <w:tcBorders>
              <w:top w:val="single" w:color="auto" w:sz="6" w:space="0"/>
              <w:left w:val="single" w:color="auto" w:sz="6" w:space="0"/>
              <w:bottom w:val="single" w:color="auto" w:sz="6" w:space="0"/>
              <w:right w:val="double" w:color="auto" w:sz="4" w:space="0"/>
            </w:tcBorders>
            <w:vAlign w:val="center"/>
          </w:tcPr>
          <w:p w14:paraId="16A545C9">
            <w:pPr>
              <w:spacing w:line="240" w:lineRule="exact"/>
              <w:ind w:firstLine="420" w:firstLineChars="200"/>
              <w:jc w:val="left"/>
              <w:rPr>
                <w:rFonts w:hint="eastAsia" w:ascii="仿宋" w:hAnsi="仿宋" w:eastAsia="仿宋" w:cs="仿宋"/>
                <w:color w:val="auto"/>
                <w:highlight w:val="none"/>
              </w:rPr>
            </w:pPr>
          </w:p>
        </w:tc>
      </w:tr>
      <w:tr w14:paraId="17B5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jc w:val="center"/>
        </w:trPr>
        <w:tc>
          <w:tcPr>
            <w:tcW w:w="2097" w:type="dxa"/>
            <w:tcBorders>
              <w:top w:val="single" w:color="auto" w:sz="6" w:space="0"/>
              <w:left w:val="double" w:color="auto" w:sz="4" w:space="0"/>
              <w:bottom w:val="single" w:color="auto" w:sz="6" w:space="0"/>
              <w:right w:val="single" w:color="auto" w:sz="6" w:space="0"/>
            </w:tcBorders>
            <w:vAlign w:val="center"/>
          </w:tcPr>
          <w:p w14:paraId="1F73DAF0">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经营范围</w:t>
            </w:r>
          </w:p>
        </w:tc>
        <w:tc>
          <w:tcPr>
            <w:tcW w:w="7628" w:type="dxa"/>
            <w:gridSpan w:val="8"/>
            <w:tcBorders>
              <w:top w:val="single" w:color="auto" w:sz="6" w:space="0"/>
              <w:left w:val="single" w:color="auto" w:sz="6" w:space="0"/>
              <w:bottom w:val="single" w:color="auto" w:sz="6" w:space="0"/>
              <w:right w:val="double" w:color="auto" w:sz="4" w:space="0"/>
            </w:tcBorders>
            <w:vAlign w:val="center"/>
          </w:tcPr>
          <w:p w14:paraId="3AA2EEF2">
            <w:pPr>
              <w:spacing w:line="240" w:lineRule="exact"/>
              <w:ind w:firstLine="420" w:firstLineChars="200"/>
              <w:jc w:val="left"/>
              <w:rPr>
                <w:rFonts w:hint="eastAsia" w:ascii="仿宋" w:hAnsi="仿宋" w:eastAsia="仿宋" w:cs="仿宋"/>
                <w:color w:val="auto"/>
                <w:highlight w:val="none"/>
              </w:rPr>
            </w:pPr>
          </w:p>
        </w:tc>
      </w:tr>
      <w:tr w14:paraId="31A0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4" w:hRule="atLeast"/>
          <w:jc w:val="center"/>
        </w:trPr>
        <w:tc>
          <w:tcPr>
            <w:tcW w:w="2097" w:type="dxa"/>
            <w:tcBorders>
              <w:top w:val="single" w:color="auto" w:sz="6" w:space="0"/>
              <w:left w:val="double" w:color="auto" w:sz="4" w:space="0"/>
              <w:bottom w:val="double" w:color="auto" w:sz="4" w:space="0"/>
              <w:right w:val="single" w:color="auto" w:sz="6" w:space="0"/>
            </w:tcBorders>
            <w:vAlign w:val="center"/>
          </w:tcPr>
          <w:p w14:paraId="2C903DAC">
            <w:pPr>
              <w:spacing w:line="2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7628" w:type="dxa"/>
            <w:gridSpan w:val="8"/>
            <w:tcBorders>
              <w:top w:val="single" w:color="auto" w:sz="6" w:space="0"/>
              <w:left w:val="single" w:color="auto" w:sz="6" w:space="0"/>
              <w:bottom w:val="double" w:color="auto" w:sz="4" w:space="0"/>
              <w:right w:val="double" w:color="auto" w:sz="4" w:space="0"/>
            </w:tcBorders>
            <w:vAlign w:val="center"/>
          </w:tcPr>
          <w:p w14:paraId="349ACC65">
            <w:pPr>
              <w:spacing w:line="240" w:lineRule="exact"/>
              <w:ind w:firstLine="420" w:firstLineChars="200"/>
              <w:jc w:val="left"/>
              <w:rPr>
                <w:rFonts w:hint="eastAsia" w:ascii="仿宋" w:hAnsi="仿宋" w:eastAsia="仿宋" w:cs="仿宋"/>
                <w:color w:val="auto"/>
                <w:highlight w:val="none"/>
              </w:rPr>
            </w:pPr>
          </w:p>
        </w:tc>
      </w:tr>
    </w:tbl>
    <w:p w14:paraId="6732DB8F">
      <w:pPr>
        <w:spacing w:before="120" w:beforeLines="5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注：在本表后应附企业法人营业执照或事业单位法人证书副本（全本）的复印件加盖投标人单位章。</w:t>
      </w:r>
    </w:p>
    <w:p w14:paraId="251DDA89">
      <w:pPr>
        <w:snapToGrid w:val="0"/>
        <w:spacing w:before="50" w:after="50" w:line="440" w:lineRule="exact"/>
        <w:ind w:left="-21" w:leftChars="-72" w:right="-817" w:rightChars="-389" w:hanging="130" w:hangingChars="62"/>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5558E98">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投标人名称（盖章）：</w:t>
      </w:r>
    </w:p>
    <w:p w14:paraId="3E4C0202">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法定代表人或授权代表（签字或盖章）：</w:t>
      </w:r>
    </w:p>
    <w:p w14:paraId="04F5E7B0">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77D353B5">
      <w:pPr>
        <w:snapToGrid w:val="0"/>
        <w:spacing w:before="50" w:after="50" w:line="440" w:lineRule="exact"/>
        <w:ind w:firstLine="210" w:firstLineChars="100"/>
        <w:rPr>
          <w:rFonts w:hint="eastAsia" w:ascii="仿宋" w:hAnsi="仿宋" w:eastAsia="仿宋" w:cs="仿宋"/>
          <w:color w:val="auto"/>
          <w:sz w:val="22"/>
          <w:highlight w:val="none"/>
          <w:lang w:eastAsia="zh-CN"/>
        </w:rPr>
      </w:pPr>
      <w:r>
        <w:rPr>
          <w:rFonts w:hint="eastAsia" w:ascii="仿宋" w:hAnsi="仿宋" w:eastAsia="仿宋" w:cs="仿宋"/>
          <w:color w:val="auto"/>
          <w:highlight w:val="none"/>
        </w:rPr>
        <w:br w:type="page"/>
      </w:r>
      <w:r>
        <w:rPr>
          <w:rFonts w:hint="eastAsia" w:ascii="仿宋" w:hAnsi="仿宋" w:eastAsia="仿宋" w:cs="仿宋"/>
          <w:color w:val="auto"/>
          <w:sz w:val="24"/>
          <w:szCs w:val="22"/>
          <w:highlight w:val="none"/>
        </w:rPr>
        <w:t>格式</w:t>
      </w:r>
      <w:r>
        <w:rPr>
          <w:rFonts w:hint="eastAsia" w:ascii="仿宋" w:hAnsi="仿宋" w:eastAsia="仿宋" w:cs="仿宋"/>
          <w:color w:val="auto"/>
          <w:sz w:val="24"/>
          <w:szCs w:val="22"/>
          <w:highlight w:val="none"/>
          <w:lang w:val="en-US" w:eastAsia="zh-CN"/>
        </w:rPr>
        <w:t>六</w:t>
      </w:r>
    </w:p>
    <w:p w14:paraId="558210C2">
      <w:pPr>
        <w:snapToGrid w:val="0"/>
        <w:spacing w:before="120" w:beforeLines="50" w:after="50"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法定代表人身份证明书</w:t>
      </w:r>
    </w:p>
    <w:p w14:paraId="119CEAFD">
      <w:pPr>
        <w:adjustRightInd w:val="0"/>
        <w:spacing w:line="480" w:lineRule="auto"/>
        <w:ind w:firstLine="565" w:firstLineChars="257"/>
        <w:rPr>
          <w:rFonts w:hint="eastAsia" w:ascii="仿宋" w:hAnsi="仿宋" w:eastAsia="仿宋" w:cs="仿宋"/>
          <w:color w:val="auto"/>
          <w:sz w:val="22"/>
          <w:highlight w:val="none"/>
        </w:rPr>
      </w:pPr>
    </w:p>
    <w:p w14:paraId="373CD5DC">
      <w:pPr>
        <w:spacing w:line="360" w:lineRule="auto"/>
        <w:ind w:firstLine="472" w:firstLineChars="225"/>
        <w:rPr>
          <w:rFonts w:hint="eastAsia" w:ascii="仿宋" w:hAnsi="仿宋" w:eastAsia="仿宋" w:cs="仿宋"/>
          <w:color w:val="auto"/>
          <w:highlight w:val="none"/>
        </w:rPr>
      </w:pPr>
      <w:r>
        <w:rPr>
          <w:rFonts w:hint="eastAsia" w:ascii="仿宋" w:hAnsi="仿宋" w:eastAsia="仿宋" w:cs="仿宋"/>
          <w:color w:val="auto"/>
          <w:highlight w:val="none"/>
        </w:rPr>
        <w:t>单位名称：</w:t>
      </w:r>
    </w:p>
    <w:p w14:paraId="1D1F2945">
      <w:pPr>
        <w:spacing w:line="360" w:lineRule="auto"/>
        <w:ind w:firstLine="472" w:firstLineChars="225"/>
        <w:rPr>
          <w:rFonts w:hint="eastAsia" w:ascii="仿宋" w:hAnsi="仿宋" w:eastAsia="仿宋" w:cs="仿宋"/>
          <w:color w:val="auto"/>
          <w:highlight w:val="none"/>
        </w:rPr>
      </w:pPr>
      <w:r>
        <w:rPr>
          <w:rFonts w:hint="eastAsia" w:ascii="仿宋" w:hAnsi="仿宋" w:eastAsia="仿宋" w:cs="仿宋"/>
          <w:color w:val="auto"/>
          <w:highlight w:val="none"/>
        </w:rPr>
        <w:t>地址：</w:t>
      </w:r>
    </w:p>
    <w:p w14:paraId="612BB2D4">
      <w:pPr>
        <w:spacing w:line="360" w:lineRule="auto"/>
        <w:ind w:firstLine="472" w:firstLineChars="225"/>
        <w:rPr>
          <w:rFonts w:hint="eastAsia" w:ascii="仿宋" w:hAnsi="仿宋" w:eastAsia="仿宋" w:cs="仿宋"/>
          <w:color w:val="auto"/>
          <w:highlight w:val="none"/>
        </w:rPr>
      </w:pPr>
      <w:r>
        <w:rPr>
          <w:rFonts w:hint="eastAsia" w:ascii="仿宋" w:hAnsi="仿宋" w:eastAsia="仿宋" w:cs="仿宋"/>
          <w:color w:val="auto"/>
          <w:highlight w:val="none"/>
        </w:rPr>
        <w:t xml:space="preserve">姓名：          性别：           年龄：            职务：        </w:t>
      </w:r>
    </w:p>
    <w:p w14:paraId="0320501D">
      <w:pPr>
        <w:spacing w:before="120" w:beforeLines="5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本人系</w:t>
      </w:r>
      <w:r>
        <w:rPr>
          <w:rFonts w:hint="eastAsia" w:ascii="仿宋" w:hAnsi="仿宋" w:eastAsia="仿宋" w:cs="仿宋"/>
          <w:color w:val="auto"/>
          <w:highlight w:val="none"/>
          <w:u w:val="single"/>
        </w:rPr>
        <w:t xml:space="preserve">         &lt;投标人名称&gt;              </w:t>
      </w:r>
      <w:r>
        <w:rPr>
          <w:rFonts w:hint="eastAsia" w:ascii="仿宋" w:hAnsi="仿宋" w:eastAsia="仿宋" w:cs="仿宋"/>
          <w:color w:val="auto"/>
          <w:highlight w:val="none"/>
        </w:rPr>
        <w:t>的法定代表人。为你单位组织的招标编号为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（项目名称）</w:t>
      </w:r>
      <w:r>
        <w:rPr>
          <w:rFonts w:hint="eastAsia" w:ascii="仿宋" w:hAnsi="仿宋" w:eastAsia="仿宋" w:cs="仿宋"/>
          <w:color w:val="auto"/>
          <w:highlight w:val="none"/>
        </w:rPr>
        <w:t>政府采购项目，签署上述项目的投标文件、进行合同谈判、签署合同和处理与之有关的一切事务。</w:t>
      </w:r>
    </w:p>
    <w:p w14:paraId="3089DC95">
      <w:pPr>
        <w:spacing w:line="360" w:lineRule="auto"/>
        <w:ind w:firstLine="472" w:firstLineChars="225"/>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508C8F7C">
      <w:pPr>
        <w:spacing w:line="360" w:lineRule="auto"/>
        <w:ind w:left="-538" w:leftChars="-256" w:firstLine="542" w:firstLineChars="257"/>
        <w:jc w:val="center"/>
        <w:rPr>
          <w:rFonts w:hint="eastAsia" w:ascii="仿宋" w:hAnsi="仿宋" w:eastAsia="仿宋" w:cs="仿宋"/>
          <w:b/>
          <w:color w:val="auto"/>
          <w:highlight w:val="none"/>
        </w:rPr>
      </w:pPr>
      <w:r>
        <w:rPr>
          <w:rFonts w:hint="eastAsia" w:ascii="仿宋" w:hAnsi="仿宋" w:eastAsia="仿宋" w:cs="仿宋"/>
          <w:b/>
          <w:color w:val="auto"/>
          <w:highlight w:val="none"/>
        </w:rPr>
        <w:t>（※此处请粘贴法定代表人身份证复印件※）</w:t>
      </w:r>
    </w:p>
    <w:p w14:paraId="11A3FAA8">
      <w:pPr>
        <w:spacing w:line="480" w:lineRule="auto"/>
        <w:ind w:firstLine="472" w:firstLineChars="225"/>
        <w:rPr>
          <w:rFonts w:hint="eastAsia" w:ascii="仿宋" w:hAnsi="仿宋" w:eastAsia="仿宋" w:cs="仿宋"/>
          <w:color w:val="auto"/>
          <w:highlight w:val="none"/>
        </w:rPr>
      </w:pPr>
    </w:p>
    <w:p w14:paraId="741B0B80">
      <w:pPr>
        <w:spacing w:line="480" w:lineRule="auto"/>
        <w:ind w:firstLine="1890" w:firstLineChars="900"/>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投标人名称（加盖公章）：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C2D0A2F">
      <w:pPr>
        <w:spacing w:line="480" w:lineRule="auto"/>
        <w:ind w:firstLine="1890" w:firstLineChars="900"/>
        <w:rPr>
          <w:rFonts w:hint="eastAsia" w:ascii="仿宋" w:hAnsi="仿宋" w:eastAsia="仿宋" w:cs="仿宋"/>
          <w:color w:val="auto"/>
          <w:highlight w:val="none"/>
        </w:rPr>
      </w:pPr>
      <w:r>
        <w:rPr>
          <w:rFonts w:hint="eastAsia" w:ascii="仿宋" w:hAnsi="仿宋" w:eastAsia="仿宋" w:cs="仿宋"/>
          <w:color w:val="auto"/>
          <w:highlight w:val="none"/>
        </w:rPr>
        <w:t>法定代表人（签字</w:t>
      </w:r>
      <w:r>
        <w:rPr>
          <w:rFonts w:hint="eastAsia" w:ascii="仿宋" w:hAnsi="仿宋" w:eastAsia="仿宋" w:cs="仿宋"/>
          <w:color w:val="auto"/>
          <w:highlight w:val="none"/>
          <w:lang w:val="en-US" w:eastAsia="zh-CN"/>
        </w:rPr>
        <w:t>或盖章</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p w14:paraId="6D7A1C68">
      <w:pPr>
        <w:spacing w:before="60" w:line="480" w:lineRule="auto"/>
        <w:ind w:firstLine="1890" w:firstLineChars="900"/>
        <w:rPr>
          <w:rFonts w:hint="eastAsia" w:ascii="仿宋" w:hAnsi="仿宋" w:eastAsia="仿宋" w:cs="仿宋"/>
          <w:color w:val="auto"/>
          <w:highlight w:val="none"/>
        </w:rPr>
      </w:pPr>
      <w:r>
        <w:rPr>
          <w:rFonts w:hint="eastAsia" w:ascii="仿宋" w:hAnsi="仿宋" w:eastAsia="仿宋" w:cs="仿宋"/>
          <w:color w:val="auto"/>
          <w:highlight w:val="none"/>
        </w:rPr>
        <w:t xml:space="preserve">签署日期：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年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月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日</w:t>
      </w:r>
    </w:p>
    <w:p w14:paraId="085C40B0">
      <w:pPr>
        <w:spacing w:line="360" w:lineRule="auto"/>
        <w:ind w:firstLine="420" w:firstLineChars="200"/>
        <w:rPr>
          <w:rFonts w:hint="eastAsia" w:ascii="仿宋" w:hAnsi="仿宋" w:eastAsia="仿宋" w:cs="仿宋"/>
          <w:color w:val="auto"/>
          <w:highlight w:val="none"/>
        </w:rPr>
      </w:pPr>
    </w:p>
    <w:p w14:paraId="37251836">
      <w:pPr>
        <w:spacing w:line="360" w:lineRule="auto"/>
        <w:ind w:firstLine="440" w:firstLineChars="200"/>
        <w:rPr>
          <w:rFonts w:hint="eastAsia" w:ascii="仿宋" w:hAnsi="仿宋" w:eastAsia="仿宋" w:cs="仿宋"/>
          <w:color w:val="auto"/>
          <w:sz w:val="22"/>
          <w:highlight w:val="none"/>
        </w:rPr>
      </w:pPr>
    </w:p>
    <w:p w14:paraId="3F73CB0A">
      <w:pPr>
        <w:spacing w:line="480" w:lineRule="exact"/>
        <w:ind w:firstLine="442" w:firstLineChars="200"/>
        <w:jc w:val="center"/>
        <w:rPr>
          <w:rFonts w:hint="eastAsia" w:ascii="仿宋" w:hAnsi="仿宋" w:eastAsia="仿宋" w:cs="仿宋"/>
          <w:b/>
          <w:color w:val="auto"/>
          <w:kern w:val="12"/>
          <w:sz w:val="22"/>
          <w:highlight w:val="none"/>
        </w:rPr>
      </w:pPr>
    </w:p>
    <w:p w14:paraId="3A7B2291">
      <w:pPr>
        <w:spacing w:line="360" w:lineRule="auto"/>
        <w:ind w:firstLine="331" w:firstLineChars="150"/>
        <w:rPr>
          <w:rFonts w:hint="eastAsia" w:ascii="仿宋" w:hAnsi="仿宋" w:eastAsia="仿宋" w:cs="仿宋"/>
          <w:color w:val="auto"/>
          <w:sz w:val="22"/>
          <w:highlight w:val="none"/>
        </w:rPr>
      </w:pPr>
      <w:r>
        <w:rPr>
          <w:rFonts w:hint="eastAsia" w:ascii="仿宋" w:hAnsi="仿宋" w:eastAsia="仿宋" w:cs="仿宋"/>
          <w:b/>
          <w:color w:val="auto"/>
          <w:kern w:val="12"/>
          <w:sz w:val="22"/>
          <w:highlight w:val="none"/>
        </w:rPr>
        <w:t>说明：法定代表人参加本招标项目投标的，仅须提供此证明书。</w:t>
      </w:r>
    </w:p>
    <w:p w14:paraId="2C6ED345">
      <w:pPr>
        <w:spacing w:after="240" w:afterLines="100" w:line="360" w:lineRule="auto"/>
        <w:ind w:firstLine="442" w:firstLineChars="200"/>
        <w:jc w:val="center"/>
        <w:rPr>
          <w:rFonts w:hint="eastAsia" w:ascii="仿宋" w:hAnsi="仿宋" w:eastAsia="仿宋" w:cs="仿宋"/>
          <w:b/>
          <w:color w:val="auto"/>
          <w:sz w:val="22"/>
          <w:highlight w:val="none"/>
        </w:rPr>
      </w:pPr>
    </w:p>
    <w:p w14:paraId="1C54309B">
      <w:pPr>
        <w:spacing w:after="240" w:afterLines="100" w:line="360" w:lineRule="auto"/>
        <w:ind w:firstLine="883" w:firstLineChars="200"/>
        <w:jc w:val="center"/>
        <w:rPr>
          <w:rFonts w:hint="eastAsia" w:ascii="仿宋" w:hAnsi="仿宋" w:eastAsia="仿宋" w:cs="仿宋"/>
          <w:b/>
          <w:color w:val="auto"/>
          <w:sz w:val="44"/>
          <w:szCs w:val="22"/>
          <w:highlight w:val="none"/>
        </w:rPr>
      </w:pPr>
    </w:p>
    <w:p w14:paraId="0D33E9D9">
      <w:pPr>
        <w:spacing w:after="240" w:afterLines="100" w:line="360" w:lineRule="auto"/>
        <w:ind w:firstLine="883" w:firstLineChars="200"/>
        <w:jc w:val="center"/>
        <w:rPr>
          <w:rFonts w:hint="eastAsia" w:ascii="仿宋" w:hAnsi="仿宋" w:eastAsia="仿宋" w:cs="仿宋"/>
          <w:b/>
          <w:color w:val="auto"/>
          <w:sz w:val="44"/>
          <w:szCs w:val="22"/>
          <w:highlight w:val="none"/>
        </w:rPr>
      </w:pPr>
    </w:p>
    <w:p w14:paraId="774DF88E">
      <w:pPr>
        <w:spacing w:after="240" w:afterLines="100" w:line="360" w:lineRule="auto"/>
        <w:ind w:firstLine="883" w:firstLineChars="200"/>
        <w:jc w:val="center"/>
        <w:rPr>
          <w:rFonts w:hint="eastAsia" w:ascii="仿宋" w:hAnsi="仿宋" w:eastAsia="仿宋" w:cs="仿宋"/>
          <w:b/>
          <w:color w:val="auto"/>
          <w:sz w:val="44"/>
          <w:szCs w:val="22"/>
          <w:highlight w:val="none"/>
        </w:rPr>
      </w:pPr>
    </w:p>
    <w:p w14:paraId="39A661EB">
      <w:pPr>
        <w:snapToGrid w:val="0"/>
        <w:spacing w:before="120" w:beforeLines="50" w:after="50" w:line="440" w:lineRule="exact"/>
        <w:ind w:firstLine="442" w:firstLineChars="200"/>
        <w:jc w:val="left"/>
        <w:rPr>
          <w:rFonts w:hint="eastAsia" w:ascii="仿宋" w:hAnsi="仿宋" w:eastAsia="仿宋" w:cs="仿宋"/>
          <w:bCs/>
          <w:color w:val="auto"/>
          <w:sz w:val="22"/>
          <w:highlight w:val="none"/>
        </w:rPr>
      </w:pPr>
      <w:r>
        <w:rPr>
          <w:rFonts w:hint="eastAsia" w:ascii="仿宋" w:hAnsi="仿宋" w:eastAsia="仿宋" w:cs="仿宋"/>
          <w:b/>
          <w:color w:val="auto"/>
          <w:sz w:val="22"/>
          <w:highlight w:val="none"/>
        </w:rPr>
        <w:br w:type="page"/>
      </w:r>
      <w:r>
        <w:rPr>
          <w:rFonts w:hint="eastAsia" w:ascii="仿宋" w:hAnsi="仿宋" w:eastAsia="仿宋" w:cs="仿宋"/>
          <w:bCs/>
          <w:color w:val="auto"/>
          <w:sz w:val="22"/>
          <w:highlight w:val="none"/>
        </w:rPr>
        <w:t xml:space="preserve"> </w:t>
      </w:r>
    </w:p>
    <w:p w14:paraId="709C532C">
      <w:pPr>
        <w:snapToGrid w:val="0"/>
        <w:spacing w:before="120" w:beforeLines="50" w:after="50"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法定代表人授权书</w:t>
      </w:r>
    </w:p>
    <w:p w14:paraId="62385989">
      <w:pPr>
        <w:spacing w:line="44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r>
        <w:rPr>
          <w:rFonts w:hint="eastAsia" w:ascii="仿宋" w:hAnsi="仿宋" w:eastAsia="仿宋" w:cs="仿宋"/>
          <w:b/>
          <w:color w:val="auto"/>
          <w:highlight w:val="none"/>
          <w:u w:val="single"/>
        </w:rPr>
        <w:t>采购人</w:t>
      </w:r>
      <w:r>
        <w:rPr>
          <w:rFonts w:hint="eastAsia" w:ascii="仿宋" w:hAnsi="仿宋" w:eastAsia="仿宋" w:cs="仿宋"/>
          <w:color w:val="auto"/>
          <w:highlight w:val="none"/>
          <w:u w:val="single"/>
        </w:rPr>
        <w:t>） ：</w:t>
      </w:r>
    </w:p>
    <w:p w14:paraId="381C0254">
      <w:pPr>
        <w:spacing w:line="440" w:lineRule="exact"/>
        <w:ind w:firstLine="420" w:firstLineChars="200"/>
        <w:rPr>
          <w:rFonts w:hint="eastAsia" w:ascii="仿宋" w:hAnsi="仿宋" w:eastAsia="仿宋" w:cs="仿宋"/>
          <w:color w:val="auto"/>
          <w:highlight w:val="none"/>
          <w:u w:val="single"/>
        </w:rPr>
      </w:pPr>
    </w:p>
    <w:p w14:paraId="602D519B">
      <w:pPr>
        <w:spacing w:line="440" w:lineRule="exact"/>
        <w:ind w:firstLine="525" w:firstLineChars="25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（投标人全称）     </w:t>
      </w:r>
      <w:r>
        <w:rPr>
          <w:rFonts w:hint="eastAsia" w:ascii="仿宋" w:hAnsi="仿宋" w:eastAsia="仿宋" w:cs="仿宋"/>
          <w:color w:val="auto"/>
          <w:highlight w:val="none"/>
        </w:rPr>
        <w:t>法定代表人</w:t>
      </w:r>
      <w:r>
        <w:rPr>
          <w:rFonts w:hint="eastAsia" w:ascii="仿宋" w:hAnsi="仿宋" w:eastAsia="仿宋" w:cs="仿宋"/>
          <w:color w:val="auto"/>
          <w:highlight w:val="none"/>
          <w:u w:val="single"/>
        </w:rPr>
        <w:t xml:space="preserve">   （法定代表人姓名）  </w:t>
      </w:r>
      <w:r>
        <w:rPr>
          <w:rFonts w:hint="eastAsia" w:ascii="仿宋" w:hAnsi="仿宋" w:eastAsia="仿宋" w:cs="仿宋"/>
          <w:color w:val="auto"/>
          <w:highlight w:val="none"/>
        </w:rPr>
        <w:t>授权本单位</w:t>
      </w:r>
      <w:r>
        <w:rPr>
          <w:rFonts w:hint="eastAsia" w:ascii="仿宋" w:hAnsi="仿宋" w:eastAsia="仿宋" w:cs="仿宋"/>
          <w:color w:val="auto"/>
          <w:highlight w:val="none"/>
          <w:u w:val="single"/>
        </w:rPr>
        <w:t xml:space="preserve">     （授权代表任职部门）（授权代表姓名）      </w:t>
      </w:r>
      <w:r>
        <w:rPr>
          <w:rFonts w:hint="eastAsia" w:ascii="仿宋" w:hAnsi="仿宋" w:eastAsia="仿宋" w:cs="仿宋"/>
          <w:color w:val="auto"/>
          <w:highlight w:val="none"/>
        </w:rPr>
        <w:t>为本公司的合法授权代表，参加贵处组织的</w:t>
      </w:r>
    </w:p>
    <w:p w14:paraId="02714565">
      <w:pPr>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公开招标项目的投标报价、签订合同以及合同的执行、完成、服务和保修，以本公司名义处理一切与之有关的事务。</w:t>
      </w:r>
    </w:p>
    <w:p w14:paraId="121C177D">
      <w:pPr>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本授权书于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日签字生效，无转委权，特此声明。</w:t>
      </w:r>
    </w:p>
    <w:p w14:paraId="68AC6F39">
      <w:pPr>
        <w:spacing w:line="440" w:lineRule="exact"/>
        <w:ind w:firstLine="420" w:firstLineChars="200"/>
        <w:rPr>
          <w:rFonts w:hint="eastAsia" w:ascii="仿宋" w:hAnsi="仿宋" w:eastAsia="仿宋" w:cs="仿宋"/>
          <w:color w:val="auto"/>
          <w:highlight w:val="none"/>
        </w:rPr>
      </w:pPr>
    </w:p>
    <w:p w14:paraId="1D8007A3">
      <w:pPr>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投标人全称（加盖公章）</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124F5EC">
      <w:pPr>
        <w:spacing w:line="44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法定代表人（签字或盖章）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rPr>
        <w:t xml:space="preserve">                        </w:t>
      </w:r>
    </w:p>
    <w:p w14:paraId="5C7B75B1">
      <w:pPr>
        <w:spacing w:line="44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被授权人（签字</w:t>
      </w:r>
      <w:r>
        <w:rPr>
          <w:rFonts w:hint="eastAsia" w:ascii="仿宋" w:hAnsi="仿宋" w:eastAsia="仿宋" w:cs="仿宋"/>
          <w:color w:val="auto"/>
          <w:highlight w:val="none"/>
          <w:lang w:val="en-US" w:eastAsia="zh-CN"/>
        </w:rPr>
        <w:t>或盖章</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single"/>
        </w:rPr>
        <w:t xml:space="preserve">                               </w:t>
      </w:r>
    </w:p>
    <w:p w14:paraId="06533B21">
      <w:pPr>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日          期： </w:t>
      </w:r>
      <w:r>
        <w:rPr>
          <w:rFonts w:hint="eastAsia" w:ascii="仿宋" w:hAnsi="仿宋" w:eastAsia="仿宋" w:cs="仿宋"/>
          <w:color w:val="auto"/>
          <w:highlight w:val="none"/>
          <w:u w:val="single"/>
        </w:rPr>
        <w:t xml:space="preserve">                                           </w:t>
      </w:r>
    </w:p>
    <w:p w14:paraId="61D1E497">
      <w:pPr>
        <w:spacing w:line="440" w:lineRule="exact"/>
        <w:ind w:firstLine="420" w:firstLineChars="200"/>
        <w:rPr>
          <w:rFonts w:hint="eastAsia" w:ascii="仿宋" w:hAnsi="仿宋" w:eastAsia="仿宋" w:cs="仿宋"/>
          <w:color w:val="auto"/>
          <w:highlight w:val="none"/>
        </w:rPr>
      </w:pPr>
    </w:p>
    <w:p w14:paraId="5C4F1D50">
      <w:pPr>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附：</w:t>
      </w:r>
    </w:p>
    <w:p w14:paraId="523144E5">
      <w:pPr>
        <w:spacing w:line="440" w:lineRule="exact"/>
        <w:ind w:firstLine="420" w:firstLineChars="200"/>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rPr>
        <w:t>授权代表姓名：</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 xml:space="preserve"> 性别：</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年龄：</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14:paraId="1FB39214">
      <w:pPr>
        <w:spacing w:line="440" w:lineRule="exact"/>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部门：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78A38002">
      <w:pPr>
        <w:spacing w:line="440" w:lineRule="exact"/>
        <w:ind w:firstLine="420" w:firstLineChars="200"/>
        <w:rPr>
          <w:rFonts w:hint="eastAsia" w:ascii="仿宋" w:hAnsi="仿宋" w:eastAsia="仿宋" w:cs="仿宋"/>
          <w:color w:val="auto"/>
          <w:highlight w:val="none"/>
          <w:u w:val="single"/>
        </w:rPr>
      </w:pPr>
    </w:p>
    <w:p w14:paraId="608A4573">
      <w:pPr>
        <w:spacing w:line="440" w:lineRule="exact"/>
        <w:ind w:firstLine="420" w:firstLineChars="200"/>
        <w:rPr>
          <w:rFonts w:hint="eastAsia" w:ascii="仿宋" w:hAnsi="仿宋" w:eastAsia="仿宋" w:cs="仿宋"/>
          <w:color w:val="auto"/>
          <w:highlight w:val="none"/>
          <w:u w:val="single"/>
        </w:rPr>
      </w:pPr>
    </w:p>
    <w:p w14:paraId="47F5BC6E">
      <w:pPr>
        <w:spacing w:line="440" w:lineRule="exact"/>
        <w:ind w:firstLine="422" w:firstLineChars="200"/>
        <w:jc w:val="center"/>
        <w:rPr>
          <w:rFonts w:hint="eastAsia" w:ascii="仿宋" w:hAnsi="仿宋" w:eastAsia="仿宋" w:cs="仿宋"/>
          <w:b/>
          <w:color w:val="auto"/>
          <w:highlight w:val="none"/>
        </w:rPr>
      </w:pPr>
      <w:r>
        <w:rPr>
          <w:rFonts w:hint="eastAsia" w:ascii="仿宋" w:hAnsi="仿宋" w:eastAsia="仿宋" w:cs="仿宋"/>
          <w:b/>
          <w:color w:val="auto"/>
          <w:highlight w:val="none"/>
        </w:rPr>
        <w:t>（※此处请粘贴法定代表人及被授权人身份证复印件※）</w:t>
      </w:r>
    </w:p>
    <w:p w14:paraId="55D11EA9">
      <w:pPr>
        <w:spacing w:line="440" w:lineRule="exact"/>
        <w:ind w:firstLine="440" w:firstLineChars="200"/>
        <w:rPr>
          <w:rFonts w:hint="eastAsia" w:ascii="仿宋" w:hAnsi="仿宋" w:eastAsia="仿宋" w:cs="仿宋"/>
          <w:bCs/>
          <w:color w:val="auto"/>
          <w:kern w:val="44"/>
          <w:sz w:val="22"/>
          <w:highlight w:val="none"/>
        </w:rPr>
      </w:pPr>
    </w:p>
    <w:p w14:paraId="40B70AC6">
      <w:pPr>
        <w:spacing w:line="440" w:lineRule="exact"/>
        <w:ind w:firstLine="440" w:firstLineChars="200"/>
        <w:rPr>
          <w:rFonts w:hint="eastAsia" w:ascii="仿宋" w:hAnsi="仿宋" w:eastAsia="仿宋" w:cs="仿宋"/>
          <w:bCs/>
          <w:color w:val="auto"/>
          <w:kern w:val="44"/>
          <w:sz w:val="22"/>
          <w:highlight w:val="none"/>
        </w:rPr>
      </w:pPr>
    </w:p>
    <w:p w14:paraId="4CEAB690">
      <w:pPr>
        <w:spacing w:line="440" w:lineRule="exact"/>
        <w:ind w:firstLine="440" w:firstLineChars="200"/>
        <w:rPr>
          <w:rFonts w:hint="eastAsia" w:ascii="仿宋" w:hAnsi="仿宋" w:eastAsia="仿宋" w:cs="仿宋"/>
          <w:bCs/>
          <w:color w:val="auto"/>
          <w:kern w:val="44"/>
          <w:sz w:val="22"/>
          <w:highlight w:val="none"/>
        </w:rPr>
      </w:pPr>
    </w:p>
    <w:p w14:paraId="0FE301D0">
      <w:pPr>
        <w:spacing w:line="440" w:lineRule="exact"/>
        <w:ind w:firstLine="440" w:firstLineChars="200"/>
        <w:rPr>
          <w:rFonts w:hint="eastAsia" w:ascii="仿宋" w:hAnsi="仿宋" w:eastAsia="仿宋" w:cs="仿宋"/>
          <w:bCs/>
          <w:color w:val="auto"/>
          <w:kern w:val="44"/>
          <w:sz w:val="22"/>
          <w:highlight w:val="none"/>
        </w:rPr>
      </w:pPr>
    </w:p>
    <w:p w14:paraId="552F4429">
      <w:pPr>
        <w:snapToGrid w:val="0"/>
        <w:spacing w:before="120" w:beforeLines="50" w:after="50" w:line="440" w:lineRule="exact"/>
        <w:ind w:firstLine="442" w:firstLineChars="200"/>
        <w:rPr>
          <w:rFonts w:hint="eastAsia" w:ascii="仿宋" w:hAnsi="仿宋" w:eastAsia="仿宋" w:cs="仿宋"/>
          <w:color w:val="auto"/>
          <w:sz w:val="22"/>
          <w:highlight w:val="none"/>
        </w:rPr>
      </w:pPr>
      <w:r>
        <w:rPr>
          <w:rFonts w:hint="eastAsia" w:ascii="仿宋" w:hAnsi="仿宋" w:eastAsia="仿宋" w:cs="仿宋"/>
          <w:b/>
          <w:color w:val="auto"/>
          <w:kern w:val="12"/>
          <w:sz w:val="22"/>
          <w:highlight w:val="none"/>
        </w:rPr>
        <w:t>说明：授权代表参加本招标项目投标的，仅须提供此证明书。</w:t>
      </w:r>
    </w:p>
    <w:p w14:paraId="7463F96D">
      <w:pPr>
        <w:snapToGrid w:val="0"/>
        <w:spacing w:before="50" w:after="50" w:line="440" w:lineRule="exact"/>
        <w:ind w:left="-3" w:leftChars="-72" w:right="-817" w:rightChars="-389" w:hanging="148" w:hangingChars="62"/>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br w:type="textWrapping"/>
      </w:r>
      <w:r>
        <w:rPr>
          <w:rFonts w:hint="eastAsia" w:ascii="仿宋" w:hAnsi="仿宋" w:eastAsia="仿宋" w:cs="仿宋"/>
          <w:color w:val="auto"/>
          <w:sz w:val="24"/>
          <w:szCs w:val="22"/>
          <w:highlight w:val="none"/>
        </w:rPr>
        <w:br w:type="textWrapping"/>
      </w:r>
      <w:r>
        <w:rPr>
          <w:rFonts w:hint="eastAsia" w:ascii="仿宋" w:hAnsi="仿宋" w:eastAsia="仿宋" w:cs="仿宋"/>
          <w:color w:val="auto"/>
          <w:sz w:val="24"/>
          <w:szCs w:val="22"/>
          <w:highlight w:val="none"/>
        </w:rPr>
        <w:br w:type="textWrapping"/>
      </w:r>
    </w:p>
    <w:p w14:paraId="68C6000F">
      <w:pPr>
        <w:snapToGrid w:val="0"/>
        <w:spacing w:before="50" w:after="50" w:line="440" w:lineRule="exact"/>
        <w:ind w:left="-3" w:leftChars="-72" w:right="-817" w:rightChars="-389" w:hanging="148" w:hangingChars="62"/>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rPr>
        <w:br w:type="textWrapping"/>
      </w:r>
      <w:r>
        <w:rPr>
          <w:rFonts w:hint="eastAsia" w:ascii="仿宋" w:hAnsi="仿宋" w:eastAsia="仿宋" w:cs="仿宋"/>
          <w:color w:val="auto"/>
          <w:sz w:val="24"/>
          <w:szCs w:val="22"/>
          <w:highlight w:val="none"/>
        </w:rPr>
        <w:t>格式</w:t>
      </w:r>
      <w:r>
        <w:rPr>
          <w:rFonts w:hint="eastAsia" w:ascii="仿宋" w:hAnsi="仿宋" w:eastAsia="仿宋" w:cs="仿宋"/>
          <w:color w:val="auto"/>
          <w:sz w:val="24"/>
          <w:szCs w:val="22"/>
          <w:highlight w:val="none"/>
          <w:lang w:val="en-US" w:eastAsia="zh-CN"/>
        </w:rPr>
        <w:t>七</w:t>
      </w:r>
    </w:p>
    <w:p w14:paraId="2340A9B2">
      <w:pPr>
        <w:snapToGrid w:val="0"/>
        <w:spacing w:before="120" w:beforeLines="50" w:after="50"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拟派项目负责人简历表</w:t>
      </w:r>
    </w:p>
    <w:p w14:paraId="02BAE823">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57682B5B">
      <w:pPr>
        <w:spacing w:line="360" w:lineRule="auto"/>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tbl>
      <w:tblPr>
        <w:tblStyle w:val="51"/>
        <w:tblW w:w="930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1622"/>
        <w:gridCol w:w="1196"/>
        <w:gridCol w:w="1830"/>
        <w:gridCol w:w="1514"/>
        <w:gridCol w:w="1295"/>
      </w:tblGrid>
      <w:tr w14:paraId="68C0EB9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Borders>
              <w:top w:val="single" w:color="auto" w:sz="6" w:space="0"/>
              <w:left w:val="single" w:color="auto" w:sz="6" w:space="0"/>
              <w:bottom w:val="single" w:color="auto" w:sz="2" w:space="0"/>
              <w:right w:val="single" w:color="auto" w:sz="2" w:space="0"/>
            </w:tcBorders>
            <w:vAlign w:val="center"/>
          </w:tcPr>
          <w:p w14:paraId="52541515">
            <w:pPr>
              <w:spacing w:line="360" w:lineRule="auto"/>
              <w:jc w:val="left"/>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姓名</w:t>
            </w:r>
          </w:p>
        </w:tc>
        <w:tc>
          <w:tcPr>
            <w:tcW w:w="1622" w:type="dxa"/>
            <w:tcBorders>
              <w:top w:val="single" w:color="auto" w:sz="6" w:space="0"/>
              <w:left w:val="single" w:color="auto" w:sz="2" w:space="0"/>
              <w:bottom w:val="single" w:color="auto" w:sz="2" w:space="0"/>
              <w:right w:val="single" w:color="auto" w:sz="2" w:space="0"/>
            </w:tcBorders>
            <w:vAlign w:val="center"/>
          </w:tcPr>
          <w:p w14:paraId="7EB99AFF">
            <w:pPr>
              <w:spacing w:line="360" w:lineRule="auto"/>
              <w:ind w:firstLine="404" w:firstLineChars="200"/>
              <w:jc w:val="center"/>
              <w:rPr>
                <w:rFonts w:hint="eastAsia" w:ascii="仿宋" w:hAnsi="仿宋" w:eastAsia="仿宋" w:cs="仿宋"/>
                <w:color w:val="auto"/>
                <w:spacing w:val="-4"/>
                <w:highlight w:val="none"/>
              </w:rPr>
            </w:pPr>
          </w:p>
        </w:tc>
        <w:tc>
          <w:tcPr>
            <w:tcW w:w="1196" w:type="dxa"/>
            <w:tcBorders>
              <w:top w:val="single" w:color="auto" w:sz="6" w:space="0"/>
              <w:left w:val="single" w:color="auto" w:sz="2" w:space="0"/>
              <w:bottom w:val="single" w:color="auto" w:sz="2" w:space="0"/>
              <w:right w:val="single" w:color="auto" w:sz="2" w:space="0"/>
            </w:tcBorders>
            <w:vAlign w:val="center"/>
          </w:tcPr>
          <w:p w14:paraId="317C16B5">
            <w:pPr>
              <w:spacing w:line="360" w:lineRule="auto"/>
              <w:ind w:firstLine="404" w:firstLineChars="200"/>
              <w:jc w:val="center"/>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性别</w:t>
            </w:r>
          </w:p>
        </w:tc>
        <w:tc>
          <w:tcPr>
            <w:tcW w:w="1830" w:type="dxa"/>
            <w:tcBorders>
              <w:top w:val="single" w:color="auto" w:sz="6" w:space="0"/>
              <w:left w:val="single" w:color="auto" w:sz="2" w:space="0"/>
              <w:bottom w:val="single" w:color="auto" w:sz="2" w:space="0"/>
              <w:right w:val="single" w:color="auto" w:sz="2" w:space="0"/>
            </w:tcBorders>
            <w:vAlign w:val="center"/>
          </w:tcPr>
          <w:p w14:paraId="007FF127">
            <w:pPr>
              <w:spacing w:line="360" w:lineRule="auto"/>
              <w:ind w:firstLine="404" w:firstLineChars="200"/>
              <w:jc w:val="center"/>
              <w:rPr>
                <w:rFonts w:hint="eastAsia" w:ascii="仿宋" w:hAnsi="仿宋" w:eastAsia="仿宋" w:cs="仿宋"/>
                <w:color w:val="auto"/>
                <w:spacing w:val="-4"/>
                <w:highlight w:val="none"/>
              </w:rPr>
            </w:pPr>
          </w:p>
        </w:tc>
        <w:tc>
          <w:tcPr>
            <w:tcW w:w="1514" w:type="dxa"/>
            <w:tcBorders>
              <w:top w:val="single" w:color="auto" w:sz="6" w:space="0"/>
              <w:left w:val="single" w:color="auto" w:sz="2" w:space="0"/>
              <w:bottom w:val="single" w:color="auto" w:sz="2" w:space="0"/>
              <w:right w:val="single" w:color="auto" w:sz="2" w:space="0"/>
            </w:tcBorders>
            <w:vAlign w:val="center"/>
          </w:tcPr>
          <w:p w14:paraId="47531F03">
            <w:pPr>
              <w:spacing w:line="360" w:lineRule="auto"/>
              <w:ind w:firstLine="404" w:firstLineChars="200"/>
              <w:jc w:val="center"/>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年龄</w:t>
            </w:r>
          </w:p>
        </w:tc>
        <w:tc>
          <w:tcPr>
            <w:tcW w:w="1295" w:type="dxa"/>
            <w:tcBorders>
              <w:top w:val="single" w:color="auto" w:sz="6" w:space="0"/>
              <w:left w:val="single" w:color="auto" w:sz="2" w:space="0"/>
              <w:bottom w:val="single" w:color="auto" w:sz="2" w:space="0"/>
              <w:right w:val="single" w:color="auto" w:sz="6" w:space="0"/>
            </w:tcBorders>
            <w:vAlign w:val="center"/>
          </w:tcPr>
          <w:p w14:paraId="5AD9989F">
            <w:pPr>
              <w:spacing w:line="360" w:lineRule="auto"/>
              <w:ind w:firstLine="404" w:firstLineChars="200"/>
              <w:jc w:val="center"/>
              <w:rPr>
                <w:rFonts w:hint="eastAsia" w:ascii="仿宋" w:hAnsi="仿宋" w:eastAsia="仿宋" w:cs="仿宋"/>
                <w:color w:val="auto"/>
                <w:spacing w:val="-4"/>
                <w:highlight w:val="none"/>
              </w:rPr>
            </w:pPr>
          </w:p>
        </w:tc>
      </w:tr>
      <w:tr w14:paraId="131917D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Borders>
              <w:top w:val="single" w:color="auto" w:sz="2" w:space="0"/>
              <w:left w:val="single" w:color="auto" w:sz="6" w:space="0"/>
              <w:bottom w:val="single" w:color="auto" w:sz="2" w:space="0"/>
              <w:right w:val="single" w:color="auto" w:sz="2" w:space="0"/>
            </w:tcBorders>
            <w:vAlign w:val="center"/>
          </w:tcPr>
          <w:p w14:paraId="4C1B0C45">
            <w:pPr>
              <w:spacing w:line="360" w:lineRule="auto"/>
              <w:jc w:val="left"/>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职称</w:t>
            </w:r>
          </w:p>
        </w:tc>
        <w:tc>
          <w:tcPr>
            <w:tcW w:w="7457" w:type="dxa"/>
            <w:gridSpan w:val="5"/>
            <w:tcBorders>
              <w:top w:val="single" w:color="auto" w:sz="2" w:space="0"/>
              <w:left w:val="single" w:color="auto" w:sz="2" w:space="0"/>
              <w:bottom w:val="single" w:color="auto" w:sz="2" w:space="0"/>
              <w:right w:val="single" w:color="auto" w:sz="6" w:space="0"/>
            </w:tcBorders>
            <w:vAlign w:val="center"/>
          </w:tcPr>
          <w:p w14:paraId="44B29C0A">
            <w:pPr>
              <w:spacing w:line="360" w:lineRule="auto"/>
              <w:ind w:firstLine="404" w:firstLineChars="200"/>
              <w:rPr>
                <w:rFonts w:hint="eastAsia" w:ascii="仿宋" w:hAnsi="仿宋" w:eastAsia="仿宋" w:cs="仿宋"/>
                <w:color w:val="auto"/>
                <w:spacing w:val="-4"/>
                <w:highlight w:val="none"/>
              </w:rPr>
            </w:pPr>
          </w:p>
        </w:tc>
      </w:tr>
      <w:tr w14:paraId="18B4A0A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Borders>
              <w:top w:val="single" w:color="auto" w:sz="2" w:space="0"/>
              <w:left w:val="single" w:color="auto" w:sz="6" w:space="0"/>
              <w:bottom w:val="single" w:color="auto" w:sz="2" w:space="0"/>
              <w:right w:val="single" w:color="auto" w:sz="2" w:space="0"/>
            </w:tcBorders>
            <w:vAlign w:val="center"/>
          </w:tcPr>
          <w:p w14:paraId="44B404F2">
            <w:pPr>
              <w:spacing w:line="360" w:lineRule="auto"/>
              <w:jc w:val="left"/>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毕业时间</w:t>
            </w:r>
          </w:p>
        </w:tc>
        <w:tc>
          <w:tcPr>
            <w:tcW w:w="7457" w:type="dxa"/>
            <w:gridSpan w:val="5"/>
            <w:tcBorders>
              <w:top w:val="single" w:color="auto" w:sz="2" w:space="0"/>
              <w:left w:val="single" w:color="auto" w:sz="2" w:space="0"/>
              <w:bottom w:val="single" w:color="auto" w:sz="2" w:space="0"/>
              <w:right w:val="single" w:color="auto" w:sz="6" w:space="0"/>
            </w:tcBorders>
            <w:vAlign w:val="center"/>
          </w:tcPr>
          <w:p w14:paraId="492E8517">
            <w:pPr>
              <w:spacing w:line="360" w:lineRule="auto"/>
              <w:ind w:firstLine="404" w:firstLineChars="200"/>
              <w:rPr>
                <w:rFonts w:hint="eastAsia" w:ascii="仿宋" w:hAnsi="仿宋" w:eastAsia="仿宋" w:cs="仿宋"/>
                <w:color w:val="auto"/>
                <w:spacing w:val="-4"/>
                <w:highlight w:val="none"/>
              </w:rPr>
            </w:pPr>
          </w:p>
        </w:tc>
      </w:tr>
      <w:tr w14:paraId="6C6FC6E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Borders>
              <w:top w:val="single" w:color="auto" w:sz="2" w:space="0"/>
              <w:left w:val="single" w:color="auto" w:sz="6" w:space="0"/>
              <w:bottom w:val="single" w:color="auto" w:sz="2" w:space="0"/>
              <w:right w:val="single" w:color="auto" w:sz="2" w:space="0"/>
            </w:tcBorders>
            <w:vAlign w:val="center"/>
          </w:tcPr>
          <w:p w14:paraId="648392E3">
            <w:pPr>
              <w:spacing w:line="360" w:lineRule="auto"/>
              <w:jc w:val="left"/>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所学专业</w:t>
            </w:r>
          </w:p>
        </w:tc>
        <w:tc>
          <w:tcPr>
            <w:tcW w:w="7457" w:type="dxa"/>
            <w:gridSpan w:val="5"/>
            <w:tcBorders>
              <w:top w:val="single" w:color="auto" w:sz="2" w:space="0"/>
              <w:left w:val="single" w:color="auto" w:sz="2" w:space="0"/>
              <w:bottom w:val="single" w:color="auto" w:sz="2" w:space="0"/>
              <w:right w:val="single" w:color="auto" w:sz="6" w:space="0"/>
            </w:tcBorders>
            <w:vAlign w:val="center"/>
          </w:tcPr>
          <w:p w14:paraId="26A6EA1B">
            <w:pPr>
              <w:spacing w:line="360" w:lineRule="auto"/>
              <w:ind w:firstLine="404" w:firstLineChars="200"/>
              <w:rPr>
                <w:rFonts w:hint="eastAsia" w:ascii="仿宋" w:hAnsi="仿宋" w:eastAsia="仿宋" w:cs="仿宋"/>
                <w:color w:val="auto"/>
                <w:spacing w:val="-4"/>
                <w:highlight w:val="none"/>
              </w:rPr>
            </w:pPr>
          </w:p>
        </w:tc>
      </w:tr>
      <w:tr w14:paraId="75E6691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Borders>
              <w:top w:val="single" w:color="auto" w:sz="2" w:space="0"/>
              <w:left w:val="single" w:color="auto" w:sz="6" w:space="0"/>
              <w:bottom w:val="single" w:color="auto" w:sz="2" w:space="0"/>
              <w:right w:val="single" w:color="auto" w:sz="2" w:space="0"/>
            </w:tcBorders>
            <w:vAlign w:val="center"/>
          </w:tcPr>
          <w:p w14:paraId="172E757F">
            <w:pPr>
              <w:spacing w:line="360" w:lineRule="auto"/>
              <w:jc w:val="left"/>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学历</w:t>
            </w:r>
          </w:p>
        </w:tc>
        <w:tc>
          <w:tcPr>
            <w:tcW w:w="7457" w:type="dxa"/>
            <w:gridSpan w:val="5"/>
            <w:tcBorders>
              <w:top w:val="single" w:color="auto" w:sz="2" w:space="0"/>
              <w:left w:val="single" w:color="auto" w:sz="2" w:space="0"/>
              <w:bottom w:val="single" w:color="auto" w:sz="2" w:space="0"/>
              <w:right w:val="single" w:color="auto" w:sz="6" w:space="0"/>
            </w:tcBorders>
            <w:vAlign w:val="center"/>
          </w:tcPr>
          <w:p w14:paraId="6C5E3A10">
            <w:pPr>
              <w:spacing w:line="360" w:lineRule="auto"/>
              <w:ind w:firstLine="404" w:firstLineChars="200"/>
              <w:rPr>
                <w:rFonts w:hint="eastAsia" w:ascii="仿宋" w:hAnsi="仿宋" w:eastAsia="仿宋" w:cs="仿宋"/>
                <w:color w:val="auto"/>
                <w:spacing w:val="-4"/>
                <w:highlight w:val="none"/>
              </w:rPr>
            </w:pPr>
          </w:p>
        </w:tc>
      </w:tr>
      <w:tr w14:paraId="3C6D3B3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Borders>
              <w:top w:val="single" w:color="auto" w:sz="2" w:space="0"/>
              <w:left w:val="single" w:color="auto" w:sz="6" w:space="0"/>
              <w:bottom w:val="single" w:color="auto" w:sz="2" w:space="0"/>
              <w:right w:val="single" w:color="auto" w:sz="2" w:space="0"/>
            </w:tcBorders>
            <w:vAlign w:val="center"/>
          </w:tcPr>
          <w:p w14:paraId="235AFCDD">
            <w:pPr>
              <w:spacing w:line="360" w:lineRule="auto"/>
              <w:jc w:val="left"/>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本项目中拟担任职务</w:t>
            </w:r>
          </w:p>
        </w:tc>
        <w:tc>
          <w:tcPr>
            <w:tcW w:w="7457" w:type="dxa"/>
            <w:gridSpan w:val="5"/>
            <w:tcBorders>
              <w:top w:val="single" w:color="auto" w:sz="2" w:space="0"/>
              <w:left w:val="single" w:color="auto" w:sz="2" w:space="0"/>
              <w:bottom w:val="single" w:color="auto" w:sz="2" w:space="0"/>
              <w:right w:val="single" w:color="auto" w:sz="6" w:space="0"/>
            </w:tcBorders>
            <w:vAlign w:val="center"/>
          </w:tcPr>
          <w:p w14:paraId="74A36BD8">
            <w:pPr>
              <w:spacing w:line="360" w:lineRule="auto"/>
              <w:ind w:firstLine="404" w:firstLineChars="200"/>
              <w:rPr>
                <w:rFonts w:hint="eastAsia" w:ascii="仿宋" w:hAnsi="仿宋" w:eastAsia="仿宋" w:cs="仿宋"/>
                <w:color w:val="auto"/>
                <w:spacing w:val="-4"/>
                <w:highlight w:val="none"/>
              </w:rPr>
            </w:pPr>
          </w:p>
        </w:tc>
      </w:tr>
      <w:tr w14:paraId="30F84D0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Borders>
              <w:top w:val="single" w:color="auto" w:sz="2" w:space="0"/>
              <w:left w:val="single" w:color="auto" w:sz="6" w:space="0"/>
              <w:bottom w:val="single" w:color="auto" w:sz="2" w:space="0"/>
              <w:right w:val="single" w:color="auto" w:sz="2" w:space="0"/>
            </w:tcBorders>
            <w:vAlign w:val="center"/>
          </w:tcPr>
          <w:p w14:paraId="4584E593">
            <w:pPr>
              <w:spacing w:line="360" w:lineRule="auto"/>
              <w:jc w:val="left"/>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其它资质情况</w:t>
            </w:r>
          </w:p>
        </w:tc>
        <w:tc>
          <w:tcPr>
            <w:tcW w:w="7457" w:type="dxa"/>
            <w:gridSpan w:val="5"/>
            <w:tcBorders>
              <w:top w:val="single" w:color="auto" w:sz="2" w:space="0"/>
              <w:left w:val="single" w:color="auto" w:sz="2" w:space="0"/>
              <w:bottom w:val="single" w:color="auto" w:sz="2" w:space="0"/>
              <w:right w:val="single" w:color="auto" w:sz="6" w:space="0"/>
            </w:tcBorders>
            <w:vAlign w:val="center"/>
          </w:tcPr>
          <w:p w14:paraId="16680E46">
            <w:pPr>
              <w:spacing w:line="360" w:lineRule="auto"/>
              <w:ind w:firstLine="404" w:firstLineChars="200"/>
              <w:rPr>
                <w:rFonts w:hint="eastAsia" w:ascii="仿宋" w:hAnsi="仿宋" w:eastAsia="仿宋" w:cs="仿宋"/>
                <w:color w:val="auto"/>
                <w:spacing w:val="-4"/>
                <w:highlight w:val="none"/>
              </w:rPr>
            </w:pPr>
          </w:p>
        </w:tc>
      </w:tr>
      <w:tr w14:paraId="22158EC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Borders>
              <w:top w:val="single" w:color="auto" w:sz="2" w:space="0"/>
              <w:left w:val="single" w:color="auto" w:sz="6" w:space="0"/>
              <w:bottom w:val="single" w:color="auto" w:sz="2" w:space="0"/>
              <w:right w:val="single" w:color="auto" w:sz="2" w:space="0"/>
            </w:tcBorders>
            <w:vAlign w:val="center"/>
          </w:tcPr>
          <w:p w14:paraId="40B0B959">
            <w:pPr>
              <w:spacing w:line="360" w:lineRule="auto"/>
              <w:jc w:val="left"/>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联系方式</w:t>
            </w:r>
          </w:p>
        </w:tc>
        <w:tc>
          <w:tcPr>
            <w:tcW w:w="7457" w:type="dxa"/>
            <w:gridSpan w:val="5"/>
            <w:tcBorders>
              <w:top w:val="single" w:color="auto" w:sz="2" w:space="0"/>
              <w:left w:val="single" w:color="auto" w:sz="2" w:space="0"/>
              <w:bottom w:val="single" w:color="auto" w:sz="2" w:space="0"/>
              <w:right w:val="single" w:color="auto" w:sz="6" w:space="0"/>
            </w:tcBorders>
            <w:vAlign w:val="center"/>
          </w:tcPr>
          <w:p w14:paraId="56C36C10">
            <w:pPr>
              <w:spacing w:line="360" w:lineRule="auto"/>
              <w:ind w:firstLine="404" w:firstLineChars="200"/>
              <w:rPr>
                <w:rFonts w:hint="eastAsia" w:ascii="仿宋" w:hAnsi="仿宋" w:eastAsia="仿宋" w:cs="仿宋"/>
                <w:color w:val="auto"/>
                <w:spacing w:val="-4"/>
                <w:highlight w:val="none"/>
              </w:rPr>
            </w:pPr>
          </w:p>
        </w:tc>
      </w:tr>
      <w:tr w14:paraId="50DC019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Borders>
              <w:top w:val="single" w:color="auto" w:sz="2" w:space="0"/>
              <w:left w:val="single" w:color="auto" w:sz="6" w:space="0"/>
              <w:bottom w:val="single" w:color="auto" w:sz="2" w:space="0"/>
              <w:right w:val="single" w:color="auto" w:sz="2" w:space="0"/>
            </w:tcBorders>
            <w:vAlign w:val="center"/>
          </w:tcPr>
          <w:p w14:paraId="3012865D">
            <w:pPr>
              <w:spacing w:line="360" w:lineRule="auto"/>
              <w:jc w:val="left"/>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以往负责经验</w:t>
            </w:r>
          </w:p>
        </w:tc>
        <w:tc>
          <w:tcPr>
            <w:tcW w:w="7457" w:type="dxa"/>
            <w:gridSpan w:val="5"/>
            <w:tcBorders>
              <w:top w:val="single" w:color="auto" w:sz="2" w:space="0"/>
              <w:left w:val="single" w:color="auto" w:sz="2" w:space="0"/>
              <w:bottom w:val="single" w:color="auto" w:sz="2" w:space="0"/>
              <w:right w:val="single" w:color="auto" w:sz="6" w:space="0"/>
            </w:tcBorders>
            <w:vAlign w:val="center"/>
          </w:tcPr>
          <w:p w14:paraId="51B9681D">
            <w:pPr>
              <w:spacing w:line="360" w:lineRule="auto"/>
              <w:ind w:firstLine="404" w:firstLineChars="200"/>
              <w:rPr>
                <w:rFonts w:hint="eastAsia" w:ascii="仿宋" w:hAnsi="仿宋" w:eastAsia="仿宋" w:cs="仿宋"/>
                <w:color w:val="auto"/>
                <w:spacing w:val="-4"/>
                <w:highlight w:val="none"/>
              </w:rPr>
            </w:pPr>
          </w:p>
        </w:tc>
      </w:tr>
      <w:tr w14:paraId="5FD232F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Borders>
              <w:top w:val="single" w:color="auto" w:sz="2" w:space="0"/>
              <w:left w:val="single" w:color="auto" w:sz="6" w:space="0"/>
              <w:bottom w:val="single" w:color="auto" w:sz="4" w:space="0"/>
              <w:right w:val="single" w:color="auto" w:sz="2" w:space="0"/>
            </w:tcBorders>
            <w:vAlign w:val="center"/>
          </w:tcPr>
          <w:p w14:paraId="2334FA22">
            <w:pPr>
              <w:spacing w:line="360" w:lineRule="auto"/>
              <w:jc w:val="left"/>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bidi="ar"/>
              </w:rPr>
              <w:t>获得的奖励/处罚</w:t>
            </w:r>
          </w:p>
        </w:tc>
        <w:tc>
          <w:tcPr>
            <w:tcW w:w="7457" w:type="dxa"/>
            <w:gridSpan w:val="5"/>
            <w:tcBorders>
              <w:top w:val="single" w:color="auto" w:sz="2" w:space="0"/>
              <w:left w:val="single" w:color="auto" w:sz="2" w:space="0"/>
              <w:bottom w:val="single" w:color="auto" w:sz="4" w:space="0"/>
              <w:right w:val="single" w:color="auto" w:sz="6" w:space="0"/>
            </w:tcBorders>
            <w:vAlign w:val="center"/>
          </w:tcPr>
          <w:p w14:paraId="426CB7C1">
            <w:pPr>
              <w:spacing w:line="360" w:lineRule="auto"/>
              <w:ind w:firstLine="404" w:firstLineChars="200"/>
              <w:rPr>
                <w:rFonts w:hint="eastAsia" w:ascii="仿宋" w:hAnsi="仿宋" w:eastAsia="仿宋" w:cs="仿宋"/>
                <w:color w:val="auto"/>
                <w:spacing w:val="-4"/>
                <w:highlight w:val="none"/>
              </w:rPr>
            </w:pPr>
          </w:p>
        </w:tc>
      </w:tr>
    </w:tbl>
    <w:p w14:paraId="1DF91A80">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注：根据第二章“</w:t>
      </w:r>
      <w:r>
        <w:rPr>
          <w:rFonts w:hint="eastAsia" w:ascii="仿宋" w:hAnsi="仿宋" w:eastAsia="仿宋" w:cs="仿宋"/>
          <w:b w:val="0"/>
          <w:bCs w:val="0"/>
          <w:color w:val="auto"/>
          <w:sz w:val="21"/>
          <w:szCs w:val="21"/>
          <w:highlight w:val="none"/>
          <w:lang w:val="en-US" w:eastAsia="zh-CN"/>
        </w:rPr>
        <w:t>采购</w:t>
      </w:r>
      <w:r>
        <w:rPr>
          <w:rFonts w:hint="eastAsia" w:ascii="仿宋" w:hAnsi="仿宋" w:eastAsia="仿宋" w:cs="仿宋"/>
          <w:color w:val="auto"/>
          <w:highlight w:val="none"/>
          <w:lang w:val="en-US" w:eastAsia="zh-CN"/>
        </w:rPr>
        <w:t>需求提供相关证书”复印件加盖公章。</w:t>
      </w:r>
    </w:p>
    <w:p w14:paraId="72B4B134">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p>
    <w:p w14:paraId="787A56E5">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投标人名称（盖章）：</w:t>
      </w:r>
    </w:p>
    <w:p w14:paraId="08648A74">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法定代表人或授权代表（签字或盖章）：</w:t>
      </w:r>
    </w:p>
    <w:p w14:paraId="14202FFA">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31DD4743">
      <w:pPr>
        <w:tabs>
          <w:tab w:val="left" w:pos="0"/>
        </w:tabs>
        <w:adjustRightInd w:val="0"/>
        <w:snapToGrid w:val="0"/>
        <w:spacing w:line="440" w:lineRule="exact"/>
        <w:ind w:firstLine="480" w:firstLineChars="200"/>
        <w:rPr>
          <w:rFonts w:hint="eastAsia" w:ascii="仿宋" w:hAnsi="仿宋" w:eastAsia="仿宋" w:cs="仿宋"/>
          <w:color w:val="auto"/>
          <w:sz w:val="24"/>
          <w:szCs w:val="22"/>
          <w:highlight w:val="none"/>
        </w:rPr>
      </w:pPr>
    </w:p>
    <w:p w14:paraId="1103AD16">
      <w:pPr>
        <w:tabs>
          <w:tab w:val="left" w:pos="0"/>
        </w:tabs>
        <w:adjustRightInd w:val="0"/>
        <w:snapToGrid w:val="0"/>
        <w:spacing w:line="440" w:lineRule="exact"/>
        <w:ind w:firstLine="480" w:firstLineChars="200"/>
        <w:rPr>
          <w:rFonts w:hint="eastAsia" w:ascii="仿宋" w:hAnsi="仿宋" w:eastAsia="仿宋" w:cs="仿宋"/>
          <w:color w:val="auto"/>
          <w:sz w:val="24"/>
          <w:szCs w:val="22"/>
          <w:highlight w:val="none"/>
        </w:rPr>
      </w:pPr>
    </w:p>
    <w:p w14:paraId="5513CD01">
      <w:pPr>
        <w:tabs>
          <w:tab w:val="left" w:pos="0"/>
        </w:tabs>
        <w:adjustRightInd w:val="0"/>
        <w:snapToGrid w:val="0"/>
        <w:spacing w:line="440" w:lineRule="exact"/>
        <w:ind w:firstLine="480" w:firstLineChars="200"/>
        <w:rPr>
          <w:rFonts w:hint="eastAsia" w:ascii="仿宋" w:hAnsi="仿宋" w:eastAsia="仿宋" w:cs="仿宋"/>
          <w:color w:val="auto"/>
          <w:sz w:val="24"/>
          <w:szCs w:val="22"/>
          <w:highlight w:val="none"/>
        </w:rPr>
      </w:pPr>
    </w:p>
    <w:p w14:paraId="73AC790D">
      <w:pPr>
        <w:tabs>
          <w:tab w:val="left" w:pos="0"/>
        </w:tabs>
        <w:adjustRightInd w:val="0"/>
        <w:snapToGrid w:val="0"/>
        <w:spacing w:line="440" w:lineRule="exact"/>
        <w:ind w:firstLine="480" w:firstLineChars="200"/>
        <w:rPr>
          <w:rFonts w:hint="eastAsia" w:ascii="仿宋" w:hAnsi="仿宋" w:eastAsia="仿宋" w:cs="仿宋"/>
          <w:color w:val="auto"/>
          <w:sz w:val="24"/>
          <w:szCs w:val="22"/>
          <w:highlight w:val="none"/>
        </w:rPr>
      </w:pPr>
    </w:p>
    <w:p w14:paraId="3AACD1D2">
      <w:pPr>
        <w:tabs>
          <w:tab w:val="left" w:pos="0"/>
        </w:tabs>
        <w:adjustRightInd w:val="0"/>
        <w:snapToGrid w:val="0"/>
        <w:spacing w:line="440" w:lineRule="exact"/>
        <w:ind w:firstLine="480" w:firstLineChars="200"/>
        <w:rPr>
          <w:rFonts w:hint="eastAsia" w:ascii="仿宋" w:hAnsi="仿宋" w:eastAsia="仿宋" w:cs="仿宋"/>
          <w:color w:val="auto"/>
          <w:sz w:val="24"/>
          <w:szCs w:val="22"/>
          <w:highlight w:val="none"/>
        </w:rPr>
      </w:pPr>
    </w:p>
    <w:p w14:paraId="12FA46EC">
      <w:pPr>
        <w:tabs>
          <w:tab w:val="left" w:pos="0"/>
        </w:tabs>
        <w:adjustRightInd w:val="0"/>
        <w:snapToGrid w:val="0"/>
        <w:spacing w:line="440" w:lineRule="exact"/>
        <w:ind w:firstLine="480" w:firstLineChars="200"/>
        <w:rPr>
          <w:rFonts w:hint="eastAsia" w:ascii="仿宋" w:hAnsi="仿宋" w:eastAsia="仿宋" w:cs="仿宋"/>
          <w:color w:val="auto"/>
          <w:sz w:val="24"/>
          <w:szCs w:val="22"/>
          <w:highlight w:val="none"/>
        </w:rPr>
      </w:pPr>
    </w:p>
    <w:p w14:paraId="267F9936">
      <w:pPr>
        <w:snapToGrid w:val="0"/>
        <w:spacing w:before="50" w:after="50" w:line="440" w:lineRule="exact"/>
        <w:ind w:left="-3" w:leftChars="-72" w:right="-817" w:rightChars="-389" w:hanging="148" w:hangingChars="62"/>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br w:type="page"/>
      </w:r>
      <w:r>
        <w:rPr>
          <w:rFonts w:hint="eastAsia" w:ascii="仿宋" w:hAnsi="仿宋" w:eastAsia="仿宋" w:cs="仿宋"/>
          <w:color w:val="auto"/>
          <w:sz w:val="24"/>
          <w:szCs w:val="22"/>
          <w:highlight w:val="none"/>
        </w:rPr>
        <w:t>格式</w:t>
      </w:r>
      <w:r>
        <w:rPr>
          <w:rFonts w:hint="eastAsia" w:ascii="仿宋" w:hAnsi="仿宋" w:eastAsia="仿宋" w:cs="仿宋"/>
          <w:color w:val="auto"/>
          <w:sz w:val="24"/>
          <w:szCs w:val="22"/>
          <w:highlight w:val="none"/>
          <w:lang w:val="en-US" w:eastAsia="zh-CN"/>
        </w:rPr>
        <w:t>八</w:t>
      </w:r>
    </w:p>
    <w:p w14:paraId="08257F6B">
      <w:pPr>
        <w:snapToGrid w:val="0"/>
        <w:spacing w:before="120" w:beforeLines="50" w:after="50"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拟投入的人员配备情况表</w:t>
      </w:r>
    </w:p>
    <w:p w14:paraId="2195D45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0BFF9E05">
      <w:pPr>
        <w:spacing w:line="360" w:lineRule="auto"/>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tbl>
      <w:tblPr>
        <w:tblStyle w:val="5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49"/>
        <w:gridCol w:w="1181"/>
        <w:gridCol w:w="1371"/>
        <w:gridCol w:w="1631"/>
        <w:gridCol w:w="1681"/>
        <w:gridCol w:w="1107"/>
      </w:tblGrid>
      <w:tr w14:paraId="6992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64" w:type="pct"/>
            <w:tcBorders>
              <w:top w:val="single" w:color="auto" w:sz="4" w:space="0"/>
              <w:left w:val="single" w:color="auto" w:sz="4" w:space="0"/>
              <w:bottom w:val="single" w:color="auto" w:sz="4" w:space="0"/>
              <w:right w:val="single" w:color="auto" w:sz="4" w:space="0"/>
            </w:tcBorders>
            <w:vAlign w:val="center"/>
          </w:tcPr>
          <w:p w14:paraId="685DD0D3">
            <w:pPr>
              <w:spacing w:line="360" w:lineRule="auto"/>
              <w:rPr>
                <w:rFonts w:hint="eastAsia" w:ascii="仿宋" w:hAnsi="仿宋" w:eastAsia="仿宋" w:cs="仿宋"/>
                <w:b/>
                <w:color w:val="auto"/>
                <w:highlight w:val="none"/>
                <w:lang w:bidi="ar"/>
              </w:rPr>
            </w:pPr>
            <w:r>
              <w:rPr>
                <w:rFonts w:hint="eastAsia" w:ascii="仿宋" w:hAnsi="仿宋" w:eastAsia="仿宋" w:cs="仿宋"/>
                <w:b/>
                <w:color w:val="auto"/>
                <w:highlight w:val="none"/>
                <w:lang w:bidi="ar"/>
              </w:rPr>
              <w:t>序号</w:t>
            </w:r>
          </w:p>
        </w:tc>
        <w:tc>
          <w:tcPr>
            <w:tcW w:w="780" w:type="pct"/>
            <w:tcBorders>
              <w:top w:val="single" w:color="auto" w:sz="4" w:space="0"/>
              <w:left w:val="single" w:color="auto" w:sz="4" w:space="0"/>
              <w:bottom w:val="single" w:color="auto" w:sz="4" w:space="0"/>
              <w:right w:val="single" w:color="auto" w:sz="4" w:space="0"/>
            </w:tcBorders>
            <w:vAlign w:val="center"/>
          </w:tcPr>
          <w:p w14:paraId="72211287">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lang w:bidi="ar"/>
              </w:rPr>
              <w:t>姓名</w:t>
            </w:r>
          </w:p>
        </w:tc>
        <w:tc>
          <w:tcPr>
            <w:tcW w:w="636" w:type="pct"/>
            <w:tcBorders>
              <w:top w:val="single" w:color="auto" w:sz="4" w:space="0"/>
              <w:left w:val="single" w:color="auto" w:sz="4" w:space="0"/>
              <w:bottom w:val="single" w:color="auto" w:sz="4" w:space="0"/>
              <w:right w:val="single" w:color="auto" w:sz="4" w:space="0"/>
            </w:tcBorders>
            <w:vAlign w:val="center"/>
          </w:tcPr>
          <w:p w14:paraId="79D0CA1D">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lang w:bidi="ar"/>
              </w:rPr>
              <w:t>年龄</w:t>
            </w:r>
          </w:p>
        </w:tc>
        <w:tc>
          <w:tcPr>
            <w:tcW w:w="738" w:type="pct"/>
            <w:tcBorders>
              <w:top w:val="single" w:color="auto" w:sz="4" w:space="0"/>
              <w:left w:val="single" w:color="auto" w:sz="4" w:space="0"/>
              <w:bottom w:val="single" w:color="auto" w:sz="4" w:space="0"/>
              <w:right w:val="single" w:color="auto" w:sz="4" w:space="0"/>
            </w:tcBorders>
            <w:vAlign w:val="center"/>
          </w:tcPr>
          <w:p w14:paraId="59E6AB27">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lang w:bidi="ar"/>
              </w:rPr>
              <w:t>学历</w:t>
            </w:r>
          </w:p>
        </w:tc>
        <w:tc>
          <w:tcPr>
            <w:tcW w:w="878" w:type="pct"/>
            <w:tcBorders>
              <w:top w:val="single" w:color="auto" w:sz="4" w:space="0"/>
              <w:left w:val="single" w:color="auto" w:sz="4" w:space="0"/>
              <w:bottom w:val="single" w:color="auto" w:sz="4" w:space="0"/>
              <w:right w:val="single" w:color="auto" w:sz="4" w:space="0"/>
            </w:tcBorders>
            <w:vAlign w:val="center"/>
          </w:tcPr>
          <w:p w14:paraId="0140D150">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职称</w:t>
            </w:r>
          </w:p>
        </w:tc>
        <w:tc>
          <w:tcPr>
            <w:tcW w:w="905" w:type="pct"/>
            <w:tcBorders>
              <w:top w:val="single" w:color="auto" w:sz="4" w:space="0"/>
              <w:left w:val="single" w:color="auto" w:sz="4" w:space="0"/>
              <w:bottom w:val="single" w:color="auto" w:sz="4" w:space="0"/>
              <w:right w:val="single" w:color="auto" w:sz="4" w:space="0"/>
            </w:tcBorders>
            <w:vAlign w:val="center"/>
          </w:tcPr>
          <w:p w14:paraId="2EAA8AE2">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lang w:bidi="ar"/>
              </w:rPr>
              <w:t>拟投入本项目的岗位</w:t>
            </w:r>
          </w:p>
        </w:tc>
        <w:tc>
          <w:tcPr>
            <w:tcW w:w="596" w:type="pct"/>
            <w:tcBorders>
              <w:top w:val="single" w:color="auto" w:sz="4" w:space="0"/>
              <w:left w:val="single" w:color="auto" w:sz="4" w:space="0"/>
              <w:bottom w:val="single" w:color="auto" w:sz="4" w:space="0"/>
              <w:right w:val="single" w:color="auto" w:sz="4" w:space="0"/>
            </w:tcBorders>
            <w:vAlign w:val="center"/>
          </w:tcPr>
          <w:p w14:paraId="5F9EC902">
            <w:pPr>
              <w:spacing w:line="360" w:lineRule="auto"/>
              <w:rPr>
                <w:rFonts w:hint="eastAsia" w:ascii="仿宋" w:hAnsi="仿宋" w:eastAsia="仿宋" w:cs="仿宋"/>
                <w:b/>
                <w:color w:val="auto"/>
                <w:highlight w:val="none"/>
                <w:lang w:bidi="ar"/>
              </w:rPr>
            </w:pPr>
            <w:r>
              <w:rPr>
                <w:rFonts w:hint="eastAsia" w:ascii="仿宋" w:hAnsi="仿宋" w:eastAsia="仿宋" w:cs="仿宋"/>
                <w:b/>
                <w:color w:val="auto"/>
                <w:highlight w:val="none"/>
                <w:lang w:bidi="ar"/>
              </w:rPr>
              <w:t>备注</w:t>
            </w:r>
          </w:p>
        </w:tc>
      </w:tr>
      <w:tr w14:paraId="3952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64" w:type="pct"/>
            <w:tcBorders>
              <w:top w:val="single" w:color="auto" w:sz="4" w:space="0"/>
              <w:left w:val="single" w:color="auto" w:sz="4" w:space="0"/>
              <w:bottom w:val="single" w:color="auto" w:sz="4" w:space="0"/>
              <w:right w:val="single" w:color="auto" w:sz="4" w:space="0"/>
            </w:tcBorders>
          </w:tcPr>
          <w:p w14:paraId="27D358EB">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720705C3">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1274F43E">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2BCA9F4E">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174E3055">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2DA0DAD0">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0EF71E4E">
            <w:pPr>
              <w:spacing w:line="360" w:lineRule="auto"/>
              <w:ind w:firstLine="420" w:firstLineChars="200"/>
              <w:rPr>
                <w:rFonts w:hint="eastAsia" w:ascii="仿宋" w:hAnsi="仿宋" w:eastAsia="仿宋" w:cs="仿宋"/>
                <w:color w:val="auto"/>
                <w:highlight w:val="none"/>
              </w:rPr>
            </w:pPr>
          </w:p>
        </w:tc>
      </w:tr>
      <w:tr w14:paraId="3A12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64" w:type="pct"/>
            <w:tcBorders>
              <w:top w:val="single" w:color="auto" w:sz="4" w:space="0"/>
              <w:left w:val="single" w:color="auto" w:sz="4" w:space="0"/>
              <w:bottom w:val="single" w:color="auto" w:sz="4" w:space="0"/>
              <w:right w:val="single" w:color="auto" w:sz="4" w:space="0"/>
            </w:tcBorders>
          </w:tcPr>
          <w:p w14:paraId="248A8660">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7151D4AF">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6B59262C">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561A55B4">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4B56ADA3">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5750187C">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36C837D2">
            <w:pPr>
              <w:spacing w:line="360" w:lineRule="auto"/>
              <w:ind w:firstLine="420" w:firstLineChars="200"/>
              <w:rPr>
                <w:rFonts w:hint="eastAsia" w:ascii="仿宋" w:hAnsi="仿宋" w:eastAsia="仿宋" w:cs="仿宋"/>
                <w:color w:val="auto"/>
                <w:highlight w:val="none"/>
              </w:rPr>
            </w:pPr>
          </w:p>
        </w:tc>
      </w:tr>
      <w:tr w14:paraId="4DFB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464" w:type="pct"/>
            <w:tcBorders>
              <w:top w:val="single" w:color="auto" w:sz="4" w:space="0"/>
              <w:left w:val="single" w:color="auto" w:sz="4" w:space="0"/>
              <w:bottom w:val="single" w:color="auto" w:sz="4" w:space="0"/>
              <w:right w:val="single" w:color="auto" w:sz="4" w:space="0"/>
            </w:tcBorders>
          </w:tcPr>
          <w:p w14:paraId="6A372764">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60EF23DB">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513F846A">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0CC7BA04">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6537E752">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2CB213A6">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46A89F7F">
            <w:pPr>
              <w:spacing w:line="360" w:lineRule="auto"/>
              <w:ind w:firstLine="420" w:firstLineChars="200"/>
              <w:rPr>
                <w:rFonts w:hint="eastAsia" w:ascii="仿宋" w:hAnsi="仿宋" w:eastAsia="仿宋" w:cs="仿宋"/>
                <w:color w:val="auto"/>
                <w:highlight w:val="none"/>
              </w:rPr>
            </w:pPr>
          </w:p>
        </w:tc>
      </w:tr>
      <w:tr w14:paraId="3E96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64" w:type="pct"/>
            <w:tcBorders>
              <w:top w:val="single" w:color="auto" w:sz="4" w:space="0"/>
              <w:left w:val="single" w:color="auto" w:sz="4" w:space="0"/>
              <w:bottom w:val="single" w:color="auto" w:sz="4" w:space="0"/>
              <w:right w:val="single" w:color="auto" w:sz="4" w:space="0"/>
            </w:tcBorders>
          </w:tcPr>
          <w:p w14:paraId="48C14A54">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3A4D64DD">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46233EC9">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512C9051">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35A95176">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3BA6F422">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0EF09525">
            <w:pPr>
              <w:spacing w:line="360" w:lineRule="auto"/>
              <w:ind w:firstLine="420" w:firstLineChars="200"/>
              <w:rPr>
                <w:rFonts w:hint="eastAsia" w:ascii="仿宋" w:hAnsi="仿宋" w:eastAsia="仿宋" w:cs="仿宋"/>
                <w:color w:val="auto"/>
                <w:highlight w:val="none"/>
              </w:rPr>
            </w:pPr>
          </w:p>
        </w:tc>
      </w:tr>
      <w:tr w14:paraId="653E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464" w:type="pct"/>
            <w:tcBorders>
              <w:top w:val="single" w:color="auto" w:sz="4" w:space="0"/>
              <w:left w:val="single" w:color="auto" w:sz="4" w:space="0"/>
              <w:bottom w:val="single" w:color="auto" w:sz="4" w:space="0"/>
              <w:right w:val="single" w:color="auto" w:sz="4" w:space="0"/>
            </w:tcBorders>
          </w:tcPr>
          <w:p w14:paraId="2B51DBE1">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7E6D0FB7">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3900DC89">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711953C0">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73AEE0BC">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16F09365">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2653505A">
            <w:pPr>
              <w:spacing w:line="360" w:lineRule="auto"/>
              <w:ind w:firstLine="420" w:firstLineChars="200"/>
              <w:rPr>
                <w:rFonts w:hint="eastAsia" w:ascii="仿宋" w:hAnsi="仿宋" w:eastAsia="仿宋" w:cs="仿宋"/>
                <w:color w:val="auto"/>
                <w:highlight w:val="none"/>
              </w:rPr>
            </w:pPr>
          </w:p>
        </w:tc>
      </w:tr>
      <w:tr w14:paraId="40FA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464" w:type="pct"/>
            <w:tcBorders>
              <w:top w:val="single" w:color="auto" w:sz="4" w:space="0"/>
              <w:left w:val="single" w:color="auto" w:sz="4" w:space="0"/>
              <w:bottom w:val="single" w:color="auto" w:sz="4" w:space="0"/>
              <w:right w:val="single" w:color="auto" w:sz="4" w:space="0"/>
            </w:tcBorders>
          </w:tcPr>
          <w:p w14:paraId="21D736A6">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58583959">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4B9CEA44">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5DD411DC">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2BBE18FD">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36D16340">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19D950B7">
            <w:pPr>
              <w:spacing w:line="360" w:lineRule="auto"/>
              <w:ind w:firstLine="420" w:firstLineChars="200"/>
              <w:rPr>
                <w:rFonts w:hint="eastAsia" w:ascii="仿宋" w:hAnsi="仿宋" w:eastAsia="仿宋" w:cs="仿宋"/>
                <w:color w:val="auto"/>
                <w:highlight w:val="none"/>
              </w:rPr>
            </w:pPr>
          </w:p>
        </w:tc>
      </w:tr>
      <w:tr w14:paraId="586F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464" w:type="pct"/>
            <w:tcBorders>
              <w:top w:val="single" w:color="auto" w:sz="4" w:space="0"/>
              <w:left w:val="single" w:color="auto" w:sz="4" w:space="0"/>
              <w:bottom w:val="single" w:color="auto" w:sz="4" w:space="0"/>
              <w:right w:val="single" w:color="auto" w:sz="4" w:space="0"/>
            </w:tcBorders>
          </w:tcPr>
          <w:p w14:paraId="59B8340B">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0AB17CCA">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560D0F59">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4E12AB7D">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3D49B24D">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4F4A1049">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675F91F7">
            <w:pPr>
              <w:spacing w:line="360" w:lineRule="auto"/>
              <w:ind w:firstLine="420" w:firstLineChars="200"/>
              <w:rPr>
                <w:rFonts w:hint="eastAsia" w:ascii="仿宋" w:hAnsi="仿宋" w:eastAsia="仿宋" w:cs="仿宋"/>
                <w:color w:val="auto"/>
                <w:highlight w:val="none"/>
              </w:rPr>
            </w:pPr>
          </w:p>
        </w:tc>
      </w:tr>
      <w:tr w14:paraId="1E3D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464" w:type="pct"/>
            <w:tcBorders>
              <w:top w:val="single" w:color="auto" w:sz="4" w:space="0"/>
              <w:left w:val="single" w:color="auto" w:sz="4" w:space="0"/>
              <w:bottom w:val="single" w:color="auto" w:sz="4" w:space="0"/>
              <w:right w:val="single" w:color="auto" w:sz="4" w:space="0"/>
            </w:tcBorders>
          </w:tcPr>
          <w:p w14:paraId="4CB0575A">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241408B0">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2F9E1E7B">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600426A7">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1A4BC9EF">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688E9390">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40BFEEED">
            <w:pPr>
              <w:spacing w:line="360" w:lineRule="auto"/>
              <w:ind w:firstLine="420" w:firstLineChars="200"/>
              <w:rPr>
                <w:rFonts w:hint="eastAsia" w:ascii="仿宋" w:hAnsi="仿宋" w:eastAsia="仿宋" w:cs="仿宋"/>
                <w:color w:val="auto"/>
                <w:highlight w:val="none"/>
              </w:rPr>
            </w:pPr>
          </w:p>
        </w:tc>
      </w:tr>
      <w:tr w14:paraId="1D38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464" w:type="pct"/>
            <w:tcBorders>
              <w:top w:val="single" w:color="auto" w:sz="4" w:space="0"/>
              <w:left w:val="single" w:color="auto" w:sz="4" w:space="0"/>
              <w:bottom w:val="single" w:color="auto" w:sz="4" w:space="0"/>
              <w:right w:val="single" w:color="auto" w:sz="4" w:space="0"/>
            </w:tcBorders>
          </w:tcPr>
          <w:p w14:paraId="4687FDE2">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6A23A31C">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74356B78">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4068D5ED">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10E3BE57">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0C09CFE6">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6F79582F">
            <w:pPr>
              <w:spacing w:line="360" w:lineRule="auto"/>
              <w:ind w:firstLine="420" w:firstLineChars="200"/>
              <w:rPr>
                <w:rFonts w:hint="eastAsia" w:ascii="仿宋" w:hAnsi="仿宋" w:eastAsia="仿宋" w:cs="仿宋"/>
                <w:color w:val="auto"/>
                <w:highlight w:val="none"/>
              </w:rPr>
            </w:pPr>
          </w:p>
        </w:tc>
      </w:tr>
      <w:tr w14:paraId="1795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64" w:type="pct"/>
            <w:tcBorders>
              <w:top w:val="single" w:color="auto" w:sz="4" w:space="0"/>
              <w:left w:val="single" w:color="auto" w:sz="4" w:space="0"/>
              <w:bottom w:val="single" w:color="auto" w:sz="4" w:space="0"/>
              <w:right w:val="single" w:color="auto" w:sz="4" w:space="0"/>
            </w:tcBorders>
          </w:tcPr>
          <w:p w14:paraId="2D0F05AF">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3459E1F1">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773DAC72">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140D7FB6">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64E92AFA">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6022AC0F">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2D2FA33A">
            <w:pPr>
              <w:spacing w:line="360" w:lineRule="auto"/>
              <w:ind w:firstLine="420" w:firstLineChars="200"/>
              <w:rPr>
                <w:rFonts w:hint="eastAsia" w:ascii="仿宋" w:hAnsi="仿宋" w:eastAsia="仿宋" w:cs="仿宋"/>
                <w:color w:val="auto"/>
                <w:highlight w:val="none"/>
              </w:rPr>
            </w:pPr>
          </w:p>
        </w:tc>
      </w:tr>
      <w:tr w14:paraId="6A17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464" w:type="pct"/>
            <w:tcBorders>
              <w:top w:val="single" w:color="auto" w:sz="4" w:space="0"/>
              <w:left w:val="single" w:color="auto" w:sz="4" w:space="0"/>
              <w:bottom w:val="single" w:color="auto" w:sz="4" w:space="0"/>
              <w:right w:val="single" w:color="auto" w:sz="4" w:space="0"/>
            </w:tcBorders>
          </w:tcPr>
          <w:p w14:paraId="64C755A3">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4E2D3BC2">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385A70BF">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00A41F1D">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334A5934">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464CE62D">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0F2719DD">
            <w:pPr>
              <w:spacing w:line="360" w:lineRule="auto"/>
              <w:ind w:firstLine="420" w:firstLineChars="200"/>
              <w:rPr>
                <w:rFonts w:hint="eastAsia" w:ascii="仿宋" w:hAnsi="仿宋" w:eastAsia="仿宋" w:cs="仿宋"/>
                <w:color w:val="auto"/>
                <w:highlight w:val="none"/>
              </w:rPr>
            </w:pPr>
          </w:p>
        </w:tc>
      </w:tr>
      <w:tr w14:paraId="0C6A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464" w:type="pct"/>
            <w:tcBorders>
              <w:top w:val="single" w:color="auto" w:sz="4" w:space="0"/>
              <w:left w:val="single" w:color="auto" w:sz="4" w:space="0"/>
              <w:bottom w:val="single" w:color="auto" w:sz="4" w:space="0"/>
              <w:right w:val="single" w:color="auto" w:sz="4" w:space="0"/>
            </w:tcBorders>
          </w:tcPr>
          <w:p w14:paraId="34555D7C">
            <w:pPr>
              <w:spacing w:line="360" w:lineRule="auto"/>
              <w:ind w:firstLine="420" w:firstLineChars="200"/>
              <w:rPr>
                <w:rFonts w:hint="eastAsia" w:ascii="仿宋" w:hAnsi="仿宋" w:eastAsia="仿宋" w:cs="仿宋"/>
                <w:color w:val="auto"/>
                <w:highlight w:val="none"/>
              </w:rPr>
            </w:pPr>
          </w:p>
        </w:tc>
        <w:tc>
          <w:tcPr>
            <w:tcW w:w="780" w:type="pct"/>
            <w:tcBorders>
              <w:top w:val="single" w:color="auto" w:sz="4" w:space="0"/>
              <w:left w:val="single" w:color="auto" w:sz="4" w:space="0"/>
              <w:bottom w:val="single" w:color="auto" w:sz="4" w:space="0"/>
              <w:right w:val="single" w:color="auto" w:sz="4" w:space="0"/>
            </w:tcBorders>
          </w:tcPr>
          <w:p w14:paraId="49F02621">
            <w:pPr>
              <w:spacing w:line="360" w:lineRule="auto"/>
              <w:ind w:firstLine="420" w:firstLineChars="200"/>
              <w:rPr>
                <w:rFonts w:hint="eastAsia" w:ascii="仿宋" w:hAnsi="仿宋" w:eastAsia="仿宋" w:cs="仿宋"/>
                <w:color w:val="auto"/>
                <w:highlight w:val="none"/>
              </w:rPr>
            </w:pPr>
          </w:p>
        </w:tc>
        <w:tc>
          <w:tcPr>
            <w:tcW w:w="636" w:type="pct"/>
            <w:tcBorders>
              <w:top w:val="single" w:color="auto" w:sz="4" w:space="0"/>
              <w:left w:val="single" w:color="auto" w:sz="4" w:space="0"/>
              <w:bottom w:val="single" w:color="auto" w:sz="4" w:space="0"/>
              <w:right w:val="single" w:color="auto" w:sz="4" w:space="0"/>
            </w:tcBorders>
          </w:tcPr>
          <w:p w14:paraId="1CF38FCA">
            <w:pPr>
              <w:spacing w:line="360" w:lineRule="auto"/>
              <w:ind w:firstLine="420" w:firstLineChars="200"/>
              <w:rPr>
                <w:rFonts w:hint="eastAsia" w:ascii="仿宋" w:hAnsi="仿宋" w:eastAsia="仿宋" w:cs="仿宋"/>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46DFFD04">
            <w:pPr>
              <w:spacing w:line="360" w:lineRule="auto"/>
              <w:ind w:firstLine="420" w:firstLineChars="200"/>
              <w:rPr>
                <w:rFonts w:hint="eastAsia" w:ascii="仿宋" w:hAnsi="仿宋" w:eastAsia="仿宋" w:cs="仿宋"/>
                <w:color w:val="auto"/>
                <w:highlight w:val="none"/>
              </w:rPr>
            </w:pPr>
          </w:p>
        </w:tc>
        <w:tc>
          <w:tcPr>
            <w:tcW w:w="878" w:type="pct"/>
            <w:tcBorders>
              <w:top w:val="single" w:color="auto" w:sz="4" w:space="0"/>
              <w:left w:val="single" w:color="auto" w:sz="4" w:space="0"/>
              <w:bottom w:val="single" w:color="auto" w:sz="4" w:space="0"/>
              <w:right w:val="single" w:color="auto" w:sz="4" w:space="0"/>
            </w:tcBorders>
          </w:tcPr>
          <w:p w14:paraId="19FA6AFB">
            <w:pPr>
              <w:spacing w:line="360" w:lineRule="auto"/>
              <w:ind w:firstLine="420" w:firstLineChars="200"/>
              <w:rPr>
                <w:rFonts w:hint="eastAsia" w:ascii="仿宋" w:hAnsi="仿宋" w:eastAsia="仿宋" w:cs="仿宋"/>
                <w:color w:val="auto"/>
                <w:highlight w:val="none"/>
              </w:rPr>
            </w:pPr>
          </w:p>
        </w:tc>
        <w:tc>
          <w:tcPr>
            <w:tcW w:w="905" w:type="pct"/>
            <w:tcBorders>
              <w:top w:val="single" w:color="auto" w:sz="4" w:space="0"/>
              <w:left w:val="single" w:color="auto" w:sz="4" w:space="0"/>
              <w:bottom w:val="single" w:color="auto" w:sz="4" w:space="0"/>
              <w:right w:val="single" w:color="auto" w:sz="4" w:space="0"/>
            </w:tcBorders>
          </w:tcPr>
          <w:p w14:paraId="36E6E192">
            <w:pPr>
              <w:spacing w:line="360" w:lineRule="auto"/>
              <w:ind w:firstLine="420" w:firstLineChars="200"/>
              <w:rPr>
                <w:rFonts w:hint="eastAsia" w:ascii="仿宋" w:hAnsi="仿宋" w:eastAsia="仿宋" w:cs="仿宋"/>
                <w:color w:val="auto"/>
                <w:highlight w:val="none"/>
              </w:rPr>
            </w:pPr>
          </w:p>
        </w:tc>
        <w:tc>
          <w:tcPr>
            <w:tcW w:w="596" w:type="pct"/>
            <w:tcBorders>
              <w:top w:val="single" w:color="auto" w:sz="4" w:space="0"/>
              <w:left w:val="single" w:color="auto" w:sz="4" w:space="0"/>
              <w:bottom w:val="single" w:color="auto" w:sz="4" w:space="0"/>
              <w:right w:val="single" w:color="auto" w:sz="4" w:space="0"/>
            </w:tcBorders>
          </w:tcPr>
          <w:p w14:paraId="52687554">
            <w:pPr>
              <w:spacing w:line="360" w:lineRule="auto"/>
              <w:ind w:firstLine="420" w:firstLineChars="200"/>
              <w:rPr>
                <w:rFonts w:hint="eastAsia" w:ascii="仿宋" w:hAnsi="仿宋" w:eastAsia="仿宋" w:cs="仿宋"/>
                <w:color w:val="auto"/>
                <w:highlight w:val="none"/>
              </w:rPr>
            </w:pPr>
          </w:p>
        </w:tc>
      </w:tr>
    </w:tbl>
    <w:p w14:paraId="5AE0B94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val="en-US" w:eastAsia="zh-CN"/>
        </w:rPr>
        <w:t>1、根据第二章“</w:t>
      </w:r>
      <w:r>
        <w:rPr>
          <w:rFonts w:hint="eastAsia" w:ascii="仿宋" w:hAnsi="仿宋" w:eastAsia="仿宋" w:cs="仿宋"/>
          <w:b w:val="0"/>
          <w:bCs w:val="0"/>
          <w:color w:val="auto"/>
          <w:sz w:val="21"/>
          <w:szCs w:val="21"/>
          <w:highlight w:val="none"/>
          <w:lang w:val="en-US" w:eastAsia="zh-CN"/>
        </w:rPr>
        <w:t>采购</w:t>
      </w:r>
      <w:r>
        <w:rPr>
          <w:rFonts w:hint="eastAsia" w:ascii="仿宋" w:hAnsi="仿宋" w:eastAsia="仿宋" w:cs="仿宋"/>
          <w:color w:val="auto"/>
          <w:highlight w:val="none"/>
          <w:lang w:val="en-US" w:eastAsia="zh-CN"/>
        </w:rPr>
        <w:t>需求提供相关证书”复印件加盖公章。2</w:t>
      </w:r>
      <w:r>
        <w:rPr>
          <w:rFonts w:hint="eastAsia" w:ascii="仿宋" w:hAnsi="仿宋" w:eastAsia="仿宋" w:cs="仿宋"/>
          <w:color w:val="auto"/>
          <w:highlight w:val="none"/>
        </w:rPr>
        <w:t>、表格不够用时可自行扩展。</w:t>
      </w:r>
    </w:p>
    <w:p w14:paraId="7A2FB419">
      <w:pPr>
        <w:widowControl/>
        <w:snapToGrid w:val="0"/>
        <w:spacing w:line="360" w:lineRule="auto"/>
        <w:ind w:firstLine="440"/>
        <w:rPr>
          <w:rFonts w:hint="eastAsia" w:ascii="仿宋" w:hAnsi="仿宋" w:eastAsia="仿宋" w:cs="仿宋"/>
          <w:color w:val="auto"/>
          <w:highlight w:val="none"/>
        </w:rPr>
      </w:pPr>
    </w:p>
    <w:p w14:paraId="131D19D9">
      <w:pPr>
        <w:tabs>
          <w:tab w:val="left" w:pos="0"/>
        </w:tabs>
        <w:adjustRightInd w:val="0"/>
        <w:snapToGrid w:val="0"/>
        <w:spacing w:line="440" w:lineRule="exact"/>
        <w:ind w:firstLine="420" w:firstLineChars="200"/>
        <w:rPr>
          <w:rFonts w:hint="eastAsia" w:ascii="仿宋" w:hAnsi="仿宋" w:eastAsia="仿宋" w:cs="仿宋"/>
          <w:color w:val="auto"/>
          <w:highlight w:val="none"/>
        </w:rPr>
      </w:pPr>
    </w:p>
    <w:p w14:paraId="5E75498F">
      <w:pPr>
        <w:tabs>
          <w:tab w:val="left" w:pos="0"/>
        </w:tabs>
        <w:adjustRightInd w:val="0"/>
        <w:snapToGrid w:val="0"/>
        <w:spacing w:line="440" w:lineRule="exact"/>
        <w:ind w:firstLine="420" w:firstLineChars="200"/>
        <w:rPr>
          <w:rFonts w:hint="eastAsia" w:ascii="仿宋" w:hAnsi="仿宋" w:eastAsia="仿宋" w:cs="仿宋"/>
          <w:color w:val="auto"/>
          <w:highlight w:val="none"/>
        </w:rPr>
      </w:pPr>
    </w:p>
    <w:p w14:paraId="5493E7D6">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投标人名称（盖章）：</w:t>
      </w:r>
    </w:p>
    <w:p w14:paraId="4931E45E">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法定代表人或授权代表（签字或盖章）：</w:t>
      </w:r>
    </w:p>
    <w:p w14:paraId="1A12CC02">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5E2924BE">
      <w:pPr>
        <w:snapToGrid w:val="0"/>
        <w:spacing w:before="50" w:after="50" w:line="440" w:lineRule="exact"/>
        <w:ind w:left="-21" w:leftChars="-72" w:right="-817" w:rightChars="-389" w:hanging="130" w:hangingChars="62"/>
        <w:rPr>
          <w:rFonts w:hint="eastAsia" w:ascii="仿宋" w:hAnsi="仿宋" w:eastAsia="仿宋" w:cs="仿宋"/>
          <w:color w:val="auto"/>
          <w:sz w:val="24"/>
          <w:szCs w:val="22"/>
          <w:highlight w:val="none"/>
          <w:lang w:eastAsia="zh-CN"/>
        </w:rPr>
      </w:pPr>
      <w:r>
        <w:rPr>
          <w:rFonts w:hint="eastAsia" w:ascii="仿宋" w:hAnsi="仿宋" w:eastAsia="仿宋" w:cs="仿宋"/>
          <w:color w:val="auto"/>
          <w:highlight w:val="none"/>
        </w:rPr>
        <w:br w:type="page"/>
      </w:r>
      <w:r>
        <w:rPr>
          <w:rFonts w:hint="eastAsia" w:ascii="仿宋" w:hAnsi="仿宋" w:eastAsia="仿宋" w:cs="仿宋"/>
          <w:color w:val="auto"/>
          <w:sz w:val="24"/>
          <w:szCs w:val="22"/>
          <w:highlight w:val="none"/>
        </w:rPr>
        <w:t>格式</w:t>
      </w:r>
      <w:r>
        <w:rPr>
          <w:rFonts w:hint="eastAsia" w:ascii="仿宋" w:hAnsi="仿宋" w:eastAsia="仿宋" w:cs="仿宋"/>
          <w:color w:val="auto"/>
          <w:sz w:val="24"/>
          <w:szCs w:val="22"/>
          <w:highlight w:val="none"/>
          <w:lang w:val="en-US" w:eastAsia="zh-CN"/>
        </w:rPr>
        <w:t>九</w:t>
      </w:r>
    </w:p>
    <w:p w14:paraId="6B7379D1">
      <w:pPr>
        <w:snapToGrid w:val="0"/>
        <w:spacing w:before="120" w:beforeLines="50" w:after="50"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类似项目业绩一览表</w:t>
      </w:r>
    </w:p>
    <w:p w14:paraId="48153D3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71DB1FCE">
      <w:pPr>
        <w:spacing w:line="360" w:lineRule="auto"/>
        <w:ind w:firstLine="42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tbl>
      <w:tblPr>
        <w:tblStyle w:val="51"/>
        <w:tblW w:w="4998" w:type="pct"/>
        <w:tblInd w:w="113" w:type="dxa"/>
        <w:tblLayout w:type="autofit"/>
        <w:tblCellMar>
          <w:top w:w="0" w:type="dxa"/>
          <w:left w:w="108" w:type="dxa"/>
          <w:bottom w:w="0" w:type="dxa"/>
          <w:right w:w="108" w:type="dxa"/>
        </w:tblCellMar>
      </w:tblPr>
      <w:tblGrid>
        <w:gridCol w:w="949"/>
        <w:gridCol w:w="1871"/>
        <w:gridCol w:w="2391"/>
        <w:gridCol w:w="1696"/>
        <w:gridCol w:w="1544"/>
        <w:gridCol w:w="833"/>
      </w:tblGrid>
      <w:tr w14:paraId="437FF077">
        <w:tblPrEx>
          <w:tblCellMar>
            <w:top w:w="0" w:type="dxa"/>
            <w:left w:w="108" w:type="dxa"/>
            <w:bottom w:w="0" w:type="dxa"/>
            <w:right w:w="108" w:type="dxa"/>
          </w:tblCellMar>
        </w:tblPrEx>
        <w:trPr>
          <w:trHeight w:val="605" w:hRule="atLeast"/>
        </w:trPr>
        <w:tc>
          <w:tcPr>
            <w:tcW w:w="511" w:type="pct"/>
            <w:tcBorders>
              <w:top w:val="single" w:color="000000" w:sz="4" w:space="0"/>
              <w:left w:val="single" w:color="000000" w:sz="4" w:space="0"/>
              <w:bottom w:val="single" w:color="000000" w:sz="4" w:space="0"/>
              <w:right w:val="single" w:color="000000" w:sz="4" w:space="0"/>
            </w:tcBorders>
            <w:vAlign w:val="center"/>
          </w:tcPr>
          <w:p w14:paraId="7E600915">
            <w:pPr>
              <w:widowControl/>
              <w:spacing w:line="360" w:lineRule="auto"/>
              <w:rPr>
                <w:rFonts w:hint="eastAsia" w:ascii="仿宋" w:hAnsi="仿宋" w:eastAsia="仿宋" w:cs="仿宋"/>
                <w:color w:val="auto"/>
                <w:spacing w:val="20"/>
                <w:highlight w:val="none"/>
              </w:rPr>
            </w:pPr>
            <w:r>
              <w:rPr>
                <w:rFonts w:hint="eastAsia" w:ascii="仿宋" w:hAnsi="仿宋" w:eastAsia="仿宋" w:cs="仿宋"/>
                <w:color w:val="auto"/>
                <w:spacing w:val="20"/>
                <w:highlight w:val="none"/>
              </w:rPr>
              <w:t>序号</w:t>
            </w:r>
          </w:p>
        </w:tc>
        <w:tc>
          <w:tcPr>
            <w:tcW w:w="1007" w:type="pct"/>
            <w:tcBorders>
              <w:top w:val="single" w:color="000000" w:sz="4" w:space="0"/>
              <w:left w:val="nil"/>
              <w:bottom w:val="single" w:color="000000" w:sz="4" w:space="0"/>
              <w:right w:val="single" w:color="000000" w:sz="4" w:space="0"/>
            </w:tcBorders>
            <w:vAlign w:val="center"/>
          </w:tcPr>
          <w:p w14:paraId="45497685">
            <w:pPr>
              <w:widowControl/>
              <w:spacing w:line="360" w:lineRule="auto"/>
              <w:ind w:firstLine="422" w:firstLineChars="169"/>
              <w:rPr>
                <w:rFonts w:hint="eastAsia" w:ascii="仿宋" w:hAnsi="仿宋" w:eastAsia="仿宋" w:cs="仿宋"/>
                <w:color w:val="auto"/>
                <w:spacing w:val="20"/>
                <w:highlight w:val="none"/>
              </w:rPr>
            </w:pPr>
            <w:r>
              <w:rPr>
                <w:rFonts w:hint="eastAsia" w:ascii="仿宋" w:hAnsi="仿宋" w:eastAsia="仿宋" w:cs="仿宋"/>
                <w:color w:val="auto"/>
                <w:spacing w:val="20"/>
                <w:highlight w:val="none"/>
              </w:rPr>
              <w:t>项目名称</w:t>
            </w:r>
          </w:p>
        </w:tc>
        <w:tc>
          <w:tcPr>
            <w:tcW w:w="1287" w:type="pct"/>
            <w:tcBorders>
              <w:top w:val="single" w:color="000000" w:sz="4" w:space="0"/>
              <w:left w:val="nil"/>
              <w:bottom w:val="single" w:color="000000" w:sz="4" w:space="0"/>
              <w:right w:val="single" w:color="000000" w:sz="4" w:space="0"/>
            </w:tcBorders>
            <w:vAlign w:val="center"/>
          </w:tcPr>
          <w:p w14:paraId="2E54AAF4">
            <w:pPr>
              <w:widowControl/>
              <w:spacing w:line="360" w:lineRule="auto"/>
              <w:rPr>
                <w:rFonts w:hint="eastAsia" w:ascii="仿宋" w:hAnsi="仿宋" w:eastAsia="仿宋" w:cs="仿宋"/>
                <w:color w:val="auto"/>
                <w:spacing w:val="20"/>
                <w:highlight w:val="none"/>
              </w:rPr>
            </w:pPr>
            <w:r>
              <w:rPr>
                <w:rFonts w:hint="eastAsia" w:ascii="仿宋" w:hAnsi="仿宋" w:eastAsia="仿宋" w:cs="仿宋"/>
                <w:color w:val="auto"/>
                <w:spacing w:val="20"/>
                <w:highlight w:val="none"/>
              </w:rPr>
              <w:t>合同金额（元）</w:t>
            </w:r>
          </w:p>
        </w:tc>
        <w:tc>
          <w:tcPr>
            <w:tcW w:w="913" w:type="pct"/>
            <w:tcBorders>
              <w:top w:val="single" w:color="000000" w:sz="4" w:space="0"/>
              <w:left w:val="nil"/>
              <w:bottom w:val="single" w:color="000000" w:sz="4" w:space="0"/>
              <w:right w:val="single" w:color="000000" w:sz="4" w:space="0"/>
            </w:tcBorders>
            <w:vAlign w:val="center"/>
          </w:tcPr>
          <w:p w14:paraId="012F15EE">
            <w:pPr>
              <w:widowControl/>
              <w:spacing w:line="360" w:lineRule="auto"/>
              <w:rPr>
                <w:rFonts w:hint="eastAsia" w:ascii="仿宋" w:hAnsi="仿宋" w:eastAsia="仿宋" w:cs="仿宋"/>
                <w:color w:val="auto"/>
                <w:spacing w:val="20"/>
                <w:highlight w:val="none"/>
              </w:rPr>
            </w:pPr>
            <w:r>
              <w:rPr>
                <w:rFonts w:hint="eastAsia" w:ascii="仿宋" w:hAnsi="仿宋" w:eastAsia="仿宋" w:cs="仿宋"/>
                <w:color w:val="auto"/>
                <w:spacing w:val="20"/>
                <w:highlight w:val="none"/>
              </w:rPr>
              <w:t>业主单位</w:t>
            </w:r>
          </w:p>
        </w:tc>
        <w:tc>
          <w:tcPr>
            <w:tcW w:w="831" w:type="pct"/>
            <w:tcBorders>
              <w:top w:val="single" w:color="000000" w:sz="4" w:space="0"/>
              <w:left w:val="nil"/>
              <w:bottom w:val="single" w:color="000000" w:sz="4" w:space="0"/>
              <w:right w:val="single" w:color="000000" w:sz="4" w:space="0"/>
            </w:tcBorders>
            <w:vAlign w:val="center"/>
          </w:tcPr>
          <w:p w14:paraId="06690349">
            <w:pPr>
              <w:widowControl/>
              <w:spacing w:line="360" w:lineRule="auto"/>
              <w:rPr>
                <w:rFonts w:hint="eastAsia" w:ascii="仿宋" w:hAnsi="仿宋" w:eastAsia="仿宋" w:cs="仿宋"/>
                <w:color w:val="auto"/>
                <w:spacing w:val="20"/>
                <w:highlight w:val="none"/>
              </w:rPr>
            </w:pPr>
            <w:r>
              <w:rPr>
                <w:rFonts w:hint="eastAsia" w:ascii="仿宋" w:hAnsi="仿宋" w:eastAsia="仿宋" w:cs="仿宋"/>
                <w:color w:val="auto"/>
                <w:spacing w:val="20"/>
                <w:highlight w:val="none"/>
              </w:rPr>
              <w:t>签订时间</w:t>
            </w:r>
          </w:p>
        </w:tc>
        <w:tc>
          <w:tcPr>
            <w:tcW w:w="448" w:type="pct"/>
            <w:tcBorders>
              <w:top w:val="single" w:color="000000" w:sz="4" w:space="0"/>
              <w:left w:val="nil"/>
              <w:bottom w:val="single" w:color="000000" w:sz="4" w:space="0"/>
              <w:right w:val="single" w:color="000000" w:sz="4" w:space="0"/>
            </w:tcBorders>
            <w:vAlign w:val="center"/>
          </w:tcPr>
          <w:p w14:paraId="05AFC75D">
            <w:pPr>
              <w:widowControl/>
              <w:spacing w:line="360" w:lineRule="auto"/>
              <w:rPr>
                <w:rFonts w:hint="eastAsia" w:ascii="仿宋" w:hAnsi="仿宋" w:eastAsia="仿宋" w:cs="仿宋"/>
                <w:color w:val="auto"/>
                <w:spacing w:val="20"/>
                <w:highlight w:val="none"/>
              </w:rPr>
            </w:pPr>
            <w:r>
              <w:rPr>
                <w:rFonts w:hint="eastAsia" w:ascii="仿宋" w:hAnsi="仿宋" w:eastAsia="仿宋" w:cs="仿宋"/>
                <w:color w:val="auto"/>
                <w:spacing w:val="20"/>
                <w:highlight w:val="none"/>
              </w:rPr>
              <w:t>备注</w:t>
            </w:r>
          </w:p>
        </w:tc>
      </w:tr>
      <w:tr w14:paraId="38994802">
        <w:tblPrEx>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vAlign w:val="center"/>
          </w:tcPr>
          <w:p w14:paraId="1E38F035">
            <w:pPr>
              <w:widowControl/>
              <w:spacing w:line="360" w:lineRule="auto"/>
              <w:ind w:firstLine="500" w:firstLineChars="200"/>
              <w:jc w:val="center"/>
              <w:rPr>
                <w:rFonts w:hint="eastAsia" w:ascii="仿宋" w:hAnsi="仿宋" w:eastAsia="仿宋" w:cs="仿宋"/>
                <w:color w:val="auto"/>
                <w:spacing w:val="20"/>
                <w:highlight w:val="none"/>
              </w:rPr>
            </w:pPr>
          </w:p>
        </w:tc>
        <w:tc>
          <w:tcPr>
            <w:tcW w:w="1007" w:type="pct"/>
            <w:tcBorders>
              <w:top w:val="single" w:color="000000" w:sz="4" w:space="0"/>
              <w:left w:val="nil"/>
              <w:bottom w:val="single" w:color="000000" w:sz="4" w:space="0"/>
              <w:right w:val="single" w:color="000000" w:sz="4" w:space="0"/>
            </w:tcBorders>
            <w:vAlign w:val="center"/>
          </w:tcPr>
          <w:p w14:paraId="0963E3A5">
            <w:pPr>
              <w:widowControl/>
              <w:spacing w:line="360" w:lineRule="auto"/>
              <w:ind w:firstLine="500" w:firstLineChars="200"/>
              <w:jc w:val="center"/>
              <w:rPr>
                <w:rFonts w:hint="eastAsia" w:ascii="仿宋" w:hAnsi="仿宋" w:eastAsia="仿宋" w:cs="仿宋"/>
                <w:color w:val="auto"/>
                <w:spacing w:val="20"/>
                <w:highlight w:val="none"/>
              </w:rPr>
            </w:pPr>
          </w:p>
        </w:tc>
        <w:tc>
          <w:tcPr>
            <w:tcW w:w="1287" w:type="pct"/>
            <w:tcBorders>
              <w:top w:val="single" w:color="000000" w:sz="4" w:space="0"/>
              <w:left w:val="nil"/>
              <w:bottom w:val="single" w:color="000000" w:sz="4" w:space="0"/>
              <w:right w:val="single" w:color="000000" w:sz="4" w:space="0"/>
            </w:tcBorders>
            <w:vAlign w:val="center"/>
          </w:tcPr>
          <w:p w14:paraId="5820E1DE">
            <w:pPr>
              <w:widowControl/>
              <w:spacing w:line="360" w:lineRule="auto"/>
              <w:ind w:firstLine="500" w:firstLineChars="200"/>
              <w:jc w:val="center"/>
              <w:rPr>
                <w:rFonts w:hint="eastAsia" w:ascii="仿宋" w:hAnsi="仿宋" w:eastAsia="仿宋" w:cs="仿宋"/>
                <w:color w:val="auto"/>
                <w:spacing w:val="20"/>
                <w:highlight w:val="none"/>
              </w:rPr>
            </w:pPr>
          </w:p>
        </w:tc>
        <w:tc>
          <w:tcPr>
            <w:tcW w:w="913" w:type="pct"/>
            <w:tcBorders>
              <w:top w:val="single" w:color="000000" w:sz="4" w:space="0"/>
              <w:left w:val="nil"/>
              <w:bottom w:val="single" w:color="000000" w:sz="4" w:space="0"/>
              <w:right w:val="single" w:color="000000" w:sz="4" w:space="0"/>
            </w:tcBorders>
          </w:tcPr>
          <w:p w14:paraId="0085F2F2">
            <w:pPr>
              <w:widowControl/>
              <w:spacing w:line="360" w:lineRule="auto"/>
              <w:ind w:firstLine="500" w:firstLineChars="200"/>
              <w:jc w:val="center"/>
              <w:rPr>
                <w:rFonts w:hint="eastAsia" w:ascii="仿宋" w:hAnsi="仿宋" w:eastAsia="仿宋" w:cs="仿宋"/>
                <w:color w:val="auto"/>
                <w:spacing w:val="20"/>
                <w:highlight w:val="none"/>
              </w:rPr>
            </w:pPr>
          </w:p>
        </w:tc>
        <w:tc>
          <w:tcPr>
            <w:tcW w:w="831" w:type="pct"/>
            <w:tcBorders>
              <w:top w:val="single" w:color="000000" w:sz="4" w:space="0"/>
              <w:left w:val="nil"/>
              <w:bottom w:val="single" w:color="000000" w:sz="4" w:space="0"/>
              <w:right w:val="single" w:color="000000" w:sz="4" w:space="0"/>
            </w:tcBorders>
            <w:vAlign w:val="center"/>
          </w:tcPr>
          <w:p w14:paraId="2DC5D39B">
            <w:pPr>
              <w:widowControl/>
              <w:spacing w:line="360" w:lineRule="auto"/>
              <w:ind w:firstLine="500" w:firstLineChars="200"/>
              <w:jc w:val="center"/>
              <w:rPr>
                <w:rFonts w:hint="eastAsia" w:ascii="仿宋" w:hAnsi="仿宋" w:eastAsia="仿宋" w:cs="仿宋"/>
                <w:color w:val="auto"/>
                <w:spacing w:val="20"/>
                <w:highlight w:val="none"/>
              </w:rPr>
            </w:pPr>
          </w:p>
        </w:tc>
        <w:tc>
          <w:tcPr>
            <w:tcW w:w="448" w:type="pct"/>
            <w:tcBorders>
              <w:top w:val="single" w:color="000000" w:sz="4" w:space="0"/>
              <w:left w:val="nil"/>
              <w:bottom w:val="single" w:color="000000" w:sz="4" w:space="0"/>
              <w:right w:val="single" w:color="000000" w:sz="4" w:space="0"/>
            </w:tcBorders>
          </w:tcPr>
          <w:p w14:paraId="1953A2CD">
            <w:pPr>
              <w:widowControl/>
              <w:spacing w:line="360" w:lineRule="auto"/>
              <w:ind w:firstLine="500" w:firstLineChars="200"/>
              <w:jc w:val="center"/>
              <w:rPr>
                <w:rFonts w:hint="eastAsia" w:ascii="仿宋" w:hAnsi="仿宋" w:eastAsia="仿宋" w:cs="仿宋"/>
                <w:color w:val="auto"/>
                <w:spacing w:val="20"/>
                <w:highlight w:val="none"/>
              </w:rPr>
            </w:pPr>
          </w:p>
        </w:tc>
      </w:tr>
      <w:tr w14:paraId="5B97B924">
        <w:tblPrEx>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vAlign w:val="center"/>
          </w:tcPr>
          <w:p w14:paraId="6B6C5964">
            <w:pPr>
              <w:widowControl/>
              <w:spacing w:line="360" w:lineRule="auto"/>
              <w:ind w:firstLine="500" w:firstLineChars="200"/>
              <w:jc w:val="center"/>
              <w:rPr>
                <w:rFonts w:hint="eastAsia" w:ascii="仿宋" w:hAnsi="仿宋" w:eastAsia="仿宋" w:cs="仿宋"/>
                <w:color w:val="auto"/>
                <w:spacing w:val="20"/>
                <w:highlight w:val="none"/>
              </w:rPr>
            </w:pPr>
          </w:p>
        </w:tc>
        <w:tc>
          <w:tcPr>
            <w:tcW w:w="1007" w:type="pct"/>
            <w:tcBorders>
              <w:top w:val="single" w:color="000000" w:sz="4" w:space="0"/>
              <w:left w:val="nil"/>
              <w:bottom w:val="single" w:color="000000" w:sz="4" w:space="0"/>
              <w:right w:val="single" w:color="000000" w:sz="4" w:space="0"/>
            </w:tcBorders>
            <w:vAlign w:val="center"/>
          </w:tcPr>
          <w:p w14:paraId="36AE3FA0">
            <w:pPr>
              <w:widowControl/>
              <w:spacing w:line="360" w:lineRule="auto"/>
              <w:ind w:firstLine="500" w:firstLineChars="200"/>
              <w:jc w:val="center"/>
              <w:rPr>
                <w:rFonts w:hint="eastAsia" w:ascii="仿宋" w:hAnsi="仿宋" w:eastAsia="仿宋" w:cs="仿宋"/>
                <w:color w:val="auto"/>
                <w:spacing w:val="20"/>
                <w:highlight w:val="none"/>
              </w:rPr>
            </w:pPr>
          </w:p>
        </w:tc>
        <w:tc>
          <w:tcPr>
            <w:tcW w:w="1287" w:type="pct"/>
            <w:tcBorders>
              <w:top w:val="single" w:color="000000" w:sz="4" w:space="0"/>
              <w:left w:val="nil"/>
              <w:bottom w:val="single" w:color="000000" w:sz="4" w:space="0"/>
              <w:right w:val="single" w:color="000000" w:sz="4" w:space="0"/>
            </w:tcBorders>
            <w:vAlign w:val="center"/>
          </w:tcPr>
          <w:p w14:paraId="55CB9EFC">
            <w:pPr>
              <w:widowControl/>
              <w:spacing w:line="360" w:lineRule="auto"/>
              <w:ind w:firstLine="500" w:firstLineChars="200"/>
              <w:jc w:val="center"/>
              <w:rPr>
                <w:rFonts w:hint="eastAsia" w:ascii="仿宋" w:hAnsi="仿宋" w:eastAsia="仿宋" w:cs="仿宋"/>
                <w:color w:val="auto"/>
                <w:spacing w:val="20"/>
                <w:highlight w:val="none"/>
              </w:rPr>
            </w:pPr>
          </w:p>
        </w:tc>
        <w:tc>
          <w:tcPr>
            <w:tcW w:w="913" w:type="pct"/>
            <w:tcBorders>
              <w:top w:val="single" w:color="000000" w:sz="4" w:space="0"/>
              <w:left w:val="nil"/>
              <w:bottom w:val="single" w:color="000000" w:sz="4" w:space="0"/>
              <w:right w:val="single" w:color="000000" w:sz="4" w:space="0"/>
            </w:tcBorders>
          </w:tcPr>
          <w:p w14:paraId="7F9F1CC8">
            <w:pPr>
              <w:widowControl/>
              <w:spacing w:line="360" w:lineRule="auto"/>
              <w:ind w:firstLine="500" w:firstLineChars="200"/>
              <w:jc w:val="center"/>
              <w:rPr>
                <w:rFonts w:hint="eastAsia" w:ascii="仿宋" w:hAnsi="仿宋" w:eastAsia="仿宋" w:cs="仿宋"/>
                <w:color w:val="auto"/>
                <w:spacing w:val="20"/>
                <w:highlight w:val="none"/>
              </w:rPr>
            </w:pPr>
          </w:p>
        </w:tc>
        <w:tc>
          <w:tcPr>
            <w:tcW w:w="831" w:type="pct"/>
            <w:tcBorders>
              <w:top w:val="single" w:color="000000" w:sz="4" w:space="0"/>
              <w:left w:val="nil"/>
              <w:bottom w:val="single" w:color="000000" w:sz="4" w:space="0"/>
              <w:right w:val="single" w:color="000000" w:sz="4" w:space="0"/>
            </w:tcBorders>
            <w:vAlign w:val="center"/>
          </w:tcPr>
          <w:p w14:paraId="162032CC">
            <w:pPr>
              <w:widowControl/>
              <w:spacing w:line="360" w:lineRule="auto"/>
              <w:ind w:firstLine="500" w:firstLineChars="200"/>
              <w:jc w:val="center"/>
              <w:rPr>
                <w:rFonts w:hint="eastAsia" w:ascii="仿宋" w:hAnsi="仿宋" w:eastAsia="仿宋" w:cs="仿宋"/>
                <w:color w:val="auto"/>
                <w:spacing w:val="20"/>
                <w:highlight w:val="none"/>
              </w:rPr>
            </w:pPr>
          </w:p>
        </w:tc>
        <w:tc>
          <w:tcPr>
            <w:tcW w:w="448" w:type="pct"/>
            <w:tcBorders>
              <w:top w:val="single" w:color="000000" w:sz="4" w:space="0"/>
              <w:left w:val="nil"/>
              <w:bottom w:val="single" w:color="000000" w:sz="4" w:space="0"/>
              <w:right w:val="single" w:color="000000" w:sz="4" w:space="0"/>
            </w:tcBorders>
          </w:tcPr>
          <w:p w14:paraId="6C49859D">
            <w:pPr>
              <w:widowControl/>
              <w:spacing w:line="360" w:lineRule="auto"/>
              <w:ind w:firstLine="500" w:firstLineChars="200"/>
              <w:jc w:val="center"/>
              <w:rPr>
                <w:rFonts w:hint="eastAsia" w:ascii="仿宋" w:hAnsi="仿宋" w:eastAsia="仿宋" w:cs="仿宋"/>
                <w:color w:val="auto"/>
                <w:spacing w:val="20"/>
                <w:highlight w:val="none"/>
              </w:rPr>
            </w:pPr>
          </w:p>
        </w:tc>
      </w:tr>
      <w:tr w14:paraId="6E366A52">
        <w:tblPrEx>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vAlign w:val="center"/>
          </w:tcPr>
          <w:p w14:paraId="66A68380">
            <w:pPr>
              <w:widowControl/>
              <w:spacing w:line="360" w:lineRule="auto"/>
              <w:ind w:firstLine="500" w:firstLineChars="200"/>
              <w:jc w:val="center"/>
              <w:rPr>
                <w:rFonts w:hint="eastAsia" w:ascii="仿宋" w:hAnsi="仿宋" w:eastAsia="仿宋" w:cs="仿宋"/>
                <w:color w:val="auto"/>
                <w:spacing w:val="20"/>
                <w:highlight w:val="none"/>
              </w:rPr>
            </w:pPr>
          </w:p>
        </w:tc>
        <w:tc>
          <w:tcPr>
            <w:tcW w:w="1007" w:type="pct"/>
            <w:tcBorders>
              <w:top w:val="single" w:color="000000" w:sz="4" w:space="0"/>
              <w:left w:val="nil"/>
              <w:bottom w:val="single" w:color="000000" w:sz="4" w:space="0"/>
              <w:right w:val="single" w:color="000000" w:sz="4" w:space="0"/>
            </w:tcBorders>
            <w:vAlign w:val="center"/>
          </w:tcPr>
          <w:p w14:paraId="1D0FB525">
            <w:pPr>
              <w:widowControl/>
              <w:spacing w:line="360" w:lineRule="auto"/>
              <w:ind w:firstLine="500" w:firstLineChars="200"/>
              <w:jc w:val="center"/>
              <w:rPr>
                <w:rFonts w:hint="eastAsia" w:ascii="仿宋" w:hAnsi="仿宋" w:eastAsia="仿宋" w:cs="仿宋"/>
                <w:color w:val="auto"/>
                <w:spacing w:val="20"/>
                <w:highlight w:val="none"/>
              </w:rPr>
            </w:pPr>
          </w:p>
        </w:tc>
        <w:tc>
          <w:tcPr>
            <w:tcW w:w="1287" w:type="pct"/>
            <w:tcBorders>
              <w:top w:val="single" w:color="000000" w:sz="4" w:space="0"/>
              <w:left w:val="nil"/>
              <w:bottom w:val="single" w:color="000000" w:sz="4" w:space="0"/>
              <w:right w:val="single" w:color="000000" w:sz="4" w:space="0"/>
            </w:tcBorders>
            <w:vAlign w:val="center"/>
          </w:tcPr>
          <w:p w14:paraId="7EA518A4">
            <w:pPr>
              <w:widowControl/>
              <w:spacing w:line="360" w:lineRule="auto"/>
              <w:ind w:firstLine="500" w:firstLineChars="200"/>
              <w:jc w:val="center"/>
              <w:rPr>
                <w:rFonts w:hint="eastAsia" w:ascii="仿宋" w:hAnsi="仿宋" w:eastAsia="仿宋" w:cs="仿宋"/>
                <w:color w:val="auto"/>
                <w:spacing w:val="20"/>
                <w:highlight w:val="none"/>
              </w:rPr>
            </w:pPr>
          </w:p>
        </w:tc>
        <w:tc>
          <w:tcPr>
            <w:tcW w:w="913" w:type="pct"/>
            <w:tcBorders>
              <w:top w:val="single" w:color="000000" w:sz="4" w:space="0"/>
              <w:left w:val="nil"/>
              <w:bottom w:val="single" w:color="000000" w:sz="4" w:space="0"/>
              <w:right w:val="single" w:color="000000" w:sz="4" w:space="0"/>
            </w:tcBorders>
          </w:tcPr>
          <w:p w14:paraId="1EAF415E">
            <w:pPr>
              <w:widowControl/>
              <w:spacing w:line="360" w:lineRule="auto"/>
              <w:ind w:firstLine="500" w:firstLineChars="200"/>
              <w:jc w:val="center"/>
              <w:rPr>
                <w:rFonts w:hint="eastAsia" w:ascii="仿宋" w:hAnsi="仿宋" w:eastAsia="仿宋" w:cs="仿宋"/>
                <w:color w:val="auto"/>
                <w:spacing w:val="20"/>
                <w:highlight w:val="none"/>
              </w:rPr>
            </w:pPr>
          </w:p>
        </w:tc>
        <w:tc>
          <w:tcPr>
            <w:tcW w:w="831" w:type="pct"/>
            <w:tcBorders>
              <w:top w:val="single" w:color="000000" w:sz="4" w:space="0"/>
              <w:left w:val="nil"/>
              <w:bottom w:val="single" w:color="000000" w:sz="4" w:space="0"/>
              <w:right w:val="single" w:color="000000" w:sz="4" w:space="0"/>
            </w:tcBorders>
            <w:vAlign w:val="center"/>
          </w:tcPr>
          <w:p w14:paraId="446B7B4E">
            <w:pPr>
              <w:widowControl/>
              <w:spacing w:line="360" w:lineRule="auto"/>
              <w:ind w:firstLine="500" w:firstLineChars="200"/>
              <w:jc w:val="center"/>
              <w:rPr>
                <w:rFonts w:hint="eastAsia" w:ascii="仿宋" w:hAnsi="仿宋" w:eastAsia="仿宋" w:cs="仿宋"/>
                <w:color w:val="auto"/>
                <w:spacing w:val="20"/>
                <w:highlight w:val="none"/>
              </w:rPr>
            </w:pPr>
          </w:p>
        </w:tc>
        <w:tc>
          <w:tcPr>
            <w:tcW w:w="448" w:type="pct"/>
            <w:tcBorders>
              <w:top w:val="single" w:color="000000" w:sz="4" w:space="0"/>
              <w:left w:val="nil"/>
              <w:bottom w:val="single" w:color="000000" w:sz="4" w:space="0"/>
              <w:right w:val="single" w:color="000000" w:sz="4" w:space="0"/>
            </w:tcBorders>
          </w:tcPr>
          <w:p w14:paraId="6A66361A">
            <w:pPr>
              <w:widowControl/>
              <w:spacing w:line="360" w:lineRule="auto"/>
              <w:ind w:firstLine="500" w:firstLineChars="200"/>
              <w:jc w:val="center"/>
              <w:rPr>
                <w:rFonts w:hint="eastAsia" w:ascii="仿宋" w:hAnsi="仿宋" w:eastAsia="仿宋" w:cs="仿宋"/>
                <w:color w:val="auto"/>
                <w:spacing w:val="20"/>
                <w:highlight w:val="none"/>
              </w:rPr>
            </w:pPr>
          </w:p>
        </w:tc>
      </w:tr>
      <w:tr w14:paraId="0F61FCB8">
        <w:tblPrEx>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vAlign w:val="center"/>
          </w:tcPr>
          <w:p w14:paraId="3899B4B0">
            <w:pPr>
              <w:widowControl/>
              <w:spacing w:line="360" w:lineRule="auto"/>
              <w:ind w:firstLine="500" w:firstLineChars="200"/>
              <w:jc w:val="center"/>
              <w:rPr>
                <w:rFonts w:hint="eastAsia" w:ascii="仿宋" w:hAnsi="仿宋" w:eastAsia="仿宋" w:cs="仿宋"/>
                <w:color w:val="auto"/>
                <w:spacing w:val="20"/>
                <w:highlight w:val="none"/>
              </w:rPr>
            </w:pPr>
          </w:p>
        </w:tc>
        <w:tc>
          <w:tcPr>
            <w:tcW w:w="1007" w:type="pct"/>
            <w:tcBorders>
              <w:top w:val="single" w:color="000000" w:sz="4" w:space="0"/>
              <w:left w:val="nil"/>
              <w:bottom w:val="single" w:color="000000" w:sz="4" w:space="0"/>
              <w:right w:val="single" w:color="000000" w:sz="4" w:space="0"/>
            </w:tcBorders>
            <w:vAlign w:val="center"/>
          </w:tcPr>
          <w:p w14:paraId="7BB5A92A">
            <w:pPr>
              <w:widowControl/>
              <w:spacing w:line="360" w:lineRule="auto"/>
              <w:ind w:firstLine="500" w:firstLineChars="200"/>
              <w:jc w:val="center"/>
              <w:rPr>
                <w:rFonts w:hint="eastAsia" w:ascii="仿宋" w:hAnsi="仿宋" w:eastAsia="仿宋" w:cs="仿宋"/>
                <w:color w:val="auto"/>
                <w:spacing w:val="20"/>
                <w:highlight w:val="none"/>
              </w:rPr>
            </w:pPr>
          </w:p>
        </w:tc>
        <w:tc>
          <w:tcPr>
            <w:tcW w:w="1287" w:type="pct"/>
            <w:tcBorders>
              <w:top w:val="single" w:color="000000" w:sz="4" w:space="0"/>
              <w:left w:val="nil"/>
              <w:bottom w:val="single" w:color="000000" w:sz="4" w:space="0"/>
              <w:right w:val="single" w:color="000000" w:sz="4" w:space="0"/>
            </w:tcBorders>
            <w:vAlign w:val="center"/>
          </w:tcPr>
          <w:p w14:paraId="03279950">
            <w:pPr>
              <w:widowControl/>
              <w:spacing w:line="360" w:lineRule="auto"/>
              <w:ind w:firstLine="500" w:firstLineChars="200"/>
              <w:jc w:val="center"/>
              <w:rPr>
                <w:rFonts w:hint="eastAsia" w:ascii="仿宋" w:hAnsi="仿宋" w:eastAsia="仿宋" w:cs="仿宋"/>
                <w:color w:val="auto"/>
                <w:spacing w:val="20"/>
                <w:highlight w:val="none"/>
              </w:rPr>
            </w:pPr>
          </w:p>
        </w:tc>
        <w:tc>
          <w:tcPr>
            <w:tcW w:w="913" w:type="pct"/>
            <w:tcBorders>
              <w:top w:val="single" w:color="000000" w:sz="4" w:space="0"/>
              <w:left w:val="nil"/>
              <w:bottom w:val="single" w:color="000000" w:sz="4" w:space="0"/>
              <w:right w:val="single" w:color="000000" w:sz="4" w:space="0"/>
            </w:tcBorders>
          </w:tcPr>
          <w:p w14:paraId="213138A7">
            <w:pPr>
              <w:widowControl/>
              <w:spacing w:line="360" w:lineRule="auto"/>
              <w:ind w:firstLine="500" w:firstLineChars="200"/>
              <w:jc w:val="center"/>
              <w:rPr>
                <w:rFonts w:hint="eastAsia" w:ascii="仿宋" w:hAnsi="仿宋" w:eastAsia="仿宋" w:cs="仿宋"/>
                <w:color w:val="auto"/>
                <w:spacing w:val="20"/>
                <w:highlight w:val="none"/>
              </w:rPr>
            </w:pPr>
          </w:p>
        </w:tc>
        <w:tc>
          <w:tcPr>
            <w:tcW w:w="831" w:type="pct"/>
            <w:tcBorders>
              <w:top w:val="single" w:color="000000" w:sz="4" w:space="0"/>
              <w:left w:val="nil"/>
              <w:bottom w:val="single" w:color="000000" w:sz="4" w:space="0"/>
              <w:right w:val="single" w:color="000000" w:sz="4" w:space="0"/>
            </w:tcBorders>
            <w:vAlign w:val="center"/>
          </w:tcPr>
          <w:p w14:paraId="7857270C">
            <w:pPr>
              <w:widowControl/>
              <w:spacing w:line="360" w:lineRule="auto"/>
              <w:ind w:firstLine="500" w:firstLineChars="200"/>
              <w:jc w:val="center"/>
              <w:rPr>
                <w:rFonts w:hint="eastAsia" w:ascii="仿宋" w:hAnsi="仿宋" w:eastAsia="仿宋" w:cs="仿宋"/>
                <w:color w:val="auto"/>
                <w:spacing w:val="20"/>
                <w:highlight w:val="none"/>
              </w:rPr>
            </w:pPr>
          </w:p>
        </w:tc>
        <w:tc>
          <w:tcPr>
            <w:tcW w:w="448" w:type="pct"/>
            <w:tcBorders>
              <w:top w:val="single" w:color="000000" w:sz="4" w:space="0"/>
              <w:left w:val="nil"/>
              <w:bottom w:val="single" w:color="000000" w:sz="4" w:space="0"/>
              <w:right w:val="single" w:color="000000" w:sz="4" w:space="0"/>
            </w:tcBorders>
          </w:tcPr>
          <w:p w14:paraId="4281FA09">
            <w:pPr>
              <w:widowControl/>
              <w:spacing w:line="360" w:lineRule="auto"/>
              <w:ind w:firstLine="500" w:firstLineChars="200"/>
              <w:jc w:val="center"/>
              <w:rPr>
                <w:rFonts w:hint="eastAsia" w:ascii="仿宋" w:hAnsi="仿宋" w:eastAsia="仿宋" w:cs="仿宋"/>
                <w:color w:val="auto"/>
                <w:spacing w:val="20"/>
                <w:highlight w:val="none"/>
              </w:rPr>
            </w:pPr>
          </w:p>
        </w:tc>
      </w:tr>
      <w:tr w14:paraId="0FB29565">
        <w:tblPrEx>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vAlign w:val="center"/>
          </w:tcPr>
          <w:p w14:paraId="3D28E354">
            <w:pPr>
              <w:widowControl/>
              <w:spacing w:line="360" w:lineRule="auto"/>
              <w:ind w:firstLine="500" w:firstLineChars="200"/>
              <w:jc w:val="center"/>
              <w:rPr>
                <w:rFonts w:hint="eastAsia" w:ascii="仿宋" w:hAnsi="仿宋" w:eastAsia="仿宋" w:cs="仿宋"/>
                <w:color w:val="auto"/>
                <w:spacing w:val="20"/>
                <w:highlight w:val="none"/>
              </w:rPr>
            </w:pPr>
          </w:p>
        </w:tc>
        <w:tc>
          <w:tcPr>
            <w:tcW w:w="1007" w:type="pct"/>
            <w:tcBorders>
              <w:top w:val="single" w:color="000000" w:sz="4" w:space="0"/>
              <w:left w:val="nil"/>
              <w:bottom w:val="single" w:color="000000" w:sz="4" w:space="0"/>
              <w:right w:val="single" w:color="000000" w:sz="4" w:space="0"/>
            </w:tcBorders>
            <w:vAlign w:val="center"/>
          </w:tcPr>
          <w:p w14:paraId="64A5E81A">
            <w:pPr>
              <w:widowControl/>
              <w:spacing w:line="360" w:lineRule="auto"/>
              <w:ind w:firstLine="500" w:firstLineChars="200"/>
              <w:jc w:val="center"/>
              <w:rPr>
                <w:rFonts w:hint="eastAsia" w:ascii="仿宋" w:hAnsi="仿宋" w:eastAsia="仿宋" w:cs="仿宋"/>
                <w:color w:val="auto"/>
                <w:spacing w:val="20"/>
                <w:highlight w:val="none"/>
              </w:rPr>
            </w:pPr>
          </w:p>
        </w:tc>
        <w:tc>
          <w:tcPr>
            <w:tcW w:w="1287" w:type="pct"/>
            <w:tcBorders>
              <w:top w:val="single" w:color="000000" w:sz="4" w:space="0"/>
              <w:left w:val="nil"/>
              <w:bottom w:val="single" w:color="000000" w:sz="4" w:space="0"/>
              <w:right w:val="single" w:color="000000" w:sz="4" w:space="0"/>
            </w:tcBorders>
            <w:vAlign w:val="center"/>
          </w:tcPr>
          <w:p w14:paraId="4BC61E70">
            <w:pPr>
              <w:widowControl/>
              <w:spacing w:line="360" w:lineRule="auto"/>
              <w:ind w:firstLine="500" w:firstLineChars="200"/>
              <w:jc w:val="center"/>
              <w:rPr>
                <w:rFonts w:hint="eastAsia" w:ascii="仿宋" w:hAnsi="仿宋" w:eastAsia="仿宋" w:cs="仿宋"/>
                <w:color w:val="auto"/>
                <w:spacing w:val="20"/>
                <w:highlight w:val="none"/>
              </w:rPr>
            </w:pPr>
          </w:p>
        </w:tc>
        <w:tc>
          <w:tcPr>
            <w:tcW w:w="913" w:type="pct"/>
            <w:tcBorders>
              <w:top w:val="single" w:color="000000" w:sz="4" w:space="0"/>
              <w:left w:val="nil"/>
              <w:bottom w:val="single" w:color="000000" w:sz="4" w:space="0"/>
              <w:right w:val="single" w:color="000000" w:sz="4" w:space="0"/>
            </w:tcBorders>
          </w:tcPr>
          <w:p w14:paraId="0A8A853C">
            <w:pPr>
              <w:widowControl/>
              <w:spacing w:line="360" w:lineRule="auto"/>
              <w:ind w:firstLine="500" w:firstLineChars="200"/>
              <w:jc w:val="center"/>
              <w:rPr>
                <w:rFonts w:hint="eastAsia" w:ascii="仿宋" w:hAnsi="仿宋" w:eastAsia="仿宋" w:cs="仿宋"/>
                <w:color w:val="auto"/>
                <w:spacing w:val="20"/>
                <w:highlight w:val="none"/>
              </w:rPr>
            </w:pPr>
          </w:p>
        </w:tc>
        <w:tc>
          <w:tcPr>
            <w:tcW w:w="831" w:type="pct"/>
            <w:tcBorders>
              <w:top w:val="single" w:color="000000" w:sz="4" w:space="0"/>
              <w:left w:val="nil"/>
              <w:bottom w:val="single" w:color="000000" w:sz="4" w:space="0"/>
              <w:right w:val="single" w:color="000000" w:sz="4" w:space="0"/>
            </w:tcBorders>
            <w:vAlign w:val="center"/>
          </w:tcPr>
          <w:p w14:paraId="7F25FA67">
            <w:pPr>
              <w:widowControl/>
              <w:spacing w:line="360" w:lineRule="auto"/>
              <w:ind w:firstLine="500" w:firstLineChars="200"/>
              <w:jc w:val="center"/>
              <w:rPr>
                <w:rFonts w:hint="eastAsia" w:ascii="仿宋" w:hAnsi="仿宋" w:eastAsia="仿宋" w:cs="仿宋"/>
                <w:color w:val="auto"/>
                <w:spacing w:val="20"/>
                <w:highlight w:val="none"/>
              </w:rPr>
            </w:pPr>
          </w:p>
        </w:tc>
        <w:tc>
          <w:tcPr>
            <w:tcW w:w="448" w:type="pct"/>
            <w:tcBorders>
              <w:top w:val="single" w:color="000000" w:sz="4" w:space="0"/>
              <w:left w:val="nil"/>
              <w:bottom w:val="single" w:color="000000" w:sz="4" w:space="0"/>
              <w:right w:val="single" w:color="000000" w:sz="4" w:space="0"/>
            </w:tcBorders>
          </w:tcPr>
          <w:p w14:paraId="6F0436AE">
            <w:pPr>
              <w:widowControl/>
              <w:spacing w:line="360" w:lineRule="auto"/>
              <w:ind w:firstLine="500" w:firstLineChars="200"/>
              <w:jc w:val="center"/>
              <w:rPr>
                <w:rFonts w:hint="eastAsia" w:ascii="仿宋" w:hAnsi="仿宋" w:eastAsia="仿宋" w:cs="仿宋"/>
                <w:color w:val="auto"/>
                <w:spacing w:val="20"/>
                <w:highlight w:val="none"/>
              </w:rPr>
            </w:pPr>
          </w:p>
        </w:tc>
      </w:tr>
      <w:tr w14:paraId="4CD89FF5">
        <w:tblPrEx>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vAlign w:val="center"/>
          </w:tcPr>
          <w:p w14:paraId="5119F19F">
            <w:pPr>
              <w:widowControl/>
              <w:spacing w:line="360" w:lineRule="auto"/>
              <w:ind w:firstLine="500" w:firstLineChars="200"/>
              <w:jc w:val="center"/>
              <w:rPr>
                <w:rFonts w:hint="eastAsia" w:ascii="仿宋" w:hAnsi="仿宋" w:eastAsia="仿宋" w:cs="仿宋"/>
                <w:color w:val="auto"/>
                <w:spacing w:val="20"/>
                <w:highlight w:val="none"/>
              </w:rPr>
            </w:pPr>
          </w:p>
        </w:tc>
        <w:tc>
          <w:tcPr>
            <w:tcW w:w="1007" w:type="pct"/>
            <w:tcBorders>
              <w:top w:val="single" w:color="000000" w:sz="4" w:space="0"/>
              <w:left w:val="nil"/>
              <w:bottom w:val="single" w:color="000000" w:sz="4" w:space="0"/>
              <w:right w:val="single" w:color="000000" w:sz="4" w:space="0"/>
            </w:tcBorders>
            <w:vAlign w:val="center"/>
          </w:tcPr>
          <w:p w14:paraId="6B5747DC">
            <w:pPr>
              <w:widowControl/>
              <w:spacing w:line="360" w:lineRule="auto"/>
              <w:ind w:firstLine="500" w:firstLineChars="200"/>
              <w:jc w:val="center"/>
              <w:rPr>
                <w:rFonts w:hint="eastAsia" w:ascii="仿宋" w:hAnsi="仿宋" w:eastAsia="仿宋" w:cs="仿宋"/>
                <w:color w:val="auto"/>
                <w:spacing w:val="20"/>
                <w:highlight w:val="none"/>
              </w:rPr>
            </w:pPr>
          </w:p>
        </w:tc>
        <w:tc>
          <w:tcPr>
            <w:tcW w:w="1287" w:type="pct"/>
            <w:tcBorders>
              <w:top w:val="single" w:color="000000" w:sz="4" w:space="0"/>
              <w:left w:val="nil"/>
              <w:bottom w:val="single" w:color="000000" w:sz="4" w:space="0"/>
              <w:right w:val="single" w:color="000000" w:sz="4" w:space="0"/>
            </w:tcBorders>
            <w:vAlign w:val="center"/>
          </w:tcPr>
          <w:p w14:paraId="0E6CC0BB">
            <w:pPr>
              <w:widowControl/>
              <w:spacing w:line="360" w:lineRule="auto"/>
              <w:ind w:firstLine="500" w:firstLineChars="200"/>
              <w:jc w:val="center"/>
              <w:rPr>
                <w:rFonts w:hint="eastAsia" w:ascii="仿宋" w:hAnsi="仿宋" w:eastAsia="仿宋" w:cs="仿宋"/>
                <w:color w:val="auto"/>
                <w:spacing w:val="20"/>
                <w:highlight w:val="none"/>
              </w:rPr>
            </w:pPr>
          </w:p>
        </w:tc>
        <w:tc>
          <w:tcPr>
            <w:tcW w:w="913" w:type="pct"/>
            <w:tcBorders>
              <w:top w:val="single" w:color="000000" w:sz="4" w:space="0"/>
              <w:left w:val="nil"/>
              <w:bottom w:val="single" w:color="000000" w:sz="4" w:space="0"/>
              <w:right w:val="single" w:color="000000" w:sz="4" w:space="0"/>
            </w:tcBorders>
          </w:tcPr>
          <w:p w14:paraId="7D2A7882">
            <w:pPr>
              <w:widowControl/>
              <w:spacing w:line="360" w:lineRule="auto"/>
              <w:ind w:firstLine="500" w:firstLineChars="200"/>
              <w:jc w:val="center"/>
              <w:rPr>
                <w:rFonts w:hint="eastAsia" w:ascii="仿宋" w:hAnsi="仿宋" w:eastAsia="仿宋" w:cs="仿宋"/>
                <w:color w:val="auto"/>
                <w:spacing w:val="20"/>
                <w:highlight w:val="none"/>
              </w:rPr>
            </w:pPr>
          </w:p>
        </w:tc>
        <w:tc>
          <w:tcPr>
            <w:tcW w:w="831" w:type="pct"/>
            <w:tcBorders>
              <w:top w:val="single" w:color="000000" w:sz="4" w:space="0"/>
              <w:left w:val="nil"/>
              <w:bottom w:val="single" w:color="000000" w:sz="4" w:space="0"/>
              <w:right w:val="single" w:color="000000" w:sz="4" w:space="0"/>
            </w:tcBorders>
            <w:vAlign w:val="center"/>
          </w:tcPr>
          <w:p w14:paraId="615E045E">
            <w:pPr>
              <w:widowControl/>
              <w:spacing w:line="360" w:lineRule="auto"/>
              <w:ind w:firstLine="500" w:firstLineChars="200"/>
              <w:jc w:val="center"/>
              <w:rPr>
                <w:rFonts w:hint="eastAsia" w:ascii="仿宋" w:hAnsi="仿宋" w:eastAsia="仿宋" w:cs="仿宋"/>
                <w:color w:val="auto"/>
                <w:spacing w:val="20"/>
                <w:highlight w:val="none"/>
              </w:rPr>
            </w:pPr>
          </w:p>
        </w:tc>
        <w:tc>
          <w:tcPr>
            <w:tcW w:w="448" w:type="pct"/>
            <w:tcBorders>
              <w:top w:val="single" w:color="000000" w:sz="4" w:space="0"/>
              <w:left w:val="nil"/>
              <w:bottom w:val="single" w:color="000000" w:sz="4" w:space="0"/>
              <w:right w:val="single" w:color="000000" w:sz="4" w:space="0"/>
            </w:tcBorders>
          </w:tcPr>
          <w:p w14:paraId="6EDA6EC6">
            <w:pPr>
              <w:widowControl/>
              <w:spacing w:line="360" w:lineRule="auto"/>
              <w:ind w:firstLine="500" w:firstLineChars="200"/>
              <w:jc w:val="center"/>
              <w:rPr>
                <w:rFonts w:hint="eastAsia" w:ascii="仿宋" w:hAnsi="仿宋" w:eastAsia="仿宋" w:cs="仿宋"/>
                <w:color w:val="auto"/>
                <w:spacing w:val="20"/>
                <w:highlight w:val="none"/>
              </w:rPr>
            </w:pPr>
          </w:p>
        </w:tc>
      </w:tr>
    </w:tbl>
    <w:p w14:paraId="2D7D67ED">
      <w:pPr>
        <w:tabs>
          <w:tab w:val="left" w:pos="0"/>
        </w:tabs>
        <w:adjustRightInd w:val="0"/>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备注：1.投标人按照所投标项内容进行填写。</w:t>
      </w:r>
    </w:p>
    <w:p w14:paraId="3F08B47B">
      <w:pPr>
        <w:tabs>
          <w:tab w:val="left" w:pos="0"/>
        </w:tabs>
        <w:adjustRightInd w:val="0"/>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 此表在不改变表式的情况下，可自行制作。</w:t>
      </w:r>
    </w:p>
    <w:p w14:paraId="4C00B42A">
      <w:pPr>
        <w:tabs>
          <w:tab w:val="left" w:pos="0"/>
        </w:tabs>
        <w:adjustRightInd w:val="0"/>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 表中项目按评标办法要求提供，表后提供合同复印件等并加盖公章。</w:t>
      </w:r>
    </w:p>
    <w:p w14:paraId="520C9529">
      <w:pPr>
        <w:spacing w:line="360" w:lineRule="auto"/>
        <w:ind w:firstLine="420" w:firstLineChars="200"/>
        <w:rPr>
          <w:rFonts w:hint="eastAsia" w:ascii="仿宋" w:hAnsi="仿宋" w:eastAsia="仿宋" w:cs="仿宋"/>
          <w:color w:val="auto"/>
          <w:highlight w:val="none"/>
        </w:rPr>
      </w:pPr>
    </w:p>
    <w:p w14:paraId="47C320EF">
      <w:pPr>
        <w:spacing w:line="360" w:lineRule="auto"/>
        <w:ind w:firstLine="420" w:firstLineChars="200"/>
        <w:rPr>
          <w:rFonts w:hint="eastAsia" w:ascii="仿宋" w:hAnsi="仿宋" w:eastAsia="仿宋" w:cs="仿宋"/>
          <w:color w:val="auto"/>
          <w:highlight w:val="none"/>
        </w:rPr>
      </w:pPr>
    </w:p>
    <w:p w14:paraId="23D33EE7">
      <w:pPr>
        <w:spacing w:line="360" w:lineRule="auto"/>
        <w:ind w:firstLine="420" w:firstLineChars="200"/>
        <w:rPr>
          <w:rFonts w:hint="eastAsia" w:ascii="仿宋" w:hAnsi="仿宋" w:eastAsia="仿宋" w:cs="仿宋"/>
          <w:color w:val="auto"/>
          <w:highlight w:val="none"/>
        </w:rPr>
      </w:pPr>
    </w:p>
    <w:p w14:paraId="7A20E1BB">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投标人名称（盖章）：</w:t>
      </w:r>
    </w:p>
    <w:p w14:paraId="5A80BD84">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法定代表人或授权代表（签字或盖章）：</w:t>
      </w:r>
    </w:p>
    <w:p w14:paraId="17F35117">
      <w:pPr>
        <w:snapToGrid w:val="0"/>
        <w:spacing w:before="50" w:after="50" w:line="440" w:lineRule="exact"/>
        <w:ind w:left="-21" w:leftChars="-72" w:right="-817" w:rightChars="-389" w:hanging="130" w:hangingChars="62"/>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6C7A948D">
      <w:pPr>
        <w:tabs>
          <w:tab w:val="left" w:pos="0"/>
        </w:tabs>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330AD65">
      <w:pPr>
        <w:rPr>
          <w:rFonts w:hint="eastAsia" w:ascii="仿宋" w:hAnsi="仿宋" w:eastAsia="仿宋" w:cs="仿宋"/>
          <w:color w:val="auto"/>
          <w:sz w:val="22"/>
          <w:highlight w:val="none"/>
        </w:rPr>
      </w:pPr>
      <w:r>
        <w:rPr>
          <w:rFonts w:hint="eastAsia" w:ascii="仿宋" w:hAnsi="仿宋" w:eastAsia="仿宋" w:cs="仿宋"/>
          <w:color w:val="auto"/>
          <w:sz w:val="22"/>
          <w:highlight w:val="none"/>
        </w:rPr>
        <w:br w:type="page"/>
      </w:r>
    </w:p>
    <w:p w14:paraId="4AF27A83">
      <w:pPr>
        <w:snapToGrid w:val="0"/>
        <w:spacing w:before="120" w:beforeLines="50" w:after="50" w:line="440" w:lineRule="exact"/>
        <w:ind w:firstLine="44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2"/>
          <w:highlight w:val="none"/>
        </w:rPr>
        <w:br w:type="textWrapping"/>
      </w:r>
      <w:r>
        <w:rPr>
          <w:rFonts w:hint="eastAsia" w:ascii="仿宋" w:hAnsi="仿宋" w:eastAsia="仿宋" w:cs="仿宋"/>
          <w:bCs/>
          <w:color w:val="auto"/>
          <w:sz w:val="24"/>
          <w:szCs w:val="22"/>
          <w:highlight w:val="none"/>
        </w:rPr>
        <w:t>格式</w:t>
      </w:r>
      <w:r>
        <w:rPr>
          <w:rFonts w:hint="eastAsia" w:ascii="仿宋" w:hAnsi="仿宋" w:eastAsia="仿宋" w:cs="仿宋"/>
          <w:bCs/>
          <w:color w:val="auto"/>
          <w:sz w:val="24"/>
          <w:szCs w:val="22"/>
          <w:highlight w:val="none"/>
          <w:lang w:val="en-US" w:eastAsia="zh-CN"/>
        </w:rPr>
        <w:t>十</w:t>
      </w:r>
    </w:p>
    <w:p w14:paraId="0E29B27C">
      <w:pPr>
        <w:snapToGrid w:val="0"/>
        <w:spacing w:before="120" w:beforeLines="50" w:after="50"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承诺书</w:t>
      </w:r>
    </w:p>
    <w:p w14:paraId="7DD5C775">
      <w:pPr>
        <w:snapToGrid w:val="0"/>
        <w:spacing w:before="120" w:beforeLines="50" w:after="50" w:line="360" w:lineRule="auto"/>
        <w:ind w:firstLine="440" w:firstLineChars="200"/>
        <w:rPr>
          <w:rFonts w:hint="eastAsia" w:ascii="仿宋" w:hAnsi="仿宋" w:eastAsia="仿宋" w:cs="仿宋"/>
          <w:color w:val="auto"/>
          <w:sz w:val="22"/>
          <w:szCs w:val="22"/>
          <w:highlight w:val="none"/>
        </w:rPr>
      </w:pPr>
    </w:p>
    <w:p w14:paraId="2DFDA389">
      <w:pPr>
        <w:snapToGrid w:val="0"/>
        <w:spacing w:before="120" w:beforeLines="50" w:after="5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（招标采购单位名称）</w:t>
      </w:r>
      <w:r>
        <w:rPr>
          <w:rFonts w:hint="eastAsia" w:ascii="仿宋" w:hAnsi="仿宋" w:eastAsia="仿宋" w:cs="仿宋"/>
          <w:color w:val="auto"/>
          <w:highlight w:val="none"/>
        </w:rPr>
        <w:t>：</w:t>
      </w:r>
    </w:p>
    <w:p w14:paraId="71FB6C0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若我方有幸中标，从事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项目</w:t>
      </w:r>
      <w:r>
        <w:rPr>
          <w:rFonts w:hint="eastAsia" w:ascii="仿宋" w:hAnsi="仿宋" w:eastAsia="仿宋" w:cs="仿宋"/>
          <w:color w:val="auto"/>
          <w:szCs w:val="21"/>
          <w:highlight w:val="none"/>
          <w:u w:val="single"/>
        </w:rPr>
        <w:t>编号、项目名称）</w:t>
      </w:r>
      <w:r>
        <w:rPr>
          <w:rFonts w:hint="eastAsia" w:ascii="仿宋" w:hAnsi="仿宋" w:eastAsia="仿宋" w:cs="仿宋"/>
          <w:color w:val="auto"/>
          <w:szCs w:val="21"/>
          <w:highlight w:val="none"/>
        </w:rPr>
        <w:t>的服务，我方承诺一旦中标：</w:t>
      </w:r>
    </w:p>
    <w:p w14:paraId="69C9CE9C">
      <w:pPr>
        <w:numPr>
          <w:ilvl w:val="0"/>
          <w:numId w:val="0"/>
        </w:num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rPr>
        <w:t>在合同签订前</w:t>
      </w:r>
      <w:r>
        <w:rPr>
          <w:rFonts w:hint="eastAsia" w:ascii="仿宋" w:hAnsi="仿宋" w:eastAsia="仿宋" w:cs="仿宋"/>
          <w:color w:val="auto"/>
          <w:szCs w:val="21"/>
          <w:highlight w:val="none"/>
          <w:lang w:val="en-US" w:eastAsia="zh-CN"/>
        </w:rPr>
        <w:t>按招标文件要求，针对本项目</w:t>
      </w:r>
      <w:r>
        <w:rPr>
          <w:rFonts w:hint="eastAsia" w:ascii="仿宋" w:hAnsi="仿宋" w:eastAsia="仿宋" w:cs="仿宋"/>
          <w:color w:val="auto"/>
          <w:szCs w:val="21"/>
          <w:highlight w:val="none"/>
        </w:rPr>
        <w:t>购置</w:t>
      </w:r>
      <w:r>
        <w:rPr>
          <w:rFonts w:hint="eastAsia" w:ascii="仿宋" w:hAnsi="仿宋" w:eastAsia="仿宋" w:cs="仿宋"/>
          <w:color w:val="auto"/>
          <w:szCs w:val="21"/>
          <w:highlight w:val="none"/>
          <w:lang w:val="en-US" w:eastAsia="zh-CN"/>
        </w:rPr>
        <w:t>人员及作业相关保险</w:t>
      </w:r>
      <w:r>
        <w:rPr>
          <w:rFonts w:hint="eastAsia" w:ascii="仿宋" w:hAnsi="仿宋" w:eastAsia="仿宋" w:cs="仿宋"/>
          <w:color w:val="auto"/>
          <w:szCs w:val="21"/>
          <w:highlight w:val="none"/>
        </w:rPr>
        <w:t>，否则中标无效。</w:t>
      </w:r>
    </w:p>
    <w:p w14:paraId="01F00B4C">
      <w:pPr>
        <w:numPr>
          <w:ilvl w:val="0"/>
          <w:numId w:val="0"/>
        </w:numPr>
        <w:spacing w:line="360"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kern w:val="2"/>
          <w:sz w:val="21"/>
          <w:szCs w:val="21"/>
          <w:highlight w:val="none"/>
          <w:lang w:val="en-US" w:eastAsia="zh-CN" w:bidi="ar-SA"/>
        </w:rPr>
        <w:t>3、</w:t>
      </w:r>
      <w:r>
        <w:rPr>
          <w:rFonts w:hint="eastAsia" w:ascii="仿宋" w:hAnsi="仿宋" w:eastAsia="仿宋" w:cs="仿宋"/>
          <w:b w:val="0"/>
          <w:bCs w:val="0"/>
          <w:color w:val="auto"/>
          <w:szCs w:val="21"/>
          <w:highlight w:val="none"/>
          <w:lang w:val="en-US" w:eastAsia="zh-CN"/>
        </w:rPr>
        <w:t>为</w:t>
      </w:r>
      <w:r>
        <w:rPr>
          <w:rFonts w:hint="eastAsia" w:ascii="仿宋" w:hAnsi="仿宋" w:eastAsia="仿宋" w:cs="仿宋"/>
          <w:b w:val="0"/>
          <w:bCs w:val="0"/>
          <w:color w:val="auto"/>
          <w:szCs w:val="21"/>
          <w:highlight w:val="none"/>
        </w:rPr>
        <w:t>确保本</w:t>
      </w:r>
      <w:r>
        <w:rPr>
          <w:rFonts w:hint="eastAsia" w:ascii="仿宋" w:hAnsi="仿宋" w:eastAsia="仿宋" w:cs="仿宋"/>
          <w:b w:val="0"/>
          <w:bCs w:val="0"/>
          <w:color w:val="auto"/>
          <w:szCs w:val="21"/>
          <w:highlight w:val="none"/>
          <w:lang w:val="en-US" w:eastAsia="zh-CN"/>
        </w:rPr>
        <w:t>项目</w:t>
      </w:r>
      <w:r>
        <w:rPr>
          <w:rFonts w:hint="eastAsia" w:ascii="仿宋" w:hAnsi="仿宋" w:eastAsia="仿宋" w:cs="仿宋"/>
          <w:b w:val="0"/>
          <w:bCs w:val="0"/>
          <w:color w:val="auto"/>
          <w:szCs w:val="21"/>
          <w:highlight w:val="none"/>
        </w:rPr>
        <w:t>工作正常运转</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我司承担关于本</w:t>
      </w:r>
      <w:r>
        <w:rPr>
          <w:rFonts w:hint="eastAsia" w:ascii="仿宋" w:hAnsi="仿宋" w:eastAsia="仿宋" w:cs="仿宋"/>
          <w:b w:val="0"/>
          <w:bCs w:val="0"/>
          <w:color w:val="auto"/>
          <w:szCs w:val="21"/>
          <w:highlight w:val="none"/>
        </w:rPr>
        <w:t>项目</w:t>
      </w:r>
      <w:r>
        <w:rPr>
          <w:rFonts w:hint="eastAsia" w:ascii="仿宋" w:hAnsi="仿宋" w:eastAsia="仿宋" w:cs="仿宋"/>
          <w:b w:val="0"/>
          <w:bCs w:val="0"/>
          <w:color w:val="auto"/>
          <w:szCs w:val="21"/>
          <w:highlight w:val="none"/>
          <w:lang w:val="en-US" w:eastAsia="zh-CN"/>
        </w:rPr>
        <w:t>所有</w:t>
      </w:r>
      <w:r>
        <w:rPr>
          <w:rFonts w:hint="eastAsia" w:ascii="仿宋" w:hAnsi="仿宋" w:eastAsia="仿宋" w:cs="仿宋"/>
          <w:b w:val="0"/>
          <w:bCs w:val="0"/>
          <w:color w:val="auto"/>
          <w:szCs w:val="21"/>
          <w:highlight w:val="none"/>
        </w:rPr>
        <w:t>工作的安全责任</w:t>
      </w:r>
      <w:r>
        <w:rPr>
          <w:rFonts w:hint="eastAsia" w:ascii="仿宋" w:hAnsi="仿宋" w:eastAsia="仿宋" w:cs="仿宋"/>
          <w:b w:val="0"/>
          <w:bCs w:val="0"/>
          <w:color w:val="auto"/>
          <w:szCs w:val="21"/>
          <w:highlight w:val="none"/>
          <w:lang w:eastAsia="zh-CN"/>
        </w:rPr>
        <w:t>，</w:t>
      </w:r>
      <w:r>
        <w:rPr>
          <w:rFonts w:hint="eastAsia" w:ascii="仿宋" w:hAnsi="仿宋" w:eastAsia="仿宋" w:cs="仿宋"/>
          <w:b/>
          <w:bCs/>
          <w:color w:val="auto"/>
          <w:szCs w:val="21"/>
          <w:highlight w:val="none"/>
          <w:lang w:val="en-US" w:eastAsia="zh-CN"/>
        </w:rPr>
        <w:t>在项目实施过程中，一旦发生</w:t>
      </w:r>
      <w:r>
        <w:rPr>
          <w:rFonts w:hint="eastAsia" w:ascii="仿宋" w:hAnsi="仿宋" w:eastAsia="仿宋" w:cs="仿宋"/>
          <w:b/>
          <w:bCs/>
          <w:color w:val="auto"/>
          <w:highlight w:val="none"/>
          <w:lang w:val="en-US" w:eastAsia="zh-CN"/>
        </w:rPr>
        <w:t>安全生产事故，责任由我方全部自负</w:t>
      </w:r>
      <w:r>
        <w:rPr>
          <w:rFonts w:hint="eastAsia" w:ascii="仿宋" w:hAnsi="仿宋" w:eastAsia="仿宋" w:cs="仿宋"/>
          <w:b w:val="0"/>
          <w:bCs w:val="0"/>
          <w:color w:val="auto"/>
          <w:szCs w:val="21"/>
          <w:highlight w:val="none"/>
          <w:lang w:val="en-US" w:eastAsia="zh-CN"/>
        </w:rPr>
        <w:t>。</w:t>
      </w:r>
    </w:p>
    <w:p w14:paraId="65A03E6F">
      <w:pPr>
        <w:tabs>
          <w:tab w:val="left" w:pos="939"/>
        </w:tabs>
        <w:snapToGrid w:val="0"/>
        <w:spacing w:after="120" w:line="360" w:lineRule="auto"/>
        <w:ind w:left="716" w:leftChars="150" w:hanging="401" w:hangingChars="191"/>
        <w:contextualSpacing/>
        <w:rPr>
          <w:rFonts w:hint="eastAsia" w:ascii="仿宋" w:hAnsi="仿宋" w:eastAsia="仿宋" w:cs="仿宋"/>
          <w:color w:val="auto"/>
          <w:highlight w:val="none"/>
        </w:rPr>
      </w:pPr>
    </w:p>
    <w:p w14:paraId="68E6C68A">
      <w:pPr>
        <w:snapToGrid w:val="0"/>
        <w:spacing w:before="120" w:beforeLines="50" w:line="360" w:lineRule="auto"/>
        <w:ind w:firstLine="420" w:firstLineChars="200"/>
        <w:rPr>
          <w:rFonts w:hint="eastAsia" w:ascii="仿宋" w:hAnsi="仿宋" w:eastAsia="仿宋" w:cs="仿宋"/>
          <w:color w:val="auto"/>
          <w:highlight w:val="none"/>
        </w:rPr>
      </w:pPr>
    </w:p>
    <w:p w14:paraId="367947E8">
      <w:pPr>
        <w:snapToGrid w:val="0"/>
        <w:spacing w:before="50" w:after="50" w:line="440" w:lineRule="exact"/>
        <w:ind w:right="-817" w:rightChars="-389"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投标人名称（盖章）：</w:t>
      </w:r>
    </w:p>
    <w:p w14:paraId="7AA9D661">
      <w:pPr>
        <w:snapToGrid w:val="0"/>
        <w:spacing w:before="50" w:after="50" w:line="440" w:lineRule="exact"/>
        <w:ind w:left="57" w:leftChars="27" w:right="-817" w:rightChars="-389" w:firstLine="287" w:firstLineChars="137"/>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法定代表人或授权代表（签字或盖章）：</w:t>
      </w:r>
    </w:p>
    <w:p w14:paraId="67DF2B2E">
      <w:pPr>
        <w:snapToGrid w:val="0"/>
        <w:spacing w:before="50" w:after="50" w:line="440" w:lineRule="exact"/>
        <w:ind w:left="57" w:leftChars="27" w:right="-817" w:rightChars="-389" w:firstLine="287" w:firstLineChars="137"/>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3AF00B52">
      <w:pPr>
        <w:snapToGrid w:val="0"/>
        <w:spacing w:before="50" w:after="50" w:line="440" w:lineRule="exact"/>
        <w:ind w:left="-15" w:leftChars="-72" w:right="-817" w:rightChars="-389" w:hanging="136" w:hangingChars="62"/>
        <w:rPr>
          <w:rFonts w:hint="eastAsia" w:ascii="仿宋" w:hAnsi="仿宋" w:eastAsia="仿宋" w:cs="仿宋"/>
          <w:color w:val="auto"/>
          <w:sz w:val="22"/>
          <w:highlight w:val="none"/>
        </w:rPr>
        <w:sectPr>
          <w:headerReference r:id="rId10" w:type="default"/>
          <w:footerReference r:id="rId11" w:type="default"/>
          <w:pgSz w:w="11906" w:h="16838"/>
          <w:pgMar w:top="1246" w:right="1417" w:bottom="1247" w:left="1417" w:header="851" w:footer="567" w:gutter="0"/>
          <w:pgBorders w:offsetFrom="page">
            <w:top w:val="none" w:sz="0" w:space="0"/>
            <w:left w:val="none" w:sz="0" w:space="0"/>
            <w:bottom w:val="none" w:sz="0" w:space="0"/>
            <w:right w:val="none" w:sz="0" w:space="0"/>
          </w:pgBorders>
          <w:cols w:space="720" w:num="1"/>
          <w:docGrid w:linePitch="312" w:charSpace="0"/>
        </w:sectPr>
      </w:pPr>
    </w:p>
    <w:p w14:paraId="1EB79AAD">
      <w:pPr>
        <w:snapToGrid w:val="0"/>
        <w:spacing w:before="159" w:beforeLines="50" w:after="50" w:line="480" w:lineRule="auto"/>
        <w:ind w:firstLine="643" w:firstLineChars="200"/>
        <w:jc w:val="center"/>
        <w:outlineLvl w:val="1"/>
        <w:rPr>
          <w:rFonts w:hint="eastAsia" w:ascii="仿宋" w:hAnsi="仿宋" w:eastAsia="仿宋" w:cs="仿宋"/>
          <w:b/>
          <w:bCs/>
          <w:color w:val="auto"/>
          <w:sz w:val="32"/>
          <w:szCs w:val="28"/>
          <w:highlight w:val="none"/>
        </w:rPr>
      </w:pPr>
      <w:bookmarkStart w:id="92" w:name="_Toc181259540"/>
      <w:bookmarkStart w:id="93" w:name="_Toc183006929"/>
      <w:bookmarkStart w:id="94" w:name="_Toc152332560"/>
      <w:bookmarkStart w:id="95" w:name="_Toc116251127"/>
      <w:r>
        <w:rPr>
          <w:rFonts w:hint="eastAsia" w:ascii="仿宋" w:hAnsi="仿宋" w:eastAsia="仿宋" w:cs="仿宋"/>
          <w:b/>
          <w:bCs/>
          <w:color w:val="auto"/>
          <w:sz w:val="32"/>
          <w:szCs w:val="28"/>
          <w:highlight w:val="none"/>
        </w:rPr>
        <w:t>五、报价文件格式</w:t>
      </w:r>
      <w:bookmarkEnd w:id="92"/>
      <w:bookmarkEnd w:id="93"/>
      <w:bookmarkEnd w:id="94"/>
      <w:bookmarkEnd w:id="95"/>
    </w:p>
    <w:p w14:paraId="04B5964C">
      <w:pPr>
        <w:tabs>
          <w:tab w:val="left" w:pos="440"/>
          <w:tab w:val="left" w:pos="518"/>
        </w:tabs>
        <w:adjustRightInd w:val="0"/>
        <w:snapToGrid w:val="0"/>
        <w:spacing w:line="48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（1）投标函（格式见第六章 投标文件格式）；</w:t>
      </w:r>
    </w:p>
    <w:p w14:paraId="4553A4F8">
      <w:pPr>
        <w:tabs>
          <w:tab w:val="left" w:pos="440"/>
          <w:tab w:val="left" w:pos="518"/>
        </w:tabs>
        <w:adjustRightInd w:val="0"/>
        <w:snapToGrid w:val="0"/>
        <w:spacing w:line="48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（2）开标一览表（格式见第六章 投标文件格式）；</w:t>
      </w:r>
    </w:p>
    <w:p w14:paraId="000563A9">
      <w:pPr>
        <w:pStyle w:val="24"/>
        <w:ind w:left="1470" w:right="1470"/>
        <w:rPr>
          <w:rFonts w:hint="eastAsia" w:ascii="仿宋" w:hAnsi="仿宋" w:eastAsia="仿宋" w:cs="仿宋"/>
          <w:color w:val="auto"/>
          <w:highlight w:val="none"/>
        </w:rPr>
      </w:pPr>
    </w:p>
    <w:p w14:paraId="4D627924">
      <w:pPr>
        <w:spacing w:line="360" w:lineRule="auto"/>
        <w:ind w:firstLine="562" w:firstLineChars="200"/>
        <w:jc w:val="center"/>
        <w:rPr>
          <w:rFonts w:hint="eastAsia" w:ascii="仿宋" w:hAnsi="仿宋" w:eastAsia="仿宋" w:cs="仿宋"/>
          <w:b/>
          <w:color w:val="auto"/>
          <w:sz w:val="28"/>
          <w:szCs w:val="28"/>
          <w:highlight w:val="none"/>
        </w:rPr>
      </w:pPr>
    </w:p>
    <w:p w14:paraId="727D563E">
      <w:pPr>
        <w:pStyle w:val="24"/>
        <w:ind w:left="1470" w:right="1470"/>
        <w:rPr>
          <w:rFonts w:hint="eastAsia" w:ascii="仿宋" w:hAnsi="仿宋" w:eastAsia="仿宋" w:cs="仿宋"/>
          <w:color w:val="auto"/>
          <w:highlight w:val="none"/>
        </w:rPr>
      </w:pPr>
    </w:p>
    <w:p w14:paraId="753F89F7">
      <w:pPr>
        <w:spacing w:line="360" w:lineRule="auto"/>
        <w:ind w:firstLine="562" w:firstLineChars="200"/>
        <w:jc w:val="center"/>
        <w:rPr>
          <w:rFonts w:hint="eastAsia" w:ascii="仿宋" w:hAnsi="仿宋" w:eastAsia="仿宋" w:cs="仿宋"/>
          <w:b/>
          <w:color w:val="auto"/>
          <w:sz w:val="28"/>
          <w:szCs w:val="28"/>
          <w:highlight w:val="none"/>
        </w:rPr>
      </w:pPr>
    </w:p>
    <w:p w14:paraId="219CC005">
      <w:pPr>
        <w:tabs>
          <w:tab w:val="left" w:pos="440"/>
          <w:tab w:val="left" w:pos="518"/>
        </w:tabs>
        <w:adjustRightInd w:val="0"/>
        <w:snapToGrid w:val="0"/>
        <w:spacing w:line="480" w:lineRule="auto"/>
        <w:ind w:firstLine="420" w:firstLineChars="200"/>
        <w:rPr>
          <w:rFonts w:hint="eastAsia" w:ascii="仿宋" w:hAnsi="仿宋" w:eastAsia="仿宋" w:cs="仿宋"/>
          <w:color w:val="auto"/>
          <w:highlight w:val="none"/>
        </w:rPr>
      </w:pPr>
    </w:p>
    <w:p w14:paraId="157F39E4">
      <w:pPr>
        <w:rPr>
          <w:rFonts w:hint="eastAsia" w:ascii="仿宋" w:hAnsi="仿宋" w:eastAsia="仿宋" w:cs="仿宋"/>
          <w:color w:val="auto"/>
          <w:highlight w:val="none"/>
        </w:rPr>
      </w:pPr>
    </w:p>
    <w:p w14:paraId="4CDC8A89">
      <w:pPr>
        <w:tabs>
          <w:tab w:val="left" w:pos="440"/>
          <w:tab w:val="left" w:pos="518"/>
        </w:tabs>
        <w:adjustRightInd w:val="0"/>
        <w:snapToGrid w:val="0"/>
        <w:spacing w:line="480" w:lineRule="auto"/>
        <w:ind w:firstLine="420" w:firstLineChars="200"/>
        <w:rPr>
          <w:rFonts w:hint="eastAsia" w:ascii="仿宋" w:hAnsi="仿宋" w:eastAsia="仿宋" w:cs="仿宋"/>
          <w:color w:val="auto"/>
          <w:sz w:val="24"/>
          <w:szCs w:val="22"/>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2"/>
          <w:highlight w:val="none"/>
        </w:rPr>
        <w:t>格式十一</w:t>
      </w:r>
    </w:p>
    <w:p w14:paraId="43BB9824">
      <w:pPr>
        <w:snapToGrid w:val="0"/>
        <w:spacing w:before="159" w:beforeLines="50" w:after="50"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 标 函</w:t>
      </w:r>
    </w:p>
    <w:p w14:paraId="0EC865E9">
      <w:pPr>
        <w:snapToGrid w:val="0"/>
        <w:spacing w:line="440" w:lineRule="exact"/>
        <w:ind w:firstLine="422" w:firstLineChars="200"/>
        <w:rPr>
          <w:rFonts w:hint="eastAsia" w:ascii="仿宋" w:hAnsi="仿宋" w:eastAsia="仿宋" w:cs="仿宋"/>
          <w:color w:val="auto"/>
          <w:highlight w:val="none"/>
        </w:rPr>
      </w:pPr>
      <w:r>
        <w:rPr>
          <w:rFonts w:hint="eastAsia" w:ascii="仿宋" w:hAnsi="仿宋" w:eastAsia="仿宋" w:cs="仿宋"/>
          <w:b/>
          <w:color w:val="auto"/>
          <w:highlight w:val="none"/>
        </w:rPr>
        <w:t>致：</w:t>
      </w:r>
      <w:r>
        <w:rPr>
          <w:rFonts w:hint="eastAsia" w:ascii="仿宋" w:hAnsi="仿宋" w:eastAsia="仿宋" w:cs="仿宋"/>
          <w:b/>
          <w:color w:val="auto"/>
          <w:highlight w:val="none"/>
          <w:u w:val="single"/>
        </w:rPr>
        <w:t xml:space="preserve">采购人       </w:t>
      </w:r>
    </w:p>
    <w:p w14:paraId="38FA6467">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根据贵方为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项目的招标公告/投标邀请书（项目编号：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全名）经正式授权并代表投标人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（投标人名称）提交电子投标文件</w:t>
      </w:r>
      <w:r>
        <w:rPr>
          <w:rFonts w:hint="eastAsia" w:ascii="仿宋" w:hAnsi="仿宋" w:eastAsia="仿宋" w:cs="仿宋"/>
          <w:color w:val="auto"/>
          <w:highlight w:val="none"/>
          <w:u w:val="single"/>
        </w:rPr>
        <w:t xml:space="preserve"> 1 </w:t>
      </w:r>
      <w:r>
        <w:rPr>
          <w:rFonts w:hint="eastAsia" w:ascii="仿宋" w:hAnsi="仿宋" w:eastAsia="仿宋" w:cs="仿宋"/>
          <w:color w:val="auto"/>
          <w:highlight w:val="none"/>
        </w:rPr>
        <w:t>份、备份电子投标文件</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w:t>
      </w:r>
    </w:p>
    <w:p w14:paraId="78EA8534">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据此函，签字代表宣布同意如下：</w:t>
      </w:r>
    </w:p>
    <w:p w14:paraId="58050829">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5416F8DE">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2.投标人在投标之前已经与贵方进行了充分的沟通，完全理解并接受招标文件的各项规定和要求，对招标文件的合理性、合法性不再有异议。</w:t>
      </w:r>
    </w:p>
    <w:p w14:paraId="10562CAD">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3.本投标有效期自投标截止日起</w:t>
      </w:r>
      <w:r>
        <w:rPr>
          <w:rFonts w:hint="eastAsia" w:ascii="仿宋" w:hAnsi="仿宋" w:eastAsia="仿宋" w:cs="仿宋"/>
          <w:color w:val="auto"/>
          <w:highlight w:val="none"/>
          <w:u w:val="single"/>
        </w:rPr>
        <w:t xml:space="preserve"> 90</w:t>
      </w:r>
      <w:r>
        <w:rPr>
          <w:rFonts w:hint="eastAsia" w:ascii="仿宋" w:hAnsi="仿宋" w:eastAsia="仿宋" w:cs="仿宋"/>
          <w:color w:val="auto"/>
          <w:highlight w:val="none"/>
        </w:rPr>
        <w:t>个日历天。</w:t>
      </w:r>
    </w:p>
    <w:p w14:paraId="54FC9C06">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4.如中标，本投标人将按“招标文件”及政府采购法律、法规的规定履行合同责任和义务。</w:t>
      </w:r>
    </w:p>
    <w:p w14:paraId="79FA6E57">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5.投标人同意按照贵方要求提供与投标有关的一切数据或资料。</w:t>
      </w:r>
    </w:p>
    <w:p w14:paraId="1767E97B">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6.与本投标有关的一切正式往来信函请寄：</w:t>
      </w:r>
    </w:p>
    <w:p w14:paraId="0874E07D">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邮编：__________   电话：______________</w:t>
      </w:r>
    </w:p>
    <w:p w14:paraId="06D4D5DC">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传真：______________投标人代表姓名 ___________  职务：__________</w:t>
      </w:r>
    </w:p>
    <w:p w14:paraId="2E1D001C">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投标人名称(公章)：___________________</w:t>
      </w:r>
    </w:p>
    <w:p w14:paraId="299A0BF0">
      <w:pPr>
        <w:snapToGrid w:val="0"/>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开户银行：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银行帐号：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7420AE70">
      <w:pPr>
        <w:snapToGrid w:val="0"/>
        <w:spacing w:line="440" w:lineRule="exact"/>
        <w:ind w:firstLine="420" w:firstLineChars="200"/>
        <w:rPr>
          <w:rFonts w:hint="eastAsia" w:ascii="仿宋" w:hAnsi="仿宋" w:eastAsia="仿宋" w:cs="仿宋"/>
          <w:color w:val="auto"/>
          <w:highlight w:val="none"/>
        </w:rPr>
        <w:sectPr>
          <w:headerReference r:id="rId12" w:type="default"/>
          <w:footerReference r:id="rId13" w:type="default"/>
          <w:pgSz w:w="11905" w:h="16838"/>
          <w:pgMar w:top="1440" w:right="1803" w:bottom="1440" w:left="1803" w:header="850" w:footer="992" w:gutter="0"/>
          <w:cols w:space="0" w:num="1"/>
          <w:docGrid w:type="lines" w:linePitch="319" w:charSpace="0"/>
        </w:sectPr>
      </w:pPr>
      <w:r>
        <w:rPr>
          <w:rFonts w:hint="eastAsia" w:ascii="仿宋" w:hAnsi="仿宋" w:eastAsia="仿宋" w:cs="仿宋"/>
          <w:color w:val="auto"/>
          <w:szCs w:val="21"/>
          <w:highlight w:val="none"/>
        </w:rPr>
        <w:t>授权代表</w:t>
      </w:r>
      <w:r>
        <w:rPr>
          <w:rFonts w:hint="eastAsia" w:ascii="仿宋" w:hAnsi="仿宋" w:eastAsia="仿宋" w:cs="仿宋"/>
          <w:color w:val="auto"/>
          <w:highlight w:val="none"/>
        </w:rPr>
        <w:t>（签字</w:t>
      </w:r>
      <w:r>
        <w:rPr>
          <w:rFonts w:hint="eastAsia" w:ascii="仿宋" w:hAnsi="仿宋" w:eastAsia="仿宋" w:cs="仿宋"/>
          <w:color w:val="auto"/>
          <w:highlight w:val="none"/>
          <w:lang w:val="en-US" w:eastAsia="zh-CN"/>
        </w:rPr>
        <w:t>或盖章</w:t>
      </w:r>
      <w:r>
        <w:rPr>
          <w:rFonts w:hint="eastAsia" w:ascii="仿宋" w:hAnsi="仿宋" w:eastAsia="仿宋" w:cs="仿宋"/>
          <w:color w:val="auto"/>
          <w:highlight w:val="none"/>
        </w:rPr>
        <w:t>）：___________               日期：_____年___月___日</w:t>
      </w:r>
    </w:p>
    <w:p w14:paraId="7EB869BA">
      <w:p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格式十二</w:t>
      </w:r>
    </w:p>
    <w:p w14:paraId="42D301BB">
      <w:pPr>
        <w:spacing w:line="360" w:lineRule="auto"/>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开标一览表</w:t>
      </w:r>
    </w:p>
    <w:p w14:paraId="04DF3A41">
      <w:pPr>
        <w:rPr>
          <w:rFonts w:hint="eastAsia" w:ascii="仿宋" w:hAnsi="仿宋" w:eastAsia="仿宋" w:cs="仿宋"/>
          <w:color w:val="auto"/>
          <w:highlight w:val="none"/>
        </w:rPr>
      </w:pPr>
      <w:r>
        <w:rPr>
          <w:rFonts w:hint="eastAsia" w:ascii="仿宋" w:hAnsi="仿宋" w:eastAsia="仿宋" w:cs="仿宋"/>
          <w:color w:val="auto"/>
          <w:highlight w:val="none"/>
        </w:rPr>
        <w:t xml:space="preserve">项目名称：                项目编号：   </w:t>
      </w:r>
    </w:p>
    <w:tbl>
      <w:tblPr>
        <w:tblStyle w:val="5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640"/>
        <w:gridCol w:w="115"/>
        <w:gridCol w:w="1605"/>
        <w:gridCol w:w="1390"/>
        <w:gridCol w:w="1989"/>
        <w:gridCol w:w="1456"/>
      </w:tblGrid>
      <w:tr w14:paraId="7A3D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392C890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D54F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12D673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监测装置类型</w:t>
            </w:r>
          </w:p>
        </w:tc>
        <w:tc>
          <w:tcPr>
            <w:tcW w:w="1390" w:type="dxa"/>
            <w:tcBorders>
              <w:top w:val="single" w:color="auto" w:sz="4" w:space="0"/>
              <w:left w:val="single" w:color="auto" w:sz="4" w:space="0"/>
              <w:bottom w:val="single" w:color="auto" w:sz="4" w:space="0"/>
              <w:right w:val="single" w:color="auto" w:sz="4" w:space="0"/>
            </w:tcBorders>
            <w:vAlign w:val="center"/>
          </w:tcPr>
          <w:p w14:paraId="7C74C7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暂估数量（每年）</w:t>
            </w:r>
          </w:p>
        </w:tc>
        <w:tc>
          <w:tcPr>
            <w:tcW w:w="1989" w:type="dxa"/>
            <w:tcBorders>
              <w:top w:val="single" w:color="auto" w:sz="4" w:space="0"/>
              <w:left w:val="single" w:color="auto" w:sz="4" w:space="0"/>
              <w:bottom w:val="single" w:color="auto" w:sz="4" w:space="0"/>
              <w:right w:val="single" w:color="auto" w:sz="4" w:space="0"/>
            </w:tcBorders>
            <w:vAlign w:val="center"/>
          </w:tcPr>
          <w:p w14:paraId="6683D8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最高限价</w:t>
            </w:r>
          </w:p>
          <w:p w14:paraId="7E99F9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（综合单价）</w:t>
            </w:r>
          </w:p>
        </w:tc>
        <w:tc>
          <w:tcPr>
            <w:tcW w:w="1456" w:type="dxa"/>
            <w:tcBorders>
              <w:top w:val="single" w:color="auto" w:sz="4" w:space="0"/>
              <w:left w:val="single" w:color="auto" w:sz="4" w:space="0"/>
              <w:bottom w:val="single" w:color="auto" w:sz="4" w:space="0"/>
              <w:right w:val="single" w:color="auto" w:sz="4" w:space="0"/>
            </w:tcBorders>
            <w:vAlign w:val="center"/>
          </w:tcPr>
          <w:p w14:paraId="13B47C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投标报价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综合折扣率</w:t>
            </w:r>
            <w:r>
              <w:rPr>
                <w:rFonts w:hint="eastAsia" w:ascii="仿宋" w:hAnsi="仿宋" w:eastAsia="仿宋" w:cs="仿宋"/>
                <w:color w:val="auto"/>
                <w:sz w:val="21"/>
                <w:szCs w:val="21"/>
                <w:highlight w:val="none"/>
              </w:rPr>
              <w:t>）</w:t>
            </w:r>
          </w:p>
        </w:tc>
      </w:tr>
      <w:tr w14:paraId="5B97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331B5B1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3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C6AB6D">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监测装置后续检查维护</w:t>
            </w:r>
          </w:p>
        </w:tc>
        <w:tc>
          <w:tcPr>
            <w:tcW w:w="1390" w:type="dxa"/>
            <w:tcBorders>
              <w:top w:val="single" w:color="auto" w:sz="4" w:space="0"/>
              <w:left w:val="single" w:color="auto" w:sz="4" w:space="0"/>
              <w:bottom w:val="single" w:color="auto" w:sz="4" w:space="0"/>
              <w:right w:val="single" w:color="auto" w:sz="4" w:space="0"/>
            </w:tcBorders>
            <w:vAlign w:val="center"/>
          </w:tcPr>
          <w:p w14:paraId="0C32147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48420</w:t>
            </w:r>
            <w:r>
              <w:rPr>
                <w:rFonts w:hint="eastAsia" w:ascii="仿宋" w:hAnsi="仿宋" w:eastAsia="仿宋" w:cs="仿宋"/>
                <w:color w:val="auto"/>
                <w:sz w:val="21"/>
                <w:szCs w:val="21"/>
                <w:highlight w:val="none"/>
                <w:lang w:val="en-US" w:eastAsia="zh-CN"/>
              </w:rPr>
              <w:t>套</w:t>
            </w:r>
          </w:p>
        </w:tc>
        <w:tc>
          <w:tcPr>
            <w:tcW w:w="1989" w:type="dxa"/>
            <w:tcBorders>
              <w:top w:val="single" w:color="auto" w:sz="4" w:space="0"/>
              <w:left w:val="single" w:color="auto" w:sz="4" w:space="0"/>
              <w:bottom w:val="single" w:color="auto" w:sz="4" w:space="0"/>
              <w:right w:val="single" w:color="auto" w:sz="4" w:space="0"/>
            </w:tcBorders>
            <w:vAlign w:val="center"/>
          </w:tcPr>
          <w:p w14:paraId="43D377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13.42元/套·次</w:t>
            </w:r>
          </w:p>
        </w:tc>
        <w:tc>
          <w:tcPr>
            <w:tcW w:w="1456" w:type="dxa"/>
            <w:vMerge w:val="restart"/>
            <w:tcBorders>
              <w:left w:val="single" w:color="auto" w:sz="4" w:space="0"/>
              <w:right w:val="single" w:color="auto" w:sz="4" w:space="0"/>
            </w:tcBorders>
            <w:vAlign w:val="center"/>
          </w:tcPr>
          <w:p w14:paraId="6CF0D3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none"/>
                <w:lang w:val="en-US" w:eastAsia="zh-CN"/>
              </w:rPr>
              <w:t>折扣率：</w:t>
            </w:r>
            <w:r>
              <w:rPr>
                <w:rFonts w:hint="eastAsia" w:ascii="仿宋" w:hAnsi="仿宋" w:eastAsia="仿宋" w:cs="仿宋"/>
                <w:color w:val="auto"/>
                <w:sz w:val="21"/>
                <w:szCs w:val="21"/>
                <w:highlight w:val="none"/>
                <w:u w:val="single"/>
                <w:lang w:val="en-US" w:eastAsia="zh-CN"/>
              </w:rPr>
              <w:t xml:space="preserve">   %</w:t>
            </w:r>
          </w:p>
        </w:tc>
      </w:tr>
      <w:tr w14:paraId="1795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7236953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3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828D5D">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回访复查</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4141FC7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1096670.42平方米</w:t>
            </w:r>
          </w:p>
        </w:tc>
        <w:tc>
          <w:tcPr>
            <w:tcW w:w="1989" w:type="dxa"/>
            <w:tcBorders>
              <w:top w:val="single" w:color="auto" w:sz="4" w:space="0"/>
              <w:left w:val="single" w:color="auto" w:sz="4" w:space="0"/>
              <w:bottom w:val="single" w:color="auto" w:sz="4" w:space="0"/>
              <w:right w:val="single" w:color="auto" w:sz="4" w:space="0"/>
            </w:tcBorders>
            <w:vAlign w:val="center"/>
          </w:tcPr>
          <w:p w14:paraId="1CAB0D7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0.071元/平方米·次（用地面积）</w:t>
            </w:r>
          </w:p>
        </w:tc>
        <w:tc>
          <w:tcPr>
            <w:tcW w:w="1456" w:type="dxa"/>
            <w:vMerge w:val="continue"/>
            <w:tcBorders>
              <w:left w:val="single" w:color="auto" w:sz="4" w:space="0"/>
              <w:right w:val="single" w:color="auto" w:sz="4" w:space="0"/>
            </w:tcBorders>
            <w:vAlign w:val="center"/>
          </w:tcPr>
          <w:p w14:paraId="31B2F1C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p>
        </w:tc>
      </w:tr>
      <w:tr w14:paraId="5EFE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0" w:type="dxa"/>
            <w:vMerge w:val="restart"/>
            <w:tcBorders>
              <w:top w:val="single" w:color="auto" w:sz="4" w:space="0"/>
              <w:left w:val="single" w:color="auto" w:sz="4" w:space="0"/>
              <w:right w:val="single" w:color="auto" w:sz="4" w:space="0"/>
            </w:tcBorders>
            <w:vAlign w:val="center"/>
          </w:tcPr>
          <w:p w14:paraId="6764874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640" w:type="dxa"/>
            <w:vMerge w:val="restart"/>
            <w:tcBorders>
              <w:top w:val="single" w:color="auto" w:sz="4" w:space="0"/>
              <w:left w:val="single" w:color="auto" w:sz="4" w:space="0"/>
              <w:right w:val="single" w:color="auto" w:sz="4" w:space="0"/>
            </w:tcBorders>
            <w:shd w:val="clear" w:color="auto" w:fill="auto"/>
            <w:vAlign w:val="center"/>
          </w:tcPr>
          <w:p w14:paraId="37C74F5E">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回访灭治</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A73763">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140m</w:t>
            </w:r>
            <w:r>
              <w:rPr>
                <w:rFonts w:hint="eastAsia" w:ascii="仿宋" w:hAnsi="仿宋" w:eastAsia="仿宋" w:cs="仿宋"/>
                <w:color w:val="auto"/>
                <w:sz w:val="21"/>
                <w:szCs w:val="21"/>
                <w:highlight w:val="none"/>
                <w:vertAlign w:val="superscript"/>
                <w:lang w:val="en-US" w:eastAsia="zh-CN"/>
              </w:rPr>
              <w:t>2</w:t>
            </w:r>
            <w:r>
              <w:rPr>
                <w:rFonts w:hint="eastAsia" w:ascii="仿宋" w:hAnsi="仿宋" w:eastAsia="仿宋" w:cs="仿宋"/>
                <w:color w:val="auto"/>
                <w:sz w:val="21"/>
                <w:szCs w:val="21"/>
                <w:highlight w:val="none"/>
                <w:lang w:val="en-US" w:eastAsia="zh-CN"/>
              </w:rPr>
              <w:t>以下房屋</w:t>
            </w:r>
          </w:p>
        </w:tc>
        <w:tc>
          <w:tcPr>
            <w:tcW w:w="1390" w:type="dxa"/>
            <w:tcBorders>
              <w:top w:val="single" w:color="auto" w:sz="4" w:space="0"/>
              <w:left w:val="single" w:color="auto" w:sz="4" w:space="0"/>
              <w:bottom w:val="single" w:color="auto" w:sz="4" w:space="0"/>
              <w:right w:val="single" w:color="auto" w:sz="4" w:space="0"/>
            </w:tcBorders>
            <w:vAlign w:val="center"/>
          </w:tcPr>
          <w:p w14:paraId="063995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80户</w:t>
            </w:r>
          </w:p>
        </w:tc>
        <w:tc>
          <w:tcPr>
            <w:tcW w:w="1989" w:type="dxa"/>
            <w:tcBorders>
              <w:top w:val="single" w:color="auto" w:sz="4" w:space="0"/>
              <w:left w:val="single" w:color="auto" w:sz="4" w:space="0"/>
              <w:bottom w:val="single" w:color="auto" w:sz="4" w:space="0"/>
              <w:right w:val="single" w:color="auto" w:sz="4" w:space="0"/>
            </w:tcBorders>
            <w:vAlign w:val="center"/>
          </w:tcPr>
          <w:p w14:paraId="4BDECF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500元/户</w:t>
            </w:r>
          </w:p>
        </w:tc>
        <w:tc>
          <w:tcPr>
            <w:tcW w:w="1456" w:type="dxa"/>
            <w:vMerge w:val="continue"/>
            <w:tcBorders>
              <w:left w:val="single" w:color="auto" w:sz="4" w:space="0"/>
              <w:right w:val="single" w:color="auto" w:sz="4" w:space="0"/>
            </w:tcBorders>
            <w:vAlign w:val="center"/>
          </w:tcPr>
          <w:p w14:paraId="6EBC034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p>
        </w:tc>
      </w:tr>
      <w:tr w14:paraId="3734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50" w:type="dxa"/>
            <w:vMerge w:val="continue"/>
            <w:tcBorders>
              <w:left w:val="single" w:color="auto" w:sz="4" w:space="0"/>
              <w:right w:val="single" w:color="auto" w:sz="4" w:space="0"/>
            </w:tcBorders>
            <w:vAlign w:val="center"/>
          </w:tcPr>
          <w:p w14:paraId="6373ABFD">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1"/>
                <w:szCs w:val="21"/>
                <w:highlight w:val="none"/>
              </w:rPr>
            </w:pPr>
          </w:p>
        </w:tc>
        <w:tc>
          <w:tcPr>
            <w:tcW w:w="1640" w:type="dxa"/>
            <w:vMerge w:val="continue"/>
            <w:tcBorders>
              <w:left w:val="single" w:color="auto" w:sz="4" w:space="0"/>
              <w:right w:val="single" w:color="auto" w:sz="4" w:space="0"/>
            </w:tcBorders>
            <w:shd w:val="clear" w:color="auto" w:fill="auto"/>
            <w:vAlign w:val="center"/>
          </w:tcPr>
          <w:p w14:paraId="6DDB57FB">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1"/>
                <w:szCs w:val="21"/>
                <w:highlight w:val="none"/>
              </w:rPr>
            </w:pP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BD2C80">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140m</w:t>
            </w:r>
            <w:r>
              <w:rPr>
                <w:rFonts w:hint="eastAsia" w:ascii="仿宋" w:hAnsi="仿宋" w:eastAsia="仿宋" w:cs="仿宋"/>
                <w:color w:val="auto"/>
                <w:sz w:val="21"/>
                <w:szCs w:val="21"/>
                <w:highlight w:val="none"/>
                <w:vertAlign w:val="superscript"/>
              </w:rPr>
              <w:t>2</w:t>
            </w:r>
            <w:r>
              <w:rPr>
                <w:rFonts w:hint="eastAsia" w:ascii="仿宋" w:hAnsi="仿宋" w:eastAsia="仿宋" w:cs="仿宋"/>
                <w:color w:val="auto"/>
                <w:sz w:val="21"/>
                <w:szCs w:val="21"/>
                <w:highlight w:val="none"/>
              </w:rPr>
              <w:t>以</w:t>
            </w:r>
            <w:r>
              <w:rPr>
                <w:rFonts w:hint="eastAsia" w:ascii="仿宋" w:hAnsi="仿宋" w:eastAsia="仿宋" w:cs="仿宋"/>
                <w:color w:val="auto"/>
                <w:sz w:val="21"/>
                <w:szCs w:val="21"/>
                <w:highlight w:val="none"/>
                <w:lang w:val="en-US" w:eastAsia="zh-CN"/>
              </w:rPr>
              <w:t>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含140m</w:t>
            </w:r>
            <w:r>
              <w:rPr>
                <w:rFonts w:hint="eastAsia" w:ascii="仿宋" w:hAnsi="仿宋" w:eastAsia="仿宋" w:cs="仿宋"/>
                <w:color w:val="auto"/>
                <w:sz w:val="21"/>
                <w:szCs w:val="21"/>
                <w:highlight w:val="none"/>
                <w:vertAlign w:val="superscript"/>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房屋</w:t>
            </w:r>
          </w:p>
        </w:tc>
        <w:tc>
          <w:tcPr>
            <w:tcW w:w="1390" w:type="dxa"/>
            <w:tcBorders>
              <w:top w:val="single" w:color="auto" w:sz="4" w:space="0"/>
              <w:left w:val="single" w:color="auto" w:sz="4" w:space="0"/>
              <w:bottom w:val="single" w:color="auto" w:sz="4" w:space="0"/>
              <w:right w:val="single" w:color="auto" w:sz="4" w:space="0"/>
            </w:tcBorders>
            <w:vAlign w:val="center"/>
          </w:tcPr>
          <w:p w14:paraId="377A4A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40户</w:t>
            </w:r>
          </w:p>
        </w:tc>
        <w:tc>
          <w:tcPr>
            <w:tcW w:w="1989" w:type="dxa"/>
            <w:tcBorders>
              <w:top w:val="single" w:color="auto" w:sz="4" w:space="0"/>
              <w:left w:val="single" w:color="auto" w:sz="4" w:space="0"/>
              <w:bottom w:val="single" w:color="auto" w:sz="4" w:space="0"/>
              <w:right w:val="single" w:color="auto" w:sz="4" w:space="0"/>
            </w:tcBorders>
            <w:vAlign w:val="center"/>
          </w:tcPr>
          <w:p w14:paraId="390FC2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550元/户</w:t>
            </w:r>
          </w:p>
        </w:tc>
        <w:tc>
          <w:tcPr>
            <w:tcW w:w="1456" w:type="dxa"/>
            <w:vMerge w:val="continue"/>
            <w:tcBorders>
              <w:left w:val="single" w:color="auto" w:sz="4" w:space="0"/>
              <w:right w:val="single" w:color="auto" w:sz="4" w:space="0"/>
            </w:tcBorders>
            <w:vAlign w:val="center"/>
          </w:tcPr>
          <w:p w14:paraId="108BE8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p>
        </w:tc>
      </w:tr>
      <w:tr w14:paraId="63E7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50" w:type="dxa"/>
            <w:vMerge w:val="restart"/>
            <w:tcBorders>
              <w:left w:val="single" w:color="auto" w:sz="4" w:space="0"/>
              <w:right w:val="single" w:color="auto" w:sz="4" w:space="0"/>
            </w:tcBorders>
            <w:vAlign w:val="center"/>
          </w:tcPr>
          <w:p w14:paraId="14D588A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640" w:type="dxa"/>
            <w:vMerge w:val="restart"/>
            <w:tcBorders>
              <w:left w:val="single" w:color="auto" w:sz="4" w:space="0"/>
              <w:right w:val="single" w:color="auto" w:sz="4" w:space="0"/>
            </w:tcBorders>
            <w:shd w:val="clear" w:color="auto" w:fill="auto"/>
            <w:vAlign w:val="center"/>
          </w:tcPr>
          <w:p w14:paraId="58E5EC48">
            <w:pPr>
              <w:keepNext w:val="0"/>
              <w:keepLines w:val="0"/>
              <w:pageBreakBefore w:val="0"/>
              <w:suppressLineNumbers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新建房屋白蚁预防</w:t>
            </w:r>
            <w:r>
              <w:rPr>
                <w:rFonts w:hint="eastAsia" w:ascii="仿宋" w:hAnsi="仿宋" w:eastAsia="仿宋" w:cs="仿宋"/>
                <w:color w:val="auto"/>
                <w:sz w:val="21"/>
                <w:szCs w:val="21"/>
                <w:highlight w:val="none"/>
                <w:lang w:val="en-US" w:eastAsia="zh-CN"/>
              </w:rPr>
              <w:t>安装监测装置</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3A36EE">
            <w:pPr>
              <w:keepNext w:val="0"/>
              <w:keepLines w:val="0"/>
              <w:pageBreakBefore w:val="0"/>
              <w:widowControl/>
              <w:suppressLineNumbers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地下型，含饵剂</w:t>
            </w:r>
          </w:p>
        </w:tc>
        <w:tc>
          <w:tcPr>
            <w:tcW w:w="1390" w:type="dxa"/>
            <w:tcBorders>
              <w:top w:val="single" w:color="auto" w:sz="4" w:space="0"/>
              <w:left w:val="single" w:color="auto" w:sz="4" w:space="0"/>
              <w:bottom w:val="single" w:color="auto" w:sz="4" w:space="0"/>
              <w:right w:val="single" w:color="auto" w:sz="4" w:space="0"/>
            </w:tcBorders>
            <w:vAlign w:val="center"/>
          </w:tcPr>
          <w:p w14:paraId="4B42A7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1000套</w:t>
            </w:r>
          </w:p>
        </w:tc>
        <w:tc>
          <w:tcPr>
            <w:tcW w:w="1989" w:type="dxa"/>
            <w:tcBorders>
              <w:top w:val="single" w:color="auto" w:sz="4" w:space="0"/>
              <w:left w:val="single" w:color="auto" w:sz="4" w:space="0"/>
              <w:bottom w:val="single" w:color="auto" w:sz="4" w:space="0"/>
              <w:right w:val="single" w:color="auto" w:sz="4" w:space="0"/>
            </w:tcBorders>
            <w:vAlign w:val="center"/>
          </w:tcPr>
          <w:p w14:paraId="7F2384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47.16元/套</w:t>
            </w:r>
          </w:p>
        </w:tc>
        <w:tc>
          <w:tcPr>
            <w:tcW w:w="1456" w:type="dxa"/>
            <w:vMerge w:val="continue"/>
            <w:tcBorders>
              <w:left w:val="single" w:color="auto" w:sz="4" w:space="0"/>
              <w:right w:val="single" w:color="auto" w:sz="4" w:space="0"/>
            </w:tcBorders>
            <w:vAlign w:val="center"/>
          </w:tcPr>
          <w:p w14:paraId="52EBBB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p>
        </w:tc>
      </w:tr>
      <w:tr w14:paraId="0261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50" w:type="dxa"/>
            <w:vMerge w:val="continue"/>
            <w:tcBorders>
              <w:left w:val="single" w:color="auto" w:sz="4" w:space="0"/>
              <w:right w:val="single" w:color="auto" w:sz="4" w:space="0"/>
            </w:tcBorders>
            <w:vAlign w:val="center"/>
          </w:tcPr>
          <w:p w14:paraId="0F70C2A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rPr>
            </w:pPr>
          </w:p>
        </w:tc>
        <w:tc>
          <w:tcPr>
            <w:tcW w:w="1640" w:type="dxa"/>
            <w:vMerge w:val="continue"/>
            <w:tcBorders>
              <w:left w:val="single" w:color="auto" w:sz="4" w:space="0"/>
              <w:right w:val="single" w:color="auto" w:sz="4" w:space="0"/>
            </w:tcBorders>
            <w:shd w:val="clear" w:color="auto" w:fill="auto"/>
            <w:vAlign w:val="center"/>
          </w:tcPr>
          <w:p w14:paraId="61E94173">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sz w:val="21"/>
                <w:szCs w:val="21"/>
                <w:highlight w:val="none"/>
              </w:rPr>
            </w:pP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35C766">
            <w:pPr>
              <w:keepNext w:val="0"/>
              <w:keepLines w:val="0"/>
              <w:pageBreakBefore w:val="0"/>
              <w:widowControl/>
              <w:suppressLineNumbers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全智能型</w:t>
            </w:r>
          </w:p>
        </w:tc>
        <w:tc>
          <w:tcPr>
            <w:tcW w:w="1390" w:type="dxa"/>
            <w:tcBorders>
              <w:top w:val="single" w:color="auto" w:sz="4" w:space="0"/>
              <w:left w:val="single" w:color="auto" w:sz="4" w:space="0"/>
              <w:bottom w:val="single" w:color="auto" w:sz="4" w:space="0"/>
              <w:right w:val="single" w:color="auto" w:sz="4" w:space="0"/>
            </w:tcBorders>
            <w:vAlign w:val="center"/>
          </w:tcPr>
          <w:p w14:paraId="6C58B5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1000套</w:t>
            </w:r>
          </w:p>
        </w:tc>
        <w:tc>
          <w:tcPr>
            <w:tcW w:w="1989" w:type="dxa"/>
            <w:tcBorders>
              <w:top w:val="single" w:color="auto" w:sz="4" w:space="0"/>
              <w:left w:val="single" w:color="auto" w:sz="4" w:space="0"/>
              <w:bottom w:val="single" w:color="auto" w:sz="4" w:space="0"/>
              <w:right w:val="single" w:color="auto" w:sz="4" w:space="0"/>
            </w:tcBorders>
            <w:vAlign w:val="center"/>
          </w:tcPr>
          <w:p w14:paraId="024AB71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360.00元/套</w:t>
            </w:r>
          </w:p>
        </w:tc>
        <w:tc>
          <w:tcPr>
            <w:tcW w:w="1456" w:type="dxa"/>
            <w:vMerge w:val="continue"/>
            <w:tcBorders>
              <w:left w:val="single" w:color="auto" w:sz="4" w:space="0"/>
              <w:right w:val="single" w:color="auto" w:sz="4" w:space="0"/>
            </w:tcBorders>
            <w:vAlign w:val="center"/>
          </w:tcPr>
          <w:p w14:paraId="316047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p>
        </w:tc>
      </w:tr>
    </w:tbl>
    <w:p w14:paraId="7DA869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 1、报价一经涂改，应在涂改处加盖单位公章或者由法定代表人或授权委托人签字或盖章，否则其投标作无效标处理。</w:t>
      </w:r>
    </w:p>
    <w:p w14:paraId="65FDC4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w:t>
      </w:r>
      <w:r>
        <w:rPr>
          <w:rFonts w:hint="eastAsia" w:ascii="仿宋" w:hAnsi="仿宋" w:eastAsia="仿宋" w:cs="仿宋"/>
          <w:b/>
          <w:bCs/>
          <w:color w:val="auto"/>
          <w:highlight w:val="none"/>
          <w:lang w:val="en-US" w:eastAsia="zh-CN"/>
        </w:rPr>
        <w:t>2、</w:t>
      </w:r>
      <w:r>
        <w:rPr>
          <w:rFonts w:hint="eastAsia" w:ascii="仿宋" w:hAnsi="仿宋" w:eastAsia="仿宋" w:cs="仿宋"/>
          <w:b/>
          <w:color w:val="auto"/>
          <w:sz w:val="21"/>
          <w:szCs w:val="21"/>
          <w:highlight w:val="none"/>
          <w:lang w:val="en-US" w:eastAsia="zh-CN"/>
        </w:rPr>
        <w:t>综合折扣率</w:t>
      </w:r>
      <w:r>
        <w:rPr>
          <w:rFonts w:hint="eastAsia" w:ascii="仿宋" w:hAnsi="仿宋" w:eastAsia="仿宋" w:cs="仿宋"/>
          <w:b/>
          <w:color w:val="auto"/>
          <w:sz w:val="21"/>
          <w:szCs w:val="21"/>
          <w:highlight w:val="none"/>
        </w:rPr>
        <w:t>最高限价为</w:t>
      </w:r>
      <w:r>
        <w:rPr>
          <w:rFonts w:hint="eastAsia" w:ascii="仿宋" w:hAnsi="仿宋" w:eastAsia="仿宋" w:cs="仿宋"/>
          <w:b/>
          <w:color w:val="auto"/>
          <w:sz w:val="21"/>
          <w:szCs w:val="21"/>
          <w:highlight w:val="none"/>
          <w:lang w:val="en-US" w:eastAsia="zh-CN"/>
        </w:rPr>
        <w:t>100%</w:t>
      </w:r>
      <w:r>
        <w:rPr>
          <w:rFonts w:hint="eastAsia" w:ascii="仿宋" w:hAnsi="仿宋" w:eastAsia="仿宋" w:cs="仿宋"/>
          <w:b/>
          <w:color w:val="auto"/>
          <w:sz w:val="21"/>
          <w:szCs w:val="21"/>
          <w:highlight w:val="none"/>
        </w:rPr>
        <w:t>（含）</w:t>
      </w:r>
      <w:r>
        <w:rPr>
          <w:rFonts w:hint="eastAsia" w:ascii="仿宋" w:hAnsi="仿宋" w:eastAsia="仿宋" w:cs="仿宋"/>
          <w:b/>
          <w:bCs/>
          <w:color w:val="auto"/>
          <w:highlight w:val="none"/>
          <w:lang w:val="en-US" w:eastAsia="zh-CN"/>
        </w:rPr>
        <w:t>；</w:t>
      </w:r>
      <w:r>
        <w:rPr>
          <w:rFonts w:hint="eastAsia" w:ascii="仿宋" w:hAnsi="仿宋" w:eastAsia="仿宋" w:cs="仿宋"/>
          <w:b/>
          <w:color w:val="auto"/>
          <w:sz w:val="21"/>
          <w:szCs w:val="21"/>
          <w:highlight w:val="none"/>
        </w:rPr>
        <w:t>投标报价超出</w:t>
      </w:r>
      <w:r>
        <w:rPr>
          <w:rFonts w:hint="eastAsia" w:ascii="仿宋" w:hAnsi="仿宋" w:eastAsia="仿宋" w:cs="仿宋"/>
          <w:b/>
          <w:color w:val="auto"/>
          <w:sz w:val="21"/>
          <w:szCs w:val="21"/>
          <w:highlight w:val="none"/>
          <w:lang w:val="en-US" w:eastAsia="zh-CN"/>
        </w:rPr>
        <w:t>综合折扣率</w:t>
      </w:r>
      <w:r>
        <w:rPr>
          <w:rFonts w:hint="eastAsia" w:ascii="仿宋" w:hAnsi="仿宋" w:eastAsia="仿宋" w:cs="仿宋"/>
          <w:b/>
          <w:color w:val="auto"/>
          <w:sz w:val="21"/>
          <w:szCs w:val="21"/>
          <w:highlight w:val="none"/>
        </w:rPr>
        <w:t>最高限价</w:t>
      </w:r>
      <w:r>
        <w:rPr>
          <w:rFonts w:hint="eastAsia" w:ascii="仿宋" w:hAnsi="仿宋" w:eastAsia="仿宋" w:cs="仿宋"/>
          <w:b/>
          <w:bCs/>
          <w:color w:val="auto"/>
          <w:highlight w:val="none"/>
          <w:lang w:val="en-US" w:eastAsia="zh-CN"/>
        </w:rPr>
        <w:t>的投标作无效标处理。（投标人须填报折扣率，如投标报价折扣率为90.00%）。</w:t>
      </w:r>
    </w:p>
    <w:p w14:paraId="1297D743">
      <w:pPr>
        <w:keepNext w:val="0"/>
        <w:keepLines w:val="0"/>
        <w:pageBreakBefore w:val="0"/>
        <w:widowControl w:val="0"/>
        <w:kinsoku/>
        <w:wordWrap/>
        <w:overflowPunct/>
        <w:topLinePunct w:val="0"/>
        <w:autoSpaceDE/>
        <w:autoSpaceDN/>
        <w:bidi w:val="0"/>
        <w:adjustRightInd/>
        <w:snapToGrid w:val="0"/>
        <w:spacing w:before="50" w:after="50" w:line="360" w:lineRule="exact"/>
        <w:ind w:right="-817" w:rightChars="-389" w:firstLine="420" w:firstLineChars="200"/>
        <w:textAlignment w:val="auto"/>
        <w:rPr>
          <w:rFonts w:hint="eastAsia" w:ascii="仿宋" w:hAnsi="仿宋" w:eastAsia="仿宋" w:cs="仿宋"/>
          <w:b w:val="0"/>
          <w:bCs w:val="0"/>
          <w:color w:val="auto"/>
          <w:sz w:val="21"/>
          <w:szCs w:val="21"/>
          <w:highlight w:val="none"/>
          <w:lang w:val="en-US" w:eastAsia="zh-CN"/>
        </w:rPr>
      </w:pPr>
    </w:p>
    <w:p w14:paraId="59D6ADF2">
      <w:pPr>
        <w:snapToGrid w:val="0"/>
        <w:spacing w:before="50" w:after="50" w:line="440" w:lineRule="exact"/>
        <w:ind w:right="-817" w:rightChars="-38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投</w:t>
      </w:r>
      <w:r>
        <w:rPr>
          <w:rFonts w:hint="eastAsia" w:ascii="仿宋" w:hAnsi="仿宋" w:eastAsia="仿宋" w:cs="仿宋"/>
          <w:color w:val="auto"/>
          <w:sz w:val="22"/>
          <w:szCs w:val="22"/>
          <w:highlight w:val="none"/>
        </w:rPr>
        <w:t xml:space="preserve">标人名称（盖章）：                                 </w:t>
      </w:r>
    </w:p>
    <w:p w14:paraId="1BDC04D8">
      <w:pPr>
        <w:snapToGrid w:val="0"/>
        <w:spacing w:before="50" w:after="50" w:line="440" w:lineRule="exact"/>
        <w:ind w:right="-817" w:rightChars="-38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法定代表人或授权代表（签字或盖章）：</w:t>
      </w:r>
    </w:p>
    <w:p w14:paraId="577DB735">
      <w:pPr>
        <w:pStyle w:val="68"/>
        <w:spacing w:line="360" w:lineRule="auto"/>
        <w:ind w:firstLine="0" w:firstLineChars="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日期：    年   月</w:t>
      </w:r>
      <w:r>
        <w:rPr>
          <w:rFonts w:hint="eastAsia" w:ascii="仿宋" w:hAnsi="仿宋" w:eastAsia="仿宋" w:cs="仿宋"/>
          <w:color w:val="auto"/>
          <w:sz w:val="22"/>
          <w:szCs w:val="22"/>
          <w:highlight w:val="none"/>
          <w:lang w:val="en-US" w:eastAsia="zh-CN"/>
        </w:rPr>
        <w:t xml:space="preserve">   日</w:t>
      </w:r>
    </w:p>
    <w:sectPr>
      <w:pgSz w:w="11905" w:h="16838"/>
      <w:pgMar w:top="1440" w:right="1803" w:bottom="1440" w:left="1803" w:header="850"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文鼎CS仿宋体+FPEF">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D90E">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- 3 -</w:t>
    </w:r>
    <w:r>
      <w:fldChar w:fldCharType="end"/>
    </w:r>
  </w:p>
  <w:p w14:paraId="79EBAE25">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9A29">
    <w:pPr>
      <w:pStyle w:val="33"/>
      <w:framePr w:wrap="around" w:vAnchor="text" w:hAnchor="margin" w:xAlign="center" w:y="1"/>
      <w:rPr>
        <w:rStyle w:val="55"/>
      </w:rPr>
    </w:pPr>
    <w:r>
      <w:fldChar w:fldCharType="begin"/>
    </w:r>
    <w:r>
      <w:rPr>
        <w:rStyle w:val="55"/>
      </w:rPr>
      <w:instrText xml:space="preserve">PAGE  </w:instrText>
    </w:r>
    <w:r>
      <w:fldChar w:fldCharType="end"/>
    </w:r>
  </w:p>
  <w:p w14:paraId="5E07DE86">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E4F09">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6864C7">
                          <w:pPr>
                            <w:pStyle w:val="3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ySN2HzgEAAJoDAAAOAAAAAAAAAAEAIAAAACIBAABk&#10;cnMvZTJvRG9jLnhtbFBLBQYAAAAABgAGAFkBAABiBQAAAAA=&#10;">
              <v:fill on="f" focussize="0,0"/>
              <v:stroke on="f" weight="1.25pt"/>
              <v:imagedata o:title=""/>
              <o:lock v:ext="edit" aspectratio="f"/>
              <v:textbox inset="0mm,0mm,0mm,0mm" style="mso-fit-shape-to-text:t;">
                <w:txbxContent>
                  <w:p w14:paraId="466864C7">
                    <w:pPr>
                      <w:pStyle w:val="3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704F">
    <w:pPr>
      <w:pStyle w:val="18"/>
      <w:spacing w:line="14" w:lineRule="auto"/>
      <w:rPr>
        <w:sz w:val="20"/>
      </w:rPr>
    </w:pPr>
    <w:r>
      <w:rPr>
        <w:sz w:val="20"/>
      </w:rPr>
      <w:pict>
        <v:shape id="文本框 7" o:spid="_x0000_s1027" o:spt="202" type="#_x0000_t202" style="position:absolute;left:0pt;margin-top:0pt;height:26.45pt;width:26.75pt;mso-position-horizontal:center;mso-position-horizontal-relative:margin;z-index:251662336;mso-width-relative:page;mso-height-relative:page;" filled="f" stroked="f" coordsize="21600,21600">
          <v:path/>
          <v:fill on="f" focussize="0,0"/>
          <v:stroke on="f" joinstyle="miter"/>
          <v:imagedata o:title=""/>
          <o:lock v:ext="edit"/>
          <v:textbox inset="0mm,0mm,0mm,0mm">
            <w:txbxContent>
              <w:p w14:paraId="106417AC">
                <w:pPr>
                  <w:pStyle w:val="33"/>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8049">
    <w:pPr>
      <w:pStyle w:val="33"/>
      <w:ind w:firstLine="360"/>
    </w:pPr>
    <w:r>
      <mc:AlternateContent>
        <mc:Choice Requires="wps">
          <w:drawing>
            <wp:anchor distT="0" distB="0" distL="114300" distR="114300" simplePos="0" relativeHeight="251661312" behindDoc="0" locked="0" layoutInCell="1" allowOverlap="1">
              <wp:simplePos x="0" y="0"/>
              <wp:positionH relativeFrom="margin">
                <wp:posOffset>2809875</wp:posOffset>
              </wp:positionH>
              <wp:positionV relativeFrom="paragraph">
                <wp:posOffset>0</wp:posOffset>
              </wp:positionV>
              <wp:extent cx="482600" cy="297815"/>
              <wp:effectExtent l="0" t="0" r="12700" b="6985"/>
              <wp:wrapNone/>
              <wp:docPr id="122771423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82600" cy="297815"/>
                      </a:xfrm>
                      <a:prstGeom prst="rect">
                        <a:avLst/>
                      </a:prstGeom>
                      <a:noFill/>
                      <a:ln>
                        <a:noFill/>
                      </a:ln>
                    </wps:spPr>
                    <wps:txbx>
                      <w:txbxContent>
                        <w:p w14:paraId="1CB81BC3">
                          <w:pPr>
                            <w:pStyle w:val="33"/>
                            <w:ind w:firstLine="360"/>
                            <w:jc w:val="center"/>
                          </w:pPr>
                          <w:r>
                            <w:fldChar w:fldCharType="begin"/>
                          </w:r>
                          <w:r>
                            <w:instrText xml:space="preserve"> PAGE  \* MERGEFORMAT </w:instrText>
                          </w:r>
                          <w:r>
                            <w:fldChar w:fldCharType="separate"/>
                          </w:r>
                          <w:r>
                            <w:t>15</w:t>
                          </w:r>
                          <w:r>
                            <w:fldChar w:fldCharType="end"/>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221.25pt;margin-top:0pt;height:23.45pt;width:38pt;mso-position-horizontal-relative:margin;z-index:251661312;mso-width-relative:page;mso-height-relative:page;" filled="f" stroked="f" coordsize="21600,21600" o:gfxdata="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DKhT1gAAAAcBAAAPAAAAAAAA&#10;AAEAIAAAACIAAABkcnMvZG93bnJldi54bWxQSwECFAAUAAAACACHTuJAnw6YaBQCAAANBAAADgAA&#10;AAAAAAABACAAAAAlAQAAZHJzL2Uyb0RvYy54bWxQSwUGAAAAAAYABgBZAQAAqwUAAAAA&#10;">
              <v:fill on="f" focussize="0,0"/>
              <v:stroke on="f"/>
              <v:imagedata o:title=""/>
              <o:lock v:ext="edit" aspectratio="f"/>
              <v:textbox inset="0mm,0mm,0mm,0mm">
                <w:txbxContent>
                  <w:p w14:paraId="1CB81BC3">
                    <w:pPr>
                      <w:pStyle w:val="33"/>
                      <w:ind w:firstLine="360"/>
                      <w:jc w:val="cente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D2520">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94005" cy="222250"/>
              <wp:effectExtent l="0" t="0" r="1270" b="0"/>
              <wp:wrapNone/>
              <wp:docPr id="1141999597"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4005" cy="222250"/>
                      </a:xfrm>
                      <a:prstGeom prst="rect">
                        <a:avLst/>
                      </a:prstGeom>
                      <a:noFill/>
                      <a:ln>
                        <a:noFill/>
                      </a:ln>
                    </wps:spPr>
                    <wps:txbx>
                      <w:txbxContent>
                        <w:p w14:paraId="539DB8A5">
                          <w:pPr>
                            <w:pStyle w:val="33"/>
                          </w:pPr>
                          <w:r>
                            <w:fldChar w:fldCharType="begin"/>
                          </w:r>
                          <w:r>
                            <w:instrText xml:space="preserve"> PAGE  \* MERGEFORMAT </w:instrText>
                          </w:r>
                          <w:r>
                            <w:fldChar w:fldCharType="separate"/>
                          </w:r>
                          <w:r>
                            <w:t>52</w:t>
                          </w:r>
                          <w:r>
                            <w:fldChar w:fldCharType="end"/>
                          </w: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top:0pt;height:17.5pt;width:23.15pt;mso-position-horizontal:center;mso-position-horizontal-relative:margin;z-index:251660288;mso-width-relative:page;mso-height-relative:page;" filled="f" stroked="f" coordsize="21600,21600" o:gfxdata="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jzAh9QAAAADAQAADwAAAAAAAAAB&#10;ACAAAAAiAAAAZHJzL2Rvd25yZXYueG1sUEsBAhQAFAAAAAgAh07iQLYgikAUAgAADQQAAA4AAAAA&#10;AAAAAQAgAAAAIwEAAGRycy9lMm9Eb2MueG1sUEsFBgAAAAAGAAYAWQEAAKkFAAAAAA==&#10;">
              <v:fill on="f" focussize="0,0"/>
              <v:stroke on="f"/>
              <v:imagedata o:title=""/>
              <o:lock v:ext="edit" aspectratio="f"/>
              <v:textbox inset="0mm,0mm,0mm,0mm">
                <w:txbxContent>
                  <w:p w14:paraId="539DB8A5">
                    <w:pPr>
                      <w:pStyle w:val="3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534C">
    <w:pPr>
      <w:pStyle w:val="34"/>
      <w:jc w:val="both"/>
    </w:pPr>
  </w:p>
  <w:p w14:paraId="7D240445">
    <w:pPr>
      <w:pStyle w:val="34"/>
      <w:jc w:val="both"/>
      <w:rPr>
        <w:rFonts w:hint="eastAsia" w:ascii="仿宋" w:hAnsi="仿宋" w:eastAsia="仿宋" w:cs="仿宋"/>
      </w:rPr>
    </w:pPr>
    <w:r>
      <w:rPr>
        <w:rFonts w:hint="eastAsia"/>
      </w:rPr>
      <w:t xml:space="preserve"> </w:t>
    </w:r>
    <w:r>
      <w:drawing>
        <wp:inline distT="0" distB="0" distL="0" distR="0">
          <wp:extent cx="1402080" cy="358140"/>
          <wp:effectExtent l="0" t="0" r="7620" b="3810"/>
          <wp:docPr id="1519068749" name="图片 6" descr="cae2774932672da728d9c23d6acd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68749" name="图片 6" descr="cae2774932672da728d9c23d6acd7f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02080" cy="35814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ascii="仿宋" w:hAnsi="仿宋" w:eastAsia="仿宋" w:cs="仿宋"/>
        <w:color w:val="333333"/>
        <w:sz w:val="15"/>
        <w:szCs w:val="15"/>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334B8">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2E54">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AB8E">
    <w:pPr>
      <w:pStyle w:val="3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8CC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8020B"/>
    <w:multiLevelType w:val="singleLevel"/>
    <w:tmpl w:val="8488020B"/>
    <w:lvl w:ilvl="0" w:tentative="0">
      <w:start w:val="1"/>
      <w:numFmt w:val="decimal"/>
      <w:suff w:val="nothing"/>
      <w:lvlText w:val="（%1）"/>
      <w:lvlJc w:val="left"/>
    </w:lvl>
  </w:abstractNum>
  <w:abstractNum w:abstractNumId="1">
    <w:nsid w:val="DFDAFBF1"/>
    <w:multiLevelType w:val="singleLevel"/>
    <w:tmpl w:val="DFDAFBF1"/>
    <w:lvl w:ilvl="0" w:tentative="0">
      <w:start w:val="1"/>
      <w:numFmt w:val="chineseCounting"/>
      <w:suff w:val="space"/>
      <w:lvlText w:val="第%1条"/>
      <w:lvlJc w:val="left"/>
      <w:rPr>
        <w:rFonts w:hint="eastAsia"/>
      </w:rPr>
    </w:lvl>
  </w:abstractNum>
  <w:abstractNum w:abstractNumId="2">
    <w:nsid w:val="F0F1343A"/>
    <w:multiLevelType w:val="singleLevel"/>
    <w:tmpl w:val="F0F1343A"/>
    <w:lvl w:ilvl="0" w:tentative="0">
      <w:start w:val="4"/>
      <w:numFmt w:val="decimal"/>
      <w:suff w:val="nothing"/>
      <w:lvlText w:val="%1、"/>
      <w:lvlJc w:val="left"/>
    </w:lvl>
  </w:abstractNum>
  <w:abstractNum w:abstractNumId="3">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4">
    <w:nsid w:val="00000020"/>
    <w:multiLevelType w:val="singleLevel"/>
    <w:tmpl w:val="00000020"/>
    <w:lvl w:ilvl="0" w:tentative="0">
      <w:start w:val="1"/>
      <w:numFmt w:val="chineseCounting"/>
      <w:suff w:val="nothing"/>
      <w:lvlText w:val="（%1）"/>
      <w:lvlJc w:val="left"/>
    </w:lvl>
  </w:abstractNum>
  <w:abstractNum w:abstractNumId="5">
    <w:nsid w:val="09890BCC"/>
    <w:multiLevelType w:val="multilevel"/>
    <w:tmpl w:val="09890BCC"/>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0FE86305"/>
    <w:multiLevelType w:val="multilevel"/>
    <w:tmpl w:val="0FE86305"/>
    <w:lvl w:ilvl="0" w:tentative="0">
      <w:start w:val="1"/>
      <w:numFmt w:val="chineseCountingThousand"/>
      <w:lvlText w:val="第%1章"/>
      <w:lvlJc w:val="left"/>
      <w:pPr>
        <w:ind w:left="3403" w:hanging="992"/>
      </w:pPr>
      <w:rPr>
        <w:rFonts w:hint="eastAsia"/>
      </w:rPr>
    </w:lvl>
    <w:lvl w:ilvl="1" w:tentative="0">
      <w:start w:val="1"/>
      <w:numFmt w:val="decimal"/>
      <w:pStyle w:val="148"/>
      <w:isLgl/>
      <w:lvlText w:val="%1.%2"/>
      <w:lvlJc w:val="left"/>
      <w:pPr>
        <w:ind w:left="1277" w:hanging="567"/>
      </w:pPr>
      <w:rPr>
        <w:rFonts w:hint="eastAsia"/>
        <w:sz w:val="21"/>
        <w:szCs w:val="21"/>
      </w:rPr>
    </w:lvl>
    <w:lvl w:ilvl="2" w:tentative="0">
      <w:start w:val="1"/>
      <w:numFmt w:val="decimal"/>
      <w:pStyle w:val="149"/>
      <w:isLgl/>
      <w:suff w:val="space"/>
      <w:lvlText w:val="%1.%2.%3"/>
      <w:lvlJc w:val="left"/>
      <w:pPr>
        <w:ind w:left="2128" w:hanging="1418"/>
      </w:pPr>
      <w:rPr>
        <w:rFonts w:hint="eastAsia" w:ascii="宋体" w:hAnsi="宋体" w:eastAsia="宋体"/>
      </w:rPr>
    </w:lvl>
    <w:lvl w:ilvl="3" w:tentative="0">
      <w:start w:val="1"/>
      <w:numFmt w:val="decimal"/>
      <w:isLg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3E138A2"/>
    <w:multiLevelType w:val="multilevel"/>
    <w:tmpl w:val="23E138A2"/>
    <w:lvl w:ilvl="0" w:tentative="0">
      <w:start w:val="1"/>
      <w:numFmt w:val="decimal"/>
      <w:lvlText w:val="%1."/>
      <w:lvlJc w:val="left"/>
      <w:pPr>
        <w:tabs>
          <w:tab w:val="left" w:pos="720"/>
        </w:tabs>
        <w:ind w:left="720" w:hanging="720"/>
      </w:pPr>
    </w:lvl>
    <w:lvl w:ilvl="1" w:tentative="0">
      <w:start w:val="1"/>
      <w:numFmt w:val="decimal"/>
      <w:pStyle w:val="132"/>
      <w:lvlText w:val="%2."/>
      <w:lvlJc w:val="left"/>
      <w:pPr>
        <w:tabs>
          <w:tab w:val="left" w:pos="1440"/>
        </w:tabs>
        <w:ind w:left="1440" w:hanging="720"/>
      </w:pPr>
    </w:lvl>
    <w:lvl w:ilvl="2" w:tentative="0">
      <w:start w:val="1"/>
      <w:numFmt w:val="decimal"/>
      <w:pStyle w:val="128"/>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32EF4807"/>
    <w:multiLevelType w:val="multilevel"/>
    <w:tmpl w:val="32EF4807"/>
    <w:lvl w:ilvl="0" w:tentative="0">
      <w:start w:val="3"/>
      <w:numFmt w:val="japaneseCounting"/>
      <w:pStyle w:val="14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8"/>
  </w:num>
  <w:num w:numId="5">
    <w:abstractNumId w:val="6"/>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ommondata" w:val="eyJoZGlkIjoiMGNmZTk4MjdkNWJiM2NkOTM3MTgwZTE3YzIzZGY1YTY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7C5AE3"/>
    <w:rsid w:val="00000258"/>
    <w:rsid w:val="00000A64"/>
    <w:rsid w:val="00002FB9"/>
    <w:rsid w:val="00004389"/>
    <w:rsid w:val="000043B4"/>
    <w:rsid w:val="000054CF"/>
    <w:rsid w:val="00005D60"/>
    <w:rsid w:val="0000711E"/>
    <w:rsid w:val="000126DB"/>
    <w:rsid w:val="00012A3E"/>
    <w:rsid w:val="000138EB"/>
    <w:rsid w:val="00015A5C"/>
    <w:rsid w:val="0002506C"/>
    <w:rsid w:val="0002777E"/>
    <w:rsid w:val="00030E4F"/>
    <w:rsid w:val="00032057"/>
    <w:rsid w:val="0003341D"/>
    <w:rsid w:val="00034271"/>
    <w:rsid w:val="000358E6"/>
    <w:rsid w:val="000359CE"/>
    <w:rsid w:val="00036821"/>
    <w:rsid w:val="00040017"/>
    <w:rsid w:val="00040089"/>
    <w:rsid w:val="0004101D"/>
    <w:rsid w:val="00043537"/>
    <w:rsid w:val="00043F06"/>
    <w:rsid w:val="0004552B"/>
    <w:rsid w:val="00051AEB"/>
    <w:rsid w:val="00051C7F"/>
    <w:rsid w:val="00051F49"/>
    <w:rsid w:val="00061481"/>
    <w:rsid w:val="00062B88"/>
    <w:rsid w:val="00062E0C"/>
    <w:rsid w:val="00063373"/>
    <w:rsid w:val="000633AB"/>
    <w:rsid w:val="000643E2"/>
    <w:rsid w:val="00065C75"/>
    <w:rsid w:val="00065E87"/>
    <w:rsid w:val="000663C6"/>
    <w:rsid w:val="00067A88"/>
    <w:rsid w:val="00071C36"/>
    <w:rsid w:val="00071E43"/>
    <w:rsid w:val="00071F25"/>
    <w:rsid w:val="0007533F"/>
    <w:rsid w:val="00076014"/>
    <w:rsid w:val="0008178C"/>
    <w:rsid w:val="000838A0"/>
    <w:rsid w:val="0008569D"/>
    <w:rsid w:val="00086736"/>
    <w:rsid w:val="00087B58"/>
    <w:rsid w:val="00093BDE"/>
    <w:rsid w:val="00093E5A"/>
    <w:rsid w:val="00094714"/>
    <w:rsid w:val="00094C7E"/>
    <w:rsid w:val="00095165"/>
    <w:rsid w:val="00096BF4"/>
    <w:rsid w:val="00096FBF"/>
    <w:rsid w:val="00097213"/>
    <w:rsid w:val="00097553"/>
    <w:rsid w:val="00097709"/>
    <w:rsid w:val="000A161F"/>
    <w:rsid w:val="000A1D9B"/>
    <w:rsid w:val="000A2399"/>
    <w:rsid w:val="000A26B4"/>
    <w:rsid w:val="000A2772"/>
    <w:rsid w:val="000A32F6"/>
    <w:rsid w:val="000A494B"/>
    <w:rsid w:val="000A4AA3"/>
    <w:rsid w:val="000A4AB9"/>
    <w:rsid w:val="000A5005"/>
    <w:rsid w:val="000A698B"/>
    <w:rsid w:val="000A6E56"/>
    <w:rsid w:val="000A725B"/>
    <w:rsid w:val="000A74CE"/>
    <w:rsid w:val="000B178D"/>
    <w:rsid w:val="000B2A5E"/>
    <w:rsid w:val="000B2E81"/>
    <w:rsid w:val="000B4C9F"/>
    <w:rsid w:val="000B4FBE"/>
    <w:rsid w:val="000B5979"/>
    <w:rsid w:val="000B6281"/>
    <w:rsid w:val="000B6ADA"/>
    <w:rsid w:val="000C276F"/>
    <w:rsid w:val="000C4554"/>
    <w:rsid w:val="000C5DC3"/>
    <w:rsid w:val="000D0CCE"/>
    <w:rsid w:val="000D1115"/>
    <w:rsid w:val="000D468D"/>
    <w:rsid w:val="000D4B90"/>
    <w:rsid w:val="000E014B"/>
    <w:rsid w:val="000E0544"/>
    <w:rsid w:val="000E06C3"/>
    <w:rsid w:val="000E0807"/>
    <w:rsid w:val="000E141C"/>
    <w:rsid w:val="000E4215"/>
    <w:rsid w:val="000E5886"/>
    <w:rsid w:val="000E706B"/>
    <w:rsid w:val="000E7E09"/>
    <w:rsid w:val="000F181B"/>
    <w:rsid w:val="000F2AB1"/>
    <w:rsid w:val="000F3643"/>
    <w:rsid w:val="000F4876"/>
    <w:rsid w:val="000F488B"/>
    <w:rsid w:val="000F6083"/>
    <w:rsid w:val="00100534"/>
    <w:rsid w:val="0010193B"/>
    <w:rsid w:val="00101ADA"/>
    <w:rsid w:val="00101D2D"/>
    <w:rsid w:val="0010245C"/>
    <w:rsid w:val="001059F9"/>
    <w:rsid w:val="00105B37"/>
    <w:rsid w:val="00105C6B"/>
    <w:rsid w:val="001060E3"/>
    <w:rsid w:val="001064EE"/>
    <w:rsid w:val="0010653C"/>
    <w:rsid w:val="00107673"/>
    <w:rsid w:val="0010777A"/>
    <w:rsid w:val="00107832"/>
    <w:rsid w:val="001078AB"/>
    <w:rsid w:val="001102AD"/>
    <w:rsid w:val="001116BE"/>
    <w:rsid w:val="00111975"/>
    <w:rsid w:val="00112D6D"/>
    <w:rsid w:val="00113B3E"/>
    <w:rsid w:val="00113F2B"/>
    <w:rsid w:val="00116153"/>
    <w:rsid w:val="001170BF"/>
    <w:rsid w:val="00117619"/>
    <w:rsid w:val="00125244"/>
    <w:rsid w:val="00125861"/>
    <w:rsid w:val="001261B9"/>
    <w:rsid w:val="001337ED"/>
    <w:rsid w:val="00137D30"/>
    <w:rsid w:val="00140D55"/>
    <w:rsid w:val="00141892"/>
    <w:rsid w:val="00141FFA"/>
    <w:rsid w:val="0015067C"/>
    <w:rsid w:val="00150849"/>
    <w:rsid w:val="001517BD"/>
    <w:rsid w:val="00153157"/>
    <w:rsid w:val="00153BFB"/>
    <w:rsid w:val="00154D30"/>
    <w:rsid w:val="00155E77"/>
    <w:rsid w:val="00164136"/>
    <w:rsid w:val="001656CD"/>
    <w:rsid w:val="00167A47"/>
    <w:rsid w:val="00170D64"/>
    <w:rsid w:val="00171177"/>
    <w:rsid w:val="0017143B"/>
    <w:rsid w:val="00172900"/>
    <w:rsid w:val="00173A67"/>
    <w:rsid w:val="00175219"/>
    <w:rsid w:val="00175DE4"/>
    <w:rsid w:val="0017647E"/>
    <w:rsid w:val="001819CA"/>
    <w:rsid w:val="00182B0F"/>
    <w:rsid w:val="001856AF"/>
    <w:rsid w:val="00185A0C"/>
    <w:rsid w:val="0018673A"/>
    <w:rsid w:val="00187967"/>
    <w:rsid w:val="0019083C"/>
    <w:rsid w:val="00190B0D"/>
    <w:rsid w:val="0019244E"/>
    <w:rsid w:val="00192FCB"/>
    <w:rsid w:val="00195B98"/>
    <w:rsid w:val="001A34E9"/>
    <w:rsid w:val="001A3EF9"/>
    <w:rsid w:val="001A4B85"/>
    <w:rsid w:val="001A4D16"/>
    <w:rsid w:val="001A5C73"/>
    <w:rsid w:val="001A5DAA"/>
    <w:rsid w:val="001A613E"/>
    <w:rsid w:val="001A62CD"/>
    <w:rsid w:val="001B0580"/>
    <w:rsid w:val="001B08A1"/>
    <w:rsid w:val="001B0DA6"/>
    <w:rsid w:val="001B2078"/>
    <w:rsid w:val="001B3DCB"/>
    <w:rsid w:val="001B62B4"/>
    <w:rsid w:val="001B6369"/>
    <w:rsid w:val="001C03FF"/>
    <w:rsid w:val="001C17A4"/>
    <w:rsid w:val="001C5266"/>
    <w:rsid w:val="001C5353"/>
    <w:rsid w:val="001C5AE1"/>
    <w:rsid w:val="001C5C25"/>
    <w:rsid w:val="001C7F45"/>
    <w:rsid w:val="001D2105"/>
    <w:rsid w:val="001D3518"/>
    <w:rsid w:val="001D4373"/>
    <w:rsid w:val="001D7D32"/>
    <w:rsid w:val="001E026B"/>
    <w:rsid w:val="001E1DFF"/>
    <w:rsid w:val="001E3973"/>
    <w:rsid w:val="001E478C"/>
    <w:rsid w:val="001E49AA"/>
    <w:rsid w:val="001E5C17"/>
    <w:rsid w:val="001E6294"/>
    <w:rsid w:val="001E6422"/>
    <w:rsid w:val="001E7661"/>
    <w:rsid w:val="001F0176"/>
    <w:rsid w:val="001F0FF2"/>
    <w:rsid w:val="001F1CAB"/>
    <w:rsid w:val="001F1EF1"/>
    <w:rsid w:val="001F2558"/>
    <w:rsid w:val="001F275D"/>
    <w:rsid w:val="001F2C25"/>
    <w:rsid w:val="001F336A"/>
    <w:rsid w:val="001F3546"/>
    <w:rsid w:val="001F479C"/>
    <w:rsid w:val="001F4E9B"/>
    <w:rsid w:val="001F4FDF"/>
    <w:rsid w:val="001F5C31"/>
    <w:rsid w:val="001F6331"/>
    <w:rsid w:val="001F7D04"/>
    <w:rsid w:val="0020062C"/>
    <w:rsid w:val="00202214"/>
    <w:rsid w:val="00203256"/>
    <w:rsid w:val="00203423"/>
    <w:rsid w:val="0020357C"/>
    <w:rsid w:val="00207A6B"/>
    <w:rsid w:val="00207B0B"/>
    <w:rsid w:val="00207BC9"/>
    <w:rsid w:val="00207E8F"/>
    <w:rsid w:val="00210679"/>
    <w:rsid w:val="002111AC"/>
    <w:rsid w:val="00213394"/>
    <w:rsid w:val="002134BA"/>
    <w:rsid w:val="002146D1"/>
    <w:rsid w:val="00217265"/>
    <w:rsid w:val="002204CC"/>
    <w:rsid w:val="0022400A"/>
    <w:rsid w:val="00224415"/>
    <w:rsid w:val="00224492"/>
    <w:rsid w:val="00226964"/>
    <w:rsid w:val="00226C1A"/>
    <w:rsid w:val="00226C2D"/>
    <w:rsid w:val="00226D1E"/>
    <w:rsid w:val="00227158"/>
    <w:rsid w:val="0022783C"/>
    <w:rsid w:val="002308BA"/>
    <w:rsid w:val="00230EE1"/>
    <w:rsid w:val="00233E9C"/>
    <w:rsid w:val="00237218"/>
    <w:rsid w:val="00237922"/>
    <w:rsid w:val="00244322"/>
    <w:rsid w:val="002514C0"/>
    <w:rsid w:val="00252D5D"/>
    <w:rsid w:val="00253369"/>
    <w:rsid w:val="002538E5"/>
    <w:rsid w:val="0025390D"/>
    <w:rsid w:val="002544E2"/>
    <w:rsid w:val="00255993"/>
    <w:rsid w:val="002562DF"/>
    <w:rsid w:val="0026025F"/>
    <w:rsid w:val="0026059B"/>
    <w:rsid w:val="0026192C"/>
    <w:rsid w:val="00262404"/>
    <w:rsid w:val="00262960"/>
    <w:rsid w:val="002646EF"/>
    <w:rsid w:val="002654DF"/>
    <w:rsid w:val="002660E2"/>
    <w:rsid w:val="00266DA2"/>
    <w:rsid w:val="00272BF9"/>
    <w:rsid w:val="00272C86"/>
    <w:rsid w:val="00273DA9"/>
    <w:rsid w:val="00275705"/>
    <w:rsid w:val="0027593C"/>
    <w:rsid w:val="002760EE"/>
    <w:rsid w:val="00276D5C"/>
    <w:rsid w:val="002802F1"/>
    <w:rsid w:val="0028076D"/>
    <w:rsid w:val="002824B9"/>
    <w:rsid w:val="00283C70"/>
    <w:rsid w:val="00285636"/>
    <w:rsid w:val="002858E9"/>
    <w:rsid w:val="002874B0"/>
    <w:rsid w:val="0029021F"/>
    <w:rsid w:val="00290BB2"/>
    <w:rsid w:val="00290C5C"/>
    <w:rsid w:val="00291006"/>
    <w:rsid w:val="00291BAB"/>
    <w:rsid w:val="002923E2"/>
    <w:rsid w:val="0029241C"/>
    <w:rsid w:val="00293E66"/>
    <w:rsid w:val="00294088"/>
    <w:rsid w:val="00294599"/>
    <w:rsid w:val="002950E5"/>
    <w:rsid w:val="00295E3A"/>
    <w:rsid w:val="00297DC3"/>
    <w:rsid w:val="002A2046"/>
    <w:rsid w:val="002A4229"/>
    <w:rsid w:val="002A57B2"/>
    <w:rsid w:val="002A65B5"/>
    <w:rsid w:val="002A7F79"/>
    <w:rsid w:val="002B036F"/>
    <w:rsid w:val="002B0AD2"/>
    <w:rsid w:val="002B12D6"/>
    <w:rsid w:val="002B177D"/>
    <w:rsid w:val="002B2C11"/>
    <w:rsid w:val="002B578E"/>
    <w:rsid w:val="002C28B6"/>
    <w:rsid w:val="002C3569"/>
    <w:rsid w:val="002C36B4"/>
    <w:rsid w:val="002C5A33"/>
    <w:rsid w:val="002C61F7"/>
    <w:rsid w:val="002C75E8"/>
    <w:rsid w:val="002D2B99"/>
    <w:rsid w:val="002D3AEA"/>
    <w:rsid w:val="002D430A"/>
    <w:rsid w:val="002D4FC0"/>
    <w:rsid w:val="002D585D"/>
    <w:rsid w:val="002D75CD"/>
    <w:rsid w:val="002E1188"/>
    <w:rsid w:val="002E128C"/>
    <w:rsid w:val="002E1D75"/>
    <w:rsid w:val="002E2009"/>
    <w:rsid w:val="002E2E8E"/>
    <w:rsid w:val="002E4BCD"/>
    <w:rsid w:val="002E4C70"/>
    <w:rsid w:val="002E5D15"/>
    <w:rsid w:val="002E6C62"/>
    <w:rsid w:val="002E7377"/>
    <w:rsid w:val="002F10C3"/>
    <w:rsid w:val="002F14FD"/>
    <w:rsid w:val="002F1645"/>
    <w:rsid w:val="002F1C5F"/>
    <w:rsid w:val="002F22D6"/>
    <w:rsid w:val="002F28DC"/>
    <w:rsid w:val="002F4565"/>
    <w:rsid w:val="002F4C65"/>
    <w:rsid w:val="002F4F00"/>
    <w:rsid w:val="002F5933"/>
    <w:rsid w:val="002F60D1"/>
    <w:rsid w:val="00300076"/>
    <w:rsid w:val="0030138F"/>
    <w:rsid w:val="003016B3"/>
    <w:rsid w:val="00301DA5"/>
    <w:rsid w:val="0030212C"/>
    <w:rsid w:val="00302510"/>
    <w:rsid w:val="00305A86"/>
    <w:rsid w:val="00305E94"/>
    <w:rsid w:val="003063EF"/>
    <w:rsid w:val="003067EB"/>
    <w:rsid w:val="0030707A"/>
    <w:rsid w:val="00311A5F"/>
    <w:rsid w:val="00312C21"/>
    <w:rsid w:val="00313DC8"/>
    <w:rsid w:val="00313E29"/>
    <w:rsid w:val="003146CF"/>
    <w:rsid w:val="00316914"/>
    <w:rsid w:val="00317B46"/>
    <w:rsid w:val="0032212A"/>
    <w:rsid w:val="00322874"/>
    <w:rsid w:val="003242E0"/>
    <w:rsid w:val="00325348"/>
    <w:rsid w:val="00326F98"/>
    <w:rsid w:val="00327095"/>
    <w:rsid w:val="0033199C"/>
    <w:rsid w:val="003336C9"/>
    <w:rsid w:val="00333C77"/>
    <w:rsid w:val="00335FC4"/>
    <w:rsid w:val="003372D6"/>
    <w:rsid w:val="00337597"/>
    <w:rsid w:val="003377EC"/>
    <w:rsid w:val="003413E1"/>
    <w:rsid w:val="00341C9D"/>
    <w:rsid w:val="00347F4D"/>
    <w:rsid w:val="003503A5"/>
    <w:rsid w:val="00350505"/>
    <w:rsid w:val="003508BB"/>
    <w:rsid w:val="00350A0E"/>
    <w:rsid w:val="00353BCC"/>
    <w:rsid w:val="00353FA4"/>
    <w:rsid w:val="003552B3"/>
    <w:rsid w:val="00355DC1"/>
    <w:rsid w:val="0035773C"/>
    <w:rsid w:val="00360E59"/>
    <w:rsid w:val="00361075"/>
    <w:rsid w:val="00361E37"/>
    <w:rsid w:val="0036233E"/>
    <w:rsid w:val="00362364"/>
    <w:rsid w:val="00362A81"/>
    <w:rsid w:val="00363D14"/>
    <w:rsid w:val="00364477"/>
    <w:rsid w:val="003654CF"/>
    <w:rsid w:val="0036567B"/>
    <w:rsid w:val="00365EDC"/>
    <w:rsid w:val="00367A9F"/>
    <w:rsid w:val="00370AAF"/>
    <w:rsid w:val="003749DB"/>
    <w:rsid w:val="00374E07"/>
    <w:rsid w:val="00381107"/>
    <w:rsid w:val="00381388"/>
    <w:rsid w:val="0038184E"/>
    <w:rsid w:val="00381E88"/>
    <w:rsid w:val="00381F0D"/>
    <w:rsid w:val="00382331"/>
    <w:rsid w:val="00382B9D"/>
    <w:rsid w:val="00383421"/>
    <w:rsid w:val="0038425D"/>
    <w:rsid w:val="00385609"/>
    <w:rsid w:val="003900D2"/>
    <w:rsid w:val="00391592"/>
    <w:rsid w:val="0039253F"/>
    <w:rsid w:val="0039305B"/>
    <w:rsid w:val="0039350F"/>
    <w:rsid w:val="00394F29"/>
    <w:rsid w:val="003950C4"/>
    <w:rsid w:val="003A137F"/>
    <w:rsid w:val="003A49CF"/>
    <w:rsid w:val="003A5183"/>
    <w:rsid w:val="003A627B"/>
    <w:rsid w:val="003A7CD1"/>
    <w:rsid w:val="003B34C2"/>
    <w:rsid w:val="003B4449"/>
    <w:rsid w:val="003B5EFB"/>
    <w:rsid w:val="003B6343"/>
    <w:rsid w:val="003B7863"/>
    <w:rsid w:val="003B7BA9"/>
    <w:rsid w:val="003C0C3F"/>
    <w:rsid w:val="003C1841"/>
    <w:rsid w:val="003C2298"/>
    <w:rsid w:val="003C5657"/>
    <w:rsid w:val="003C59E4"/>
    <w:rsid w:val="003C7767"/>
    <w:rsid w:val="003C7E7F"/>
    <w:rsid w:val="003D030D"/>
    <w:rsid w:val="003D2196"/>
    <w:rsid w:val="003D3C0A"/>
    <w:rsid w:val="003D3E84"/>
    <w:rsid w:val="003D3F4B"/>
    <w:rsid w:val="003D71F4"/>
    <w:rsid w:val="003D7AD3"/>
    <w:rsid w:val="003E1EC2"/>
    <w:rsid w:val="003E4752"/>
    <w:rsid w:val="003E6A37"/>
    <w:rsid w:val="003E71F6"/>
    <w:rsid w:val="003E77AD"/>
    <w:rsid w:val="003E7D2C"/>
    <w:rsid w:val="003F0877"/>
    <w:rsid w:val="003F0F4D"/>
    <w:rsid w:val="003F3AB6"/>
    <w:rsid w:val="003F5F6F"/>
    <w:rsid w:val="003F69FA"/>
    <w:rsid w:val="00400611"/>
    <w:rsid w:val="004016CA"/>
    <w:rsid w:val="00404611"/>
    <w:rsid w:val="00405698"/>
    <w:rsid w:val="00405B9D"/>
    <w:rsid w:val="00406A76"/>
    <w:rsid w:val="00410A11"/>
    <w:rsid w:val="004116B0"/>
    <w:rsid w:val="0041251F"/>
    <w:rsid w:val="00412C6D"/>
    <w:rsid w:val="00414045"/>
    <w:rsid w:val="00414814"/>
    <w:rsid w:val="00415895"/>
    <w:rsid w:val="0041613E"/>
    <w:rsid w:val="00416D7F"/>
    <w:rsid w:val="00417B2C"/>
    <w:rsid w:val="00417D1C"/>
    <w:rsid w:val="0042072E"/>
    <w:rsid w:val="00422D70"/>
    <w:rsid w:val="00423AF1"/>
    <w:rsid w:val="00425D4C"/>
    <w:rsid w:val="00426AF5"/>
    <w:rsid w:val="00427172"/>
    <w:rsid w:val="004339C2"/>
    <w:rsid w:val="00433FCA"/>
    <w:rsid w:val="004346DF"/>
    <w:rsid w:val="0044022F"/>
    <w:rsid w:val="0044117A"/>
    <w:rsid w:val="00441BDD"/>
    <w:rsid w:val="00443C99"/>
    <w:rsid w:val="00447733"/>
    <w:rsid w:val="00450CE5"/>
    <w:rsid w:val="0045311B"/>
    <w:rsid w:val="00453338"/>
    <w:rsid w:val="0045470E"/>
    <w:rsid w:val="00454EAA"/>
    <w:rsid w:val="0045530D"/>
    <w:rsid w:val="00455E99"/>
    <w:rsid w:val="00457112"/>
    <w:rsid w:val="00457670"/>
    <w:rsid w:val="004634B6"/>
    <w:rsid w:val="00463C3E"/>
    <w:rsid w:val="0046550B"/>
    <w:rsid w:val="00466047"/>
    <w:rsid w:val="00472531"/>
    <w:rsid w:val="00473535"/>
    <w:rsid w:val="004742E1"/>
    <w:rsid w:val="00474D1A"/>
    <w:rsid w:val="00474FDB"/>
    <w:rsid w:val="004751D4"/>
    <w:rsid w:val="00481287"/>
    <w:rsid w:val="00482138"/>
    <w:rsid w:val="00482140"/>
    <w:rsid w:val="00482762"/>
    <w:rsid w:val="00482EFF"/>
    <w:rsid w:val="0048491F"/>
    <w:rsid w:val="0048586C"/>
    <w:rsid w:val="00485BFA"/>
    <w:rsid w:val="00485E0E"/>
    <w:rsid w:val="00486C88"/>
    <w:rsid w:val="00487E89"/>
    <w:rsid w:val="0049019B"/>
    <w:rsid w:val="00491926"/>
    <w:rsid w:val="00491CAC"/>
    <w:rsid w:val="00492160"/>
    <w:rsid w:val="0049237F"/>
    <w:rsid w:val="00492D3D"/>
    <w:rsid w:val="00492D51"/>
    <w:rsid w:val="00495320"/>
    <w:rsid w:val="00496C50"/>
    <w:rsid w:val="004974C2"/>
    <w:rsid w:val="00497F6D"/>
    <w:rsid w:val="004A151D"/>
    <w:rsid w:val="004A1D52"/>
    <w:rsid w:val="004A1FF7"/>
    <w:rsid w:val="004A4A37"/>
    <w:rsid w:val="004A5235"/>
    <w:rsid w:val="004B0061"/>
    <w:rsid w:val="004B0F78"/>
    <w:rsid w:val="004B2162"/>
    <w:rsid w:val="004B424C"/>
    <w:rsid w:val="004C02CC"/>
    <w:rsid w:val="004C2C28"/>
    <w:rsid w:val="004C79A3"/>
    <w:rsid w:val="004D02D3"/>
    <w:rsid w:val="004D5F85"/>
    <w:rsid w:val="004D68E5"/>
    <w:rsid w:val="004D7D58"/>
    <w:rsid w:val="004E0732"/>
    <w:rsid w:val="004E106E"/>
    <w:rsid w:val="004E2735"/>
    <w:rsid w:val="004E3265"/>
    <w:rsid w:val="004E33C5"/>
    <w:rsid w:val="004E4677"/>
    <w:rsid w:val="004E5387"/>
    <w:rsid w:val="004E53B9"/>
    <w:rsid w:val="004E54FF"/>
    <w:rsid w:val="004E5998"/>
    <w:rsid w:val="004E5CB9"/>
    <w:rsid w:val="004E60E0"/>
    <w:rsid w:val="004E70C5"/>
    <w:rsid w:val="004F070E"/>
    <w:rsid w:val="004F1FB5"/>
    <w:rsid w:val="004F21CB"/>
    <w:rsid w:val="004F54EF"/>
    <w:rsid w:val="004F5E95"/>
    <w:rsid w:val="004F5F8E"/>
    <w:rsid w:val="004F6215"/>
    <w:rsid w:val="004F68B2"/>
    <w:rsid w:val="004F7D35"/>
    <w:rsid w:val="00501A65"/>
    <w:rsid w:val="00502B08"/>
    <w:rsid w:val="005045A0"/>
    <w:rsid w:val="00507A2F"/>
    <w:rsid w:val="00507DF3"/>
    <w:rsid w:val="00510351"/>
    <w:rsid w:val="00510C84"/>
    <w:rsid w:val="005127D5"/>
    <w:rsid w:val="005128E2"/>
    <w:rsid w:val="00512903"/>
    <w:rsid w:val="00515E67"/>
    <w:rsid w:val="005171CE"/>
    <w:rsid w:val="005171E7"/>
    <w:rsid w:val="00520106"/>
    <w:rsid w:val="005219A4"/>
    <w:rsid w:val="0052416C"/>
    <w:rsid w:val="00525BD9"/>
    <w:rsid w:val="00526B7A"/>
    <w:rsid w:val="0052772B"/>
    <w:rsid w:val="005303B4"/>
    <w:rsid w:val="005319D6"/>
    <w:rsid w:val="00534366"/>
    <w:rsid w:val="005356CF"/>
    <w:rsid w:val="005406FC"/>
    <w:rsid w:val="00542931"/>
    <w:rsid w:val="00544845"/>
    <w:rsid w:val="00544E9B"/>
    <w:rsid w:val="0054770A"/>
    <w:rsid w:val="00547855"/>
    <w:rsid w:val="00547D3C"/>
    <w:rsid w:val="00551233"/>
    <w:rsid w:val="005514D6"/>
    <w:rsid w:val="0055175D"/>
    <w:rsid w:val="00551A84"/>
    <w:rsid w:val="0055477D"/>
    <w:rsid w:val="00554903"/>
    <w:rsid w:val="005550EF"/>
    <w:rsid w:val="0055534C"/>
    <w:rsid w:val="0055591F"/>
    <w:rsid w:val="005560FA"/>
    <w:rsid w:val="0055611D"/>
    <w:rsid w:val="0055637C"/>
    <w:rsid w:val="00556D69"/>
    <w:rsid w:val="00556E81"/>
    <w:rsid w:val="0055715F"/>
    <w:rsid w:val="0056090E"/>
    <w:rsid w:val="00562F1E"/>
    <w:rsid w:val="0056317B"/>
    <w:rsid w:val="005643AD"/>
    <w:rsid w:val="0056534F"/>
    <w:rsid w:val="00565B8D"/>
    <w:rsid w:val="005666A6"/>
    <w:rsid w:val="00566B88"/>
    <w:rsid w:val="005675E2"/>
    <w:rsid w:val="0057071A"/>
    <w:rsid w:val="00570982"/>
    <w:rsid w:val="00571237"/>
    <w:rsid w:val="00571742"/>
    <w:rsid w:val="00571B8A"/>
    <w:rsid w:val="00572475"/>
    <w:rsid w:val="00572720"/>
    <w:rsid w:val="00573DF9"/>
    <w:rsid w:val="00575957"/>
    <w:rsid w:val="00575F6D"/>
    <w:rsid w:val="00576184"/>
    <w:rsid w:val="00576CDE"/>
    <w:rsid w:val="00577563"/>
    <w:rsid w:val="00577E0E"/>
    <w:rsid w:val="005800DD"/>
    <w:rsid w:val="005820C1"/>
    <w:rsid w:val="00582E98"/>
    <w:rsid w:val="005843C1"/>
    <w:rsid w:val="00585126"/>
    <w:rsid w:val="0058515F"/>
    <w:rsid w:val="005915C1"/>
    <w:rsid w:val="00591E34"/>
    <w:rsid w:val="00592356"/>
    <w:rsid w:val="005927AD"/>
    <w:rsid w:val="00593792"/>
    <w:rsid w:val="00595A77"/>
    <w:rsid w:val="00596001"/>
    <w:rsid w:val="005A04E7"/>
    <w:rsid w:val="005A12D8"/>
    <w:rsid w:val="005A1374"/>
    <w:rsid w:val="005A225A"/>
    <w:rsid w:val="005A329A"/>
    <w:rsid w:val="005A3DBF"/>
    <w:rsid w:val="005A40FD"/>
    <w:rsid w:val="005A5C05"/>
    <w:rsid w:val="005A6EA2"/>
    <w:rsid w:val="005A7412"/>
    <w:rsid w:val="005A7BB1"/>
    <w:rsid w:val="005B024D"/>
    <w:rsid w:val="005B074F"/>
    <w:rsid w:val="005B0E7C"/>
    <w:rsid w:val="005B0F81"/>
    <w:rsid w:val="005B111F"/>
    <w:rsid w:val="005B5743"/>
    <w:rsid w:val="005B642C"/>
    <w:rsid w:val="005B6C4C"/>
    <w:rsid w:val="005B6E91"/>
    <w:rsid w:val="005B7E36"/>
    <w:rsid w:val="005C0F95"/>
    <w:rsid w:val="005C2009"/>
    <w:rsid w:val="005C200B"/>
    <w:rsid w:val="005C284D"/>
    <w:rsid w:val="005C2E1B"/>
    <w:rsid w:val="005C5773"/>
    <w:rsid w:val="005D0E06"/>
    <w:rsid w:val="005D1E11"/>
    <w:rsid w:val="005D1EED"/>
    <w:rsid w:val="005D2002"/>
    <w:rsid w:val="005D53BF"/>
    <w:rsid w:val="005D59A3"/>
    <w:rsid w:val="005E1E66"/>
    <w:rsid w:val="005E2B72"/>
    <w:rsid w:val="005E6962"/>
    <w:rsid w:val="005E6D04"/>
    <w:rsid w:val="005F1E64"/>
    <w:rsid w:val="005F2A11"/>
    <w:rsid w:val="005F5405"/>
    <w:rsid w:val="005F7B71"/>
    <w:rsid w:val="00601DC7"/>
    <w:rsid w:val="0060237F"/>
    <w:rsid w:val="006025B5"/>
    <w:rsid w:val="00603ECD"/>
    <w:rsid w:val="006069D3"/>
    <w:rsid w:val="00610D23"/>
    <w:rsid w:val="00611AB2"/>
    <w:rsid w:val="00612520"/>
    <w:rsid w:val="00612B44"/>
    <w:rsid w:val="00613700"/>
    <w:rsid w:val="00617654"/>
    <w:rsid w:val="00620662"/>
    <w:rsid w:val="006211EF"/>
    <w:rsid w:val="00621948"/>
    <w:rsid w:val="00622DF3"/>
    <w:rsid w:val="00623C91"/>
    <w:rsid w:val="00624682"/>
    <w:rsid w:val="00624832"/>
    <w:rsid w:val="00625594"/>
    <w:rsid w:val="00627194"/>
    <w:rsid w:val="00627A5A"/>
    <w:rsid w:val="0063005C"/>
    <w:rsid w:val="00632D04"/>
    <w:rsid w:val="00634640"/>
    <w:rsid w:val="00636444"/>
    <w:rsid w:val="006365F5"/>
    <w:rsid w:val="00636CB2"/>
    <w:rsid w:val="00636DF3"/>
    <w:rsid w:val="00636EA9"/>
    <w:rsid w:val="0063786F"/>
    <w:rsid w:val="006379DA"/>
    <w:rsid w:val="00640C20"/>
    <w:rsid w:val="006465B5"/>
    <w:rsid w:val="00646661"/>
    <w:rsid w:val="006467FA"/>
    <w:rsid w:val="00646A85"/>
    <w:rsid w:val="006477F5"/>
    <w:rsid w:val="006534F5"/>
    <w:rsid w:val="0065535E"/>
    <w:rsid w:val="0065689B"/>
    <w:rsid w:val="0066043E"/>
    <w:rsid w:val="00660F59"/>
    <w:rsid w:val="00664B51"/>
    <w:rsid w:val="006655F6"/>
    <w:rsid w:val="00666B48"/>
    <w:rsid w:val="0067021C"/>
    <w:rsid w:val="0067046E"/>
    <w:rsid w:val="00672948"/>
    <w:rsid w:val="00672E48"/>
    <w:rsid w:val="00675172"/>
    <w:rsid w:val="0067544A"/>
    <w:rsid w:val="00675E2A"/>
    <w:rsid w:val="00676BAE"/>
    <w:rsid w:val="00680F4B"/>
    <w:rsid w:val="00681C4B"/>
    <w:rsid w:val="0068361C"/>
    <w:rsid w:val="00684635"/>
    <w:rsid w:val="0068597D"/>
    <w:rsid w:val="0068638D"/>
    <w:rsid w:val="00686977"/>
    <w:rsid w:val="00686B30"/>
    <w:rsid w:val="006901C6"/>
    <w:rsid w:val="00691619"/>
    <w:rsid w:val="0069183F"/>
    <w:rsid w:val="00691C75"/>
    <w:rsid w:val="00692BE9"/>
    <w:rsid w:val="00693983"/>
    <w:rsid w:val="006944B8"/>
    <w:rsid w:val="006957EF"/>
    <w:rsid w:val="00695F1D"/>
    <w:rsid w:val="00695FFF"/>
    <w:rsid w:val="006A06E4"/>
    <w:rsid w:val="006A1F5D"/>
    <w:rsid w:val="006A5779"/>
    <w:rsid w:val="006A5E9F"/>
    <w:rsid w:val="006B16E0"/>
    <w:rsid w:val="006B3DD3"/>
    <w:rsid w:val="006B67C2"/>
    <w:rsid w:val="006B7994"/>
    <w:rsid w:val="006B7FDA"/>
    <w:rsid w:val="006C0063"/>
    <w:rsid w:val="006C0781"/>
    <w:rsid w:val="006C1E95"/>
    <w:rsid w:val="006C2F73"/>
    <w:rsid w:val="006C4561"/>
    <w:rsid w:val="006C5922"/>
    <w:rsid w:val="006C5B31"/>
    <w:rsid w:val="006C66C7"/>
    <w:rsid w:val="006C7B17"/>
    <w:rsid w:val="006D1BA5"/>
    <w:rsid w:val="006D3C5A"/>
    <w:rsid w:val="006D5575"/>
    <w:rsid w:val="006D60BF"/>
    <w:rsid w:val="006D685A"/>
    <w:rsid w:val="006E149E"/>
    <w:rsid w:val="006E1830"/>
    <w:rsid w:val="006E56B4"/>
    <w:rsid w:val="006F18C0"/>
    <w:rsid w:val="006F4D1B"/>
    <w:rsid w:val="006F718D"/>
    <w:rsid w:val="006F729E"/>
    <w:rsid w:val="00700861"/>
    <w:rsid w:val="00702588"/>
    <w:rsid w:val="0070337F"/>
    <w:rsid w:val="00704626"/>
    <w:rsid w:val="00704C29"/>
    <w:rsid w:val="00704C4A"/>
    <w:rsid w:val="00706255"/>
    <w:rsid w:val="007065DA"/>
    <w:rsid w:val="00707E38"/>
    <w:rsid w:val="0071239C"/>
    <w:rsid w:val="007130D3"/>
    <w:rsid w:val="007136BC"/>
    <w:rsid w:val="007139F5"/>
    <w:rsid w:val="00715CF3"/>
    <w:rsid w:val="007166B7"/>
    <w:rsid w:val="007178AE"/>
    <w:rsid w:val="007179D0"/>
    <w:rsid w:val="00717C6A"/>
    <w:rsid w:val="00717FCF"/>
    <w:rsid w:val="007200AE"/>
    <w:rsid w:val="007201D2"/>
    <w:rsid w:val="00722A1B"/>
    <w:rsid w:val="00723E1D"/>
    <w:rsid w:val="007258C2"/>
    <w:rsid w:val="0072637D"/>
    <w:rsid w:val="007328DC"/>
    <w:rsid w:val="0073298F"/>
    <w:rsid w:val="00732C17"/>
    <w:rsid w:val="00736764"/>
    <w:rsid w:val="007371CE"/>
    <w:rsid w:val="007376A3"/>
    <w:rsid w:val="0074073F"/>
    <w:rsid w:val="00740956"/>
    <w:rsid w:val="00740A1C"/>
    <w:rsid w:val="00743CA8"/>
    <w:rsid w:val="0074509B"/>
    <w:rsid w:val="00747528"/>
    <w:rsid w:val="007542D6"/>
    <w:rsid w:val="00754AD5"/>
    <w:rsid w:val="00757F6C"/>
    <w:rsid w:val="00757F7D"/>
    <w:rsid w:val="007607F0"/>
    <w:rsid w:val="00761371"/>
    <w:rsid w:val="00761A60"/>
    <w:rsid w:val="00761C22"/>
    <w:rsid w:val="00762723"/>
    <w:rsid w:val="00762B7C"/>
    <w:rsid w:val="0076366D"/>
    <w:rsid w:val="00763C0B"/>
    <w:rsid w:val="00764DCB"/>
    <w:rsid w:val="007654F3"/>
    <w:rsid w:val="00766353"/>
    <w:rsid w:val="007669E5"/>
    <w:rsid w:val="007675FF"/>
    <w:rsid w:val="0076770E"/>
    <w:rsid w:val="00767C27"/>
    <w:rsid w:val="00770E55"/>
    <w:rsid w:val="00773DE2"/>
    <w:rsid w:val="0077407D"/>
    <w:rsid w:val="00775298"/>
    <w:rsid w:val="00776494"/>
    <w:rsid w:val="007801F7"/>
    <w:rsid w:val="0078069B"/>
    <w:rsid w:val="00782183"/>
    <w:rsid w:val="0079069C"/>
    <w:rsid w:val="00792E39"/>
    <w:rsid w:val="0079319A"/>
    <w:rsid w:val="00793683"/>
    <w:rsid w:val="00793B95"/>
    <w:rsid w:val="007948C2"/>
    <w:rsid w:val="007950F4"/>
    <w:rsid w:val="007958E0"/>
    <w:rsid w:val="00796D73"/>
    <w:rsid w:val="007A0E1A"/>
    <w:rsid w:val="007A25EE"/>
    <w:rsid w:val="007A2F3E"/>
    <w:rsid w:val="007A4FF0"/>
    <w:rsid w:val="007A5EEC"/>
    <w:rsid w:val="007A5FF2"/>
    <w:rsid w:val="007A6990"/>
    <w:rsid w:val="007B012C"/>
    <w:rsid w:val="007B29C7"/>
    <w:rsid w:val="007B2DA5"/>
    <w:rsid w:val="007B3AA3"/>
    <w:rsid w:val="007B41EE"/>
    <w:rsid w:val="007B59F9"/>
    <w:rsid w:val="007B6263"/>
    <w:rsid w:val="007B73CA"/>
    <w:rsid w:val="007B7660"/>
    <w:rsid w:val="007C04E2"/>
    <w:rsid w:val="007C1188"/>
    <w:rsid w:val="007C12B3"/>
    <w:rsid w:val="007C12C9"/>
    <w:rsid w:val="007C5AE3"/>
    <w:rsid w:val="007C764B"/>
    <w:rsid w:val="007C7A05"/>
    <w:rsid w:val="007D0E32"/>
    <w:rsid w:val="007D3CC0"/>
    <w:rsid w:val="007D4658"/>
    <w:rsid w:val="007D5314"/>
    <w:rsid w:val="007D693F"/>
    <w:rsid w:val="007E0438"/>
    <w:rsid w:val="007E3866"/>
    <w:rsid w:val="007E3900"/>
    <w:rsid w:val="007E3963"/>
    <w:rsid w:val="007E4DC0"/>
    <w:rsid w:val="007E6050"/>
    <w:rsid w:val="007F2C27"/>
    <w:rsid w:val="00800C31"/>
    <w:rsid w:val="0080113B"/>
    <w:rsid w:val="008022EF"/>
    <w:rsid w:val="00802554"/>
    <w:rsid w:val="00803441"/>
    <w:rsid w:val="0080357C"/>
    <w:rsid w:val="00803F5C"/>
    <w:rsid w:val="008045BF"/>
    <w:rsid w:val="008058F4"/>
    <w:rsid w:val="00805DC0"/>
    <w:rsid w:val="00806A7B"/>
    <w:rsid w:val="00810D53"/>
    <w:rsid w:val="00810E58"/>
    <w:rsid w:val="008114D3"/>
    <w:rsid w:val="00811BEF"/>
    <w:rsid w:val="00812743"/>
    <w:rsid w:val="00812E2E"/>
    <w:rsid w:val="00814649"/>
    <w:rsid w:val="00815B0B"/>
    <w:rsid w:val="00820DD6"/>
    <w:rsid w:val="008210E8"/>
    <w:rsid w:val="00821ADD"/>
    <w:rsid w:val="00822445"/>
    <w:rsid w:val="00822F18"/>
    <w:rsid w:val="00823138"/>
    <w:rsid w:val="008231DF"/>
    <w:rsid w:val="00825C0B"/>
    <w:rsid w:val="0082608A"/>
    <w:rsid w:val="008279A6"/>
    <w:rsid w:val="00830393"/>
    <w:rsid w:val="0083163E"/>
    <w:rsid w:val="0083224D"/>
    <w:rsid w:val="00835792"/>
    <w:rsid w:val="00836494"/>
    <w:rsid w:val="00836DE0"/>
    <w:rsid w:val="00837BD4"/>
    <w:rsid w:val="0084004B"/>
    <w:rsid w:val="00842888"/>
    <w:rsid w:val="0084449E"/>
    <w:rsid w:val="008504C1"/>
    <w:rsid w:val="00851A54"/>
    <w:rsid w:val="0085233B"/>
    <w:rsid w:val="00853EE1"/>
    <w:rsid w:val="00854F48"/>
    <w:rsid w:val="008558CB"/>
    <w:rsid w:val="00855B74"/>
    <w:rsid w:val="00860A84"/>
    <w:rsid w:val="00862C9C"/>
    <w:rsid w:val="00865F98"/>
    <w:rsid w:val="00865FAF"/>
    <w:rsid w:val="008729B8"/>
    <w:rsid w:val="00874B95"/>
    <w:rsid w:val="00876AB2"/>
    <w:rsid w:val="00876C76"/>
    <w:rsid w:val="0088045C"/>
    <w:rsid w:val="00880F0C"/>
    <w:rsid w:val="0088179C"/>
    <w:rsid w:val="00882DEC"/>
    <w:rsid w:val="00885ED8"/>
    <w:rsid w:val="008871B1"/>
    <w:rsid w:val="00890779"/>
    <w:rsid w:val="00890975"/>
    <w:rsid w:val="008914BA"/>
    <w:rsid w:val="00891958"/>
    <w:rsid w:val="008919A8"/>
    <w:rsid w:val="008919D5"/>
    <w:rsid w:val="00893B09"/>
    <w:rsid w:val="00894334"/>
    <w:rsid w:val="00895636"/>
    <w:rsid w:val="0089591C"/>
    <w:rsid w:val="008A01B5"/>
    <w:rsid w:val="008A278A"/>
    <w:rsid w:val="008A3554"/>
    <w:rsid w:val="008B063C"/>
    <w:rsid w:val="008B0995"/>
    <w:rsid w:val="008B0A77"/>
    <w:rsid w:val="008B13E8"/>
    <w:rsid w:val="008B1F3D"/>
    <w:rsid w:val="008B48C0"/>
    <w:rsid w:val="008B5D57"/>
    <w:rsid w:val="008B73C2"/>
    <w:rsid w:val="008B7563"/>
    <w:rsid w:val="008C03D0"/>
    <w:rsid w:val="008C0D0E"/>
    <w:rsid w:val="008C2629"/>
    <w:rsid w:val="008C2874"/>
    <w:rsid w:val="008C403A"/>
    <w:rsid w:val="008C4157"/>
    <w:rsid w:val="008C471B"/>
    <w:rsid w:val="008C69E6"/>
    <w:rsid w:val="008C752C"/>
    <w:rsid w:val="008D1FFE"/>
    <w:rsid w:val="008D4801"/>
    <w:rsid w:val="008D4CBC"/>
    <w:rsid w:val="008D52E5"/>
    <w:rsid w:val="008D5D7B"/>
    <w:rsid w:val="008D5DC0"/>
    <w:rsid w:val="008D6C77"/>
    <w:rsid w:val="008E2C6D"/>
    <w:rsid w:val="008E42EA"/>
    <w:rsid w:val="008E503F"/>
    <w:rsid w:val="008E5A63"/>
    <w:rsid w:val="008E6F94"/>
    <w:rsid w:val="008F0CBF"/>
    <w:rsid w:val="008F16D3"/>
    <w:rsid w:val="008F17DA"/>
    <w:rsid w:val="008F33BE"/>
    <w:rsid w:val="008F4256"/>
    <w:rsid w:val="008F4B1E"/>
    <w:rsid w:val="008F4ED5"/>
    <w:rsid w:val="008F62AC"/>
    <w:rsid w:val="008F6E0D"/>
    <w:rsid w:val="00900E8D"/>
    <w:rsid w:val="00901090"/>
    <w:rsid w:val="00901D74"/>
    <w:rsid w:val="00902CAF"/>
    <w:rsid w:val="009056A0"/>
    <w:rsid w:val="0091355A"/>
    <w:rsid w:val="00914F56"/>
    <w:rsid w:val="009154A1"/>
    <w:rsid w:val="00915832"/>
    <w:rsid w:val="0092006A"/>
    <w:rsid w:val="00920269"/>
    <w:rsid w:val="0092355D"/>
    <w:rsid w:val="00925D3F"/>
    <w:rsid w:val="009274D2"/>
    <w:rsid w:val="0093030E"/>
    <w:rsid w:val="00930800"/>
    <w:rsid w:val="00930887"/>
    <w:rsid w:val="00931DDF"/>
    <w:rsid w:val="00934063"/>
    <w:rsid w:val="00934648"/>
    <w:rsid w:val="00934A0F"/>
    <w:rsid w:val="0093577A"/>
    <w:rsid w:val="00937A35"/>
    <w:rsid w:val="00941A5A"/>
    <w:rsid w:val="0094574C"/>
    <w:rsid w:val="00946401"/>
    <w:rsid w:val="0094788F"/>
    <w:rsid w:val="00950467"/>
    <w:rsid w:val="009510F3"/>
    <w:rsid w:val="00951361"/>
    <w:rsid w:val="00951BA0"/>
    <w:rsid w:val="009539F5"/>
    <w:rsid w:val="009547D5"/>
    <w:rsid w:val="00954E8E"/>
    <w:rsid w:val="00955793"/>
    <w:rsid w:val="009568FA"/>
    <w:rsid w:val="0095748C"/>
    <w:rsid w:val="0096142C"/>
    <w:rsid w:val="00964CBA"/>
    <w:rsid w:val="00967649"/>
    <w:rsid w:val="00967D51"/>
    <w:rsid w:val="00971C45"/>
    <w:rsid w:val="009725B0"/>
    <w:rsid w:val="00972D98"/>
    <w:rsid w:val="009737D1"/>
    <w:rsid w:val="00974494"/>
    <w:rsid w:val="00974D47"/>
    <w:rsid w:val="00974D9A"/>
    <w:rsid w:val="00975A3E"/>
    <w:rsid w:val="0097698B"/>
    <w:rsid w:val="00977167"/>
    <w:rsid w:val="00980FD4"/>
    <w:rsid w:val="009819E0"/>
    <w:rsid w:val="009852AC"/>
    <w:rsid w:val="00987588"/>
    <w:rsid w:val="00987D20"/>
    <w:rsid w:val="009916AC"/>
    <w:rsid w:val="00991890"/>
    <w:rsid w:val="00992ECC"/>
    <w:rsid w:val="00993B16"/>
    <w:rsid w:val="00993BC1"/>
    <w:rsid w:val="00993C1E"/>
    <w:rsid w:val="009947FF"/>
    <w:rsid w:val="00995AC7"/>
    <w:rsid w:val="009969A1"/>
    <w:rsid w:val="00996F85"/>
    <w:rsid w:val="00997788"/>
    <w:rsid w:val="00997B36"/>
    <w:rsid w:val="009A05CE"/>
    <w:rsid w:val="009A099D"/>
    <w:rsid w:val="009A1298"/>
    <w:rsid w:val="009A2744"/>
    <w:rsid w:val="009A5886"/>
    <w:rsid w:val="009A709E"/>
    <w:rsid w:val="009B192D"/>
    <w:rsid w:val="009B4229"/>
    <w:rsid w:val="009B7E05"/>
    <w:rsid w:val="009C01D6"/>
    <w:rsid w:val="009C162F"/>
    <w:rsid w:val="009C20FE"/>
    <w:rsid w:val="009C410D"/>
    <w:rsid w:val="009D02CB"/>
    <w:rsid w:val="009D050D"/>
    <w:rsid w:val="009D1051"/>
    <w:rsid w:val="009D18FE"/>
    <w:rsid w:val="009D4E3F"/>
    <w:rsid w:val="009D56B8"/>
    <w:rsid w:val="009D6D23"/>
    <w:rsid w:val="009D7A6A"/>
    <w:rsid w:val="009D7EBA"/>
    <w:rsid w:val="009E1314"/>
    <w:rsid w:val="009E14E6"/>
    <w:rsid w:val="009E17D3"/>
    <w:rsid w:val="009E4533"/>
    <w:rsid w:val="009E5347"/>
    <w:rsid w:val="009E57E7"/>
    <w:rsid w:val="009E645C"/>
    <w:rsid w:val="009F0EE2"/>
    <w:rsid w:val="009F31A2"/>
    <w:rsid w:val="009F32FF"/>
    <w:rsid w:val="009F33BA"/>
    <w:rsid w:val="009F617D"/>
    <w:rsid w:val="009F6A47"/>
    <w:rsid w:val="00A002EB"/>
    <w:rsid w:val="00A01615"/>
    <w:rsid w:val="00A01A07"/>
    <w:rsid w:val="00A02831"/>
    <w:rsid w:val="00A0304D"/>
    <w:rsid w:val="00A03CA5"/>
    <w:rsid w:val="00A03CCB"/>
    <w:rsid w:val="00A04E04"/>
    <w:rsid w:val="00A06E4C"/>
    <w:rsid w:val="00A0706A"/>
    <w:rsid w:val="00A071FD"/>
    <w:rsid w:val="00A07A93"/>
    <w:rsid w:val="00A110AF"/>
    <w:rsid w:val="00A12ED3"/>
    <w:rsid w:val="00A15FED"/>
    <w:rsid w:val="00A16ABC"/>
    <w:rsid w:val="00A17331"/>
    <w:rsid w:val="00A1778E"/>
    <w:rsid w:val="00A20BDF"/>
    <w:rsid w:val="00A22829"/>
    <w:rsid w:val="00A24B46"/>
    <w:rsid w:val="00A24C33"/>
    <w:rsid w:val="00A24C85"/>
    <w:rsid w:val="00A25ED5"/>
    <w:rsid w:val="00A271FB"/>
    <w:rsid w:val="00A30BD4"/>
    <w:rsid w:val="00A32A83"/>
    <w:rsid w:val="00A3690B"/>
    <w:rsid w:val="00A37DE6"/>
    <w:rsid w:val="00A40468"/>
    <w:rsid w:val="00A4127B"/>
    <w:rsid w:val="00A42261"/>
    <w:rsid w:val="00A44141"/>
    <w:rsid w:val="00A46C99"/>
    <w:rsid w:val="00A47052"/>
    <w:rsid w:val="00A47113"/>
    <w:rsid w:val="00A47668"/>
    <w:rsid w:val="00A478F7"/>
    <w:rsid w:val="00A47FC2"/>
    <w:rsid w:val="00A50246"/>
    <w:rsid w:val="00A52C6E"/>
    <w:rsid w:val="00A53204"/>
    <w:rsid w:val="00A53A6F"/>
    <w:rsid w:val="00A53E2F"/>
    <w:rsid w:val="00A5477B"/>
    <w:rsid w:val="00A552B9"/>
    <w:rsid w:val="00A566EA"/>
    <w:rsid w:val="00A5677B"/>
    <w:rsid w:val="00A575AA"/>
    <w:rsid w:val="00A575DF"/>
    <w:rsid w:val="00A60DB1"/>
    <w:rsid w:val="00A62927"/>
    <w:rsid w:val="00A64A84"/>
    <w:rsid w:val="00A7020D"/>
    <w:rsid w:val="00A70D42"/>
    <w:rsid w:val="00A7177F"/>
    <w:rsid w:val="00A71B14"/>
    <w:rsid w:val="00A72106"/>
    <w:rsid w:val="00A730F1"/>
    <w:rsid w:val="00A76309"/>
    <w:rsid w:val="00A76BC4"/>
    <w:rsid w:val="00A76E50"/>
    <w:rsid w:val="00A76FC7"/>
    <w:rsid w:val="00A77A5B"/>
    <w:rsid w:val="00A77D6F"/>
    <w:rsid w:val="00A80AF0"/>
    <w:rsid w:val="00A816B3"/>
    <w:rsid w:val="00A81731"/>
    <w:rsid w:val="00A83933"/>
    <w:rsid w:val="00A8783B"/>
    <w:rsid w:val="00A8786E"/>
    <w:rsid w:val="00A904DF"/>
    <w:rsid w:val="00A919B5"/>
    <w:rsid w:val="00A920C6"/>
    <w:rsid w:val="00A93E30"/>
    <w:rsid w:val="00A94FA3"/>
    <w:rsid w:val="00A952F1"/>
    <w:rsid w:val="00A9699E"/>
    <w:rsid w:val="00AA0EB6"/>
    <w:rsid w:val="00AA1593"/>
    <w:rsid w:val="00AA26E5"/>
    <w:rsid w:val="00AA33C4"/>
    <w:rsid w:val="00AA4D43"/>
    <w:rsid w:val="00AA5D6D"/>
    <w:rsid w:val="00AB1468"/>
    <w:rsid w:val="00AB1DB5"/>
    <w:rsid w:val="00AB200C"/>
    <w:rsid w:val="00AB347D"/>
    <w:rsid w:val="00AB35CB"/>
    <w:rsid w:val="00AB3B65"/>
    <w:rsid w:val="00AB5DF9"/>
    <w:rsid w:val="00AB728D"/>
    <w:rsid w:val="00AC0C94"/>
    <w:rsid w:val="00AC4131"/>
    <w:rsid w:val="00AC4D78"/>
    <w:rsid w:val="00AC518D"/>
    <w:rsid w:val="00AC53E0"/>
    <w:rsid w:val="00AC7204"/>
    <w:rsid w:val="00AD074C"/>
    <w:rsid w:val="00AD13DE"/>
    <w:rsid w:val="00AD14F6"/>
    <w:rsid w:val="00AD1638"/>
    <w:rsid w:val="00AD41AE"/>
    <w:rsid w:val="00AD4DCA"/>
    <w:rsid w:val="00AD5028"/>
    <w:rsid w:val="00AD72BC"/>
    <w:rsid w:val="00AD7E82"/>
    <w:rsid w:val="00AE062F"/>
    <w:rsid w:val="00AE0744"/>
    <w:rsid w:val="00AE0C4C"/>
    <w:rsid w:val="00AE47AC"/>
    <w:rsid w:val="00AE5297"/>
    <w:rsid w:val="00AF013B"/>
    <w:rsid w:val="00AF1EFE"/>
    <w:rsid w:val="00AF3A27"/>
    <w:rsid w:val="00AF51F0"/>
    <w:rsid w:val="00AF5DE4"/>
    <w:rsid w:val="00AF6046"/>
    <w:rsid w:val="00AF7727"/>
    <w:rsid w:val="00AF7C35"/>
    <w:rsid w:val="00AF7F08"/>
    <w:rsid w:val="00B008CE"/>
    <w:rsid w:val="00B01284"/>
    <w:rsid w:val="00B0273D"/>
    <w:rsid w:val="00B02C30"/>
    <w:rsid w:val="00B02C48"/>
    <w:rsid w:val="00B0417D"/>
    <w:rsid w:val="00B04863"/>
    <w:rsid w:val="00B0507A"/>
    <w:rsid w:val="00B05AD6"/>
    <w:rsid w:val="00B05EA6"/>
    <w:rsid w:val="00B06980"/>
    <w:rsid w:val="00B06D4E"/>
    <w:rsid w:val="00B11645"/>
    <w:rsid w:val="00B125DB"/>
    <w:rsid w:val="00B15FDC"/>
    <w:rsid w:val="00B168E3"/>
    <w:rsid w:val="00B17A2B"/>
    <w:rsid w:val="00B17D92"/>
    <w:rsid w:val="00B20DF2"/>
    <w:rsid w:val="00B21703"/>
    <w:rsid w:val="00B22C2A"/>
    <w:rsid w:val="00B2304C"/>
    <w:rsid w:val="00B242A9"/>
    <w:rsid w:val="00B252B1"/>
    <w:rsid w:val="00B26916"/>
    <w:rsid w:val="00B274ED"/>
    <w:rsid w:val="00B27ED9"/>
    <w:rsid w:val="00B3098E"/>
    <w:rsid w:val="00B31009"/>
    <w:rsid w:val="00B31AE5"/>
    <w:rsid w:val="00B335A6"/>
    <w:rsid w:val="00B3380C"/>
    <w:rsid w:val="00B36DB1"/>
    <w:rsid w:val="00B37F40"/>
    <w:rsid w:val="00B40BF1"/>
    <w:rsid w:val="00B44769"/>
    <w:rsid w:val="00B45CC2"/>
    <w:rsid w:val="00B5031B"/>
    <w:rsid w:val="00B512F4"/>
    <w:rsid w:val="00B51D30"/>
    <w:rsid w:val="00B5284F"/>
    <w:rsid w:val="00B52C9B"/>
    <w:rsid w:val="00B55FE7"/>
    <w:rsid w:val="00B566C4"/>
    <w:rsid w:val="00B57242"/>
    <w:rsid w:val="00B5756C"/>
    <w:rsid w:val="00B61649"/>
    <w:rsid w:val="00B62A31"/>
    <w:rsid w:val="00B62EDC"/>
    <w:rsid w:val="00B6346F"/>
    <w:rsid w:val="00B63A0D"/>
    <w:rsid w:val="00B642A3"/>
    <w:rsid w:val="00B65FB5"/>
    <w:rsid w:val="00B664AC"/>
    <w:rsid w:val="00B66E84"/>
    <w:rsid w:val="00B71AF6"/>
    <w:rsid w:val="00B71F7A"/>
    <w:rsid w:val="00B72748"/>
    <w:rsid w:val="00B73428"/>
    <w:rsid w:val="00B74DFD"/>
    <w:rsid w:val="00B7516F"/>
    <w:rsid w:val="00B75CD5"/>
    <w:rsid w:val="00B760B6"/>
    <w:rsid w:val="00B82449"/>
    <w:rsid w:val="00B825E0"/>
    <w:rsid w:val="00B8293E"/>
    <w:rsid w:val="00B82C44"/>
    <w:rsid w:val="00B82F29"/>
    <w:rsid w:val="00B82F5A"/>
    <w:rsid w:val="00B832F1"/>
    <w:rsid w:val="00B844A8"/>
    <w:rsid w:val="00B85502"/>
    <w:rsid w:val="00B858B2"/>
    <w:rsid w:val="00B877C6"/>
    <w:rsid w:val="00B901E6"/>
    <w:rsid w:val="00B90B06"/>
    <w:rsid w:val="00B91FC0"/>
    <w:rsid w:val="00B9259C"/>
    <w:rsid w:val="00B93260"/>
    <w:rsid w:val="00B93FCC"/>
    <w:rsid w:val="00B944DC"/>
    <w:rsid w:val="00B945CB"/>
    <w:rsid w:val="00B95B7B"/>
    <w:rsid w:val="00B96842"/>
    <w:rsid w:val="00B96925"/>
    <w:rsid w:val="00B97B74"/>
    <w:rsid w:val="00BA0F17"/>
    <w:rsid w:val="00BA3D2C"/>
    <w:rsid w:val="00BA4E68"/>
    <w:rsid w:val="00BB28A8"/>
    <w:rsid w:val="00BB41E4"/>
    <w:rsid w:val="00BB4F8C"/>
    <w:rsid w:val="00BB6F42"/>
    <w:rsid w:val="00BB7805"/>
    <w:rsid w:val="00BC106B"/>
    <w:rsid w:val="00BC6807"/>
    <w:rsid w:val="00BC793E"/>
    <w:rsid w:val="00BD0F9C"/>
    <w:rsid w:val="00BD50F4"/>
    <w:rsid w:val="00BD5209"/>
    <w:rsid w:val="00BD5AC3"/>
    <w:rsid w:val="00BD5F67"/>
    <w:rsid w:val="00BD674C"/>
    <w:rsid w:val="00BE121D"/>
    <w:rsid w:val="00BE1E40"/>
    <w:rsid w:val="00BE447E"/>
    <w:rsid w:val="00BE4D7F"/>
    <w:rsid w:val="00BE695E"/>
    <w:rsid w:val="00BE6CE5"/>
    <w:rsid w:val="00BE70D1"/>
    <w:rsid w:val="00BF1669"/>
    <w:rsid w:val="00BF30AD"/>
    <w:rsid w:val="00BF3CF0"/>
    <w:rsid w:val="00BF4443"/>
    <w:rsid w:val="00BF4E6B"/>
    <w:rsid w:val="00BF5B8D"/>
    <w:rsid w:val="00BF66BB"/>
    <w:rsid w:val="00BF6A45"/>
    <w:rsid w:val="00C006F3"/>
    <w:rsid w:val="00C0278A"/>
    <w:rsid w:val="00C046F7"/>
    <w:rsid w:val="00C06433"/>
    <w:rsid w:val="00C07E75"/>
    <w:rsid w:val="00C11622"/>
    <w:rsid w:val="00C14B91"/>
    <w:rsid w:val="00C152FF"/>
    <w:rsid w:val="00C15D80"/>
    <w:rsid w:val="00C20579"/>
    <w:rsid w:val="00C21FBC"/>
    <w:rsid w:val="00C242A2"/>
    <w:rsid w:val="00C260B4"/>
    <w:rsid w:val="00C2614F"/>
    <w:rsid w:val="00C31170"/>
    <w:rsid w:val="00C330C9"/>
    <w:rsid w:val="00C36168"/>
    <w:rsid w:val="00C37280"/>
    <w:rsid w:val="00C44682"/>
    <w:rsid w:val="00C4592C"/>
    <w:rsid w:val="00C45AA6"/>
    <w:rsid w:val="00C50174"/>
    <w:rsid w:val="00C5453E"/>
    <w:rsid w:val="00C54634"/>
    <w:rsid w:val="00C55203"/>
    <w:rsid w:val="00C5539D"/>
    <w:rsid w:val="00C60B93"/>
    <w:rsid w:val="00C62677"/>
    <w:rsid w:val="00C62926"/>
    <w:rsid w:val="00C642BF"/>
    <w:rsid w:val="00C71DFD"/>
    <w:rsid w:val="00C73825"/>
    <w:rsid w:val="00C741CC"/>
    <w:rsid w:val="00C7541A"/>
    <w:rsid w:val="00C7774E"/>
    <w:rsid w:val="00C83839"/>
    <w:rsid w:val="00C84419"/>
    <w:rsid w:val="00C8453D"/>
    <w:rsid w:val="00C85546"/>
    <w:rsid w:val="00C85A2B"/>
    <w:rsid w:val="00C86032"/>
    <w:rsid w:val="00C86AEA"/>
    <w:rsid w:val="00C86BE1"/>
    <w:rsid w:val="00C90B76"/>
    <w:rsid w:val="00C93E51"/>
    <w:rsid w:val="00C94A1C"/>
    <w:rsid w:val="00C95AA2"/>
    <w:rsid w:val="00C96A21"/>
    <w:rsid w:val="00C96F2C"/>
    <w:rsid w:val="00C97636"/>
    <w:rsid w:val="00CA2EEC"/>
    <w:rsid w:val="00CA3F77"/>
    <w:rsid w:val="00CA548F"/>
    <w:rsid w:val="00CA5C28"/>
    <w:rsid w:val="00CA5CD4"/>
    <w:rsid w:val="00CA6CDE"/>
    <w:rsid w:val="00CA7A0F"/>
    <w:rsid w:val="00CB25B7"/>
    <w:rsid w:val="00CB37AF"/>
    <w:rsid w:val="00CB3C62"/>
    <w:rsid w:val="00CB4161"/>
    <w:rsid w:val="00CB5A10"/>
    <w:rsid w:val="00CC2320"/>
    <w:rsid w:val="00CC4164"/>
    <w:rsid w:val="00CC4D7A"/>
    <w:rsid w:val="00CD07D1"/>
    <w:rsid w:val="00CD0EFA"/>
    <w:rsid w:val="00CD181C"/>
    <w:rsid w:val="00CD1A12"/>
    <w:rsid w:val="00CD491D"/>
    <w:rsid w:val="00CD6130"/>
    <w:rsid w:val="00CD6BAF"/>
    <w:rsid w:val="00CD7D3F"/>
    <w:rsid w:val="00CE0B44"/>
    <w:rsid w:val="00CE2EE5"/>
    <w:rsid w:val="00CE2EF6"/>
    <w:rsid w:val="00CE3B44"/>
    <w:rsid w:val="00CF3542"/>
    <w:rsid w:val="00CF5C51"/>
    <w:rsid w:val="00D0016B"/>
    <w:rsid w:val="00D00642"/>
    <w:rsid w:val="00D01B5D"/>
    <w:rsid w:val="00D01EDE"/>
    <w:rsid w:val="00D022B1"/>
    <w:rsid w:val="00D0356B"/>
    <w:rsid w:val="00D03865"/>
    <w:rsid w:val="00D04AEE"/>
    <w:rsid w:val="00D052D6"/>
    <w:rsid w:val="00D06122"/>
    <w:rsid w:val="00D074CA"/>
    <w:rsid w:val="00D117ED"/>
    <w:rsid w:val="00D14277"/>
    <w:rsid w:val="00D15009"/>
    <w:rsid w:val="00D15670"/>
    <w:rsid w:val="00D16486"/>
    <w:rsid w:val="00D16613"/>
    <w:rsid w:val="00D176C3"/>
    <w:rsid w:val="00D17E14"/>
    <w:rsid w:val="00D2114A"/>
    <w:rsid w:val="00D22D45"/>
    <w:rsid w:val="00D22EF2"/>
    <w:rsid w:val="00D232A1"/>
    <w:rsid w:val="00D25274"/>
    <w:rsid w:val="00D25939"/>
    <w:rsid w:val="00D275D2"/>
    <w:rsid w:val="00D30EB3"/>
    <w:rsid w:val="00D318C2"/>
    <w:rsid w:val="00D33BE8"/>
    <w:rsid w:val="00D341BC"/>
    <w:rsid w:val="00D3577B"/>
    <w:rsid w:val="00D35CA3"/>
    <w:rsid w:val="00D3760D"/>
    <w:rsid w:val="00D406D5"/>
    <w:rsid w:val="00D41061"/>
    <w:rsid w:val="00D43BFA"/>
    <w:rsid w:val="00D44252"/>
    <w:rsid w:val="00D47D7C"/>
    <w:rsid w:val="00D50364"/>
    <w:rsid w:val="00D50A56"/>
    <w:rsid w:val="00D50ABD"/>
    <w:rsid w:val="00D50C02"/>
    <w:rsid w:val="00D53AA0"/>
    <w:rsid w:val="00D565D7"/>
    <w:rsid w:val="00D570A6"/>
    <w:rsid w:val="00D6055F"/>
    <w:rsid w:val="00D6070C"/>
    <w:rsid w:val="00D6083B"/>
    <w:rsid w:val="00D6105F"/>
    <w:rsid w:val="00D64AE1"/>
    <w:rsid w:val="00D64D49"/>
    <w:rsid w:val="00D65542"/>
    <w:rsid w:val="00D703A5"/>
    <w:rsid w:val="00D72ECE"/>
    <w:rsid w:val="00D743B5"/>
    <w:rsid w:val="00D7555C"/>
    <w:rsid w:val="00D75A21"/>
    <w:rsid w:val="00D75A99"/>
    <w:rsid w:val="00D84062"/>
    <w:rsid w:val="00D86274"/>
    <w:rsid w:val="00D87D24"/>
    <w:rsid w:val="00D9450B"/>
    <w:rsid w:val="00D96D30"/>
    <w:rsid w:val="00D96FC5"/>
    <w:rsid w:val="00DA05CB"/>
    <w:rsid w:val="00DA0951"/>
    <w:rsid w:val="00DA0966"/>
    <w:rsid w:val="00DA107B"/>
    <w:rsid w:val="00DA30F9"/>
    <w:rsid w:val="00DA3AC1"/>
    <w:rsid w:val="00DA435E"/>
    <w:rsid w:val="00DA4E86"/>
    <w:rsid w:val="00DA7B95"/>
    <w:rsid w:val="00DB01BB"/>
    <w:rsid w:val="00DB16E3"/>
    <w:rsid w:val="00DB1E0E"/>
    <w:rsid w:val="00DB3B5B"/>
    <w:rsid w:val="00DB519F"/>
    <w:rsid w:val="00DB575E"/>
    <w:rsid w:val="00DB6B68"/>
    <w:rsid w:val="00DB70FC"/>
    <w:rsid w:val="00DB7299"/>
    <w:rsid w:val="00DC027B"/>
    <w:rsid w:val="00DC0A56"/>
    <w:rsid w:val="00DC0AFD"/>
    <w:rsid w:val="00DC1323"/>
    <w:rsid w:val="00DC3725"/>
    <w:rsid w:val="00DC46F1"/>
    <w:rsid w:val="00DC486A"/>
    <w:rsid w:val="00DC69B8"/>
    <w:rsid w:val="00DC74C8"/>
    <w:rsid w:val="00DC7C1D"/>
    <w:rsid w:val="00DD0199"/>
    <w:rsid w:val="00DD17A4"/>
    <w:rsid w:val="00DD24D9"/>
    <w:rsid w:val="00DD317B"/>
    <w:rsid w:val="00DD4B12"/>
    <w:rsid w:val="00DD5039"/>
    <w:rsid w:val="00DE0B6B"/>
    <w:rsid w:val="00DE2D24"/>
    <w:rsid w:val="00DE6B7C"/>
    <w:rsid w:val="00DE6F6B"/>
    <w:rsid w:val="00DF0B1D"/>
    <w:rsid w:val="00DF195A"/>
    <w:rsid w:val="00DF2821"/>
    <w:rsid w:val="00DF3BEB"/>
    <w:rsid w:val="00DF4CF6"/>
    <w:rsid w:val="00DF52A2"/>
    <w:rsid w:val="00DF54B1"/>
    <w:rsid w:val="00DF5B0E"/>
    <w:rsid w:val="00DF6EAA"/>
    <w:rsid w:val="00DF7956"/>
    <w:rsid w:val="00E007DF"/>
    <w:rsid w:val="00E00D8A"/>
    <w:rsid w:val="00E0184E"/>
    <w:rsid w:val="00E029F4"/>
    <w:rsid w:val="00E04A46"/>
    <w:rsid w:val="00E05345"/>
    <w:rsid w:val="00E0555D"/>
    <w:rsid w:val="00E12774"/>
    <w:rsid w:val="00E1671F"/>
    <w:rsid w:val="00E167C0"/>
    <w:rsid w:val="00E16A88"/>
    <w:rsid w:val="00E2047D"/>
    <w:rsid w:val="00E2585D"/>
    <w:rsid w:val="00E2591D"/>
    <w:rsid w:val="00E26DDB"/>
    <w:rsid w:val="00E27DC7"/>
    <w:rsid w:val="00E316DE"/>
    <w:rsid w:val="00E32E3C"/>
    <w:rsid w:val="00E338AF"/>
    <w:rsid w:val="00E33FC8"/>
    <w:rsid w:val="00E359E7"/>
    <w:rsid w:val="00E368A9"/>
    <w:rsid w:val="00E3697C"/>
    <w:rsid w:val="00E37237"/>
    <w:rsid w:val="00E379D6"/>
    <w:rsid w:val="00E40726"/>
    <w:rsid w:val="00E4237A"/>
    <w:rsid w:val="00E449F3"/>
    <w:rsid w:val="00E45218"/>
    <w:rsid w:val="00E4534A"/>
    <w:rsid w:val="00E455A0"/>
    <w:rsid w:val="00E46004"/>
    <w:rsid w:val="00E46C55"/>
    <w:rsid w:val="00E50078"/>
    <w:rsid w:val="00E51938"/>
    <w:rsid w:val="00E51E29"/>
    <w:rsid w:val="00E54581"/>
    <w:rsid w:val="00E54CF7"/>
    <w:rsid w:val="00E54DA2"/>
    <w:rsid w:val="00E55340"/>
    <w:rsid w:val="00E5542B"/>
    <w:rsid w:val="00E5570F"/>
    <w:rsid w:val="00E60B29"/>
    <w:rsid w:val="00E61EBB"/>
    <w:rsid w:val="00E62BE7"/>
    <w:rsid w:val="00E639F1"/>
    <w:rsid w:val="00E63C2A"/>
    <w:rsid w:val="00E64149"/>
    <w:rsid w:val="00E64306"/>
    <w:rsid w:val="00E70101"/>
    <w:rsid w:val="00E70783"/>
    <w:rsid w:val="00E736F7"/>
    <w:rsid w:val="00E73AD3"/>
    <w:rsid w:val="00E75333"/>
    <w:rsid w:val="00E762F5"/>
    <w:rsid w:val="00E77992"/>
    <w:rsid w:val="00E82369"/>
    <w:rsid w:val="00E82AAA"/>
    <w:rsid w:val="00E848AB"/>
    <w:rsid w:val="00E85B39"/>
    <w:rsid w:val="00E86889"/>
    <w:rsid w:val="00E86DFD"/>
    <w:rsid w:val="00E90262"/>
    <w:rsid w:val="00E91A8E"/>
    <w:rsid w:val="00E9265C"/>
    <w:rsid w:val="00E9360C"/>
    <w:rsid w:val="00E96F8C"/>
    <w:rsid w:val="00E9729F"/>
    <w:rsid w:val="00E97A50"/>
    <w:rsid w:val="00EA2BAC"/>
    <w:rsid w:val="00EA35F5"/>
    <w:rsid w:val="00EA3DFF"/>
    <w:rsid w:val="00EA4E8B"/>
    <w:rsid w:val="00EA65E7"/>
    <w:rsid w:val="00EA6A05"/>
    <w:rsid w:val="00EA76CF"/>
    <w:rsid w:val="00EB124E"/>
    <w:rsid w:val="00EB1C5E"/>
    <w:rsid w:val="00EB411A"/>
    <w:rsid w:val="00EB46E1"/>
    <w:rsid w:val="00EB48DC"/>
    <w:rsid w:val="00EB4CF8"/>
    <w:rsid w:val="00EB5C53"/>
    <w:rsid w:val="00EB60B2"/>
    <w:rsid w:val="00EB6F69"/>
    <w:rsid w:val="00EB7E60"/>
    <w:rsid w:val="00EC267B"/>
    <w:rsid w:val="00EC5924"/>
    <w:rsid w:val="00ED0434"/>
    <w:rsid w:val="00ED38DA"/>
    <w:rsid w:val="00ED526D"/>
    <w:rsid w:val="00ED5664"/>
    <w:rsid w:val="00EE015F"/>
    <w:rsid w:val="00EE0891"/>
    <w:rsid w:val="00EE236D"/>
    <w:rsid w:val="00EE325D"/>
    <w:rsid w:val="00EE34F1"/>
    <w:rsid w:val="00EE3ECF"/>
    <w:rsid w:val="00EE49E9"/>
    <w:rsid w:val="00EE4D51"/>
    <w:rsid w:val="00EE4F63"/>
    <w:rsid w:val="00EF23AA"/>
    <w:rsid w:val="00EF2F6D"/>
    <w:rsid w:val="00EF4DB2"/>
    <w:rsid w:val="00EF5B00"/>
    <w:rsid w:val="00EF5BA2"/>
    <w:rsid w:val="00EF7BB2"/>
    <w:rsid w:val="00F015D1"/>
    <w:rsid w:val="00F03137"/>
    <w:rsid w:val="00F0341A"/>
    <w:rsid w:val="00F04A68"/>
    <w:rsid w:val="00F05477"/>
    <w:rsid w:val="00F06DBB"/>
    <w:rsid w:val="00F07583"/>
    <w:rsid w:val="00F10CAE"/>
    <w:rsid w:val="00F12078"/>
    <w:rsid w:val="00F120D5"/>
    <w:rsid w:val="00F120F6"/>
    <w:rsid w:val="00F132AE"/>
    <w:rsid w:val="00F151AA"/>
    <w:rsid w:val="00F15468"/>
    <w:rsid w:val="00F15AF3"/>
    <w:rsid w:val="00F21D59"/>
    <w:rsid w:val="00F22940"/>
    <w:rsid w:val="00F27719"/>
    <w:rsid w:val="00F30247"/>
    <w:rsid w:val="00F336EA"/>
    <w:rsid w:val="00F371DC"/>
    <w:rsid w:val="00F417B2"/>
    <w:rsid w:val="00F41965"/>
    <w:rsid w:val="00F41AAA"/>
    <w:rsid w:val="00F422EF"/>
    <w:rsid w:val="00F431FD"/>
    <w:rsid w:val="00F52103"/>
    <w:rsid w:val="00F523FB"/>
    <w:rsid w:val="00F52A8D"/>
    <w:rsid w:val="00F531B2"/>
    <w:rsid w:val="00F53685"/>
    <w:rsid w:val="00F554E3"/>
    <w:rsid w:val="00F63BE4"/>
    <w:rsid w:val="00F64A78"/>
    <w:rsid w:val="00F66FBD"/>
    <w:rsid w:val="00F7136E"/>
    <w:rsid w:val="00F72834"/>
    <w:rsid w:val="00F75FCC"/>
    <w:rsid w:val="00F76F29"/>
    <w:rsid w:val="00F81D49"/>
    <w:rsid w:val="00F8223F"/>
    <w:rsid w:val="00F82ECB"/>
    <w:rsid w:val="00F834AA"/>
    <w:rsid w:val="00F85C9A"/>
    <w:rsid w:val="00F85CFF"/>
    <w:rsid w:val="00F91E79"/>
    <w:rsid w:val="00F93940"/>
    <w:rsid w:val="00F93E75"/>
    <w:rsid w:val="00F94731"/>
    <w:rsid w:val="00F95423"/>
    <w:rsid w:val="00F95C3D"/>
    <w:rsid w:val="00F96FB7"/>
    <w:rsid w:val="00F97213"/>
    <w:rsid w:val="00FA20AB"/>
    <w:rsid w:val="00FA2D7A"/>
    <w:rsid w:val="00FA3095"/>
    <w:rsid w:val="00FA373F"/>
    <w:rsid w:val="00FA5E0C"/>
    <w:rsid w:val="00FA7B7E"/>
    <w:rsid w:val="00FB0034"/>
    <w:rsid w:val="00FB0CF9"/>
    <w:rsid w:val="00FB10A7"/>
    <w:rsid w:val="00FB15E2"/>
    <w:rsid w:val="00FB196E"/>
    <w:rsid w:val="00FB232A"/>
    <w:rsid w:val="00FB3C78"/>
    <w:rsid w:val="00FB3D0E"/>
    <w:rsid w:val="00FB4462"/>
    <w:rsid w:val="00FB6F34"/>
    <w:rsid w:val="00FC1B0D"/>
    <w:rsid w:val="00FC33D2"/>
    <w:rsid w:val="00FC36CD"/>
    <w:rsid w:val="00FC44CD"/>
    <w:rsid w:val="00FC5A20"/>
    <w:rsid w:val="00FC5DAA"/>
    <w:rsid w:val="00FC7308"/>
    <w:rsid w:val="00FC76A7"/>
    <w:rsid w:val="00FC77A8"/>
    <w:rsid w:val="00FD1E8D"/>
    <w:rsid w:val="00FD21C0"/>
    <w:rsid w:val="00FD22C4"/>
    <w:rsid w:val="00FD429E"/>
    <w:rsid w:val="00FD4D6F"/>
    <w:rsid w:val="00FD53D3"/>
    <w:rsid w:val="00FE057B"/>
    <w:rsid w:val="00FE1942"/>
    <w:rsid w:val="00FE200E"/>
    <w:rsid w:val="00FE31B5"/>
    <w:rsid w:val="00FE428F"/>
    <w:rsid w:val="00FE4D7D"/>
    <w:rsid w:val="00FE6D93"/>
    <w:rsid w:val="00FE7877"/>
    <w:rsid w:val="00FF0E62"/>
    <w:rsid w:val="00FF2139"/>
    <w:rsid w:val="00FF4C8A"/>
    <w:rsid w:val="00FF6AAB"/>
    <w:rsid w:val="00FF7764"/>
    <w:rsid w:val="010F3B4F"/>
    <w:rsid w:val="01101675"/>
    <w:rsid w:val="0116605A"/>
    <w:rsid w:val="01255DC7"/>
    <w:rsid w:val="012F2443"/>
    <w:rsid w:val="01323CE1"/>
    <w:rsid w:val="013872C4"/>
    <w:rsid w:val="013923A1"/>
    <w:rsid w:val="01396E1E"/>
    <w:rsid w:val="013B2B96"/>
    <w:rsid w:val="01422176"/>
    <w:rsid w:val="01492915"/>
    <w:rsid w:val="014C6B51"/>
    <w:rsid w:val="014D0B1B"/>
    <w:rsid w:val="014F219D"/>
    <w:rsid w:val="01536131"/>
    <w:rsid w:val="01545A05"/>
    <w:rsid w:val="0156352C"/>
    <w:rsid w:val="0159126E"/>
    <w:rsid w:val="0159301C"/>
    <w:rsid w:val="0161773C"/>
    <w:rsid w:val="016245C6"/>
    <w:rsid w:val="016519C1"/>
    <w:rsid w:val="016A347B"/>
    <w:rsid w:val="016E2F6B"/>
    <w:rsid w:val="016F45ED"/>
    <w:rsid w:val="01722330"/>
    <w:rsid w:val="017460A8"/>
    <w:rsid w:val="01761E20"/>
    <w:rsid w:val="0176597C"/>
    <w:rsid w:val="0179546C"/>
    <w:rsid w:val="01846A5E"/>
    <w:rsid w:val="01875DDB"/>
    <w:rsid w:val="0192652E"/>
    <w:rsid w:val="01934780"/>
    <w:rsid w:val="01987FE8"/>
    <w:rsid w:val="019B53E2"/>
    <w:rsid w:val="01A22C15"/>
    <w:rsid w:val="01A73D87"/>
    <w:rsid w:val="01AC10B7"/>
    <w:rsid w:val="01AD5116"/>
    <w:rsid w:val="01AF179F"/>
    <w:rsid w:val="01BB5A85"/>
    <w:rsid w:val="01C20BC1"/>
    <w:rsid w:val="01C56903"/>
    <w:rsid w:val="01CA2191"/>
    <w:rsid w:val="01CA5CC8"/>
    <w:rsid w:val="01CC7C92"/>
    <w:rsid w:val="01D60B10"/>
    <w:rsid w:val="01D803E5"/>
    <w:rsid w:val="01E2782F"/>
    <w:rsid w:val="01E74ACC"/>
    <w:rsid w:val="01E779BC"/>
    <w:rsid w:val="01F01BD2"/>
    <w:rsid w:val="020D6646"/>
    <w:rsid w:val="020E02AA"/>
    <w:rsid w:val="02111B48"/>
    <w:rsid w:val="0216715F"/>
    <w:rsid w:val="021A27AB"/>
    <w:rsid w:val="021C6DFE"/>
    <w:rsid w:val="022B0E5C"/>
    <w:rsid w:val="022B2165"/>
    <w:rsid w:val="02306473"/>
    <w:rsid w:val="023870D5"/>
    <w:rsid w:val="023C3E8A"/>
    <w:rsid w:val="023E234B"/>
    <w:rsid w:val="023F0464"/>
    <w:rsid w:val="024B505A"/>
    <w:rsid w:val="02511F45"/>
    <w:rsid w:val="025A7081"/>
    <w:rsid w:val="025F0B06"/>
    <w:rsid w:val="026073DD"/>
    <w:rsid w:val="02671768"/>
    <w:rsid w:val="026E2AF7"/>
    <w:rsid w:val="026E6F9B"/>
    <w:rsid w:val="02702D13"/>
    <w:rsid w:val="027520D7"/>
    <w:rsid w:val="027E2E67"/>
    <w:rsid w:val="0281282A"/>
    <w:rsid w:val="02873BB9"/>
    <w:rsid w:val="02924A37"/>
    <w:rsid w:val="029702A0"/>
    <w:rsid w:val="02AE1145"/>
    <w:rsid w:val="02C620A0"/>
    <w:rsid w:val="02C80459"/>
    <w:rsid w:val="02C95F7F"/>
    <w:rsid w:val="02CE3596"/>
    <w:rsid w:val="02D54924"/>
    <w:rsid w:val="02D7069C"/>
    <w:rsid w:val="02D92666"/>
    <w:rsid w:val="02DA018C"/>
    <w:rsid w:val="02DE5ECF"/>
    <w:rsid w:val="02E1776D"/>
    <w:rsid w:val="02E4100B"/>
    <w:rsid w:val="02F2197A"/>
    <w:rsid w:val="02F94AB6"/>
    <w:rsid w:val="02F96864"/>
    <w:rsid w:val="02FA25DD"/>
    <w:rsid w:val="02FA438B"/>
    <w:rsid w:val="03084CFA"/>
    <w:rsid w:val="030A6CC4"/>
    <w:rsid w:val="030B47EA"/>
    <w:rsid w:val="030D2310"/>
    <w:rsid w:val="03101E00"/>
    <w:rsid w:val="03115797"/>
    <w:rsid w:val="03157416"/>
    <w:rsid w:val="03194519"/>
    <w:rsid w:val="031B2C7F"/>
    <w:rsid w:val="031B60F3"/>
    <w:rsid w:val="03304250"/>
    <w:rsid w:val="03305FFE"/>
    <w:rsid w:val="033F593A"/>
    <w:rsid w:val="034877EC"/>
    <w:rsid w:val="034A70C0"/>
    <w:rsid w:val="034F2928"/>
    <w:rsid w:val="03504AF4"/>
    <w:rsid w:val="035C6DF3"/>
    <w:rsid w:val="035E2B6B"/>
    <w:rsid w:val="035E700F"/>
    <w:rsid w:val="0361265C"/>
    <w:rsid w:val="03694085"/>
    <w:rsid w:val="037405E1"/>
    <w:rsid w:val="0374413D"/>
    <w:rsid w:val="037979A5"/>
    <w:rsid w:val="03801107"/>
    <w:rsid w:val="03824AAC"/>
    <w:rsid w:val="03897FC7"/>
    <w:rsid w:val="038D16A3"/>
    <w:rsid w:val="03993BA4"/>
    <w:rsid w:val="03A32C74"/>
    <w:rsid w:val="03A52548"/>
    <w:rsid w:val="03AA7B5F"/>
    <w:rsid w:val="03AC7D7B"/>
    <w:rsid w:val="03AE3AF3"/>
    <w:rsid w:val="03BC7892"/>
    <w:rsid w:val="03BE185C"/>
    <w:rsid w:val="03BE360A"/>
    <w:rsid w:val="03C324F6"/>
    <w:rsid w:val="03CC3F79"/>
    <w:rsid w:val="03D41080"/>
    <w:rsid w:val="03DB0660"/>
    <w:rsid w:val="03DE3CAC"/>
    <w:rsid w:val="03E272F9"/>
    <w:rsid w:val="03E77005"/>
    <w:rsid w:val="03E94B2B"/>
    <w:rsid w:val="03EC63C9"/>
    <w:rsid w:val="03F37758"/>
    <w:rsid w:val="03FA6D38"/>
    <w:rsid w:val="03FB2A2B"/>
    <w:rsid w:val="03FB485E"/>
    <w:rsid w:val="03FB660C"/>
    <w:rsid w:val="04082AD7"/>
    <w:rsid w:val="040C6A6B"/>
    <w:rsid w:val="04155920"/>
    <w:rsid w:val="04266740"/>
    <w:rsid w:val="042D6062"/>
    <w:rsid w:val="0433224A"/>
    <w:rsid w:val="04357D70"/>
    <w:rsid w:val="04367644"/>
    <w:rsid w:val="0438160E"/>
    <w:rsid w:val="043A5387"/>
    <w:rsid w:val="043B4AFE"/>
    <w:rsid w:val="044C50BA"/>
    <w:rsid w:val="044E498E"/>
    <w:rsid w:val="04545D1C"/>
    <w:rsid w:val="045C546C"/>
    <w:rsid w:val="04651CD8"/>
    <w:rsid w:val="046C750A"/>
    <w:rsid w:val="04714B20"/>
    <w:rsid w:val="047343F5"/>
    <w:rsid w:val="047A39D5"/>
    <w:rsid w:val="047A5783"/>
    <w:rsid w:val="047F0FEB"/>
    <w:rsid w:val="048B7990"/>
    <w:rsid w:val="048E122E"/>
    <w:rsid w:val="04A2513C"/>
    <w:rsid w:val="04A3117E"/>
    <w:rsid w:val="04A33F85"/>
    <w:rsid w:val="04A46CA4"/>
    <w:rsid w:val="04AC7907"/>
    <w:rsid w:val="04B0389B"/>
    <w:rsid w:val="04B51F82"/>
    <w:rsid w:val="04B70785"/>
    <w:rsid w:val="04BC3FEE"/>
    <w:rsid w:val="04BD38C2"/>
    <w:rsid w:val="04C1202B"/>
    <w:rsid w:val="04C80BE4"/>
    <w:rsid w:val="04CD61FB"/>
    <w:rsid w:val="04D1736D"/>
    <w:rsid w:val="04D9520B"/>
    <w:rsid w:val="04F01EE9"/>
    <w:rsid w:val="04F0505C"/>
    <w:rsid w:val="04F76DD4"/>
    <w:rsid w:val="04FE63B4"/>
    <w:rsid w:val="04FF212C"/>
    <w:rsid w:val="050E236F"/>
    <w:rsid w:val="05171224"/>
    <w:rsid w:val="051756C8"/>
    <w:rsid w:val="05224264"/>
    <w:rsid w:val="0523406D"/>
    <w:rsid w:val="05243941"/>
    <w:rsid w:val="05263B5D"/>
    <w:rsid w:val="053022E6"/>
    <w:rsid w:val="05340028"/>
    <w:rsid w:val="05393890"/>
    <w:rsid w:val="05445D91"/>
    <w:rsid w:val="054A15F9"/>
    <w:rsid w:val="054D2E98"/>
    <w:rsid w:val="05504736"/>
    <w:rsid w:val="05505EA1"/>
    <w:rsid w:val="05524F03"/>
    <w:rsid w:val="055E32F7"/>
    <w:rsid w:val="05654685"/>
    <w:rsid w:val="05655910"/>
    <w:rsid w:val="05663F59"/>
    <w:rsid w:val="056703FD"/>
    <w:rsid w:val="056A253B"/>
    <w:rsid w:val="0571302A"/>
    <w:rsid w:val="05720B50"/>
    <w:rsid w:val="05740424"/>
    <w:rsid w:val="057C532C"/>
    <w:rsid w:val="057E629C"/>
    <w:rsid w:val="05812B41"/>
    <w:rsid w:val="05832D5D"/>
    <w:rsid w:val="05852631"/>
    <w:rsid w:val="05940AC6"/>
    <w:rsid w:val="05976809"/>
    <w:rsid w:val="059D3E1F"/>
    <w:rsid w:val="05A131E3"/>
    <w:rsid w:val="05A14F91"/>
    <w:rsid w:val="05AE4577"/>
    <w:rsid w:val="05AF5900"/>
    <w:rsid w:val="05B2719F"/>
    <w:rsid w:val="05B80C59"/>
    <w:rsid w:val="05B9677F"/>
    <w:rsid w:val="05BB24F7"/>
    <w:rsid w:val="05C56ED2"/>
    <w:rsid w:val="05C84C14"/>
    <w:rsid w:val="05D5405E"/>
    <w:rsid w:val="05D62E8D"/>
    <w:rsid w:val="05D67331"/>
    <w:rsid w:val="05DB04A3"/>
    <w:rsid w:val="05E25CD6"/>
    <w:rsid w:val="05E64A5A"/>
    <w:rsid w:val="05EA2DDC"/>
    <w:rsid w:val="05EB7ACA"/>
    <w:rsid w:val="05ED1043"/>
    <w:rsid w:val="05F9301F"/>
    <w:rsid w:val="05FB6D97"/>
    <w:rsid w:val="05FC4CED"/>
    <w:rsid w:val="060519C4"/>
    <w:rsid w:val="060774EA"/>
    <w:rsid w:val="060E0879"/>
    <w:rsid w:val="06110369"/>
    <w:rsid w:val="061614DB"/>
    <w:rsid w:val="061D0ABC"/>
    <w:rsid w:val="061F375B"/>
    <w:rsid w:val="06274ABE"/>
    <w:rsid w:val="065546FA"/>
    <w:rsid w:val="065E7B50"/>
    <w:rsid w:val="066341E0"/>
    <w:rsid w:val="06654211"/>
    <w:rsid w:val="066B5CCB"/>
    <w:rsid w:val="066F6E3E"/>
    <w:rsid w:val="067032E2"/>
    <w:rsid w:val="067749C3"/>
    <w:rsid w:val="067A4160"/>
    <w:rsid w:val="067B1C86"/>
    <w:rsid w:val="06862B05"/>
    <w:rsid w:val="0687687D"/>
    <w:rsid w:val="068B011B"/>
    <w:rsid w:val="06943B8E"/>
    <w:rsid w:val="069A4A2F"/>
    <w:rsid w:val="069A65B0"/>
    <w:rsid w:val="069B7776"/>
    <w:rsid w:val="069F5975"/>
    <w:rsid w:val="06A65BF6"/>
    <w:rsid w:val="06A74829"/>
    <w:rsid w:val="06A905A2"/>
    <w:rsid w:val="06A967F3"/>
    <w:rsid w:val="06B036DE"/>
    <w:rsid w:val="06B13C7D"/>
    <w:rsid w:val="06B37672"/>
    <w:rsid w:val="06B50CF4"/>
    <w:rsid w:val="06C13B3D"/>
    <w:rsid w:val="06C947A0"/>
    <w:rsid w:val="06CB49BC"/>
    <w:rsid w:val="06DD48E1"/>
    <w:rsid w:val="06E14F50"/>
    <w:rsid w:val="06E15F8D"/>
    <w:rsid w:val="06E635A4"/>
    <w:rsid w:val="06EB2968"/>
    <w:rsid w:val="06F15155"/>
    <w:rsid w:val="06F832D7"/>
    <w:rsid w:val="06F85085"/>
    <w:rsid w:val="070457D8"/>
    <w:rsid w:val="071163A2"/>
    <w:rsid w:val="071579E5"/>
    <w:rsid w:val="07181283"/>
    <w:rsid w:val="071A149F"/>
    <w:rsid w:val="071A324D"/>
    <w:rsid w:val="071D6286"/>
    <w:rsid w:val="072365A6"/>
    <w:rsid w:val="072B0FB7"/>
    <w:rsid w:val="07373DFF"/>
    <w:rsid w:val="073E518E"/>
    <w:rsid w:val="073E6F3C"/>
    <w:rsid w:val="073F0F06"/>
    <w:rsid w:val="07434552"/>
    <w:rsid w:val="074402CA"/>
    <w:rsid w:val="075B4D47"/>
    <w:rsid w:val="075B5D40"/>
    <w:rsid w:val="075C73C2"/>
    <w:rsid w:val="07610E7C"/>
    <w:rsid w:val="07612C2A"/>
    <w:rsid w:val="07630750"/>
    <w:rsid w:val="07634BF4"/>
    <w:rsid w:val="076B1CFB"/>
    <w:rsid w:val="076F5347"/>
    <w:rsid w:val="07702E6D"/>
    <w:rsid w:val="07724E37"/>
    <w:rsid w:val="077741FC"/>
    <w:rsid w:val="0781151E"/>
    <w:rsid w:val="0795200E"/>
    <w:rsid w:val="07961259"/>
    <w:rsid w:val="079B438E"/>
    <w:rsid w:val="07A019A5"/>
    <w:rsid w:val="07A33592"/>
    <w:rsid w:val="07A62D33"/>
    <w:rsid w:val="07B471FE"/>
    <w:rsid w:val="07C05BA3"/>
    <w:rsid w:val="07C84A57"/>
    <w:rsid w:val="07CD7D17"/>
    <w:rsid w:val="07D01B5E"/>
    <w:rsid w:val="07D23B28"/>
    <w:rsid w:val="07D4164E"/>
    <w:rsid w:val="07D72EEC"/>
    <w:rsid w:val="07DB478B"/>
    <w:rsid w:val="07DD6CA4"/>
    <w:rsid w:val="07DE24CD"/>
    <w:rsid w:val="07E01DA1"/>
    <w:rsid w:val="07E04497"/>
    <w:rsid w:val="07E6312F"/>
    <w:rsid w:val="07ED44BE"/>
    <w:rsid w:val="07F053D2"/>
    <w:rsid w:val="07F25C3B"/>
    <w:rsid w:val="07FB307F"/>
    <w:rsid w:val="07FD6DF7"/>
    <w:rsid w:val="07FE2B6F"/>
    <w:rsid w:val="08017F69"/>
    <w:rsid w:val="080C703A"/>
    <w:rsid w:val="080D37DD"/>
    <w:rsid w:val="080F2686"/>
    <w:rsid w:val="081D4AE3"/>
    <w:rsid w:val="08222A00"/>
    <w:rsid w:val="0822685D"/>
    <w:rsid w:val="08251EAA"/>
    <w:rsid w:val="08283748"/>
    <w:rsid w:val="08297BEC"/>
    <w:rsid w:val="082A3964"/>
    <w:rsid w:val="082C5625"/>
    <w:rsid w:val="082F2519"/>
    <w:rsid w:val="0842480A"/>
    <w:rsid w:val="08457546"/>
    <w:rsid w:val="084C7436"/>
    <w:rsid w:val="08585DDB"/>
    <w:rsid w:val="08640C24"/>
    <w:rsid w:val="08674270"/>
    <w:rsid w:val="08687FE8"/>
    <w:rsid w:val="086A5B0F"/>
    <w:rsid w:val="086E55FF"/>
    <w:rsid w:val="086F1377"/>
    <w:rsid w:val="087D5842"/>
    <w:rsid w:val="088017D6"/>
    <w:rsid w:val="08862D45"/>
    <w:rsid w:val="088766C0"/>
    <w:rsid w:val="0889068B"/>
    <w:rsid w:val="088C1F29"/>
    <w:rsid w:val="088E3EF3"/>
    <w:rsid w:val="08907C6B"/>
    <w:rsid w:val="089112ED"/>
    <w:rsid w:val="08931509"/>
    <w:rsid w:val="089332B7"/>
    <w:rsid w:val="08935065"/>
    <w:rsid w:val="08986B20"/>
    <w:rsid w:val="089A4646"/>
    <w:rsid w:val="089F1C5C"/>
    <w:rsid w:val="08A4519C"/>
    <w:rsid w:val="08AE00F1"/>
    <w:rsid w:val="08B03E69"/>
    <w:rsid w:val="08B33959"/>
    <w:rsid w:val="08B374B6"/>
    <w:rsid w:val="08B46187"/>
    <w:rsid w:val="08BB45BC"/>
    <w:rsid w:val="08BF22FE"/>
    <w:rsid w:val="08CC4A1B"/>
    <w:rsid w:val="08D12537"/>
    <w:rsid w:val="08E04A16"/>
    <w:rsid w:val="08E10FFD"/>
    <w:rsid w:val="08E13C0F"/>
    <w:rsid w:val="08E7715F"/>
    <w:rsid w:val="08E77E2A"/>
    <w:rsid w:val="08E81855"/>
    <w:rsid w:val="08EC0C19"/>
    <w:rsid w:val="08ED601F"/>
    <w:rsid w:val="08F5187C"/>
    <w:rsid w:val="08F54FFF"/>
    <w:rsid w:val="08F55D20"/>
    <w:rsid w:val="08F57ACE"/>
    <w:rsid w:val="08F64DAE"/>
    <w:rsid w:val="08F6536B"/>
    <w:rsid w:val="08F655F4"/>
    <w:rsid w:val="08F71A98"/>
    <w:rsid w:val="08FA6E92"/>
    <w:rsid w:val="08FF094D"/>
    <w:rsid w:val="08FF26FB"/>
    <w:rsid w:val="090369F3"/>
    <w:rsid w:val="090B10A0"/>
    <w:rsid w:val="09104908"/>
    <w:rsid w:val="092263E9"/>
    <w:rsid w:val="092D370C"/>
    <w:rsid w:val="09317CF7"/>
    <w:rsid w:val="0932487E"/>
    <w:rsid w:val="09371E95"/>
    <w:rsid w:val="09385CEE"/>
    <w:rsid w:val="093D1475"/>
    <w:rsid w:val="093E76C7"/>
    <w:rsid w:val="094E5430"/>
    <w:rsid w:val="095D6ACD"/>
    <w:rsid w:val="095F763D"/>
    <w:rsid w:val="09694018"/>
    <w:rsid w:val="097863DB"/>
    <w:rsid w:val="097C3D4B"/>
    <w:rsid w:val="097E5D15"/>
    <w:rsid w:val="098552F6"/>
    <w:rsid w:val="09896468"/>
    <w:rsid w:val="098F1CD1"/>
    <w:rsid w:val="09903C9B"/>
    <w:rsid w:val="099472E7"/>
    <w:rsid w:val="09972933"/>
    <w:rsid w:val="09AB4631"/>
    <w:rsid w:val="09AF2373"/>
    <w:rsid w:val="09B71227"/>
    <w:rsid w:val="09BA4874"/>
    <w:rsid w:val="09BF1E8A"/>
    <w:rsid w:val="09C74262"/>
    <w:rsid w:val="09C851E3"/>
    <w:rsid w:val="09D516AE"/>
    <w:rsid w:val="09D815E1"/>
    <w:rsid w:val="09DE67B4"/>
    <w:rsid w:val="09E244F6"/>
    <w:rsid w:val="09E35B78"/>
    <w:rsid w:val="09E8781C"/>
    <w:rsid w:val="09EA6F07"/>
    <w:rsid w:val="09ED4C49"/>
    <w:rsid w:val="09F14739"/>
    <w:rsid w:val="09FC30DE"/>
    <w:rsid w:val="0A0501E5"/>
    <w:rsid w:val="0A083831"/>
    <w:rsid w:val="0A0D7099"/>
    <w:rsid w:val="0A0F696E"/>
    <w:rsid w:val="0A140428"/>
    <w:rsid w:val="0A195A3E"/>
    <w:rsid w:val="0A1F7F92"/>
    <w:rsid w:val="0A2C5771"/>
    <w:rsid w:val="0A2D613E"/>
    <w:rsid w:val="0A2E773B"/>
    <w:rsid w:val="0A3E36F7"/>
    <w:rsid w:val="0A410AF1"/>
    <w:rsid w:val="0A474359"/>
    <w:rsid w:val="0A5D1DCF"/>
    <w:rsid w:val="0A627672"/>
    <w:rsid w:val="0A6749FB"/>
    <w:rsid w:val="0A6B77AC"/>
    <w:rsid w:val="0A6C3DC0"/>
    <w:rsid w:val="0A6D7B38"/>
    <w:rsid w:val="0A723CF5"/>
    <w:rsid w:val="0A780920"/>
    <w:rsid w:val="0A825391"/>
    <w:rsid w:val="0A851326"/>
    <w:rsid w:val="0A8C7FBE"/>
    <w:rsid w:val="0A8F3F52"/>
    <w:rsid w:val="0A9D666F"/>
    <w:rsid w:val="0AAE43D8"/>
    <w:rsid w:val="0AB15C77"/>
    <w:rsid w:val="0AB401A3"/>
    <w:rsid w:val="0AB6328D"/>
    <w:rsid w:val="0AB72673"/>
    <w:rsid w:val="0ABA2D7D"/>
    <w:rsid w:val="0AC21C32"/>
    <w:rsid w:val="0AC30818"/>
    <w:rsid w:val="0AC41E4E"/>
    <w:rsid w:val="0AC778D2"/>
    <w:rsid w:val="0ACA0AE6"/>
    <w:rsid w:val="0ACB34C4"/>
    <w:rsid w:val="0AD57BB7"/>
    <w:rsid w:val="0AD86CB8"/>
    <w:rsid w:val="0ADA114D"/>
    <w:rsid w:val="0ADD6A6C"/>
    <w:rsid w:val="0ADE3874"/>
    <w:rsid w:val="0AE47DFA"/>
    <w:rsid w:val="0AE75B3C"/>
    <w:rsid w:val="0AF0679F"/>
    <w:rsid w:val="0AF67B2D"/>
    <w:rsid w:val="0AFC15E8"/>
    <w:rsid w:val="0AFD2C6A"/>
    <w:rsid w:val="0AFF69E2"/>
    <w:rsid w:val="0B0264D2"/>
    <w:rsid w:val="0B04224A"/>
    <w:rsid w:val="0B0B182B"/>
    <w:rsid w:val="0B0F299D"/>
    <w:rsid w:val="0B15361D"/>
    <w:rsid w:val="0B1756AE"/>
    <w:rsid w:val="0B220922"/>
    <w:rsid w:val="0B27100A"/>
    <w:rsid w:val="0B27418B"/>
    <w:rsid w:val="0B293A5F"/>
    <w:rsid w:val="0B2B5A29"/>
    <w:rsid w:val="0B2F31E8"/>
    <w:rsid w:val="0B325009"/>
    <w:rsid w:val="0B381EF4"/>
    <w:rsid w:val="0B3A5C6C"/>
    <w:rsid w:val="0B3D575C"/>
    <w:rsid w:val="0B3F32C0"/>
    <w:rsid w:val="0B3F3E5F"/>
    <w:rsid w:val="0B422D73"/>
    <w:rsid w:val="0B464611"/>
    <w:rsid w:val="0B4D1E43"/>
    <w:rsid w:val="0B5331D2"/>
    <w:rsid w:val="0B5925E2"/>
    <w:rsid w:val="0B5F1B77"/>
    <w:rsid w:val="0B642CE9"/>
    <w:rsid w:val="0B662F05"/>
    <w:rsid w:val="0B6E3B68"/>
    <w:rsid w:val="0B7B0A24"/>
    <w:rsid w:val="0B923CFA"/>
    <w:rsid w:val="0B925AA8"/>
    <w:rsid w:val="0BA650B0"/>
    <w:rsid w:val="0BAF665A"/>
    <w:rsid w:val="0BB73761"/>
    <w:rsid w:val="0BB91287"/>
    <w:rsid w:val="0BBA0B5B"/>
    <w:rsid w:val="0BBA4FFF"/>
    <w:rsid w:val="0BBE064B"/>
    <w:rsid w:val="0BBF2615"/>
    <w:rsid w:val="0BC419DA"/>
    <w:rsid w:val="0BC63A93"/>
    <w:rsid w:val="0BCB1984"/>
    <w:rsid w:val="0BD936D7"/>
    <w:rsid w:val="0BDB744F"/>
    <w:rsid w:val="0BE12890"/>
    <w:rsid w:val="0BE333E9"/>
    <w:rsid w:val="0BE43E2A"/>
    <w:rsid w:val="0BE800E8"/>
    <w:rsid w:val="0BEF2EFA"/>
    <w:rsid w:val="0BF24799"/>
    <w:rsid w:val="0BF7590B"/>
    <w:rsid w:val="0BFC73C5"/>
    <w:rsid w:val="0BFE313E"/>
    <w:rsid w:val="0C01678A"/>
    <w:rsid w:val="0C083FBC"/>
    <w:rsid w:val="0C142961"/>
    <w:rsid w:val="0C160487"/>
    <w:rsid w:val="0C1A784C"/>
    <w:rsid w:val="0C1F4E62"/>
    <w:rsid w:val="0C2D57D1"/>
    <w:rsid w:val="0C322DE7"/>
    <w:rsid w:val="0C324B95"/>
    <w:rsid w:val="0C360B29"/>
    <w:rsid w:val="0C364685"/>
    <w:rsid w:val="0C395F24"/>
    <w:rsid w:val="0C3962E0"/>
    <w:rsid w:val="0C436DA2"/>
    <w:rsid w:val="0C4548C9"/>
    <w:rsid w:val="0C550884"/>
    <w:rsid w:val="0C5745FC"/>
    <w:rsid w:val="0C5908D8"/>
    <w:rsid w:val="0C5B40EC"/>
    <w:rsid w:val="0C5E1E2E"/>
    <w:rsid w:val="0C632FA1"/>
    <w:rsid w:val="0C637445"/>
    <w:rsid w:val="0C656D19"/>
    <w:rsid w:val="0C6D2071"/>
    <w:rsid w:val="0C774C9E"/>
    <w:rsid w:val="0C790A16"/>
    <w:rsid w:val="0C7B5426"/>
    <w:rsid w:val="0C807FF6"/>
    <w:rsid w:val="0C814D10"/>
    <w:rsid w:val="0C8353F1"/>
    <w:rsid w:val="0C8510A9"/>
    <w:rsid w:val="0C8A49D1"/>
    <w:rsid w:val="0C931AE7"/>
    <w:rsid w:val="0C9413AC"/>
    <w:rsid w:val="0C945850"/>
    <w:rsid w:val="0C985340"/>
    <w:rsid w:val="0C9B185F"/>
    <w:rsid w:val="0C9F449D"/>
    <w:rsid w:val="0CA23AC9"/>
    <w:rsid w:val="0CA5180B"/>
    <w:rsid w:val="0CA710DF"/>
    <w:rsid w:val="0CB16402"/>
    <w:rsid w:val="0CB8153E"/>
    <w:rsid w:val="0CBE5DB7"/>
    <w:rsid w:val="0CC51EAD"/>
    <w:rsid w:val="0CC872A8"/>
    <w:rsid w:val="0CCC323C"/>
    <w:rsid w:val="0CCD48BE"/>
    <w:rsid w:val="0CD12600"/>
    <w:rsid w:val="0CDA7707"/>
    <w:rsid w:val="0CDB6FDB"/>
    <w:rsid w:val="0CDD2D53"/>
    <w:rsid w:val="0CEA5470"/>
    <w:rsid w:val="0CEC7E16"/>
    <w:rsid w:val="0CF34325"/>
    <w:rsid w:val="0D002EE5"/>
    <w:rsid w:val="0D091D9A"/>
    <w:rsid w:val="0D0C3638"/>
    <w:rsid w:val="0D0F4ED6"/>
    <w:rsid w:val="0D10137A"/>
    <w:rsid w:val="0D110C4F"/>
    <w:rsid w:val="0D136C57"/>
    <w:rsid w:val="0D15073F"/>
    <w:rsid w:val="0D160909"/>
    <w:rsid w:val="0D18348D"/>
    <w:rsid w:val="0D197B03"/>
    <w:rsid w:val="0D215336"/>
    <w:rsid w:val="0D235ABC"/>
    <w:rsid w:val="0D2C5A88"/>
    <w:rsid w:val="0D2C7836"/>
    <w:rsid w:val="0D2E7A52"/>
    <w:rsid w:val="0D305AA1"/>
    <w:rsid w:val="0D38267F"/>
    <w:rsid w:val="0D3D7C96"/>
    <w:rsid w:val="0D442DD2"/>
    <w:rsid w:val="0D4B23B2"/>
    <w:rsid w:val="0D4C1C87"/>
    <w:rsid w:val="0D4C7ED9"/>
    <w:rsid w:val="0D58062B"/>
    <w:rsid w:val="0D5A25F6"/>
    <w:rsid w:val="0D5F7C0C"/>
    <w:rsid w:val="0D757F40"/>
    <w:rsid w:val="0D761D55"/>
    <w:rsid w:val="0D7731A8"/>
    <w:rsid w:val="0D7A11E1"/>
    <w:rsid w:val="0D8B6C53"/>
    <w:rsid w:val="0D98311E"/>
    <w:rsid w:val="0D9A6E96"/>
    <w:rsid w:val="0D9C49BC"/>
    <w:rsid w:val="0DAE46EF"/>
    <w:rsid w:val="0DB066B9"/>
    <w:rsid w:val="0DB241E0"/>
    <w:rsid w:val="0DC108C7"/>
    <w:rsid w:val="0DC45CC1"/>
    <w:rsid w:val="0DC46A2A"/>
    <w:rsid w:val="0DC57CC8"/>
    <w:rsid w:val="0DC857B1"/>
    <w:rsid w:val="0DD04666"/>
    <w:rsid w:val="0DD56120"/>
    <w:rsid w:val="0DD71E98"/>
    <w:rsid w:val="0DDA1988"/>
    <w:rsid w:val="0DED16BC"/>
    <w:rsid w:val="0DED6FC6"/>
    <w:rsid w:val="0DF04D08"/>
    <w:rsid w:val="0DFC545B"/>
    <w:rsid w:val="0E016F15"/>
    <w:rsid w:val="0E0B7D94"/>
    <w:rsid w:val="0E0D6C5F"/>
    <w:rsid w:val="0E146C48"/>
    <w:rsid w:val="0E1704E7"/>
    <w:rsid w:val="0E172295"/>
    <w:rsid w:val="0E2350DD"/>
    <w:rsid w:val="0E2844A2"/>
    <w:rsid w:val="0E291167"/>
    <w:rsid w:val="0E2B3F92"/>
    <w:rsid w:val="0E2F75DE"/>
    <w:rsid w:val="0E3015A8"/>
    <w:rsid w:val="0E39220B"/>
    <w:rsid w:val="0E4312DC"/>
    <w:rsid w:val="0E4A4418"/>
    <w:rsid w:val="0E505465"/>
    <w:rsid w:val="0E5055E0"/>
    <w:rsid w:val="0E5131BF"/>
    <w:rsid w:val="0E5533F2"/>
    <w:rsid w:val="0E572FD9"/>
    <w:rsid w:val="0E5A59B2"/>
    <w:rsid w:val="0E5C05EF"/>
    <w:rsid w:val="0E5E4367"/>
    <w:rsid w:val="0E5E7EC3"/>
    <w:rsid w:val="0E682AF0"/>
    <w:rsid w:val="0E6D6359"/>
    <w:rsid w:val="0E72054F"/>
    <w:rsid w:val="0E770F85"/>
    <w:rsid w:val="0E807E3A"/>
    <w:rsid w:val="0E811F50"/>
    <w:rsid w:val="0E8325FF"/>
    <w:rsid w:val="0E8518F4"/>
    <w:rsid w:val="0E8B0B0A"/>
    <w:rsid w:val="0E912047"/>
    <w:rsid w:val="0E99714E"/>
    <w:rsid w:val="0E9E29B6"/>
    <w:rsid w:val="0EA0228A"/>
    <w:rsid w:val="0EAC6E81"/>
    <w:rsid w:val="0EBD108E"/>
    <w:rsid w:val="0EBD5676"/>
    <w:rsid w:val="0EC341CA"/>
    <w:rsid w:val="0ECB08D9"/>
    <w:rsid w:val="0ECC0A79"/>
    <w:rsid w:val="0ED255B6"/>
    <w:rsid w:val="0ED46494"/>
    <w:rsid w:val="0ED70339"/>
    <w:rsid w:val="0ED91C40"/>
    <w:rsid w:val="0EDE7B1E"/>
    <w:rsid w:val="0EEC3721"/>
    <w:rsid w:val="0EF10D38"/>
    <w:rsid w:val="0EF95E3E"/>
    <w:rsid w:val="0EFA4090"/>
    <w:rsid w:val="0F046CBD"/>
    <w:rsid w:val="0F047233"/>
    <w:rsid w:val="0F0F5662"/>
    <w:rsid w:val="0F1467D4"/>
    <w:rsid w:val="0F1F58A5"/>
    <w:rsid w:val="0F20786F"/>
    <w:rsid w:val="0F3A448D"/>
    <w:rsid w:val="0F3B0205"/>
    <w:rsid w:val="0F3B1FB3"/>
    <w:rsid w:val="0F3D424A"/>
    <w:rsid w:val="0F3F5F47"/>
    <w:rsid w:val="0F40581B"/>
    <w:rsid w:val="0F451083"/>
    <w:rsid w:val="0F474DFC"/>
    <w:rsid w:val="0F476BAA"/>
    <w:rsid w:val="0F583FCC"/>
    <w:rsid w:val="0F5A68DD"/>
    <w:rsid w:val="0F5B4403"/>
    <w:rsid w:val="0F6A2898"/>
    <w:rsid w:val="0F6B3808"/>
    <w:rsid w:val="0F6C6610"/>
    <w:rsid w:val="0F6F3994"/>
    <w:rsid w:val="0F6F4BF0"/>
    <w:rsid w:val="0F8F6C6C"/>
    <w:rsid w:val="0F9D0EBF"/>
    <w:rsid w:val="0FA348DE"/>
    <w:rsid w:val="0FA364D6"/>
    <w:rsid w:val="0FA7589A"/>
    <w:rsid w:val="0FAC2EB1"/>
    <w:rsid w:val="0FAE09D7"/>
    <w:rsid w:val="0FAE6C29"/>
    <w:rsid w:val="0FAE72F2"/>
    <w:rsid w:val="0FB03C48"/>
    <w:rsid w:val="0FB32491"/>
    <w:rsid w:val="0FB56209"/>
    <w:rsid w:val="0FBC7598"/>
    <w:rsid w:val="0FCB1589"/>
    <w:rsid w:val="0FDA7A1E"/>
    <w:rsid w:val="0FDF12BC"/>
    <w:rsid w:val="0FE73EE9"/>
    <w:rsid w:val="0FF26B15"/>
    <w:rsid w:val="0FF94348"/>
    <w:rsid w:val="0FFC7994"/>
    <w:rsid w:val="100D1BA1"/>
    <w:rsid w:val="101A606C"/>
    <w:rsid w:val="101E5B5C"/>
    <w:rsid w:val="101F3682"/>
    <w:rsid w:val="1021564D"/>
    <w:rsid w:val="1026522F"/>
    <w:rsid w:val="102C3DE2"/>
    <w:rsid w:val="103709CC"/>
    <w:rsid w:val="10383406"/>
    <w:rsid w:val="104355C3"/>
    <w:rsid w:val="10437371"/>
    <w:rsid w:val="10484987"/>
    <w:rsid w:val="104906FF"/>
    <w:rsid w:val="10507EB4"/>
    <w:rsid w:val="10594DE6"/>
    <w:rsid w:val="105B0B5E"/>
    <w:rsid w:val="105C6685"/>
    <w:rsid w:val="10615A49"/>
    <w:rsid w:val="106519DD"/>
    <w:rsid w:val="106B68C8"/>
    <w:rsid w:val="106D6BAC"/>
    <w:rsid w:val="10702130"/>
    <w:rsid w:val="10765998"/>
    <w:rsid w:val="107751C1"/>
    <w:rsid w:val="10795489"/>
    <w:rsid w:val="107E2A9F"/>
    <w:rsid w:val="10802373"/>
    <w:rsid w:val="108A4FA0"/>
    <w:rsid w:val="108C51BC"/>
    <w:rsid w:val="108D683E"/>
    <w:rsid w:val="10967DE9"/>
    <w:rsid w:val="109776BD"/>
    <w:rsid w:val="10991687"/>
    <w:rsid w:val="10A06571"/>
    <w:rsid w:val="10A87B1C"/>
    <w:rsid w:val="10B62239"/>
    <w:rsid w:val="10B77D5F"/>
    <w:rsid w:val="10B93AD7"/>
    <w:rsid w:val="10B95885"/>
    <w:rsid w:val="10BB001F"/>
    <w:rsid w:val="10BB784F"/>
    <w:rsid w:val="10C1473A"/>
    <w:rsid w:val="10C34956"/>
    <w:rsid w:val="10C5247C"/>
    <w:rsid w:val="10CF32FA"/>
    <w:rsid w:val="10D2457B"/>
    <w:rsid w:val="10D40911"/>
    <w:rsid w:val="10F014EF"/>
    <w:rsid w:val="10F26778"/>
    <w:rsid w:val="11063C09"/>
    <w:rsid w:val="11196324"/>
    <w:rsid w:val="11301FEB"/>
    <w:rsid w:val="11324A9E"/>
    <w:rsid w:val="1134315E"/>
    <w:rsid w:val="113849FC"/>
    <w:rsid w:val="113B0990"/>
    <w:rsid w:val="11405FA6"/>
    <w:rsid w:val="114333A1"/>
    <w:rsid w:val="114F61E9"/>
    <w:rsid w:val="11515ABE"/>
    <w:rsid w:val="11561326"/>
    <w:rsid w:val="116003F7"/>
    <w:rsid w:val="1178129C"/>
    <w:rsid w:val="11823EC9"/>
    <w:rsid w:val="11845E93"/>
    <w:rsid w:val="11851C0B"/>
    <w:rsid w:val="11875983"/>
    <w:rsid w:val="11934328"/>
    <w:rsid w:val="119D51A7"/>
    <w:rsid w:val="11A16A45"/>
    <w:rsid w:val="11A32D1F"/>
    <w:rsid w:val="11A678E4"/>
    <w:rsid w:val="11A958FA"/>
    <w:rsid w:val="11AB1672"/>
    <w:rsid w:val="11B12A00"/>
    <w:rsid w:val="11B36778"/>
    <w:rsid w:val="11B76007"/>
    <w:rsid w:val="11C444E1"/>
    <w:rsid w:val="11D648D0"/>
    <w:rsid w:val="11DD2997"/>
    <w:rsid w:val="11E15093"/>
    <w:rsid w:val="11EB462D"/>
    <w:rsid w:val="11F052D6"/>
    <w:rsid w:val="11FA6155"/>
    <w:rsid w:val="11FF19BD"/>
    <w:rsid w:val="120945EA"/>
    <w:rsid w:val="120B0362"/>
    <w:rsid w:val="120E7E53"/>
    <w:rsid w:val="12105979"/>
    <w:rsid w:val="121216F1"/>
    <w:rsid w:val="12174F59"/>
    <w:rsid w:val="121937FF"/>
    <w:rsid w:val="12217B86"/>
    <w:rsid w:val="12241BED"/>
    <w:rsid w:val="122C43D7"/>
    <w:rsid w:val="12437AFC"/>
    <w:rsid w:val="124405FB"/>
    <w:rsid w:val="124949E7"/>
    <w:rsid w:val="124C02A4"/>
    <w:rsid w:val="124C2311"/>
    <w:rsid w:val="12550A22"/>
    <w:rsid w:val="125910CE"/>
    <w:rsid w:val="125C25AB"/>
    <w:rsid w:val="12647080"/>
    <w:rsid w:val="12661A3D"/>
    <w:rsid w:val="12695089"/>
    <w:rsid w:val="12753A2E"/>
    <w:rsid w:val="127759F8"/>
    <w:rsid w:val="127C1894"/>
    <w:rsid w:val="12816876"/>
    <w:rsid w:val="1283614B"/>
    <w:rsid w:val="128D0D77"/>
    <w:rsid w:val="128D0E5D"/>
    <w:rsid w:val="12957C2C"/>
    <w:rsid w:val="12A165D1"/>
    <w:rsid w:val="12A6008B"/>
    <w:rsid w:val="12AF1625"/>
    <w:rsid w:val="12B75DF4"/>
    <w:rsid w:val="12BE3627"/>
    <w:rsid w:val="12C01B5F"/>
    <w:rsid w:val="12C50511"/>
    <w:rsid w:val="12C56763"/>
    <w:rsid w:val="12C80001"/>
    <w:rsid w:val="12C81DAF"/>
    <w:rsid w:val="12CC7AF2"/>
    <w:rsid w:val="12CF75E2"/>
    <w:rsid w:val="12D1552A"/>
    <w:rsid w:val="12DC3AAD"/>
    <w:rsid w:val="12DE15D3"/>
    <w:rsid w:val="12E017EF"/>
    <w:rsid w:val="12ED7A68"/>
    <w:rsid w:val="12F157AA"/>
    <w:rsid w:val="12F26E2C"/>
    <w:rsid w:val="12F62DC0"/>
    <w:rsid w:val="12F64B6E"/>
    <w:rsid w:val="12F77E1B"/>
    <w:rsid w:val="12FB3F33"/>
    <w:rsid w:val="130059ED"/>
    <w:rsid w:val="130B45A9"/>
    <w:rsid w:val="130B7EEE"/>
    <w:rsid w:val="1319085D"/>
    <w:rsid w:val="131E2317"/>
    <w:rsid w:val="131E40C5"/>
    <w:rsid w:val="13217712"/>
    <w:rsid w:val="13223BB5"/>
    <w:rsid w:val="13225964"/>
    <w:rsid w:val="13280AA0"/>
    <w:rsid w:val="13286CF2"/>
    <w:rsid w:val="132A4818"/>
    <w:rsid w:val="132C67E2"/>
    <w:rsid w:val="132F0080"/>
    <w:rsid w:val="13370CE3"/>
    <w:rsid w:val="13386F35"/>
    <w:rsid w:val="13394A5B"/>
    <w:rsid w:val="13427DB4"/>
    <w:rsid w:val="134A7420"/>
    <w:rsid w:val="13533D6F"/>
    <w:rsid w:val="13547AE7"/>
    <w:rsid w:val="1356385F"/>
    <w:rsid w:val="1356560D"/>
    <w:rsid w:val="135B2C24"/>
    <w:rsid w:val="13675A6C"/>
    <w:rsid w:val="136917E4"/>
    <w:rsid w:val="136A730B"/>
    <w:rsid w:val="137912FC"/>
    <w:rsid w:val="137B5074"/>
    <w:rsid w:val="138228A6"/>
    <w:rsid w:val="138C102F"/>
    <w:rsid w:val="138E4DA7"/>
    <w:rsid w:val="13925C08"/>
    <w:rsid w:val="13961EAE"/>
    <w:rsid w:val="139B3968"/>
    <w:rsid w:val="139F6FB4"/>
    <w:rsid w:val="13A9398F"/>
    <w:rsid w:val="13AA7707"/>
    <w:rsid w:val="13AF2F6F"/>
    <w:rsid w:val="13B011C1"/>
    <w:rsid w:val="13B30CB1"/>
    <w:rsid w:val="13B54A2A"/>
    <w:rsid w:val="13B62550"/>
    <w:rsid w:val="13BB36C2"/>
    <w:rsid w:val="13BD568C"/>
    <w:rsid w:val="13BF4367"/>
    <w:rsid w:val="13C922C6"/>
    <w:rsid w:val="13CB7DA9"/>
    <w:rsid w:val="13CE7899"/>
    <w:rsid w:val="13D11EDE"/>
    <w:rsid w:val="13D12EE6"/>
    <w:rsid w:val="13DA13A6"/>
    <w:rsid w:val="13E454B0"/>
    <w:rsid w:val="13F05A62"/>
    <w:rsid w:val="13FA068E"/>
    <w:rsid w:val="13FB7F63"/>
    <w:rsid w:val="13FC1602"/>
    <w:rsid w:val="14072DAB"/>
    <w:rsid w:val="140B464A"/>
    <w:rsid w:val="140B63F8"/>
    <w:rsid w:val="140E413A"/>
    <w:rsid w:val="14107EB2"/>
    <w:rsid w:val="141259D8"/>
    <w:rsid w:val="14221993"/>
    <w:rsid w:val="1424395D"/>
    <w:rsid w:val="14302302"/>
    <w:rsid w:val="14377928"/>
    <w:rsid w:val="143C623D"/>
    <w:rsid w:val="143F42F3"/>
    <w:rsid w:val="14447B5C"/>
    <w:rsid w:val="14485E80"/>
    <w:rsid w:val="1448764C"/>
    <w:rsid w:val="144B2C98"/>
    <w:rsid w:val="144F7362"/>
    <w:rsid w:val="146401FE"/>
    <w:rsid w:val="146D70B2"/>
    <w:rsid w:val="147541B9"/>
    <w:rsid w:val="147C605C"/>
    <w:rsid w:val="14830684"/>
    <w:rsid w:val="148F334C"/>
    <w:rsid w:val="148F7029"/>
    <w:rsid w:val="14925DDD"/>
    <w:rsid w:val="1497412F"/>
    <w:rsid w:val="149A59CD"/>
    <w:rsid w:val="149D101A"/>
    <w:rsid w:val="14A66120"/>
    <w:rsid w:val="14A95C11"/>
    <w:rsid w:val="14AB1989"/>
    <w:rsid w:val="14AB7BDB"/>
    <w:rsid w:val="14AF61C2"/>
    <w:rsid w:val="14B33590"/>
    <w:rsid w:val="14B4083D"/>
    <w:rsid w:val="14B44CE1"/>
    <w:rsid w:val="14B73420"/>
    <w:rsid w:val="14C03686"/>
    <w:rsid w:val="14C30A80"/>
    <w:rsid w:val="14C60571"/>
    <w:rsid w:val="14CD5DA3"/>
    <w:rsid w:val="14D07641"/>
    <w:rsid w:val="14D507B4"/>
    <w:rsid w:val="14DA401C"/>
    <w:rsid w:val="14DF181A"/>
    <w:rsid w:val="14EC447B"/>
    <w:rsid w:val="14F21366"/>
    <w:rsid w:val="14F96B98"/>
    <w:rsid w:val="1505553D"/>
    <w:rsid w:val="1514752E"/>
    <w:rsid w:val="15194B44"/>
    <w:rsid w:val="15241825"/>
    <w:rsid w:val="1525798D"/>
    <w:rsid w:val="15267261"/>
    <w:rsid w:val="15273705"/>
    <w:rsid w:val="152A0AFF"/>
    <w:rsid w:val="152D239E"/>
    <w:rsid w:val="152D6842"/>
    <w:rsid w:val="1534372C"/>
    <w:rsid w:val="153B27A7"/>
    <w:rsid w:val="153E45AB"/>
    <w:rsid w:val="15400323"/>
    <w:rsid w:val="154F3C02"/>
    <w:rsid w:val="154F428B"/>
    <w:rsid w:val="155618F4"/>
    <w:rsid w:val="1557566D"/>
    <w:rsid w:val="155C3F9B"/>
    <w:rsid w:val="1562686E"/>
    <w:rsid w:val="15712BD2"/>
    <w:rsid w:val="157224A6"/>
    <w:rsid w:val="15783F61"/>
    <w:rsid w:val="157955E3"/>
    <w:rsid w:val="157D4BDF"/>
    <w:rsid w:val="157F52EF"/>
    <w:rsid w:val="15806971"/>
    <w:rsid w:val="1582093B"/>
    <w:rsid w:val="158226E9"/>
    <w:rsid w:val="158C165B"/>
    <w:rsid w:val="158C3568"/>
    <w:rsid w:val="1598015F"/>
    <w:rsid w:val="159D39C7"/>
    <w:rsid w:val="159E20DC"/>
    <w:rsid w:val="159F14ED"/>
    <w:rsid w:val="15A00DC2"/>
    <w:rsid w:val="15A5287C"/>
    <w:rsid w:val="15A959CF"/>
    <w:rsid w:val="15B4486D"/>
    <w:rsid w:val="15B64A89"/>
    <w:rsid w:val="15BB6A99"/>
    <w:rsid w:val="15BE749A"/>
    <w:rsid w:val="15C076B6"/>
    <w:rsid w:val="15C251DC"/>
    <w:rsid w:val="15C426B0"/>
    <w:rsid w:val="15C9656A"/>
    <w:rsid w:val="15CC7E09"/>
    <w:rsid w:val="15CE1DD3"/>
    <w:rsid w:val="15D13671"/>
    <w:rsid w:val="15D53161"/>
    <w:rsid w:val="15E45152"/>
    <w:rsid w:val="15E72E94"/>
    <w:rsid w:val="15EE4223"/>
    <w:rsid w:val="15F1161D"/>
    <w:rsid w:val="15F5735F"/>
    <w:rsid w:val="15F80BFE"/>
    <w:rsid w:val="15F86E50"/>
    <w:rsid w:val="16016036"/>
    <w:rsid w:val="1609105D"/>
    <w:rsid w:val="160A26DF"/>
    <w:rsid w:val="16105F47"/>
    <w:rsid w:val="16133C89"/>
    <w:rsid w:val="161A5018"/>
    <w:rsid w:val="161C0D90"/>
    <w:rsid w:val="161F262E"/>
    <w:rsid w:val="16223ECC"/>
    <w:rsid w:val="162639BD"/>
    <w:rsid w:val="162B2D81"/>
    <w:rsid w:val="162E461F"/>
    <w:rsid w:val="16322361"/>
    <w:rsid w:val="163360DA"/>
    <w:rsid w:val="163559AE"/>
    <w:rsid w:val="1635775C"/>
    <w:rsid w:val="163634D4"/>
    <w:rsid w:val="16377978"/>
    <w:rsid w:val="1638724C"/>
    <w:rsid w:val="163A1216"/>
    <w:rsid w:val="164B51D1"/>
    <w:rsid w:val="164D719B"/>
    <w:rsid w:val="164E4CC1"/>
    <w:rsid w:val="1651561D"/>
    <w:rsid w:val="165A18B8"/>
    <w:rsid w:val="166149F5"/>
    <w:rsid w:val="166B5873"/>
    <w:rsid w:val="166B7621"/>
    <w:rsid w:val="167504A0"/>
    <w:rsid w:val="16783AEC"/>
    <w:rsid w:val="167C538B"/>
    <w:rsid w:val="1686445B"/>
    <w:rsid w:val="168E3310"/>
    <w:rsid w:val="16924BAE"/>
    <w:rsid w:val="16946B78"/>
    <w:rsid w:val="169A3A63"/>
    <w:rsid w:val="16A42B33"/>
    <w:rsid w:val="16A86180"/>
    <w:rsid w:val="16AB2114"/>
    <w:rsid w:val="16AD7C3A"/>
    <w:rsid w:val="16B20DAC"/>
    <w:rsid w:val="16B234A2"/>
    <w:rsid w:val="16B26FFE"/>
    <w:rsid w:val="16B9038D"/>
    <w:rsid w:val="16B94831"/>
    <w:rsid w:val="16BF171B"/>
    <w:rsid w:val="16C255BE"/>
    <w:rsid w:val="16C60011"/>
    <w:rsid w:val="16CF7BB0"/>
    <w:rsid w:val="16D47159"/>
    <w:rsid w:val="16DE4297"/>
    <w:rsid w:val="16E3365C"/>
    <w:rsid w:val="16E86EC4"/>
    <w:rsid w:val="16ED0036"/>
    <w:rsid w:val="16EF5221"/>
    <w:rsid w:val="16F13FCB"/>
    <w:rsid w:val="16FA41E7"/>
    <w:rsid w:val="16FD1353"/>
    <w:rsid w:val="170610F8"/>
    <w:rsid w:val="171406F0"/>
    <w:rsid w:val="171E4694"/>
    <w:rsid w:val="171F0B4E"/>
    <w:rsid w:val="172779EC"/>
    <w:rsid w:val="172D48D7"/>
    <w:rsid w:val="172E30D6"/>
    <w:rsid w:val="17343EB7"/>
    <w:rsid w:val="17377504"/>
    <w:rsid w:val="173B3498"/>
    <w:rsid w:val="173B5AC0"/>
    <w:rsid w:val="17451C21"/>
    <w:rsid w:val="17487963"/>
    <w:rsid w:val="174904FE"/>
    <w:rsid w:val="174A5489"/>
    <w:rsid w:val="174D6D27"/>
    <w:rsid w:val="1752433D"/>
    <w:rsid w:val="17577BA6"/>
    <w:rsid w:val="17614581"/>
    <w:rsid w:val="17654071"/>
    <w:rsid w:val="176C18A3"/>
    <w:rsid w:val="176C53FF"/>
    <w:rsid w:val="177249E0"/>
    <w:rsid w:val="17732C32"/>
    <w:rsid w:val="1776002C"/>
    <w:rsid w:val="177E3384"/>
    <w:rsid w:val="177E5132"/>
    <w:rsid w:val="178564C1"/>
    <w:rsid w:val="17885FB1"/>
    <w:rsid w:val="178C784F"/>
    <w:rsid w:val="178D1A71"/>
    <w:rsid w:val="178D5376"/>
    <w:rsid w:val="17914727"/>
    <w:rsid w:val="17966920"/>
    <w:rsid w:val="179901BE"/>
    <w:rsid w:val="17991F6C"/>
    <w:rsid w:val="179D1A5D"/>
    <w:rsid w:val="17AA4179"/>
    <w:rsid w:val="17AD77C6"/>
    <w:rsid w:val="17B172B6"/>
    <w:rsid w:val="17B2302E"/>
    <w:rsid w:val="17B40322"/>
    <w:rsid w:val="17B84AE8"/>
    <w:rsid w:val="17BD3EAD"/>
    <w:rsid w:val="17C23271"/>
    <w:rsid w:val="17C70888"/>
    <w:rsid w:val="17D33B57"/>
    <w:rsid w:val="17D64F6F"/>
    <w:rsid w:val="17DD454F"/>
    <w:rsid w:val="17E31439"/>
    <w:rsid w:val="17E551B2"/>
    <w:rsid w:val="17EB6C6C"/>
    <w:rsid w:val="17EC4792"/>
    <w:rsid w:val="17F35B20"/>
    <w:rsid w:val="18117D55"/>
    <w:rsid w:val="181738DF"/>
    <w:rsid w:val="181772BB"/>
    <w:rsid w:val="183103F7"/>
    <w:rsid w:val="183A374F"/>
    <w:rsid w:val="183A7604"/>
    <w:rsid w:val="183D3240"/>
    <w:rsid w:val="183F2B14"/>
    <w:rsid w:val="18432228"/>
    <w:rsid w:val="1844637C"/>
    <w:rsid w:val="184B2F20"/>
    <w:rsid w:val="18501FF1"/>
    <w:rsid w:val="1853036D"/>
    <w:rsid w:val="18552337"/>
    <w:rsid w:val="186407CC"/>
    <w:rsid w:val="18695DE3"/>
    <w:rsid w:val="186B1B5B"/>
    <w:rsid w:val="186C7681"/>
    <w:rsid w:val="18700F1F"/>
    <w:rsid w:val="187C3D68"/>
    <w:rsid w:val="18814EDA"/>
    <w:rsid w:val="18820C52"/>
    <w:rsid w:val="18822A00"/>
    <w:rsid w:val="18860743"/>
    <w:rsid w:val="1888270D"/>
    <w:rsid w:val="188E09BD"/>
    <w:rsid w:val="1893346E"/>
    <w:rsid w:val="18952734"/>
    <w:rsid w:val="189C54A0"/>
    <w:rsid w:val="189F33C8"/>
    <w:rsid w:val="18B2778A"/>
    <w:rsid w:val="18B3705E"/>
    <w:rsid w:val="18B51028"/>
    <w:rsid w:val="18B74DA0"/>
    <w:rsid w:val="18B766A4"/>
    <w:rsid w:val="18BC23B6"/>
    <w:rsid w:val="18C272A1"/>
    <w:rsid w:val="18C72F35"/>
    <w:rsid w:val="18D21BDA"/>
    <w:rsid w:val="18E45469"/>
    <w:rsid w:val="18E611E1"/>
    <w:rsid w:val="18EA4E04"/>
    <w:rsid w:val="18ED4079"/>
    <w:rsid w:val="18FA5400"/>
    <w:rsid w:val="18FC0A05"/>
    <w:rsid w:val="190653E0"/>
    <w:rsid w:val="190D42EB"/>
    <w:rsid w:val="1923315B"/>
    <w:rsid w:val="19306900"/>
    <w:rsid w:val="1934019F"/>
    <w:rsid w:val="19377C8F"/>
    <w:rsid w:val="19483C4A"/>
    <w:rsid w:val="194859F8"/>
    <w:rsid w:val="194A79C2"/>
    <w:rsid w:val="19502AFF"/>
    <w:rsid w:val="195B397D"/>
    <w:rsid w:val="195E16BF"/>
    <w:rsid w:val="195F1073"/>
    <w:rsid w:val="195F2D42"/>
    <w:rsid w:val="19690607"/>
    <w:rsid w:val="196977CD"/>
    <w:rsid w:val="196A3BC0"/>
    <w:rsid w:val="19706CFD"/>
    <w:rsid w:val="19710E4C"/>
    <w:rsid w:val="197133EF"/>
    <w:rsid w:val="197762DD"/>
    <w:rsid w:val="198253AE"/>
    <w:rsid w:val="198C1D89"/>
    <w:rsid w:val="19962C07"/>
    <w:rsid w:val="199B1FCC"/>
    <w:rsid w:val="199D21E8"/>
    <w:rsid w:val="19A03A86"/>
    <w:rsid w:val="19AD7F51"/>
    <w:rsid w:val="19B65058"/>
    <w:rsid w:val="19BB08C0"/>
    <w:rsid w:val="19CC03D7"/>
    <w:rsid w:val="19CF6119"/>
    <w:rsid w:val="19D0740C"/>
    <w:rsid w:val="19D83220"/>
    <w:rsid w:val="19E576EB"/>
    <w:rsid w:val="19E716B5"/>
    <w:rsid w:val="19EC1885"/>
    <w:rsid w:val="19F17E3E"/>
    <w:rsid w:val="19FB0CBC"/>
    <w:rsid w:val="1A004525"/>
    <w:rsid w:val="1A0062D3"/>
    <w:rsid w:val="1A0169D6"/>
    <w:rsid w:val="1A044015"/>
    <w:rsid w:val="1A057D8D"/>
    <w:rsid w:val="1A07140F"/>
    <w:rsid w:val="1A0A7B07"/>
    <w:rsid w:val="1A0E6C42"/>
    <w:rsid w:val="1A1678A4"/>
    <w:rsid w:val="1A18186E"/>
    <w:rsid w:val="1A197394"/>
    <w:rsid w:val="1A1B4EBB"/>
    <w:rsid w:val="1A1F2BFD"/>
    <w:rsid w:val="1A27385F"/>
    <w:rsid w:val="1A2B77F4"/>
    <w:rsid w:val="1A2E2E40"/>
    <w:rsid w:val="1A3F6DFB"/>
    <w:rsid w:val="1A44276A"/>
    <w:rsid w:val="1A450189"/>
    <w:rsid w:val="1A4729C7"/>
    <w:rsid w:val="1A4A39F2"/>
    <w:rsid w:val="1A4E703E"/>
    <w:rsid w:val="1A5B175B"/>
    <w:rsid w:val="1A5D3725"/>
    <w:rsid w:val="1A6C3968"/>
    <w:rsid w:val="1A725422"/>
    <w:rsid w:val="1A736AA5"/>
    <w:rsid w:val="1A7B1DFD"/>
    <w:rsid w:val="1A7B2BBA"/>
    <w:rsid w:val="1A7D3DC7"/>
    <w:rsid w:val="1A807414"/>
    <w:rsid w:val="1A8567D8"/>
    <w:rsid w:val="1A8B2040"/>
    <w:rsid w:val="1A8C5A32"/>
    <w:rsid w:val="1A8E1B30"/>
    <w:rsid w:val="1A9865E9"/>
    <w:rsid w:val="1AA36A47"/>
    <w:rsid w:val="1AA9696A"/>
    <w:rsid w:val="1AAE21D3"/>
    <w:rsid w:val="1AB1470F"/>
    <w:rsid w:val="1AB570BD"/>
    <w:rsid w:val="1AB64BE3"/>
    <w:rsid w:val="1AB71087"/>
    <w:rsid w:val="1AB8095B"/>
    <w:rsid w:val="1AB86BAD"/>
    <w:rsid w:val="1AC35C7E"/>
    <w:rsid w:val="1ACA59D4"/>
    <w:rsid w:val="1AD67034"/>
    <w:rsid w:val="1ADD6614"/>
    <w:rsid w:val="1AE254F2"/>
    <w:rsid w:val="1AE71241"/>
    <w:rsid w:val="1AE856E5"/>
    <w:rsid w:val="1AE94FB9"/>
    <w:rsid w:val="1AEB2ADF"/>
    <w:rsid w:val="1AED4AA9"/>
    <w:rsid w:val="1AEE25CF"/>
    <w:rsid w:val="1AF20311"/>
    <w:rsid w:val="1AF20D68"/>
    <w:rsid w:val="1AFA5418"/>
    <w:rsid w:val="1B1262BE"/>
    <w:rsid w:val="1B1E1106"/>
    <w:rsid w:val="1B2174C9"/>
    <w:rsid w:val="1B283D33"/>
    <w:rsid w:val="1B2E6458"/>
    <w:rsid w:val="1B2E6E70"/>
    <w:rsid w:val="1B3426D8"/>
    <w:rsid w:val="1B3A75C2"/>
    <w:rsid w:val="1B3B1CB8"/>
    <w:rsid w:val="1B420427"/>
    <w:rsid w:val="1B527002"/>
    <w:rsid w:val="1B544879"/>
    <w:rsid w:val="1B612DA1"/>
    <w:rsid w:val="1B632FBD"/>
    <w:rsid w:val="1B656D35"/>
    <w:rsid w:val="1B66485B"/>
    <w:rsid w:val="1B682381"/>
    <w:rsid w:val="1B697EA8"/>
    <w:rsid w:val="1B6D1746"/>
    <w:rsid w:val="1B6F54BE"/>
    <w:rsid w:val="1B761C0E"/>
    <w:rsid w:val="1B7725C5"/>
    <w:rsid w:val="1B7C41D0"/>
    <w:rsid w:val="1B7E1BA5"/>
    <w:rsid w:val="1B860A5A"/>
    <w:rsid w:val="1B8D49C2"/>
    <w:rsid w:val="1B9B4505"/>
    <w:rsid w:val="1B9E5DA3"/>
    <w:rsid w:val="1BA17641"/>
    <w:rsid w:val="1BA72188"/>
    <w:rsid w:val="1BAB226E"/>
    <w:rsid w:val="1BB05AD7"/>
    <w:rsid w:val="1BBF6495"/>
    <w:rsid w:val="1BC31CAE"/>
    <w:rsid w:val="1BCA303C"/>
    <w:rsid w:val="1BCA6B98"/>
    <w:rsid w:val="1BCC2910"/>
    <w:rsid w:val="1BCF0653"/>
    <w:rsid w:val="1BD77990"/>
    <w:rsid w:val="1BE85270"/>
    <w:rsid w:val="1BEF2AA3"/>
    <w:rsid w:val="1BF12377"/>
    <w:rsid w:val="1BF400B9"/>
    <w:rsid w:val="1C024584"/>
    <w:rsid w:val="1C033E58"/>
    <w:rsid w:val="1C185B56"/>
    <w:rsid w:val="1C197B20"/>
    <w:rsid w:val="1C1B3898"/>
    <w:rsid w:val="1C2E35CB"/>
    <w:rsid w:val="1C4032FE"/>
    <w:rsid w:val="1C4E1577"/>
    <w:rsid w:val="1C4F3541"/>
    <w:rsid w:val="1C533032"/>
    <w:rsid w:val="1C5E1EBF"/>
    <w:rsid w:val="1C5F19D6"/>
    <w:rsid w:val="1C67088B"/>
    <w:rsid w:val="1C6C40F3"/>
    <w:rsid w:val="1C6F14EE"/>
    <w:rsid w:val="1C7E0123"/>
    <w:rsid w:val="1C7E3F42"/>
    <w:rsid w:val="1C7F5BD5"/>
    <w:rsid w:val="1C8431EB"/>
    <w:rsid w:val="1C8631CB"/>
    <w:rsid w:val="1C890801"/>
    <w:rsid w:val="1C8A70EC"/>
    <w:rsid w:val="1C8E5E18"/>
    <w:rsid w:val="1C9635A4"/>
    <w:rsid w:val="1C986C96"/>
    <w:rsid w:val="1CA05790"/>
    <w:rsid w:val="1CA13D9D"/>
    <w:rsid w:val="1CAC44F0"/>
    <w:rsid w:val="1CAE2016"/>
    <w:rsid w:val="1CB02232"/>
    <w:rsid w:val="1CB3587E"/>
    <w:rsid w:val="1CBA09BB"/>
    <w:rsid w:val="1CC61A56"/>
    <w:rsid w:val="1CC63804"/>
    <w:rsid w:val="1CC950A2"/>
    <w:rsid w:val="1CD22153"/>
    <w:rsid w:val="1CDC4DD5"/>
    <w:rsid w:val="1CDF0421"/>
    <w:rsid w:val="1CE43C8A"/>
    <w:rsid w:val="1CE65C54"/>
    <w:rsid w:val="1CEB326A"/>
    <w:rsid w:val="1CEB6DC6"/>
    <w:rsid w:val="1CF44347"/>
    <w:rsid w:val="1CF87735"/>
    <w:rsid w:val="1CFF2872"/>
    <w:rsid w:val="1D046AC1"/>
    <w:rsid w:val="1D175E0D"/>
    <w:rsid w:val="1D291B41"/>
    <w:rsid w:val="1D3C79E6"/>
    <w:rsid w:val="1D4330A6"/>
    <w:rsid w:val="1D46666D"/>
    <w:rsid w:val="1D497F91"/>
    <w:rsid w:val="1D4A4435"/>
    <w:rsid w:val="1D4E37F9"/>
    <w:rsid w:val="1D507571"/>
    <w:rsid w:val="1D5D255A"/>
    <w:rsid w:val="1D5F7248"/>
    <w:rsid w:val="1D6152DA"/>
    <w:rsid w:val="1D621F0C"/>
    <w:rsid w:val="1D666D95"/>
    <w:rsid w:val="1D70376F"/>
    <w:rsid w:val="1D750D86"/>
    <w:rsid w:val="1D752B34"/>
    <w:rsid w:val="1D84721B"/>
    <w:rsid w:val="1D8D2573"/>
    <w:rsid w:val="1D90796E"/>
    <w:rsid w:val="1D9B4C90"/>
    <w:rsid w:val="1D9C4564"/>
    <w:rsid w:val="1DA04055"/>
    <w:rsid w:val="1DAD6772"/>
    <w:rsid w:val="1DB25A8D"/>
    <w:rsid w:val="1DB45D52"/>
    <w:rsid w:val="1DB96EC4"/>
    <w:rsid w:val="1DBE455F"/>
    <w:rsid w:val="1DD0420E"/>
    <w:rsid w:val="1DD520AF"/>
    <w:rsid w:val="1DD97567"/>
    <w:rsid w:val="1DED1C8D"/>
    <w:rsid w:val="1DF12335"/>
    <w:rsid w:val="1DF44011"/>
    <w:rsid w:val="1DF816BC"/>
    <w:rsid w:val="1DFB572F"/>
    <w:rsid w:val="1E036392"/>
    <w:rsid w:val="1E087E4C"/>
    <w:rsid w:val="1E0A05D9"/>
    <w:rsid w:val="1E0A5972"/>
    <w:rsid w:val="1E114F52"/>
    <w:rsid w:val="1E122A78"/>
    <w:rsid w:val="1E171E3D"/>
    <w:rsid w:val="1E1B59EF"/>
    <w:rsid w:val="1E206F43"/>
    <w:rsid w:val="1E220F0E"/>
    <w:rsid w:val="1E24539C"/>
    <w:rsid w:val="1E28323D"/>
    <w:rsid w:val="1E3C00E2"/>
    <w:rsid w:val="1E3D5D47"/>
    <w:rsid w:val="1E42335E"/>
    <w:rsid w:val="1E4569AA"/>
    <w:rsid w:val="1E474734"/>
    <w:rsid w:val="1E4946EC"/>
    <w:rsid w:val="1E4A3FCD"/>
    <w:rsid w:val="1E4C7AFD"/>
    <w:rsid w:val="1E5135A1"/>
    <w:rsid w:val="1E592455"/>
    <w:rsid w:val="1E6C3F37"/>
    <w:rsid w:val="1E6E4153"/>
    <w:rsid w:val="1E6F1C79"/>
    <w:rsid w:val="1E71154D"/>
    <w:rsid w:val="1E7352C5"/>
    <w:rsid w:val="1E7554E1"/>
    <w:rsid w:val="1E803E86"/>
    <w:rsid w:val="1E80533B"/>
    <w:rsid w:val="1E937715"/>
    <w:rsid w:val="1E9D0594"/>
    <w:rsid w:val="1E9E0462"/>
    <w:rsid w:val="1E9F430C"/>
    <w:rsid w:val="1EA00084"/>
    <w:rsid w:val="1EA15953"/>
    <w:rsid w:val="1EA23DFC"/>
    <w:rsid w:val="1EA336D1"/>
    <w:rsid w:val="1EA41923"/>
    <w:rsid w:val="1EB31B66"/>
    <w:rsid w:val="1EBA2B40"/>
    <w:rsid w:val="1EBB6C6C"/>
    <w:rsid w:val="1EBD4792"/>
    <w:rsid w:val="1EC975DB"/>
    <w:rsid w:val="1ECA6EAF"/>
    <w:rsid w:val="1ECC0E79"/>
    <w:rsid w:val="1ECC2C27"/>
    <w:rsid w:val="1ED95871"/>
    <w:rsid w:val="1EDD4E34"/>
    <w:rsid w:val="1EE2069D"/>
    <w:rsid w:val="1EEB7551"/>
    <w:rsid w:val="1EEC5078"/>
    <w:rsid w:val="1EF26B32"/>
    <w:rsid w:val="1EFA3C38"/>
    <w:rsid w:val="1EFA59D6"/>
    <w:rsid w:val="1EFD1033"/>
    <w:rsid w:val="1F026649"/>
    <w:rsid w:val="1F06438B"/>
    <w:rsid w:val="1F106A37"/>
    <w:rsid w:val="1F1D6C89"/>
    <w:rsid w:val="1F1F1647"/>
    <w:rsid w:val="1F220A99"/>
    <w:rsid w:val="1F274302"/>
    <w:rsid w:val="1F2760B0"/>
    <w:rsid w:val="1F291E28"/>
    <w:rsid w:val="1F2A2C2F"/>
    <w:rsid w:val="1F3051E0"/>
    <w:rsid w:val="1F394761"/>
    <w:rsid w:val="1F3D3B25"/>
    <w:rsid w:val="1F3D58D3"/>
    <w:rsid w:val="1F3E1D77"/>
    <w:rsid w:val="1F4659CB"/>
    <w:rsid w:val="1F530060"/>
    <w:rsid w:val="1F550C09"/>
    <w:rsid w:val="1F5C2D2A"/>
    <w:rsid w:val="1F6115C2"/>
    <w:rsid w:val="1F6B68E4"/>
    <w:rsid w:val="1F6D7F66"/>
    <w:rsid w:val="1F771C97"/>
    <w:rsid w:val="1F7A2683"/>
    <w:rsid w:val="1F7C4A3C"/>
    <w:rsid w:val="1F8654CC"/>
    <w:rsid w:val="1F884DA0"/>
    <w:rsid w:val="1F8A5DA8"/>
    <w:rsid w:val="1F8B4890"/>
    <w:rsid w:val="1F8D0609"/>
    <w:rsid w:val="1F953961"/>
    <w:rsid w:val="1F980D5B"/>
    <w:rsid w:val="1FA140B4"/>
    <w:rsid w:val="1FA45952"/>
    <w:rsid w:val="1FA80734"/>
    <w:rsid w:val="1FA94D17"/>
    <w:rsid w:val="1FAB4F33"/>
    <w:rsid w:val="1FAE057F"/>
    <w:rsid w:val="1FB301B8"/>
    <w:rsid w:val="1FB57B5F"/>
    <w:rsid w:val="1FCA58FF"/>
    <w:rsid w:val="1FCB7383"/>
    <w:rsid w:val="1FCF29CF"/>
    <w:rsid w:val="1FD53D5E"/>
    <w:rsid w:val="1FD77AD6"/>
    <w:rsid w:val="1FD829F5"/>
    <w:rsid w:val="1FD91AA0"/>
    <w:rsid w:val="1FE43FA1"/>
    <w:rsid w:val="1FE67D19"/>
    <w:rsid w:val="1FE83A9E"/>
    <w:rsid w:val="1FE8583F"/>
    <w:rsid w:val="1FE87F35"/>
    <w:rsid w:val="1FED10A7"/>
    <w:rsid w:val="1FED72F9"/>
    <w:rsid w:val="1FF24910"/>
    <w:rsid w:val="1FF71F26"/>
    <w:rsid w:val="1FFB7C68"/>
    <w:rsid w:val="20016901"/>
    <w:rsid w:val="20054643"/>
    <w:rsid w:val="200D1749"/>
    <w:rsid w:val="200F54C2"/>
    <w:rsid w:val="20174376"/>
    <w:rsid w:val="20191E9C"/>
    <w:rsid w:val="201B5C14"/>
    <w:rsid w:val="201C5886"/>
    <w:rsid w:val="201E17C3"/>
    <w:rsid w:val="20210D51"/>
    <w:rsid w:val="202C6073"/>
    <w:rsid w:val="2031368A"/>
    <w:rsid w:val="20315438"/>
    <w:rsid w:val="203B0065"/>
    <w:rsid w:val="2043516B"/>
    <w:rsid w:val="204F3B10"/>
    <w:rsid w:val="20511636"/>
    <w:rsid w:val="20517888"/>
    <w:rsid w:val="20531852"/>
    <w:rsid w:val="20541126"/>
    <w:rsid w:val="20600291"/>
    <w:rsid w:val="20624A94"/>
    <w:rsid w:val="20631BE8"/>
    <w:rsid w:val="206F41B2"/>
    <w:rsid w:val="207213F4"/>
    <w:rsid w:val="207277FE"/>
    <w:rsid w:val="20743577"/>
    <w:rsid w:val="207B2B57"/>
    <w:rsid w:val="20914128"/>
    <w:rsid w:val="209440AA"/>
    <w:rsid w:val="209D2ACD"/>
    <w:rsid w:val="20A239EE"/>
    <w:rsid w:val="20A3117D"/>
    <w:rsid w:val="20A7394C"/>
    <w:rsid w:val="20AF45AF"/>
    <w:rsid w:val="20B3409F"/>
    <w:rsid w:val="20BD66E9"/>
    <w:rsid w:val="20C778F8"/>
    <w:rsid w:val="20C95670"/>
    <w:rsid w:val="20CF69FF"/>
    <w:rsid w:val="20D12777"/>
    <w:rsid w:val="20D504B9"/>
    <w:rsid w:val="20D61B3B"/>
    <w:rsid w:val="20DA482A"/>
    <w:rsid w:val="20DD111C"/>
    <w:rsid w:val="20DD55C0"/>
    <w:rsid w:val="20DF4E94"/>
    <w:rsid w:val="20E029BA"/>
    <w:rsid w:val="20E22BD6"/>
    <w:rsid w:val="20E406FC"/>
    <w:rsid w:val="20E56222"/>
    <w:rsid w:val="20E93F65"/>
    <w:rsid w:val="20EE157B"/>
    <w:rsid w:val="20EF2BFD"/>
    <w:rsid w:val="20F6126E"/>
    <w:rsid w:val="20FC3C98"/>
    <w:rsid w:val="20FD356C"/>
    <w:rsid w:val="21134B3E"/>
    <w:rsid w:val="211508B6"/>
    <w:rsid w:val="2116462E"/>
    <w:rsid w:val="211663DC"/>
    <w:rsid w:val="21205110"/>
    <w:rsid w:val="2120725A"/>
    <w:rsid w:val="21222FD3"/>
    <w:rsid w:val="212C5BFF"/>
    <w:rsid w:val="21315EF3"/>
    <w:rsid w:val="21423675"/>
    <w:rsid w:val="2149055F"/>
    <w:rsid w:val="214E3DC8"/>
    <w:rsid w:val="214E5B76"/>
    <w:rsid w:val="21507B40"/>
    <w:rsid w:val="215313DE"/>
    <w:rsid w:val="21647B90"/>
    <w:rsid w:val="21677A7E"/>
    <w:rsid w:val="21696E53"/>
    <w:rsid w:val="217306ED"/>
    <w:rsid w:val="217C26E3"/>
    <w:rsid w:val="217E28FF"/>
    <w:rsid w:val="217F5246"/>
    <w:rsid w:val="21821CC3"/>
    <w:rsid w:val="21845A3B"/>
    <w:rsid w:val="21862D46"/>
    <w:rsid w:val="21867A05"/>
    <w:rsid w:val="219519F6"/>
    <w:rsid w:val="21985F5E"/>
    <w:rsid w:val="219A525F"/>
    <w:rsid w:val="219A700D"/>
    <w:rsid w:val="219E6AFD"/>
    <w:rsid w:val="21A91EDE"/>
    <w:rsid w:val="21AE4866"/>
    <w:rsid w:val="21B46321"/>
    <w:rsid w:val="21B52099"/>
    <w:rsid w:val="21B55BF5"/>
    <w:rsid w:val="21B75E11"/>
    <w:rsid w:val="21B93937"/>
    <w:rsid w:val="21BA76AF"/>
    <w:rsid w:val="21BD09EA"/>
    <w:rsid w:val="21BF6A73"/>
    <w:rsid w:val="21D40771"/>
    <w:rsid w:val="21D70261"/>
    <w:rsid w:val="21DA38AD"/>
    <w:rsid w:val="21DC13D3"/>
    <w:rsid w:val="21DE15EF"/>
    <w:rsid w:val="21E8421C"/>
    <w:rsid w:val="21EB1616"/>
    <w:rsid w:val="21ED1832"/>
    <w:rsid w:val="21F05761"/>
    <w:rsid w:val="220D5A31"/>
    <w:rsid w:val="22196184"/>
    <w:rsid w:val="221C2118"/>
    <w:rsid w:val="221E1670"/>
    <w:rsid w:val="22235254"/>
    <w:rsid w:val="222608A0"/>
    <w:rsid w:val="22335E95"/>
    <w:rsid w:val="2234120F"/>
    <w:rsid w:val="22342FBD"/>
    <w:rsid w:val="22350AE4"/>
    <w:rsid w:val="223876B6"/>
    <w:rsid w:val="223A4C8D"/>
    <w:rsid w:val="223C1E72"/>
    <w:rsid w:val="22456F79"/>
    <w:rsid w:val="22484CBB"/>
    <w:rsid w:val="2248703F"/>
    <w:rsid w:val="224C5989"/>
    <w:rsid w:val="224D0523"/>
    <w:rsid w:val="224D407F"/>
    <w:rsid w:val="2250591D"/>
    <w:rsid w:val="22573150"/>
    <w:rsid w:val="225E003A"/>
    <w:rsid w:val="22602004"/>
    <w:rsid w:val="22617B2B"/>
    <w:rsid w:val="22682C67"/>
    <w:rsid w:val="226C09A9"/>
    <w:rsid w:val="226D4721"/>
    <w:rsid w:val="22865EB4"/>
    <w:rsid w:val="228A1178"/>
    <w:rsid w:val="228C4BA7"/>
    <w:rsid w:val="229677D4"/>
    <w:rsid w:val="22A064CD"/>
    <w:rsid w:val="22A719E1"/>
    <w:rsid w:val="22AC524A"/>
    <w:rsid w:val="22C24A6D"/>
    <w:rsid w:val="22C81958"/>
    <w:rsid w:val="22C97BAA"/>
    <w:rsid w:val="22CC769A"/>
    <w:rsid w:val="22EB66BE"/>
    <w:rsid w:val="22EF1CE1"/>
    <w:rsid w:val="22F37615"/>
    <w:rsid w:val="230010F2"/>
    <w:rsid w:val="230230BC"/>
    <w:rsid w:val="23024E6A"/>
    <w:rsid w:val="23052BAC"/>
    <w:rsid w:val="23130E25"/>
    <w:rsid w:val="232446D8"/>
    <w:rsid w:val="23244DE0"/>
    <w:rsid w:val="2325774C"/>
    <w:rsid w:val="2329689A"/>
    <w:rsid w:val="232E7BA6"/>
    <w:rsid w:val="23307C29"/>
    <w:rsid w:val="23344B38"/>
    <w:rsid w:val="233A2855"/>
    <w:rsid w:val="2342170A"/>
    <w:rsid w:val="2347068F"/>
    <w:rsid w:val="23490CEA"/>
    <w:rsid w:val="235002CB"/>
    <w:rsid w:val="23502079"/>
    <w:rsid w:val="23571659"/>
    <w:rsid w:val="235A2EF8"/>
    <w:rsid w:val="235D02F2"/>
    <w:rsid w:val="235D6FD9"/>
    <w:rsid w:val="23671171"/>
    <w:rsid w:val="2375388E"/>
    <w:rsid w:val="237C10C0"/>
    <w:rsid w:val="23825FAA"/>
    <w:rsid w:val="23887A65"/>
    <w:rsid w:val="23952876"/>
    <w:rsid w:val="23983A20"/>
    <w:rsid w:val="239D4B92"/>
    <w:rsid w:val="23A841AA"/>
    <w:rsid w:val="23B75C54"/>
    <w:rsid w:val="23B819CC"/>
    <w:rsid w:val="23BD5235"/>
    <w:rsid w:val="23BF71FF"/>
    <w:rsid w:val="23C860B3"/>
    <w:rsid w:val="23CC59A4"/>
    <w:rsid w:val="23CE1F9C"/>
    <w:rsid w:val="23D05562"/>
    <w:rsid w:val="23D22A8E"/>
    <w:rsid w:val="23D5257E"/>
    <w:rsid w:val="23D74548"/>
    <w:rsid w:val="23E6478B"/>
    <w:rsid w:val="23F52C20"/>
    <w:rsid w:val="23FB32E7"/>
    <w:rsid w:val="240F253A"/>
    <w:rsid w:val="240F5A90"/>
    <w:rsid w:val="241412F8"/>
    <w:rsid w:val="24141D9B"/>
    <w:rsid w:val="241E3F25"/>
    <w:rsid w:val="241F1A4B"/>
    <w:rsid w:val="24210ADD"/>
    <w:rsid w:val="24264B88"/>
    <w:rsid w:val="24284DA4"/>
    <w:rsid w:val="242B4894"/>
    <w:rsid w:val="242B6642"/>
    <w:rsid w:val="242D4168"/>
    <w:rsid w:val="242D5F16"/>
    <w:rsid w:val="242E481E"/>
    <w:rsid w:val="242F6132"/>
    <w:rsid w:val="243061CA"/>
    <w:rsid w:val="2432352D"/>
    <w:rsid w:val="243472A5"/>
    <w:rsid w:val="2435126F"/>
    <w:rsid w:val="24390D5F"/>
    <w:rsid w:val="24424E18"/>
    <w:rsid w:val="24442084"/>
    <w:rsid w:val="24455956"/>
    <w:rsid w:val="24457704"/>
    <w:rsid w:val="24466FD8"/>
    <w:rsid w:val="244B2840"/>
    <w:rsid w:val="2451716B"/>
    <w:rsid w:val="24596D0B"/>
    <w:rsid w:val="24635DDC"/>
    <w:rsid w:val="24651B54"/>
    <w:rsid w:val="24686876"/>
    <w:rsid w:val="246A0F18"/>
    <w:rsid w:val="246A3593"/>
    <w:rsid w:val="246A716A"/>
    <w:rsid w:val="246F4781"/>
    <w:rsid w:val="247022A7"/>
    <w:rsid w:val="247955FF"/>
    <w:rsid w:val="247C0C4C"/>
    <w:rsid w:val="247E6772"/>
    <w:rsid w:val="24833D88"/>
    <w:rsid w:val="248C70E1"/>
    <w:rsid w:val="249266C1"/>
    <w:rsid w:val="24975A86"/>
    <w:rsid w:val="249F41EB"/>
    <w:rsid w:val="24A3267C"/>
    <w:rsid w:val="24A3442A"/>
    <w:rsid w:val="24A54462"/>
    <w:rsid w:val="24A563F4"/>
    <w:rsid w:val="24A85EE5"/>
    <w:rsid w:val="24AF4B7D"/>
    <w:rsid w:val="24B108F5"/>
    <w:rsid w:val="24B13A03"/>
    <w:rsid w:val="24B46637"/>
    <w:rsid w:val="24B6092B"/>
    <w:rsid w:val="24C22B02"/>
    <w:rsid w:val="24CA79AD"/>
    <w:rsid w:val="24D10F97"/>
    <w:rsid w:val="24D12D46"/>
    <w:rsid w:val="24D175E9"/>
    <w:rsid w:val="24D42836"/>
    <w:rsid w:val="24D80578"/>
    <w:rsid w:val="24DB1E16"/>
    <w:rsid w:val="24E231A5"/>
    <w:rsid w:val="24E707BB"/>
    <w:rsid w:val="24EC5DD1"/>
    <w:rsid w:val="24F42ED8"/>
    <w:rsid w:val="24FD3B3B"/>
    <w:rsid w:val="250076E0"/>
    <w:rsid w:val="25012E51"/>
    <w:rsid w:val="2503311B"/>
    <w:rsid w:val="250C0222"/>
    <w:rsid w:val="250D7AF6"/>
    <w:rsid w:val="2513335E"/>
    <w:rsid w:val="25186BC6"/>
    <w:rsid w:val="251D5F8B"/>
    <w:rsid w:val="251E1D03"/>
    <w:rsid w:val="251F7F55"/>
    <w:rsid w:val="252437BD"/>
    <w:rsid w:val="25292B82"/>
    <w:rsid w:val="25317C88"/>
    <w:rsid w:val="25382DC5"/>
    <w:rsid w:val="253D487F"/>
    <w:rsid w:val="25453733"/>
    <w:rsid w:val="254A0D4A"/>
    <w:rsid w:val="2551032A"/>
    <w:rsid w:val="255676EF"/>
    <w:rsid w:val="25585952"/>
    <w:rsid w:val="255C14CA"/>
    <w:rsid w:val="2560231B"/>
    <w:rsid w:val="256040C9"/>
    <w:rsid w:val="256242E5"/>
    <w:rsid w:val="2564005E"/>
    <w:rsid w:val="25783B09"/>
    <w:rsid w:val="257B7155"/>
    <w:rsid w:val="257F5FA5"/>
    <w:rsid w:val="2580476C"/>
    <w:rsid w:val="258424AE"/>
    <w:rsid w:val="258904E7"/>
    <w:rsid w:val="25900D5D"/>
    <w:rsid w:val="25902C01"/>
    <w:rsid w:val="25981AB5"/>
    <w:rsid w:val="259A582D"/>
    <w:rsid w:val="259D531E"/>
    <w:rsid w:val="25A55F80"/>
    <w:rsid w:val="25AB17E9"/>
    <w:rsid w:val="25B14925"/>
    <w:rsid w:val="25B508B9"/>
    <w:rsid w:val="25CA383D"/>
    <w:rsid w:val="25E76599"/>
    <w:rsid w:val="25E82A3D"/>
    <w:rsid w:val="25F27417"/>
    <w:rsid w:val="25F80884"/>
    <w:rsid w:val="25FD4B56"/>
    <w:rsid w:val="25FF1B34"/>
    <w:rsid w:val="260B672B"/>
    <w:rsid w:val="260B7611"/>
    <w:rsid w:val="260E7FC9"/>
    <w:rsid w:val="26123616"/>
    <w:rsid w:val="261750D0"/>
    <w:rsid w:val="261A071C"/>
    <w:rsid w:val="26252E6C"/>
    <w:rsid w:val="262D66A1"/>
    <w:rsid w:val="262F5BC1"/>
    <w:rsid w:val="263317DE"/>
    <w:rsid w:val="26372FAB"/>
    <w:rsid w:val="263C0693"/>
    <w:rsid w:val="26477CA5"/>
    <w:rsid w:val="26487D83"/>
    <w:rsid w:val="26492DAF"/>
    <w:rsid w:val="264B6B28"/>
    <w:rsid w:val="264D6D44"/>
    <w:rsid w:val="265005E2"/>
    <w:rsid w:val="2650413E"/>
    <w:rsid w:val="266A16A4"/>
    <w:rsid w:val="266D2F42"/>
    <w:rsid w:val="266F6CBA"/>
    <w:rsid w:val="267047E0"/>
    <w:rsid w:val="267A4647"/>
    <w:rsid w:val="267B7421"/>
    <w:rsid w:val="268838D8"/>
    <w:rsid w:val="268B161A"/>
    <w:rsid w:val="268F110A"/>
    <w:rsid w:val="26906C30"/>
    <w:rsid w:val="26924756"/>
    <w:rsid w:val="269278C9"/>
    <w:rsid w:val="26955FF5"/>
    <w:rsid w:val="269A360B"/>
    <w:rsid w:val="26A115D6"/>
    <w:rsid w:val="26A26698"/>
    <w:rsid w:val="26A60202"/>
    <w:rsid w:val="26B50445"/>
    <w:rsid w:val="26B741BD"/>
    <w:rsid w:val="26B96163"/>
    <w:rsid w:val="26CD578F"/>
    <w:rsid w:val="26D11723"/>
    <w:rsid w:val="26DE799C"/>
    <w:rsid w:val="26DF652C"/>
    <w:rsid w:val="26E31456"/>
    <w:rsid w:val="26E33204"/>
    <w:rsid w:val="26EC20B9"/>
    <w:rsid w:val="26ED7BDF"/>
    <w:rsid w:val="26F64CE5"/>
    <w:rsid w:val="26FC6074"/>
    <w:rsid w:val="27084A19"/>
    <w:rsid w:val="270D0281"/>
    <w:rsid w:val="27117D71"/>
    <w:rsid w:val="271635D9"/>
    <w:rsid w:val="27167136"/>
    <w:rsid w:val="27180C0C"/>
    <w:rsid w:val="271D04C4"/>
    <w:rsid w:val="27221F7E"/>
    <w:rsid w:val="2725381D"/>
    <w:rsid w:val="27257379"/>
    <w:rsid w:val="272730F1"/>
    <w:rsid w:val="2727731C"/>
    <w:rsid w:val="272A0E33"/>
    <w:rsid w:val="272C33F1"/>
    <w:rsid w:val="272F6449"/>
    <w:rsid w:val="27315D1D"/>
    <w:rsid w:val="274041B2"/>
    <w:rsid w:val="2743407D"/>
    <w:rsid w:val="27514612"/>
    <w:rsid w:val="27532158"/>
    <w:rsid w:val="27595274"/>
    <w:rsid w:val="275B2D9A"/>
    <w:rsid w:val="276141DA"/>
    <w:rsid w:val="276460F3"/>
    <w:rsid w:val="2769195B"/>
    <w:rsid w:val="27716A62"/>
    <w:rsid w:val="277E75D7"/>
    <w:rsid w:val="27873B8F"/>
    <w:rsid w:val="278B7B24"/>
    <w:rsid w:val="27912C60"/>
    <w:rsid w:val="27974F81"/>
    <w:rsid w:val="27A42993"/>
    <w:rsid w:val="27AE736E"/>
    <w:rsid w:val="27BF3329"/>
    <w:rsid w:val="27C052F3"/>
    <w:rsid w:val="27C272BD"/>
    <w:rsid w:val="27C43035"/>
    <w:rsid w:val="27C6290A"/>
    <w:rsid w:val="27D17500"/>
    <w:rsid w:val="27D668C5"/>
    <w:rsid w:val="27DA0163"/>
    <w:rsid w:val="27DA4607"/>
    <w:rsid w:val="27DB3EDB"/>
    <w:rsid w:val="27E9484A"/>
    <w:rsid w:val="27F356C9"/>
    <w:rsid w:val="28011B94"/>
    <w:rsid w:val="2802590C"/>
    <w:rsid w:val="28101DD7"/>
    <w:rsid w:val="281318C7"/>
    <w:rsid w:val="281573ED"/>
    <w:rsid w:val="28164F13"/>
    <w:rsid w:val="28243AD4"/>
    <w:rsid w:val="2825076A"/>
    <w:rsid w:val="282B71AD"/>
    <w:rsid w:val="283006CB"/>
    <w:rsid w:val="2838132E"/>
    <w:rsid w:val="283D06F2"/>
    <w:rsid w:val="28442681"/>
    <w:rsid w:val="28447CD2"/>
    <w:rsid w:val="285E6FE6"/>
    <w:rsid w:val="28643ED1"/>
    <w:rsid w:val="286D0FD7"/>
    <w:rsid w:val="28732366"/>
    <w:rsid w:val="28795BCE"/>
    <w:rsid w:val="287A1946"/>
    <w:rsid w:val="287A36F4"/>
    <w:rsid w:val="28806316"/>
    <w:rsid w:val="288B76AF"/>
    <w:rsid w:val="28942A08"/>
    <w:rsid w:val="2895052E"/>
    <w:rsid w:val="289E3886"/>
    <w:rsid w:val="289E73E3"/>
    <w:rsid w:val="28A10C81"/>
    <w:rsid w:val="28A644E9"/>
    <w:rsid w:val="28A80261"/>
    <w:rsid w:val="28AF339E"/>
    <w:rsid w:val="28B766F6"/>
    <w:rsid w:val="28B906C0"/>
    <w:rsid w:val="28BB0CDC"/>
    <w:rsid w:val="28BE77C3"/>
    <w:rsid w:val="28C3509B"/>
    <w:rsid w:val="28CC03F4"/>
    <w:rsid w:val="28D21782"/>
    <w:rsid w:val="28D5700C"/>
    <w:rsid w:val="28D70B46"/>
    <w:rsid w:val="28DB23E5"/>
    <w:rsid w:val="28DF17A9"/>
    <w:rsid w:val="28E31299"/>
    <w:rsid w:val="28E60D8A"/>
    <w:rsid w:val="28E62B38"/>
    <w:rsid w:val="28EC2844"/>
    <w:rsid w:val="28ED5EC5"/>
    <w:rsid w:val="28F214DC"/>
    <w:rsid w:val="28F45255"/>
    <w:rsid w:val="28FB2A87"/>
    <w:rsid w:val="28FB65E3"/>
    <w:rsid w:val="2900009D"/>
    <w:rsid w:val="29001E4B"/>
    <w:rsid w:val="2903193C"/>
    <w:rsid w:val="2907142C"/>
    <w:rsid w:val="290A2CCA"/>
    <w:rsid w:val="290D4568"/>
    <w:rsid w:val="290E4B58"/>
    <w:rsid w:val="291C5D93"/>
    <w:rsid w:val="291E6775"/>
    <w:rsid w:val="292673D8"/>
    <w:rsid w:val="29282EA6"/>
    <w:rsid w:val="29283150"/>
    <w:rsid w:val="292A511A"/>
    <w:rsid w:val="29313F58"/>
    <w:rsid w:val="293146FB"/>
    <w:rsid w:val="293217B0"/>
    <w:rsid w:val="29325D7D"/>
    <w:rsid w:val="293935AF"/>
    <w:rsid w:val="2939710B"/>
    <w:rsid w:val="293B5A2A"/>
    <w:rsid w:val="293B7327"/>
    <w:rsid w:val="293D6BFB"/>
    <w:rsid w:val="29437F8A"/>
    <w:rsid w:val="29466BC0"/>
    <w:rsid w:val="29486E9A"/>
    <w:rsid w:val="2953641F"/>
    <w:rsid w:val="295C2DFA"/>
    <w:rsid w:val="295C5E61"/>
    <w:rsid w:val="296543A4"/>
    <w:rsid w:val="297168A5"/>
    <w:rsid w:val="2973261D"/>
    <w:rsid w:val="29791BFE"/>
    <w:rsid w:val="297D16EE"/>
    <w:rsid w:val="297F5466"/>
    <w:rsid w:val="298A3E0B"/>
    <w:rsid w:val="298A7967"/>
    <w:rsid w:val="298B46A0"/>
    <w:rsid w:val="298E32F9"/>
    <w:rsid w:val="298E7457"/>
    <w:rsid w:val="299627B0"/>
    <w:rsid w:val="2996630C"/>
    <w:rsid w:val="299A22A0"/>
    <w:rsid w:val="29A273A6"/>
    <w:rsid w:val="29A46C7B"/>
    <w:rsid w:val="29B449E4"/>
    <w:rsid w:val="29C04041"/>
    <w:rsid w:val="29C0782D"/>
    <w:rsid w:val="29C63095"/>
    <w:rsid w:val="29C674C7"/>
    <w:rsid w:val="29CC4423"/>
    <w:rsid w:val="29CC7F7F"/>
    <w:rsid w:val="29CE5AA6"/>
    <w:rsid w:val="29D15596"/>
    <w:rsid w:val="29D37560"/>
    <w:rsid w:val="29D610DA"/>
    <w:rsid w:val="29D71D48"/>
    <w:rsid w:val="29D96A50"/>
    <w:rsid w:val="29DF5F05"/>
    <w:rsid w:val="29E4176D"/>
    <w:rsid w:val="29E7008E"/>
    <w:rsid w:val="29EC0622"/>
    <w:rsid w:val="29EC2A70"/>
    <w:rsid w:val="29EE6148"/>
    <w:rsid w:val="29F15C38"/>
    <w:rsid w:val="29F319B0"/>
    <w:rsid w:val="29F37C02"/>
    <w:rsid w:val="29F51284"/>
    <w:rsid w:val="29F80D74"/>
    <w:rsid w:val="29FD638B"/>
    <w:rsid w:val="2A0C65CE"/>
    <w:rsid w:val="2A151926"/>
    <w:rsid w:val="2A175D22"/>
    <w:rsid w:val="2A1A6F3D"/>
    <w:rsid w:val="2A241B69"/>
    <w:rsid w:val="2A2C6C70"/>
    <w:rsid w:val="2A3309CC"/>
    <w:rsid w:val="2A336250"/>
    <w:rsid w:val="2A41096D"/>
    <w:rsid w:val="2A420242"/>
    <w:rsid w:val="2A435EF0"/>
    <w:rsid w:val="2A481CFC"/>
    <w:rsid w:val="2A484859"/>
    <w:rsid w:val="2A572531"/>
    <w:rsid w:val="2A5D507B"/>
    <w:rsid w:val="2A5E32CD"/>
    <w:rsid w:val="2A6056B1"/>
    <w:rsid w:val="2A703001"/>
    <w:rsid w:val="2A7A6C44"/>
    <w:rsid w:val="2A8820F8"/>
    <w:rsid w:val="2A9211C9"/>
    <w:rsid w:val="2A930A9D"/>
    <w:rsid w:val="2A97233B"/>
    <w:rsid w:val="2A994305"/>
    <w:rsid w:val="2AAD6003"/>
    <w:rsid w:val="2AB4113F"/>
    <w:rsid w:val="2AB5244A"/>
    <w:rsid w:val="2AC1385C"/>
    <w:rsid w:val="2AC62C21"/>
    <w:rsid w:val="2ACA2711"/>
    <w:rsid w:val="2AD215C5"/>
    <w:rsid w:val="2AD4533E"/>
    <w:rsid w:val="2AE01F34"/>
    <w:rsid w:val="2AE412F9"/>
    <w:rsid w:val="2AEB4116"/>
    <w:rsid w:val="2AED757D"/>
    <w:rsid w:val="2AEE25DB"/>
    <w:rsid w:val="2AEF3F25"/>
    <w:rsid w:val="2AF26086"/>
    <w:rsid w:val="2AF459E0"/>
    <w:rsid w:val="2AF92FF6"/>
    <w:rsid w:val="2AFC2AE6"/>
    <w:rsid w:val="2AFE685E"/>
    <w:rsid w:val="2B004385"/>
    <w:rsid w:val="2B125E66"/>
    <w:rsid w:val="2B1A4080"/>
    <w:rsid w:val="2B287437"/>
    <w:rsid w:val="2B2B0682"/>
    <w:rsid w:val="2B2D7144"/>
    <w:rsid w:val="2B3109E2"/>
    <w:rsid w:val="2B33475A"/>
    <w:rsid w:val="2B395AE8"/>
    <w:rsid w:val="2B396801"/>
    <w:rsid w:val="2B3E30FF"/>
    <w:rsid w:val="2B400C25"/>
    <w:rsid w:val="2B45448D"/>
    <w:rsid w:val="2B4D20BD"/>
    <w:rsid w:val="2B4E5EFD"/>
    <w:rsid w:val="2B620B9B"/>
    <w:rsid w:val="2B674404"/>
    <w:rsid w:val="2B7E34FB"/>
    <w:rsid w:val="2B852ADC"/>
    <w:rsid w:val="2B863A55"/>
    <w:rsid w:val="2B863EAA"/>
    <w:rsid w:val="2B91322F"/>
    <w:rsid w:val="2B917B56"/>
    <w:rsid w:val="2B940F71"/>
    <w:rsid w:val="2B956521"/>
    <w:rsid w:val="2B980A61"/>
    <w:rsid w:val="2B9D1BD3"/>
    <w:rsid w:val="2BAB67F6"/>
    <w:rsid w:val="2BAE2033"/>
    <w:rsid w:val="2BB2712F"/>
    <w:rsid w:val="2BB44AC4"/>
    <w:rsid w:val="2BB60EE7"/>
    <w:rsid w:val="2BBA40B9"/>
    <w:rsid w:val="2BBE7D9C"/>
    <w:rsid w:val="2BC25ADE"/>
    <w:rsid w:val="2BCB18BB"/>
    <w:rsid w:val="2BD001FB"/>
    <w:rsid w:val="2BD3004D"/>
    <w:rsid w:val="2BD355F5"/>
    <w:rsid w:val="2BDB26FC"/>
    <w:rsid w:val="2BDB6BA0"/>
    <w:rsid w:val="2BE07D12"/>
    <w:rsid w:val="2BE45A54"/>
    <w:rsid w:val="2BE664C3"/>
    <w:rsid w:val="2BF57C61"/>
    <w:rsid w:val="2BF81500"/>
    <w:rsid w:val="2C02412C"/>
    <w:rsid w:val="2C077995"/>
    <w:rsid w:val="2C0C34EA"/>
    <w:rsid w:val="2C1A3224"/>
    <w:rsid w:val="2C1B5102"/>
    <w:rsid w:val="2C1D4AC2"/>
    <w:rsid w:val="2C22032B"/>
    <w:rsid w:val="2C2220D9"/>
    <w:rsid w:val="2C2422F5"/>
    <w:rsid w:val="2C251BC9"/>
    <w:rsid w:val="2C26606D"/>
    <w:rsid w:val="2C293467"/>
    <w:rsid w:val="2C2E6CCF"/>
    <w:rsid w:val="2C3A5674"/>
    <w:rsid w:val="2C414C55"/>
    <w:rsid w:val="2C444745"/>
    <w:rsid w:val="2C493B09"/>
    <w:rsid w:val="2C4965E0"/>
    <w:rsid w:val="2C520C10"/>
    <w:rsid w:val="2C532BDA"/>
    <w:rsid w:val="2C534988"/>
    <w:rsid w:val="2C5B0548"/>
    <w:rsid w:val="2C5B55EB"/>
    <w:rsid w:val="2C5D75B5"/>
    <w:rsid w:val="2C5F50DB"/>
    <w:rsid w:val="2C665D4F"/>
    <w:rsid w:val="2C7566AC"/>
    <w:rsid w:val="2C7965AC"/>
    <w:rsid w:val="2C83526D"/>
    <w:rsid w:val="2C8640C1"/>
    <w:rsid w:val="2C866B0B"/>
    <w:rsid w:val="2C895305"/>
    <w:rsid w:val="2C8B24A1"/>
    <w:rsid w:val="2C8B4122"/>
    <w:rsid w:val="2C8C39F6"/>
    <w:rsid w:val="2C9D5C03"/>
    <w:rsid w:val="2CA174A1"/>
    <w:rsid w:val="2CA3146B"/>
    <w:rsid w:val="2CA64AB8"/>
    <w:rsid w:val="2CAA2BF1"/>
    <w:rsid w:val="2CAB47C4"/>
    <w:rsid w:val="2CB216AE"/>
    <w:rsid w:val="2CB2345D"/>
    <w:rsid w:val="2CB30E90"/>
    <w:rsid w:val="2CB35427"/>
    <w:rsid w:val="2CB63865"/>
    <w:rsid w:val="2CC87124"/>
    <w:rsid w:val="2CCC60C7"/>
    <w:rsid w:val="2CDC497D"/>
    <w:rsid w:val="2CDE24A4"/>
    <w:rsid w:val="2CE11F94"/>
    <w:rsid w:val="2CE13D42"/>
    <w:rsid w:val="2CE64F6D"/>
    <w:rsid w:val="2CE675AA"/>
    <w:rsid w:val="2CEB2E12"/>
    <w:rsid w:val="2CF41CC7"/>
    <w:rsid w:val="2CF9552F"/>
    <w:rsid w:val="2CFC0B7C"/>
    <w:rsid w:val="2D0406DC"/>
    <w:rsid w:val="2D053ED4"/>
    <w:rsid w:val="2D0B1F79"/>
    <w:rsid w:val="2D0B7011"/>
    <w:rsid w:val="2D142369"/>
    <w:rsid w:val="2D1A7254"/>
    <w:rsid w:val="2D1E0AF2"/>
    <w:rsid w:val="2D1F486A"/>
    <w:rsid w:val="2D212991"/>
    <w:rsid w:val="2D214E78"/>
    <w:rsid w:val="2D2F0F51"/>
    <w:rsid w:val="2D341A64"/>
    <w:rsid w:val="2D39592C"/>
    <w:rsid w:val="2D3B4E80"/>
    <w:rsid w:val="2D3E73E6"/>
    <w:rsid w:val="2D400007"/>
    <w:rsid w:val="2D485960"/>
    <w:rsid w:val="2D4B38B1"/>
    <w:rsid w:val="2D4C1B03"/>
    <w:rsid w:val="2D4D587B"/>
    <w:rsid w:val="2D517119"/>
    <w:rsid w:val="2D60377E"/>
    <w:rsid w:val="2D616C31"/>
    <w:rsid w:val="2D656721"/>
    <w:rsid w:val="2D6A01DB"/>
    <w:rsid w:val="2D6B7AAF"/>
    <w:rsid w:val="2D775878"/>
    <w:rsid w:val="2D7C3A6A"/>
    <w:rsid w:val="2D7D2507"/>
    <w:rsid w:val="2D87669D"/>
    <w:rsid w:val="2D8D3ECA"/>
    <w:rsid w:val="2D8D5C78"/>
    <w:rsid w:val="2D9139BA"/>
    <w:rsid w:val="2D917516"/>
    <w:rsid w:val="2D966984"/>
    <w:rsid w:val="2D9B4590"/>
    <w:rsid w:val="2D9B65E7"/>
    <w:rsid w:val="2D9C5008"/>
    <w:rsid w:val="2D9C5EBB"/>
    <w:rsid w:val="2DA01E4F"/>
    <w:rsid w:val="2DA57465"/>
    <w:rsid w:val="2DAF5BEE"/>
    <w:rsid w:val="2DB33930"/>
    <w:rsid w:val="2DBB4593"/>
    <w:rsid w:val="2DC53663"/>
    <w:rsid w:val="2DC747E2"/>
    <w:rsid w:val="2DCC67A0"/>
    <w:rsid w:val="2DCE0899"/>
    <w:rsid w:val="2DD37B2E"/>
    <w:rsid w:val="2DD613CD"/>
    <w:rsid w:val="2DD65871"/>
    <w:rsid w:val="2DD6761F"/>
    <w:rsid w:val="2DE27D71"/>
    <w:rsid w:val="2DE51610"/>
    <w:rsid w:val="2DE56725"/>
    <w:rsid w:val="2DE5725A"/>
    <w:rsid w:val="2DE57862"/>
    <w:rsid w:val="2DEA131C"/>
    <w:rsid w:val="2DFB52D7"/>
    <w:rsid w:val="2DFD4BAB"/>
    <w:rsid w:val="2E00469C"/>
    <w:rsid w:val="2E021BF8"/>
    <w:rsid w:val="2E0777D8"/>
    <w:rsid w:val="2E19750B"/>
    <w:rsid w:val="2E1D349F"/>
    <w:rsid w:val="2E1D6FFC"/>
    <w:rsid w:val="2E215DBB"/>
    <w:rsid w:val="2E24038A"/>
    <w:rsid w:val="2E2C723F"/>
    <w:rsid w:val="2E310CF9"/>
    <w:rsid w:val="2E3440DF"/>
    <w:rsid w:val="2E3A7BAD"/>
    <w:rsid w:val="2E3C1B78"/>
    <w:rsid w:val="2E3D769E"/>
    <w:rsid w:val="2E402CEA"/>
    <w:rsid w:val="2E472555"/>
    <w:rsid w:val="2E496043"/>
    <w:rsid w:val="2E4F2F2D"/>
    <w:rsid w:val="2E536EC1"/>
    <w:rsid w:val="2E5642BC"/>
    <w:rsid w:val="2E5C5D76"/>
    <w:rsid w:val="2E603672"/>
    <w:rsid w:val="2E6115DE"/>
    <w:rsid w:val="2E666BF4"/>
    <w:rsid w:val="2E6C1D31"/>
    <w:rsid w:val="2E6D36E3"/>
    <w:rsid w:val="2E6E6F2C"/>
    <w:rsid w:val="2E786928"/>
    <w:rsid w:val="2E7F1A64"/>
    <w:rsid w:val="2E8250B1"/>
    <w:rsid w:val="2E976DAE"/>
    <w:rsid w:val="2E9D638E"/>
    <w:rsid w:val="2E9F5C62"/>
    <w:rsid w:val="2EA53FA5"/>
    <w:rsid w:val="2EA63495"/>
    <w:rsid w:val="2EAE2349"/>
    <w:rsid w:val="2EBF6305"/>
    <w:rsid w:val="2EC851B9"/>
    <w:rsid w:val="2EC90F31"/>
    <w:rsid w:val="2ED81174"/>
    <w:rsid w:val="2EF60272"/>
    <w:rsid w:val="2EF835C5"/>
    <w:rsid w:val="2EF91817"/>
    <w:rsid w:val="2F012479"/>
    <w:rsid w:val="2F032695"/>
    <w:rsid w:val="2F0B32F8"/>
    <w:rsid w:val="2F10090E"/>
    <w:rsid w:val="2F1228D8"/>
    <w:rsid w:val="2F1321AD"/>
    <w:rsid w:val="2F154177"/>
    <w:rsid w:val="2F155F25"/>
    <w:rsid w:val="2F193C67"/>
    <w:rsid w:val="2F194722"/>
    <w:rsid w:val="2F1F0B51"/>
    <w:rsid w:val="2F214344"/>
    <w:rsid w:val="2F234AE5"/>
    <w:rsid w:val="2F261EE0"/>
    <w:rsid w:val="2F316B28"/>
    <w:rsid w:val="2F340AA1"/>
    <w:rsid w:val="2F3527BA"/>
    <w:rsid w:val="2F3740ED"/>
    <w:rsid w:val="2F3C7955"/>
    <w:rsid w:val="2F436F36"/>
    <w:rsid w:val="2F4405B8"/>
    <w:rsid w:val="2F5051AF"/>
    <w:rsid w:val="2F5248B3"/>
    <w:rsid w:val="2F5A7DDB"/>
    <w:rsid w:val="2F5C78B8"/>
    <w:rsid w:val="2F5E78CC"/>
    <w:rsid w:val="2F5F7586"/>
    <w:rsid w:val="2F603644"/>
    <w:rsid w:val="2F631386"/>
    <w:rsid w:val="2F636567"/>
    <w:rsid w:val="2F642A08"/>
    <w:rsid w:val="2F650C5A"/>
    <w:rsid w:val="2F686AD9"/>
    <w:rsid w:val="2F6F7D2B"/>
    <w:rsid w:val="2F762E67"/>
    <w:rsid w:val="2F7E1D1C"/>
    <w:rsid w:val="2F8337D6"/>
    <w:rsid w:val="2F8C4439"/>
    <w:rsid w:val="2F8D1F5F"/>
    <w:rsid w:val="2F8E1F35"/>
    <w:rsid w:val="2F972FE7"/>
    <w:rsid w:val="2F994DA8"/>
    <w:rsid w:val="2F9B28CE"/>
    <w:rsid w:val="2FA16C6A"/>
    <w:rsid w:val="2FAD43AF"/>
    <w:rsid w:val="2FB37194"/>
    <w:rsid w:val="2FB614B6"/>
    <w:rsid w:val="2FB7522E"/>
    <w:rsid w:val="2FBB4D1E"/>
    <w:rsid w:val="2FBD0A96"/>
    <w:rsid w:val="2FC260AC"/>
    <w:rsid w:val="2FC75471"/>
    <w:rsid w:val="2FCF3D50"/>
    <w:rsid w:val="2FD44032"/>
    <w:rsid w:val="2FD7142C"/>
    <w:rsid w:val="2FD858D0"/>
    <w:rsid w:val="2FDE27BA"/>
    <w:rsid w:val="2FE04785"/>
    <w:rsid w:val="2FEC466B"/>
    <w:rsid w:val="2FED0C50"/>
    <w:rsid w:val="2FEE50F3"/>
    <w:rsid w:val="2FEF2C1A"/>
    <w:rsid w:val="2FF16992"/>
    <w:rsid w:val="2FF87D20"/>
    <w:rsid w:val="2FFE1F1C"/>
    <w:rsid w:val="3002294D"/>
    <w:rsid w:val="30055F99"/>
    <w:rsid w:val="300B35A0"/>
    <w:rsid w:val="300C37CC"/>
    <w:rsid w:val="30136908"/>
    <w:rsid w:val="301457DA"/>
    <w:rsid w:val="301663F8"/>
    <w:rsid w:val="30197C97"/>
    <w:rsid w:val="301D32E3"/>
    <w:rsid w:val="30222938"/>
    <w:rsid w:val="302A1EA4"/>
    <w:rsid w:val="302C1778"/>
    <w:rsid w:val="302F3016"/>
    <w:rsid w:val="30393E95"/>
    <w:rsid w:val="303B3677"/>
    <w:rsid w:val="303D1BD7"/>
    <w:rsid w:val="304C3BC8"/>
    <w:rsid w:val="304C77C0"/>
    <w:rsid w:val="30542A7D"/>
    <w:rsid w:val="30564A47"/>
    <w:rsid w:val="305667F5"/>
    <w:rsid w:val="305A62E5"/>
    <w:rsid w:val="305D7B83"/>
    <w:rsid w:val="305E0BCE"/>
    <w:rsid w:val="305F38FB"/>
    <w:rsid w:val="306058C5"/>
    <w:rsid w:val="30633E5B"/>
    <w:rsid w:val="306C6018"/>
    <w:rsid w:val="30703D5A"/>
    <w:rsid w:val="3071362F"/>
    <w:rsid w:val="3083026B"/>
    <w:rsid w:val="3086532C"/>
    <w:rsid w:val="30872E52"/>
    <w:rsid w:val="308C0468"/>
    <w:rsid w:val="30963095"/>
    <w:rsid w:val="309A2F91"/>
    <w:rsid w:val="30A36625"/>
    <w:rsid w:val="30A413A6"/>
    <w:rsid w:val="30B35865"/>
    <w:rsid w:val="30B61764"/>
    <w:rsid w:val="30BB2AFC"/>
    <w:rsid w:val="30BF25EC"/>
    <w:rsid w:val="30C145B6"/>
    <w:rsid w:val="30C25BF4"/>
    <w:rsid w:val="30D37E45"/>
    <w:rsid w:val="30DD3B53"/>
    <w:rsid w:val="30DF4A3C"/>
    <w:rsid w:val="30E3277E"/>
    <w:rsid w:val="30E6401D"/>
    <w:rsid w:val="30EB33E1"/>
    <w:rsid w:val="30F46739"/>
    <w:rsid w:val="30F524B2"/>
    <w:rsid w:val="30F5607D"/>
    <w:rsid w:val="30FD3114"/>
    <w:rsid w:val="30FF0771"/>
    <w:rsid w:val="30FF0C3A"/>
    <w:rsid w:val="311566B0"/>
    <w:rsid w:val="31230DCD"/>
    <w:rsid w:val="31295CB7"/>
    <w:rsid w:val="313C0812"/>
    <w:rsid w:val="31496359"/>
    <w:rsid w:val="314A45AB"/>
    <w:rsid w:val="314E571E"/>
    <w:rsid w:val="314F1BC2"/>
    <w:rsid w:val="315D2CF9"/>
    <w:rsid w:val="316136A3"/>
    <w:rsid w:val="31660CB9"/>
    <w:rsid w:val="317156E8"/>
    <w:rsid w:val="31782DC2"/>
    <w:rsid w:val="31796C3F"/>
    <w:rsid w:val="31857392"/>
    <w:rsid w:val="318D26EA"/>
    <w:rsid w:val="318D6246"/>
    <w:rsid w:val="31945827"/>
    <w:rsid w:val="319677F1"/>
    <w:rsid w:val="31973569"/>
    <w:rsid w:val="319951CC"/>
    <w:rsid w:val="31A415D4"/>
    <w:rsid w:val="31A67308"/>
    <w:rsid w:val="31A724A5"/>
    <w:rsid w:val="31AB2B70"/>
    <w:rsid w:val="31AF440F"/>
    <w:rsid w:val="31B41A25"/>
    <w:rsid w:val="31B61C41"/>
    <w:rsid w:val="31C205E6"/>
    <w:rsid w:val="31CC3EF2"/>
    <w:rsid w:val="31D10829"/>
    <w:rsid w:val="31D200FD"/>
    <w:rsid w:val="31DD5420"/>
    <w:rsid w:val="31E340B8"/>
    <w:rsid w:val="31E56082"/>
    <w:rsid w:val="31EB4ECD"/>
    <w:rsid w:val="31F664E1"/>
    <w:rsid w:val="31F77B64"/>
    <w:rsid w:val="31FB3AF8"/>
    <w:rsid w:val="31FD7870"/>
    <w:rsid w:val="31FE3BAB"/>
    <w:rsid w:val="320209E2"/>
    <w:rsid w:val="32026C34"/>
    <w:rsid w:val="3203475A"/>
    <w:rsid w:val="32083D0E"/>
    <w:rsid w:val="320B18F6"/>
    <w:rsid w:val="32116E77"/>
    <w:rsid w:val="32144BB9"/>
    <w:rsid w:val="321D581C"/>
    <w:rsid w:val="322070BA"/>
    <w:rsid w:val="32230959"/>
    <w:rsid w:val="32252923"/>
    <w:rsid w:val="322F37A1"/>
    <w:rsid w:val="32326DEE"/>
    <w:rsid w:val="323D5EBE"/>
    <w:rsid w:val="323E39E4"/>
    <w:rsid w:val="3240775C"/>
    <w:rsid w:val="32454D73"/>
    <w:rsid w:val="324C4353"/>
    <w:rsid w:val="3252181C"/>
    <w:rsid w:val="32562ADC"/>
    <w:rsid w:val="3260395B"/>
    <w:rsid w:val="32755658"/>
    <w:rsid w:val="327613D0"/>
    <w:rsid w:val="327824D0"/>
    <w:rsid w:val="32805DAB"/>
    <w:rsid w:val="32871066"/>
    <w:rsid w:val="32883A63"/>
    <w:rsid w:val="3291620A"/>
    <w:rsid w:val="32931F82"/>
    <w:rsid w:val="32976B82"/>
    <w:rsid w:val="329D070B"/>
    <w:rsid w:val="329E202D"/>
    <w:rsid w:val="32A001FB"/>
    <w:rsid w:val="32A63A63"/>
    <w:rsid w:val="32A7158A"/>
    <w:rsid w:val="32A73338"/>
    <w:rsid w:val="32AF043E"/>
    <w:rsid w:val="32B85545"/>
    <w:rsid w:val="32C0264B"/>
    <w:rsid w:val="32CE276B"/>
    <w:rsid w:val="32D63C1D"/>
    <w:rsid w:val="32DF2AD1"/>
    <w:rsid w:val="32DF6F75"/>
    <w:rsid w:val="32E60304"/>
    <w:rsid w:val="32E620B2"/>
    <w:rsid w:val="32E8333F"/>
    <w:rsid w:val="32E97DF4"/>
    <w:rsid w:val="32EB591A"/>
    <w:rsid w:val="32EB76C8"/>
    <w:rsid w:val="32F12805"/>
    <w:rsid w:val="32F522F5"/>
    <w:rsid w:val="33002A55"/>
    <w:rsid w:val="33022C64"/>
    <w:rsid w:val="330469DC"/>
    <w:rsid w:val="33104691"/>
    <w:rsid w:val="33124E6A"/>
    <w:rsid w:val="33134E71"/>
    <w:rsid w:val="33154745"/>
    <w:rsid w:val="33174961"/>
    <w:rsid w:val="331D39A8"/>
    <w:rsid w:val="331D7A9E"/>
    <w:rsid w:val="332350B4"/>
    <w:rsid w:val="33266952"/>
    <w:rsid w:val="332D5F33"/>
    <w:rsid w:val="33353039"/>
    <w:rsid w:val="333A0650"/>
    <w:rsid w:val="333A23FE"/>
    <w:rsid w:val="333C43C8"/>
    <w:rsid w:val="333F7A14"/>
    <w:rsid w:val="3341378C"/>
    <w:rsid w:val="334247B4"/>
    <w:rsid w:val="3344327C"/>
    <w:rsid w:val="334D2131"/>
    <w:rsid w:val="334E0589"/>
    <w:rsid w:val="3350577D"/>
    <w:rsid w:val="335C05C6"/>
    <w:rsid w:val="33631954"/>
    <w:rsid w:val="336F654B"/>
    <w:rsid w:val="33770F5C"/>
    <w:rsid w:val="33782F14"/>
    <w:rsid w:val="337D70B5"/>
    <w:rsid w:val="33855185"/>
    <w:rsid w:val="338673F1"/>
    <w:rsid w:val="33890C8F"/>
    <w:rsid w:val="338B2C59"/>
    <w:rsid w:val="338F44F8"/>
    <w:rsid w:val="3390201E"/>
    <w:rsid w:val="33933E38"/>
    <w:rsid w:val="33941B0E"/>
    <w:rsid w:val="33947D60"/>
    <w:rsid w:val="339733AC"/>
    <w:rsid w:val="33991669"/>
    <w:rsid w:val="33996F2B"/>
    <w:rsid w:val="339D60DA"/>
    <w:rsid w:val="33A37FA3"/>
    <w:rsid w:val="33A65CE5"/>
    <w:rsid w:val="33AD2BD0"/>
    <w:rsid w:val="33BE4DDD"/>
    <w:rsid w:val="33C00B55"/>
    <w:rsid w:val="33C543BD"/>
    <w:rsid w:val="33CF0D98"/>
    <w:rsid w:val="33D12D62"/>
    <w:rsid w:val="33D20C56"/>
    <w:rsid w:val="33D939C5"/>
    <w:rsid w:val="33E1665D"/>
    <w:rsid w:val="33E74334"/>
    <w:rsid w:val="33EA7980"/>
    <w:rsid w:val="33EB36F8"/>
    <w:rsid w:val="33ED7470"/>
    <w:rsid w:val="33F46A50"/>
    <w:rsid w:val="33FE167D"/>
    <w:rsid w:val="34023443"/>
    <w:rsid w:val="34050C5E"/>
    <w:rsid w:val="3411315F"/>
    <w:rsid w:val="341D71C9"/>
    <w:rsid w:val="3421711A"/>
    <w:rsid w:val="342804A8"/>
    <w:rsid w:val="342A2472"/>
    <w:rsid w:val="34322F1F"/>
    <w:rsid w:val="343B642D"/>
    <w:rsid w:val="34433534"/>
    <w:rsid w:val="344E43B3"/>
    <w:rsid w:val="345179FF"/>
    <w:rsid w:val="34563267"/>
    <w:rsid w:val="34565015"/>
    <w:rsid w:val="34580D8D"/>
    <w:rsid w:val="34594B05"/>
    <w:rsid w:val="345B262C"/>
    <w:rsid w:val="34637732"/>
    <w:rsid w:val="34645984"/>
    <w:rsid w:val="34670FD0"/>
    <w:rsid w:val="34677222"/>
    <w:rsid w:val="346C4839"/>
    <w:rsid w:val="346D235F"/>
    <w:rsid w:val="34713BFD"/>
    <w:rsid w:val="347831DE"/>
    <w:rsid w:val="34831B82"/>
    <w:rsid w:val="348E2A01"/>
    <w:rsid w:val="349873DC"/>
    <w:rsid w:val="34A35D81"/>
    <w:rsid w:val="34A75871"/>
    <w:rsid w:val="34A83397"/>
    <w:rsid w:val="34B306BA"/>
    <w:rsid w:val="34B72631"/>
    <w:rsid w:val="34BB3BE7"/>
    <w:rsid w:val="34BD32E6"/>
    <w:rsid w:val="34C77CC1"/>
    <w:rsid w:val="34CF6B76"/>
    <w:rsid w:val="34D32B0A"/>
    <w:rsid w:val="34DF500B"/>
    <w:rsid w:val="34E03233"/>
    <w:rsid w:val="34E616B4"/>
    <w:rsid w:val="34F565DC"/>
    <w:rsid w:val="34FA3BF3"/>
    <w:rsid w:val="34FD1935"/>
    <w:rsid w:val="350902DA"/>
    <w:rsid w:val="350E769E"/>
    <w:rsid w:val="351162D2"/>
    <w:rsid w:val="351D3D85"/>
    <w:rsid w:val="35226619"/>
    <w:rsid w:val="35243365"/>
    <w:rsid w:val="35386E11"/>
    <w:rsid w:val="354B08F2"/>
    <w:rsid w:val="354D6418"/>
    <w:rsid w:val="3550415A"/>
    <w:rsid w:val="35505F08"/>
    <w:rsid w:val="35531555"/>
    <w:rsid w:val="3555351F"/>
    <w:rsid w:val="355C2AFF"/>
    <w:rsid w:val="355D1B47"/>
    <w:rsid w:val="355D6871"/>
    <w:rsid w:val="35606D98"/>
    <w:rsid w:val="356150EF"/>
    <w:rsid w:val="35661288"/>
    <w:rsid w:val="356A2A1B"/>
    <w:rsid w:val="357A2F85"/>
    <w:rsid w:val="358636D8"/>
    <w:rsid w:val="358801C8"/>
    <w:rsid w:val="358F18F4"/>
    <w:rsid w:val="359C2EFC"/>
    <w:rsid w:val="359D556F"/>
    <w:rsid w:val="35A26038"/>
    <w:rsid w:val="35A324DC"/>
    <w:rsid w:val="35A65B28"/>
    <w:rsid w:val="35A818A1"/>
    <w:rsid w:val="35B32DD7"/>
    <w:rsid w:val="35B34B94"/>
    <w:rsid w:val="35BA15D4"/>
    <w:rsid w:val="35BF6BEA"/>
    <w:rsid w:val="35C0308E"/>
    <w:rsid w:val="35C36A95"/>
    <w:rsid w:val="35C42453"/>
    <w:rsid w:val="35C83CF1"/>
    <w:rsid w:val="35CF7134"/>
    <w:rsid w:val="35D83F6D"/>
    <w:rsid w:val="35DA1C76"/>
    <w:rsid w:val="35DB4131"/>
    <w:rsid w:val="35E11256"/>
    <w:rsid w:val="35E46651"/>
    <w:rsid w:val="35E52AF5"/>
    <w:rsid w:val="35E84393"/>
    <w:rsid w:val="35EF127D"/>
    <w:rsid w:val="35FB40C6"/>
    <w:rsid w:val="35FB603C"/>
    <w:rsid w:val="360764E2"/>
    <w:rsid w:val="36080591"/>
    <w:rsid w:val="360A60B7"/>
    <w:rsid w:val="36107446"/>
    <w:rsid w:val="361138EA"/>
    <w:rsid w:val="36140CE4"/>
    <w:rsid w:val="361B2189"/>
    <w:rsid w:val="361F74A8"/>
    <w:rsid w:val="36201D7F"/>
    <w:rsid w:val="362B4280"/>
    <w:rsid w:val="362F1FC2"/>
    <w:rsid w:val="36315D3A"/>
    <w:rsid w:val="36347E29"/>
    <w:rsid w:val="36392E40"/>
    <w:rsid w:val="36432D79"/>
    <w:rsid w:val="3643781B"/>
    <w:rsid w:val="36463673"/>
    <w:rsid w:val="364827E6"/>
    <w:rsid w:val="364D26E4"/>
    <w:rsid w:val="36503632"/>
    <w:rsid w:val="36511F38"/>
    <w:rsid w:val="36513CE6"/>
    <w:rsid w:val="3652180C"/>
    <w:rsid w:val="36533F02"/>
    <w:rsid w:val="36581519"/>
    <w:rsid w:val="366003CD"/>
    <w:rsid w:val="36617CA1"/>
    <w:rsid w:val="36631C6B"/>
    <w:rsid w:val="366559E4"/>
    <w:rsid w:val="366A2FFA"/>
    <w:rsid w:val="36714388"/>
    <w:rsid w:val="36734038"/>
    <w:rsid w:val="36735C80"/>
    <w:rsid w:val="3674665B"/>
    <w:rsid w:val="3676374D"/>
    <w:rsid w:val="3679323D"/>
    <w:rsid w:val="367E0853"/>
    <w:rsid w:val="368220F2"/>
    <w:rsid w:val="36826596"/>
    <w:rsid w:val="368340BC"/>
    <w:rsid w:val="36857E34"/>
    <w:rsid w:val="36897924"/>
    <w:rsid w:val="368A71F8"/>
    <w:rsid w:val="368C2F70"/>
    <w:rsid w:val="369167D9"/>
    <w:rsid w:val="36932551"/>
    <w:rsid w:val="36940077"/>
    <w:rsid w:val="369462C9"/>
    <w:rsid w:val="36962041"/>
    <w:rsid w:val="369A12F2"/>
    <w:rsid w:val="369B1405"/>
    <w:rsid w:val="36AE1139"/>
    <w:rsid w:val="36B6623F"/>
    <w:rsid w:val="36BE6EA2"/>
    <w:rsid w:val="36C00E6C"/>
    <w:rsid w:val="36CA1CEB"/>
    <w:rsid w:val="36D3294D"/>
    <w:rsid w:val="36D87CBE"/>
    <w:rsid w:val="36DF5466"/>
    <w:rsid w:val="36E1084C"/>
    <w:rsid w:val="36E36908"/>
    <w:rsid w:val="36E903C3"/>
    <w:rsid w:val="36EF784E"/>
    <w:rsid w:val="36F360A9"/>
    <w:rsid w:val="36FD79CA"/>
    <w:rsid w:val="36FF1994"/>
    <w:rsid w:val="36FF3742"/>
    <w:rsid w:val="370074BA"/>
    <w:rsid w:val="37052D23"/>
    <w:rsid w:val="370E72B0"/>
    <w:rsid w:val="3715740A"/>
    <w:rsid w:val="371B2546"/>
    <w:rsid w:val="371B42F4"/>
    <w:rsid w:val="37215DAE"/>
    <w:rsid w:val="37296A11"/>
    <w:rsid w:val="372B09DB"/>
    <w:rsid w:val="374750E9"/>
    <w:rsid w:val="375515B4"/>
    <w:rsid w:val="37555A58"/>
    <w:rsid w:val="375A6BCB"/>
    <w:rsid w:val="375B2943"/>
    <w:rsid w:val="376143A8"/>
    <w:rsid w:val="376161AB"/>
    <w:rsid w:val="376B0DD8"/>
    <w:rsid w:val="376D2DA2"/>
    <w:rsid w:val="37704A11"/>
    <w:rsid w:val="377063EE"/>
    <w:rsid w:val="3772660A"/>
    <w:rsid w:val="37751C56"/>
    <w:rsid w:val="378620B5"/>
    <w:rsid w:val="378E2D18"/>
    <w:rsid w:val="37927DAB"/>
    <w:rsid w:val="37976071"/>
    <w:rsid w:val="379F6CD3"/>
    <w:rsid w:val="37A91900"/>
    <w:rsid w:val="37B3452D"/>
    <w:rsid w:val="37B95FE7"/>
    <w:rsid w:val="37BF1123"/>
    <w:rsid w:val="37BF2ED1"/>
    <w:rsid w:val="37C14E9C"/>
    <w:rsid w:val="37C329C2"/>
    <w:rsid w:val="37C87FD8"/>
    <w:rsid w:val="37C91FA2"/>
    <w:rsid w:val="37C9354F"/>
    <w:rsid w:val="37D44BCF"/>
    <w:rsid w:val="37DC3A83"/>
    <w:rsid w:val="37DF3574"/>
    <w:rsid w:val="37E61F73"/>
    <w:rsid w:val="37E666B0"/>
    <w:rsid w:val="37E8067A"/>
    <w:rsid w:val="37EA2644"/>
    <w:rsid w:val="37F05781"/>
    <w:rsid w:val="37F70A69"/>
    <w:rsid w:val="37F7266B"/>
    <w:rsid w:val="37F94635"/>
    <w:rsid w:val="37F963E3"/>
    <w:rsid w:val="37FC2378"/>
    <w:rsid w:val="37FC4126"/>
    <w:rsid w:val="37FE39FA"/>
    <w:rsid w:val="38033706"/>
    <w:rsid w:val="380500CD"/>
    <w:rsid w:val="38080D1C"/>
    <w:rsid w:val="380D00E1"/>
    <w:rsid w:val="3810197F"/>
    <w:rsid w:val="381256F7"/>
    <w:rsid w:val="38196A86"/>
    <w:rsid w:val="381C20D2"/>
    <w:rsid w:val="381E5E4A"/>
    <w:rsid w:val="38262F51"/>
    <w:rsid w:val="382A0D6E"/>
    <w:rsid w:val="382D0783"/>
    <w:rsid w:val="382F62A9"/>
    <w:rsid w:val="383438BF"/>
    <w:rsid w:val="38390ED6"/>
    <w:rsid w:val="383A69FC"/>
    <w:rsid w:val="383D6DCE"/>
    <w:rsid w:val="38451629"/>
    <w:rsid w:val="38470BB0"/>
    <w:rsid w:val="384B29B7"/>
    <w:rsid w:val="384D4981"/>
    <w:rsid w:val="384F24A7"/>
    <w:rsid w:val="38637D01"/>
    <w:rsid w:val="386722DD"/>
    <w:rsid w:val="386C3059"/>
    <w:rsid w:val="38741F0E"/>
    <w:rsid w:val="387D61F6"/>
    <w:rsid w:val="388008B3"/>
    <w:rsid w:val="388859B9"/>
    <w:rsid w:val="388A7983"/>
    <w:rsid w:val="388C36FB"/>
    <w:rsid w:val="388D2FD0"/>
    <w:rsid w:val="38A327F3"/>
    <w:rsid w:val="38A50319"/>
    <w:rsid w:val="38A9721D"/>
    <w:rsid w:val="38AE3672"/>
    <w:rsid w:val="38B247E4"/>
    <w:rsid w:val="38B36EDA"/>
    <w:rsid w:val="38BB18EB"/>
    <w:rsid w:val="38C42631"/>
    <w:rsid w:val="38C904AC"/>
    <w:rsid w:val="38CD7870"/>
    <w:rsid w:val="38DB1F8D"/>
    <w:rsid w:val="38DE6685"/>
    <w:rsid w:val="38F744ED"/>
    <w:rsid w:val="38F80A44"/>
    <w:rsid w:val="38FD63A7"/>
    <w:rsid w:val="390414E4"/>
    <w:rsid w:val="39047736"/>
    <w:rsid w:val="3905700A"/>
    <w:rsid w:val="39063779"/>
    <w:rsid w:val="39074B30"/>
    <w:rsid w:val="390E2362"/>
    <w:rsid w:val="391334D5"/>
    <w:rsid w:val="391B682D"/>
    <w:rsid w:val="392A081F"/>
    <w:rsid w:val="392F4087"/>
    <w:rsid w:val="392F5CCC"/>
    <w:rsid w:val="39322FCA"/>
    <w:rsid w:val="39331DC9"/>
    <w:rsid w:val="39363667"/>
    <w:rsid w:val="39447B32"/>
    <w:rsid w:val="39495149"/>
    <w:rsid w:val="394A2C6F"/>
    <w:rsid w:val="394E6C03"/>
    <w:rsid w:val="39535FC7"/>
    <w:rsid w:val="39551D3F"/>
    <w:rsid w:val="39557F91"/>
    <w:rsid w:val="396D6DE6"/>
    <w:rsid w:val="39706B79"/>
    <w:rsid w:val="39755F3E"/>
    <w:rsid w:val="397A4C9C"/>
    <w:rsid w:val="39861EF9"/>
    <w:rsid w:val="39873EC3"/>
    <w:rsid w:val="39897C3B"/>
    <w:rsid w:val="398B39B3"/>
    <w:rsid w:val="39981C2C"/>
    <w:rsid w:val="399C796E"/>
    <w:rsid w:val="399D7242"/>
    <w:rsid w:val="39AD02F7"/>
    <w:rsid w:val="39B051C8"/>
    <w:rsid w:val="39B20F40"/>
    <w:rsid w:val="39B5458C"/>
    <w:rsid w:val="39B6135E"/>
    <w:rsid w:val="39BA7E01"/>
    <w:rsid w:val="39C173D5"/>
    <w:rsid w:val="39C42A21"/>
    <w:rsid w:val="39C80763"/>
    <w:rsid w:val="39CD7B28"/>
    <w:rsid w:val="39D0586A"/>
    <w:rsid w:val="39D23390"/>
    <w:rsid w:val="39D4535A"/>
    <w:rsid w:val="39DC1B0E"/>
    <w:rsid w:val="39FC040D"/>
    <w:rsid w:val="39FC5BB1"/>
    <w:rsid w:val="39FF1CAB"/>
    <w:rsid w:val="3A000EC9"/>
    <w:rsid w:val="3A03179B"/>
    <w:rsid w:val="3A0472C2"/>
    <w:rsid w:val="3A08311C"/>
    <w:rsid w:val="3A084BD3"/>
    <w:rsid w:val="3A0D08F0"/>
    <w:rsid w:val="3A10210A"/>
    <w:rsid w:val="3A175247"/>
    <w:rsid w:val="3A1E0383"/>
    <w:rsid w:val="3A1E4827"/>
    <w:rsid w:val="3A23599A"/>
    <w:rsid w:val="3A2B6F44"/>
    <w:rsid w:val="3A2D6818"/>
    <w:rsid w:val="3A30455A"/>
    <w:rsid w:val="3A306341"/>
    <w:rsid w:val="3A322081"/>
    <w:rsid w:val="3A43428E"/>
    <w:rsid w:val="3A437DEA"/>
    <w:rsid w:val="3A455684"/>
    <w:rsid w:val="3A461688"/>
    <w:rsid w:val="3A4818A4"/>
    <w:rsid w:val="3A4B3142"/>
    <w:rsid w:val="3A4F4D7F"/>
    <w:rsid w:val="3A500759"/>
    <w:rsid w:val="3A563FC1"/>
    <w:rsid w:val="3A5E4C24"/>
    <w:rsid w:val="3A5F274A"/>
    <w:rsid w:val="3A61177C"/>
    <w:rsid w:val="3A647D60"/>
    <w:rsid w:val="3A704957"/>
    <w:rsid w:val="3A816B64"/>
    <w:rsid w:val="3A8874F8"/>
    <w:rsid w:val="3A8D72B7"/>
    <w:rsid w:val="3A946897"/>
    <w:rsid w:val="3A9505F9"/>
    <w:rsid w:val="3A9A2A81"/>
    <w:rsid w:val="3AA0348E"/>
    <w:rsid w:val="3AA20FB4"/>
    <w:rsid w:val="3AA765CB"/>
    <w:rsid w:val="3AA80A39"/>
    <w:rsid w:val="3AAA1C17"/>
    <w:rsid w:val="3AAD713E"/>
    <w:rsid w:val="3AB111F7"/>
    <w:rsid w:val="3AB40CE8"/>
    <w:rsid w:val="3AB46F3A"/>
    <w:rsid w:val="3AC52EF5"/>
    <w:rsid w:val="3AC54CA3"/>
    <w:rsid w:val="3ACB7ED6"/>
    <w:rsid w:val="3ACD1DA9"/>
    <w:rsid w:val="3ACF5B21"/>
    <w:rsid w:val="3AD76784"/>
    <w:rsid w:val="3AD82C28"/>
    <w:rsid w:val="3AD96499"/>
    <w:rsid w:val="3AE2351F"/>
    <w:rsid w:val="3AE55345"/>
    <w:rsid w:val="3AE570F3"/>
    <w:rsid w:val="3AEA64B7"/>
    <w:rsid w:val="3AEC02C7"/>
    <w:rsid w:val="3AEC66D3"/>
    <w:rsid w:val="3AF235BE"/>
    <w:rsid w:val="3AF45588"/>
    <w:rsid w:val="3AF71862"/>
    <w:rsid w:val="3AF85078"/>
    <w:rsid w:val="3B00217F"/>
    <w:rsid w:val="3B003F2D"/>
    <w:rsid w:val="3B0424E7"/>
    <w:rsid w:val="3B07350D"/>
    <w:rsid w:val="3B084B8F"/>
    <w:rsid w:val="3B086ADE"/>
    <w:rsid w:val="3B0C4680"/>
    <w:rsid w:val="3B141786"/>
    <w:rsid w:val="3B1672AC"/>
    <w:rsid w:val="3B223EA3"/>
    <w:rsid w:val="3B345984"/>
    <w:rsid w:val="3B36794F"/>
    <w:rsid w:val="3B392F9B"/>
    <w:rsid w:val="3B3D6F2F"/>
    <w:rsid w:val="3B404329"/>
    <w:rsid w:val="3B455DE4"/>
    <w:rsid w:val="3B463501"/>
    <w:rsid w:val="3B4958D4"/>
    <w:rsid w:val="3B4C0F20"/>
    <w:rsid w:val="3B516536"/>
    <w:rsid w:val="3B5814C5"/>
    <w:rsid w:val="3B581673"/>
    <w:rsid w:val="3B5B73B5"/>
    <w:rsid w:val="3B64626A"/>
    <w:rsid w:val="3B6C511E"/>
    <w:rsid w:val="3B6F4C0F"/>
    <w:rsid w:val="3B7B35B3"/>
    <w:rsid w:val="3B7D732B"/>
    <w:rsid w:val="3B842468"/>
    <w:rsid w:val="3B8E1539"/>
    <w:rsid w:val="3B9528C7"/>
    <w:rsid w:val="3B984165"/>
    <w:rsid w:val="3B985F13"/>
    <w:rsid w:val="3B9A612F"/>
    <w:rsid w:val="3B9A7EDD"/>
    <w:rsid w:val="3B9D5C20"/>
    <w:rsid w:val="3BA0301A"/>
    <w:rsid w:val="3BA725FA"/>
    <w:rsid w:val="3BAC19D4"/>
    <w:rsid w:val="3BAE1BDB"/>
    <w:rsid w:val="3BB014AF"/>
    <w:rsid w:val="3BB17ECF"/>
    <w:rsid w:val="3BB645EB"/>
    <w:rsid w:val="3BC46D08"/>
    <w:rsid w:val="3BC60CD2"/>
    <w:rsid w:val="3BCC2061"/>
    <w:rsid w:val="3BCD19E7"/>
    <w:rsid w:val="3BCD67DC"/>
    <w:rsid w:val="3BDA477E"/>
    <w:rsid w:val="3BDF3B42"/>
    <w:rsid w:val="3BE178BA"/>
    <w:rsid w:val="3BE61375"/>
    <w:rsid w:val="3BE92C13"/>
    <w:rsid w:val="3BF03FA1"/>
    <w:rsid w:val="3BF33702"/>
    <w:rsid w:val="3BF53366"/>
    <w:rsid w:val="3BF649A2"/>
    <w:rsid w:val="3C0812EB"/>
    <w:rsid w:val="3C1159D7"/>
    <w:rsid w:val="3C177780"/>
    <w:rsid w:val="3C1A7270"/>
    <w:rsid w:val="3C21415B"/>
    <w:rsid w:val="3C261771"/>
    <w:rsid w:val="3C2679C3"/>
    <w:rsid w:val="3C2D0D52"/>
    <w:rsid w:val="3C2E6878"/>
    <w:rsid w:val="3C314A94"/>
    <w:rsid w:val="3C320447"/>
    <w:rsid w:val="3C371117"/>
    <w:rsid w:val="3C371BD0"/>
    <w:rsid w:val="3C3976F6"/>
    <w:rsid w:val="3C406CD7"/>
    <w:rsid w:val="3C432323"/>
    <w:rsid w:val="3C4A1903"/>
    <w:rsid w:val="3C4D6CFE"/>
    <w:rsid w:val="3C502C92"/>
    <w:rsid w:val="3C5207B8"/>
    <w:rsid w:val="3C54374C"/>
    <w:rsid w:val="3C574020"/>
    <w:rsid w:val="3C5A141B"/>
    <w:rsid w:val="3C5A3112"/>
    <w:rsid w:val="3C5A39D8"/>
    <w:rsid w:val="3C5B6E7D"/>
    <w:rsid w:val="3C5C1637"/>
    <w:rsid w:val="3C6127A9"/>
    <w:rsid w:val="3C620087"/>
    <w:rsid w:val="3C627490"/>
    <w:rsid w:val="3C700C3E"/>
    <w:rsid w:val="3C706E90"/>
    <w:rsid w:val="3C722C08"/>
    <w:rsid w:val="3C7249B6"/>
    <w:rsid w:val="3C7A0BB5"/>
    <w:rsid w:val="3C805325"/>
    <w:rsid w:val="3C890854"/>
    <w:rsid w:val="3C8D17F0"/>
    <w:rsid w:val="3C8D359E"/>
    <w:rsid w:val="3C8F37BA"/>
    <w:rsid w:val="3C9568F7"/>
    <w:rsid w:val="3CA01693"/>
    <w:rsid w:val="3CB054DF"/>
    <w:rsid w:val="3CBD26E5"/>
    <w:rsid w:val="3CC50F8A"/>
    <w:rsid w:val="3CC82828"/>
    <w:rsid w:val="3CCA034E"/>
    <w:rsid w:val="3CD64F45"/>
    <w:rsid w:val="3CDC5A84"/>
    <w:rsid w:val="3CDE204C"/>
    <w:rsid w:val="3CE753A4"/>
    <w:rsid w:val="3CED228F"/>
    <w:rsid w:val="3CF33D49"/>
    <w:rsid w:val="3CF4361D"/>
    <w:rsid w:val="3CF6609B"/>
    <w:rsid w:val="3CF8135F"/>
    <w:rsid w:val="3CFE26EE"/>
    <w:rsid w:val="3D0153D1"/>
    <w:rsid w:val="3D0869A7"/>
    <w:rsid w:val="3D0F0457"/>
    <w:rsid w:val="3D0F66A9"/>
    <w:rsid w:val="3D1E4B3E"/>
    <w:rsid w:val="3D29776B"/>
    <w:rsid w:val="3D2F28A7"/>
    <w:rsid w:val="3D344362"/>
    <w:rsid w:val="3D3F6F8E"/>
    <w:rsid w:val="3D45031D"/>
    <w:rsid w:val="3D485717"/>
    <w:rsid w:val="3D4916EE"/>
    <w:rsid w:val="3D53380E"/>
    <w:rsid w:val="3D54230E"/>
    <w:rsid w:val="3D5642D8"/>
    <w:rsid w:val="3D567E34"/>
    <w:rsid w:val="3D5D11C3"/>
    <w:rsid w:val="3D62771D"/>
    <w:rsid w:val="3D6C4AE1"/>
    <w:rsid w:val="3D766728"/>
    <w:rsid w:val="3D7A7FC6"/>
    <w:rsid w:val="3D7B3D3F"/>
    <w:rsid w:val="3D874491"/>
    <w:rsid w:val="3D8C5F4C"/>
    <w:rsid w:val="3D956BAE"/>
    <w:rsid w:val="3D98669F"/>
    <w:rsid w:val="3D9B7F3D"/>
    <w:rsid w:val="3DA52B6A"/>
    <w:rsid w:val="3DAC3EF8"/>
    <w:rsid w:val="3DB334D8"/>
    <w:rsid w:val="3DBD7EB3"/>
    <w:rsid w:val="3DC65A10"/>
    <w:rsid w:val="3DDD67A7"/>
    <w:rsid w:val="3DDF42CD"/>
    <w:rsid w:val="3DE713D4"/>
    <w:rsid w:val="3DEE4511"/>
    <w:rsid w:val="3DF338D5"/>
    <w:rsid w:val="3DFD6502"/>
    <w:rsid w:val="3DFF671E"/>
    <w:rsid w:val="3E03620E"/>
    <w:rsid w:val="3E063608"/>
    <w:rsid w:val="3E1440E6"/>
    <w:rsid w:val="3E1A5306"/>
    <w:rsid w:val="3E1F0B55"/>
    <w:rsid w:val="3E265A58"/>
    <w:rsid w:val="3E300685"/>
    <w:rsid w:val="3E3C34CE"/>
    <w:rsid w:val="3E4B1963"/>
    <w:rsid w:val="3E4F1453"/>
    <w:rsid w:val="3E5500EC"/>
    <w:rsid w:val="3E573E64"/>
    <w:rsid w:val="3E612F34"/>
    <w:rsid w:val="3E630A5B"/>
    <w:rsid w:val="3E641F4F"/>
    <w:rsid w:val="3E646864"/>
    <w:rsid w:val="3E6B5B61"/>
    <w:rsid w:val="3E6D3687"/>
    <w:rsid w:val="3E6E73FF"/>
    <w:rsid w:val="3E75078E"/>
    <w:rsid w:val="3E810EE1"/>
    <w:rsid w:val="3E8135D7"/>
    <w:rsid w:val="3E815385"/>
    <w:rsid w:val="3E8D7925"/>
    <w:rsid w:val="3E951987"/>
    <w:rsid w:val="3E9926CE"/>
    <w:rsid w:val="3EB23790"/>
    <w:rsid w:val="3EB72B54"/>
    <w:rsid w:val="3EB92D70"/>
    <w:rsid w:val="3EB94B1E"/>
    <w:rsid w:val="3EBA43F3"/>
    <w:rsid w:val="3EBA4ABC"/>
    <w:rsid w:val="3EBB0897"/>
    <w:rsid w:val="3EBC460F"/>
    <w:rsid w:val="3EBE3EE3"/>
    <w:rsid w:val="3EC040FF"/>
    <w:rsid w:val="3EC3599D"/>
    <w:rsid w:val="3EC55271"/>
    <w:rsid w:val="3ECA6D2C"/>
    <w:rsid w:val="3ECC7453"/>
    <w:rsid w:val="3ECD2378"/>
    <w:rsid w:val="3ECF7E9E"/>
    <w:rsid w:val="3EDB4A95"/>
    <w:rsid w:val="3EDE6333"/>
    <w:rsid w:val="3EE95859"/>
    <w:rsid w:val="3EEB0A50"/>
    <w:rsid w:val="3EEC4EF4"/>
    <w:rsid w:val="3EF22ABA"/>
    <w:rsid w:val="3EF93C66"/>
    <w:rsid w:val="3EFB0C93"/>
    <w:rsid w:val="3EFE69D5"/>
    <w:rsid w:val="3F0062A9"/>
    <w:rsid w:val="3F0264C5"/>
    <w:rsid w:val="3F0C1519"/>
    <w:rsid w:val="3F11495A"/>
    <w:rsid w:val="3F182351"/>
    <w:rsid w:val="3F1955BD"/>
    <w:rsid w:val="3F19736B"/>
    <w:rsid w:val="3F1B1335"/>
    <w:rsid w:val="3F1D32FF"/>
    <w:rsid w:val="3F1E7077"/>
    <w:rsid w:val="3F2006FA"/>
    <w:rsid w:val="3F20694C"/>
    <w:rsid w:val="3F214472"/>
    <w:rsid w:val="3F2301EA"/>
    <w:rsid w:val="3F285E40"/>
    <w:rsid w:val="3F2B709E"/>
    <w:rsid w:val="3F32667F"/>
    <w:rsid w:val="3F341061"/>
    <w:rsid w:val="3F3A29A8"/>
    <w:rsid w:val="3F3B19D7"/>
    <w:rsid w:val="3F3B3785"/>
    <w:rsid w:val="3F407C75"/>
    <w:rsid w:val="3F520ACF"/>
    <w:rsid w:val="3F650802"/>
    <w:rsid w:val="3F6A5E19"/>
    <w:rsid w:val="3F6A6789"/>
    <w:rsid w:val="3F746C97"/>
    <w:rsid w:val="3F7552E3"/>
    <w:rsid w:val="3F8073EA"/>
    <w:rsid w:val="3F8213B4"/>
    <w:rsid w:val="3F854A01"/>
    <w:rsid w:val="3F874C1D"/>
    <w:rsid w:val="3F87704C"/>
    <w:rsid w:val="3F970711"/>
    <w:rsid w:val="3FA255B3"/>
    <w:rsid w:val="3FA330D9"/>
    <w:rsid w:val="3FAE21A9"/>
    <w:rsid w:val="3FB11C9A"/>
    <w:rsid w:val="3FB452E6"/>
    <w:rsid w:val="3FB47094"/>
    <w:rsid w:val="3FC17179"/>
    <w:rsid w:val="3FCC6874"/>
    <w:rsid w:val="3FDA11F0"/>
    <w:rsid w:val="3FDB2873"/>
    <w:rsid w:val="3FDB6D16"/>
    <w:rsid w:val="3FDD2A8F"/>
    <w:rsid w:val="3FDD483D"/>
    <w:rsid w:val="3FE058A8"/>
    <w:rsid w:val="3FEC2CD2"/>
    <w:rsid w:val="3FEC4A80"/>
    <w:rsid w:val="3FEE25A6"/>
    <w:rsid w:val="3FF51B86"/>
    <w:rsid w:val="400B75FC"/>
    <w:rsid w:val="401C35B7"/>
    <w:rsid w:val="401F6C03"/>
    <w:rsid w:val="40204729"/>
    <w:rsid w:val="4024421A"/>
    <w:rsid w:val="40251D40"/>
    <w:rsid w:val="40336F0D"/>
    <w:rsid w:val="403542CB"/>
    <w:rsid w:val="403C2513"/>
    <w:rsid w:val="403D52DB"/>
    <w:rsid w:val="40414DCB"/>
    <w:rsid w:val="4042414A"/>
    <w:rsid w:val="40493C80"/>
    <w:rsid w:val="4050500F"/>
    <w:rsid w:val="40532D51"/>
    <w:rsid w:val="40550A27"/>
    <w:rsid w:val="405A5E8D"/>
    <w:rsid w:val="406F2A31"/>
    <w:rsid w:val="40730CFD"/>
    <w:rsid w:val="408A49C4"/>
    <w:rsid w:val="408D0011"/>
    <w:rsid w:val="408D6263"/>
    <w:rsid w:val="4093139F"/>
    <w:rsid w:val="40970E8F"/>
    <w:rsid w:val="40972C3D"/>
    <w:rsid w:val="409C64A6"/>
    <w:rsid w:val="40A37834"/>
    <w:rsid w:val="40A47108"/>
    <w:rsid w:val="40A8309D"/>
    <w:rsid w:val="40AB493B"/>
    <w:rsid w:val="40B437EF"/>
    <w:rsid w:val="40BA4B7E"/>
    <w:rsid w:val="40BC08F6"/>
    <w:rsid w:val="40BE01CA"/>
    <w:rsid w:val="40BE641C"/>
    <w:rsid w:val="40CB6D8B"/>
    <w:rsid w:val="40CC3328"/>
    <w:rsid w:val="40D11D92"/>
    <w:rsid w:val="40D7128C"/>
    <w:rsid w:val="40E439A9"/>
    <w:rsid w:val="40E83499"/>
    <w:rsid w:val="40F778EA"/>
    <w:rsid w:val="40F77B80"/>
    <w:rsid w:val="40FB141E"/>
    <w:rsid w:val="40FC0CF2"/>
    <w:rsid w:val="40FE2CBD"/>
    <w:rsid w:val="4101455B"/>
    <w:rsid w:val="4105404B"/>
    <w:rsid w:val="410A1661"/>
    <w:rsid w:val="41126768"/>
    <w:rsid w:val="411B386E"/>
    <w:rsid w:val="41202C33"/>
    <w:rsid w:val="41224D6D"/>
    <w:rsid w:val="41270465"/>
    <w:rsid w:val="41306BEE"/>
    <w:rsid w:val="413B7A6D"/>
    <w:rsid w:val="413E57AF"/>
    <w:rsid w:val="414508EB"/>
    <w:rsid w:val="41502D53"/>
    <w:rsid w:val="415154E2"/>
    <w:rsid w:val="41524DB6"/>
    <w:rsid w:val="41526B64"/>
    <w:rsid w:val="4153125A"/>
    <w:rsid w:val="415347CF"/>
    <w:rsid w:val="415B3C6B"/>
    <w:rsid w:val="41621DCB"/>
    <w:rsid w:val="41630D72"/>
    <w:rsid w:val="41670FDA"/>
    <w:rsid w:val="416A4FA6"/>
    <w:rsid w:val="416A65A4"/>
    <w:rsid w:val="416C5E78"/>
    <w:rsid w:val="417116E0"/>
    <w:rsid w:val="417E3DFD"/>
    <w:rsid w:val="41801923"/>
    <w:rsid w:val="418238EE"/>
    <w:rsid w:val="4182744A"/>
    <w:rsid w:val="4185518C"/>
    <w:rsid w:val="418F1B67"/>
    <w:rsid w:val="41994793"/>
    <w:rsid w:val="419B050B"/>
    <w:rsid w:val="419B49AF"/>
    <w:rsid w:val="41A01FC6"/>
    <w:rsid w:val="41A429FE"/>
    <w:rsid w:val="41A43864"/>
    <w:rsid w:val="41A74FDC"/>
    <w:rsid w:val="41AC2719"/>
    <w:rsid w:val="41AC44C7"/>
    <w:rsid w:val="41AF045B"/>
    <w:rsid w:val="41B25855"/>
    <w:rsid w:val="41B94E35"/>
    <w:rsid w:val="41B97316"/>
    <w:rsid w:val="41C2018E"/>
    <w:rsid w:val="41C31810"/>
    <w:rsid w:val="41C51A2C"/>
    <w:rsid w:val="41CA2B9F"/>
    <w:rsid w:val="41CA7043"/>
    <w:rsid w:val="41D37CA5"/>
    <w:rsid w:val="41D43A1D"/>
    <w:rsid w:val="41D67795"/>
    <w:rsid w:val="41D91034"/>
    <w:rsid w:val="41DB68B9"/>
    <w:rsid w:val="41E40EAE"/>
    <w:rsid w:val="41E53E7C"/>
    <w:rsid w:val="41EA3241"/>
    <w:rsid w:val="41EB4E51"/>
    <w:rsid w:val="41EC3710"/>
    <w:rsid w:val="41F61F30"/>
    <w:rsid w:val="41FD4D22"/>
    <w:rsid w:val="420100B2"/>
    <w:rsid w:val="42051E29"/>
    <w:rsid w:val="420662CD"/>
    <w:rsid w:val="42216661"/>
    <w:rsid w:val="42220A0F"/>
    <w:rsid w:val="42276243"/>
    <w:rsid w:val="422B5D33"/>
    <w:rsid w:val="423050F8"/>
    <w:rsid w:val="424010B3"/>
    <w:rsid w:val="42404F2E"/>
    <w:rsid w:val="424E1A22"/>
    <w:rsid w:val="42530EAA"/>
    <w:rsid w:val="4262727B"/>
    <w:rsid w:val="42652791"/>
    <w:rsid w:val="426D00FA"/>
    <w:rsid w:val="42705943"/>
    <w:rsid w:val="42733236"/>
    <w:rsid w:val="428B1E10"/>
    <w:rsid w:val="428C42F8"/>
    <w:rsid w:val="428C60A6"/>
    <w:rsid w:val="429D6505"/>
    <w:rsid w:val="42A47894"/>
    <w:rsid w:val="42A81132"/>
    <w:rsid w:val="42AB2039"/>
    <w:rsid w:val="42AD19B0"/>
    <w:rsid w:val="42AD499A"/>
    <w:rsid w:val="42AE24C0"/>
    <w:rsid w:val="42B0448A"/>
    <w:rsid w:val="42C256EF"/>
    <w:rsid w:val="42C35F6C"/>
    <w:rsid w:val="42D130A8"/>
    <w:rsid w:val="42D40179"/>
    <w:rsid w:val="42E24CD9"/>
    <w:rsid w:val="42E61C5A"/>
    <w:rsid w:val="42F223AD"/>
    <w:rsid w:val="42F26851"/>
    <w:rsid w:val="42F56341"/>
    <w:rsid w:val="42F9198D"/>
    <w:rsid w:val="42FC322C"/>
    <w:rsid w:val="430869F4"/>
    <w:rsid w:val="430A1DED"/>
    <w:rsid w:val="43140575"/>
    <w:rsid w:val="431467C7"/>
    <w:rsid w:val="431542ED"/>
    <w:rsid w:val="43252782"/>
    <w:rsid w:val="432602A9"/>
    <w:rsid w:val="4326474D"/>
    <w:rsid w:val="43282273"/>
    <w:rsid w:val="43284021"/>
    <w:rsid w:val="43291B47"/>
    <w:rsid w:val="43293223"/>
    <w:rsid w:val="434A043B"/>
    <w:rsid w:val="434E1587"/>
    <w:rsid w:val="43502618"/>
    <w:rsid w:val="4369709F"/>
    <w:rsid w:val="436B215F"/>
    <w:rsid w:val="436F39FE"/>
    <w:rsid w:val="436F7EA2"/>
    <w:rsid w:val="43741014"/>
    <w:rsid w:val="43770B04"/>
    <w:rsid w:val="43776D56"/>
    <w:rsid w:val="438E2009"/>
    <w:rsid w:val="439E0787"/>
    <w:rsid w:val="43A37705"/>
    <w:rsid w:val="43A87B6F"/>
    <w:rsid w:val="43B25232"/>
    <w:rsid w:val="43B27D8E"/>
    <w:rsid w:val="43B458B4"/>
    <w:rsid w:val="43BD0C0D"/>
    <w:rsid w:val="43BF2BD7"/>
    <w:rsid w:val="43C006FD"/>
    <w:rsid w:val="43C7383A"/>
    <w:rsid w:val="43CD4BC8"/>
    <w:rsid w:val="43CF0940"/>
    <w:rsid w:val="43CF6B92"/>
    <w:rsid w:val="43E71662"/>
    <w:rsid w:val="43E77A38"/>
    <w:rsid w:val="43EC504E"/>
    <w:rsid w:val="43F108B7"/>
    <w:rsid w:val="43F16B09"/>
    <w:rsid w:val="43F263DD"/>
    <w:rsid w:val="43F955DA"/>
    <w:rsid w:val="43FE2FD4"/>
    <w:rsid w:val="44024872"/>
    <w:rsid w:val="4416656F"/>
    <w:rsid w:val="442C7B41"/>
    <w:rsid w:val="44305883"/>
    <w:rsid w:val="443F7874"/>
    <w:rsid w:val="444924A1"/>
    <w:rsid w:val="44531571"/>
    <w:rsid w:val="44586B88"/>
    <w:rsid w:val="445B21D4"/>
    <w:rsid w:val="44643203"/>
    <w:rsid w:val="4464552C"/>
    <w:rsid w:val="446C55DF"/>
    <w:rsid w:val="44735770"/>
    <w:rsid w:val="447A6AFE"/>
    <w:rsid w:val="447D2967"/>
    <w:rsid w:val="44886565"/>
    <w:rsid w:val="448F0F93"/>
    <w:rsid w:val="4493196E"/>
    <w:rsid w:val="449515F4"/>
    <w:rsid w:val="4496320C"/>
    <w:rsid w:val="4497145E"/>
    <w:rsid w:val="44A122DD"/>
    <w:rsid w:val="44A21BB1"/>
    <w:rsid w:val="44A43B7B"/>
    <w:rsid w:val="44A74AF6"/>
    <w:rsid w:val="44A8225F"/>
    <w:rsid w:val="44AD0C81"/>
    <w:rsid w:val="44B1016D"/>
    <w:rsid w:val="44B32010"/>
    <w:rsid w:val="44B518E4"/>
    <w:rsid w:val="44B85878"/>
    <w:rsid w:val="44BD4C3D"/>
    <w:rsid w:val="44C10289"/>
    <w:rsid w:val="44C45FCB"/>
    <w:rsid w:val="44CB735A"/>
    <w:rsid w:val="44D2693A"/>
    <w:rsid w:val="44D3620E"/>
    <w:rsid w:val="44E328F5"/>
    <w:rsid w:val="44E977E0"/>
    <w:rsid w:val="44FF0305"/>
    <w:rsid w:val="44FF7003"/>
    <w:rsid w:val="45036AF3"/>
    <w:rsid w:val="450E7246"/>
    <w:rsid w:val="451000FB"/>
    <w:rsid w:val="45156827"/>
    <w:rsid w:val="452627E2"/>
    <w:rsid w:val="45284162"/>
    <w:rsid w:val="452D3B70"/>
    <w:rsid w:val="452D591E"/>
    <w:rsid w:val="45344EFF"/>
    <w:rsid w:val="453A003B"/>
    <w:rsid w:val="453E7B2C"/>
    <w:rsid w:val="453F5652"/>
    <w:rsid w:val="454224AB"/>
    <w:rsid w:val="4543393B"/>
    <w:rsid w:val="454964D0"/>
    <w:rsid w:val="454A4722"/>
    <w:rsid w:val="4550785F"/>
    <w:rsid w:val="45571DB1"/>
    <w:rsid w:val="45596713"/>
    <w:rsid w:val="45626EC4"/>
    <w:rsid w:val="45682DFA"/>
    <w:rsid w:val="456A0921"/>
    <w:rsid w:val="456B4699"/>
    <w:rsid w:val="45717F01"/>
    <w:rsid w:val="45815C6A"/>
    <w:rsid w:val="458B0897"/>
    <w:rsid w:val="458D0AB3"/>
    <w:rsid w:val="458D4F23"/>
    <w:rsid w:val="45921C25"/>
    <w:rsid w:val="45943BEF"/>
    <w:rsid w:val="4594599D"/>
    <w:rsid w:val="459B31D0"/>
    <w:rsid w:val="459B6D2C"/>
    <w:rsid w:val="45A002F6"/>
    <w:rsid w:val="45A007E6"/>
    <w:rsid w:val="45A2455E"/>
    <w:rsid w:val="45A831F7"/>
    <w:rsid w:val="45AB2CE7"/>
    <w:rsid w:val="45B44292"/>
    <w:rsid w:val="45B61DB8"/>
    <w:rsid w:val="45B95404"/>
    <w:rsid w:val="45C2075D"/>
    <w:rsid w:val="45C30031"/>
    <w:rsid w:val="45CF4C28"/>
    <w:rsid w:val="45D325CF"/>
    <w:rsid w:val="45D34FB0"/>
    <w:rsid w:val="45E00BE3"/>
    <w:rsid w:val="45E2495B"/>
    <w:rsid w:val="45E71F71"/>
    <w:rsid w:val="45E96BA7"/>
    <w:rsid w:val="45EE1552"/>
    <w:rsid w:val="45FF375F"/>
    <w:rsid w:val="4605689B"/>
    <w:rsid w:val="46132D66"/>
    <w:rsid w:val="46146ADE"/>
    <w:rsid w:val="46164604"/>
    <w:rsid w:val="461940F5"/>
    <w:rsid w:val="461B3F2B"/>
    <w:rsid w:val="462036D5"/>
    <w:rsid w:val="462A6302"/>
    <w:rsid w:val="462C4325"/>
    <w:rsid w:val="463351B6"/>
    <w:rsid w:val="46470C62"/>
    <w:rsid w:val="464753FC"/>
    <w:rsid w:val="46511AE0"/>
    <w:rsid w:val="46560EA5"/>
    <w:rsid w:val="465F5FAB"/>
    <w:rsid w:val="466B51C1"/>
    <w:rsid w:val="466C2476"/>
    <w:rsid w:val="466E4440"/>
    <w:rsid w:val="46731A57"/>
    <w:rsid w:val="46751EA6"/>
    <w:rsid w:val="467B24A4"/>
    <w:rsid w:val="467B6B5D"/>
    <w:rsid w:val="46805F22"/>
    <w:rsid w:val="4685165B"/>
    <w:rsid w:val="468D44FA"/>
    <w:rsid w:val="46955E71"/>
    <w:rsid w:val="469A3487"/>
    <w:rsid w:val="469B2D5C"/>
    <w:rsid w:val="469C7200"/>
    <w:rsid w:val="46A75BA4"/>
    <w:rsid w:val="46A95163"/>
    <w:rsid w:val="46AC31BB"/>
    <w:rsid w:val="46B1257F"/>
    <w:rsid w:val="46B502C1"/>
    <w:rsid w:val="46B856BC"/>
    <w:rsid w:val="46BA7686"/>
    <w:rsid w:val="46BD634E"/>
    <w:rsid w:val="46BF4C9C"/>
    <w:rsid w:val="46D12D67"/>
    <w:rsid w:val="46D26F40"/>
    <w:rsid w:val="46DB13AA"/>
    <w:rsid w:val="46E75FA1"/>
    <w:rsid w:val="46EB3CE3"/>
    <w:rsid w:val="46EF5109"/>
    <w:rsid w:val="46F732B1"/>
    <w:rsid w:val="47060B1D"/>
    <w:rsid w:val="470628CB"/>
    <w:rsid w:val="471072A6"/>
    <w:rsid w:val="472114B3"/>
    <w:rsid w:val="47215957"/>
    <w:rsid w:val="472521A5"/>
    <w:rsid w:val="472965B9"/>
    <w:rsid w:val="472D60AA"/>
    <w:rsid w:val="47305B9A"/>
    <w:rsid w:val="4739152E"/>
    <w:rsid w:val="47394A4E"/>
    <w:rsid w:val="473B4A6F"/>
    <w:rsid w:val="474150F7"/>
    <w:rsid w:val="474433F3"/>
    <w:rsid w:val="474451A1"/>
    <w:rsid w:val="47452CCC"/>
    <w:rsid w:val="47462CC7"/>
    <w:rsid w:val="474B29D4"/>
    <w:rsid w:val="474E6020"/>
    <w:rsid w:val="47525B10"/>
    <w:rsid w:val="47541888"/>
    <w:rsid w:val="475D4CD9"/>
    <w:rsid w:val="475E2707"/>
    <w:rsid w:val="47694C08"/>
    <w:rsid w:val="476F0470"/>
    <w:rsid w:val="477C2B8D"/>
    <w:rsid w:val="477F61D9"/>
    <w:rsid w:val="47841A42"/>
    <w:rsid w:val="478832E0"/>
    <w:rsid w:val="478F4065"/>
    <w:rsid w:val="479C6D8B"/>
    <w:rsid w:val="47BF7F9B"/>
    <w:rsid w:val="47C702AC"/>
    <w:rsid w:val="47C85DD2"/>
    <w:rsid w:val="47D44777"/>
    <w:rsid w:val="47DB5B06"/>
    <w:rsid w:val="47DE73B4"/>
    <w:rsid w:val="47E32C0C"/>
    <w:rsid w:val="47E81FD1"/>
    <w:rsid w:val="47EA3F9B"/>
    <w:rsid w:val="47ED3A8B"/>
    <w:rsid w:val="47EF335F"/>
    <w:rsid w:val="47F72214"/>
    <w:rsid w:val="47F73984"/>
    <w:rsid w:val="48082673"/>
    <w:rsid w:val="480D1A37"/>
    <w:rsid w:val="480F57AF"/>
    <w:rsid w:val="48111527"/>
    <w:rsid w:val="481B23A6"/>
    <w:rsid w:val="481D7ECC"/>
    <w:rsid w:val="482E032B"/>
    <w:rsid w:val="482F19AD"/>
    <w:rsid w:val="482F5E51"/>
    <w:rsid w:val="4830797A"/>
    <w:rsid w:val="4838010F"/>
    <w:rsid w:val="48482A6F"/>
    <w:rsid w:val="484A4A39"/>
    <w:rsid w:val="48541414"/>
    <w:rsid w:val="485C10D1"/>
    <w:rsid w:val="48643D4D"/>
    <w:rsid w:val="48657AC5"/>
    <w:rsid w:val="48691363"/>
    <w:rsid w:val="486971CF"/>
    <w:rsid w:val="486A50DB"/>
    <w:rsid w:val="486C0E54"/>
    <w:rsid w:val="486E697A"/>
    <w:rsid w:val="486F624E"/>
    <w:rsid w:val="487B2E45"/>
    <w:rsid w:val="489D725F"/>
    <w:rsid w:val="48A04659"/>
    <w:rsid w:val="48A71E8C"/>
    <w:rsid w:val="48B12D0A"/>
    <w:rsid w:val="48B9571B"/>
    <w:rsid w:val="48BA1BBF"/>
    <w:rsid w:val="48BD16AF"/>
    <w:rsid w:val="48C865B9"/>
    <w:rsid w:val="48CC36A0"/>
    <w:rsid w:val="48D16F09"/>
    <w:rsid w:val="48D52555"/>
    <w:rsid w:val="48DA5DBD"/>
    <w:rsid w:val="48DA7B6B"/>
    <w:rsid w:val="48DD3AFF"/>
    <w:rsid w:val="48E07B1F"/>
    <w:rsid w:val="48E409EA"/>
    <w:rsid w:val="48EC789E"/>
    <w:rsid w:val="490948F4"/>
    <w:rsid w:val="490B2684"/>
    <w:rsid w:val="490C1CEF"/>
    <w:rsid w:val="490F36B9"/>
    <w:rsid w:val="49105C83"/>
    <w:rsid w:val="49131562"/>
    <w:rsid w:val="4913307D"/>
    <w:rsid w:val="49137521"/>
    <w:rsid w:val="491F1A22"/>
    <w:rsid w:val="49261E5D"/>
    <w:rsid w:val="49292CBC"/>
    <w:rsid w:val="492C413F"/>
    <w:rsid w:val="492D2391"/>
    <w:rsid w:val="492E6109"/>
    <w:rsid w:val="49303C2F"/>
    <w:rsid w:val="4933371F"/>
    <w:rsid w:val="4944592C"/>
    <w:rsid w:val="49494CF1"/>
    <w:rsid w:val="49557B3A"/>
    <w:rsid w:val="495A6EFE"/>
    <w:rsid w:val="495F62C2"/>
    <w:rsid w:val="4968161B"/>
    <w:rsid w:val="496B2EB9"/>
    <w:rsid w:val="496D09DF"/>
    <w:rsid w:val="4972249A"/>
    <w:rsid w:val="49773C28"/>
    <w:rsid w:val="497A134E"/>
    <w:rsid w:val="497C6E74"/>
    <w:rsid w:val="497D499A"/>
    <w:rsid w:val="498521CD"/>
    <w:rsid w:val="498A77E3"/>
    <w:rsid w:val="498C7B7B"/>
    <w:rsid w:val="498E0956"/>
    <w:rsid w:val="49926698"/>
    <w:rsid w:val="49957F36"/>
    <w:rsid w:val="49973CAE"/>
    <w:rsid w:val="499917D4"/>
    <w:rsid w:val="49995C78"/>
    <w:rsid w:val="49A07007"/>
    <w:rsid w:val="49A168DB"/>
    <w:rsid w:val="49A53A03"/>
    <w:rsid w:val="49B52386"/>
    <w:rsid w:val="49BF6D61"/>
    <w:rsid w:val="49C01457"/>
    <w:rsid w:val="49C32CF5"/>
    <w:rsid w:val="49C600F0"/>
    <w:rsid w:val="49CA5E32"/>
    <w:rsid w:val="49D7054F"/>
    <w:rsid w:val="49D97E23"/>
    <w:rsid w:val="49E9692C"/>
    <w:rsid w:val="49EA0282"/>
    <w:rsid w:val="49EC6AA4"/>
    <w:rsid w:val="49F66C27"/>
    <w:rsid w:val="49FE5ADB"/>
    <w:rsid w:val="4A050C18"/>
    <w:rsid w:val="4A08695A"/>
    <w:rsid w:val="4A0A26D2"/>
    <w:rsid w:val="4A0B01F8"/>
    <w:rsid w:val="4A123335"/>
    <w:rsid w:val="4A236403"/>
    <w:rsid w:val="4A25108C"/>
    <w:rsid w:val="4A2A68D0"/>
    <w:rsid w:val="4A2C089A"/>
    <w:rsid w:val="4A3239D7"/>
    <w:rsid w:val="4A325785"/>
    <w:rsid w:val="4A3D4856"/>
    <w:rsid w:val="4A4200BE"/>
    <w:rsid w:val="4A5120AF"/>
    <w:rsid w:val="4A541B9F"/>
    <w:rsid w:val="4A5971B6"/>
    <w:rsid w:val="4A5B2F2E"/>
    <w:rsid w:val="4A5C2802"/>
    <w:rsid w:val="4A6022F2"/>
    <w:rsid w:val="4A606796"/>
    <w:rsid w:val="4A632E73"/>
    <w:rsid w:val="4A734B46"/>
    <w:rsid w:val="4A7766F7"/>
    <w:rsid w:val="4A7A57E6"/>
    <w:rsid w:val="4A7B712C"/>
    <w:rsid w:val="4A7D10F6"/>
    <w:rsid w:val="4A8204BA"/>
    <w:rsid w:val="4A833A63"/>
    <w:rsid w:val="4A871F75"/>
    <w:rsid w:val="4A895743"/>
    <w:rsid w:val="4A897A9B"/>
    <w:rsid w:val="4A8A736F"/>
    <w:rsid w:val="4A9326C8"/>
    <w:rsid w:val="4A946440"/>
    <w:rsid w:val="4A987CDE"/>
    <w:rsid w:val="4A9B332A"/>
    <w:rsid w:val="4AA85A47"/>
    <w:rsid w:val="4AAC19DB"/>
    <w:rsid w:val="4AAF6DD6"/>
    <w:rsid w:val="4AB34B18"/>
    <w:rsid w:val="4AB608C9"/>
    <w:rsid w:val="4AB8212E"/>
    <w:rsid w:val="4AC26B09"/>
    <w:rsid w:val="4AC7411F"/>
    <w:rsid w:val="4AC81120"/>
    <w:rsid w:val="4ACC3E2B"/>
    <w:rsid w:val="4AD66A58"/>
    <w:rsid w:val="4ADA02F6"/>
    <w:rsid w:val="4ADD7DE7"/>
    <w:rsid w:val="4ADF76BB"/>
    <w:rsid w:val="4AE15446"/>
    <w:rsid w:val="4AF027BA"/>
    <w:rsid w:val="4B1172F2"/>
    <w:rsid w:val="4B134687"/>
    <w:rsid w:val="4B143062"/>
    <w:rsid w:val="4B1B446B"/>
    <w:rsid w:val="4B1D4687"/>
    <w:rsid w:val="4B241572"/>
    <w:rsid w:val="4B26353C"/>
    <w:rsid w:val="4B2652EA"/>
    <w:rsid w:val="4B2C48CA"/>
    <w:rsid w:val="4B386DCB"/>
    <w:rsid w:val="4B3A6FE7"/>
    <w:rsid w:val="4B4614E8"/>
    <w:rsid w:val="4B4B2FA2"/>
    <w:rsid w:val="4B4E4840"/>
    <w:rsid w:val="4B50680B"/>
    <w:rsid w:val="4B523D1F"/>
    <w:rsid w:val="4B5859EE"/>
    <w:rsid w:val="4B5F07FC"/>
    <w:rsid w:val="4B62209A"/>
    <w:rsid w:val="4B7A3887"/>
    <w:rsid w:val="4B8464B4"/>
    <w:rsid w:val="4B866C2C"/>
    <w:rsid w:val="4B8678A9"/>
    <w:rsid w:val="4B871B00"/>
    <w:rsid w:val="4B893ACB"/>
    <w:rsid w:val="4B8A1D1C"/>
    <w:rsid w:val="4BA44460"/>
    <w:rsid w:val="4BA803F5"/>
    <w:rsid w:val="4BA821A3"/>
    <w:rsid w:val="4BAB0312"/>
    <w:rsid w:val="4BAF3531"/>
    <w:rsid w:val="4BB01057"/>
    <w:rsid w:val="4BB24DCF"/>
    <w:rsid w:val="4BB32AF5"/>
    <w:rsid w:val="4BBD5522"/>
    <w:rsid w:val="4BC52D55"/>
    <w:rsid w:val="4BD016F9"/>
    <w:rsid w:val="4BD60A37"/>
    <w:rsid w:val="4BD74836"/>
    <w:rsid w:val="4BDF36EB"/>
    <w:rsid w:val="4BE156B5"/>
    <w:rsid w:val="4BE35556"/>
    <w:rsid w:val="4BE56F53"/>
    <w:rsid w:val="4BFE0015"/>
    <w:rsid w:val="4C003D8D"/>
    <w:rsid w:val="4C0118B3"/>
    <w:rsid w:val="4C013661"/>
    <w:rsid w:val="4C0513A3"/>
    <w:rsid w:val="4C094415"/>
    <w:rsid w:val="4C121D12"/>
    <w:rsid w:val="4C1A57FA"/>
    <w:rsid w:val="4C213D03"/>
    <w:rsid w:val="4C2C7B9B"/>
    <w:rsid w:val="4C303F46"/>
    <w:rsid w:val="4C3103EA"/>
    <w:rsid w:val="4C324162"/>
    <w:rsid w:val="4C341EBE"/>
    <w:rsid w:val="4C3B0322"/>
    <w:rsid w:val="4C3B3017"/>
    <w:rsid w:val="4C3B58CF"/>
    <w:rsid w:val="4C431ECB"/>
    <w:rsid w:val="4C4579F1"/>
    <w:rsid w:val="4C46376A"/>
    <w:rsid w:val="4C4A325A"/>
    <w:rsid w:val="4C4C6FD2"/>
    <w:rsid w:val="4C546E1B"/>
    <w:rsid w:val="4C650094"/>
    <w:rsid w:val="4C6562E6"/>
    <w:rsid w:val="4C7327B1"/>
    <w:rsid w:val="4C746529"/>
    <w:rsid w:val="4C7B78B7"/>
    <w:rsid w:val="4C7C306F"/>
    <w:rsid w:val="4C7E2F03"/>
    <w:rsid w:val="4C8449BE"/>
    <w:rsid w:val="4C8524E4"/>
    <w:rsid w:val="4C854292"/>
    <w:rsid w:val="4C983FC5"/>
    <w:rsid w:val="4C98754D"/>
    <w:rsid w:val="4C9D782D"/>
    <w:rsid w:val="4CA26BF2"/>
    <w:rsid w:val="4CA30BBC"/>
    <w:rsid w:val="4CA46E0E"/>
    <w:rsid w:val="4CB701C3"/>
    <w:rsid w:val="4CB836A9"/>
    <w:rsid w:val="4CBA03DF"/>
    <w:rsid w:val="4CBE1552"/>
    <w:rsid w:val="4CC052CA"/>
    <w:rsid w:val="4CC50B32"/>
    <w:rsid w:val="4CCA439B"/>
    <w:rsid w:val="4CD07C03"/>
    <w:rsid w:val="4CD15729"/>
    <w:rsid w:val="4CD62D3F"/>
    <w:rsid w:val="4CD64AED"/>
    <w:rsid w:val="4CD6689C"/>
    <w:rsid w:val="4CD86AB8"/>
    <w:rsid w:val="4CE0099F"/>
    <w:rsid w:val="4CE0771A"/>
    <w:rsid w:val="4CEE0089"/>
    <w:rsid w:val="4CEF795D"/>
    <w:rsid w:val="4CFD3A74"/>
    <w:rsid w:val="4D000563"/>
    <w:rsid w:val="4D04165B"/>
    <w:rsid w:val="4D06742B"/>
    <w:rsid w:val="4D0B5C60"/>
    <w:rsid w:val="4D0C6761"/>
    <w:rsid w:val="4D0E0191"/>
    <w:rsid w:val="4D0F1DAD"/>
    <w:rsid w:val="4D10167A"/>
    <w:rsid w:val="4D111FCA"/>
    <w:rsid w:val="4D183358"/>
    <w:rsid w:val="4D265A75"/>
    <w:rsid w:val="4D36558C"/>
    <w:rsid w:val="4D386F9E"/>
    <w:rsid w:val="4D3A1444"/>
    <w:rsid w:val="4D3D2DBF"/>
    <w:rsid w:val="4D415BF1"/>
    <w:rsid w:val="4D445EFB"/>
    <w:rsid w:val="4D4D1254"/>
    <w:rsid w:val="4D5325E2"/>
    <w:rsid w:val="4D53613E"/>
    <w:rsid w:val="4D5B4FF3"/>
    <w:rsid w:val="4D671BE9"/>
    <w:rsid w:val="4D677E3B"/>
    <w:rsid w:val="4D6B3488"/>
    <w:rsid w:val="4D75644C"/>
    <w:rsid w:val="4D7B7443"/>
    <w:rsid w:val="4D7C5695"/>
    <w:rsid w:val="4D7C6A0D"/>
    <w:rsid w:val="4D834C75"/>
    <w:rsid w:val="4D844549"/>
    <w:rsid w:val="4D8577EA"/>
    <w:rsid w:val="4D8602C2"/>
    <w:rsid w:val="4D897DB2"/>
    <w:rsid w:val="4D9626D8"/>
    <w:rsid w:val="4D970721"/>
    <w:rsid w:val="4D9724CF"/>
    <w:rsid w:val="4D994499"/>
    <w:rsid w:val="4D9A1FBF"/>
    <w:rsid w:val="4D9F75D5"/>
    <w:rsid w:val="4DA22C22"/>
    <w:rsid w:val="4DA60964"/>
    <w:rsid w:val="4DB7491F"/>
    <w:rsid w:val="4DB807C6"/>
    <w:rsid w:val="4DBE5CAD"/>
    <w:rsid w:val="4DC1579E"/>
    <w:rsid w:val="4DC66337"/>
    <w:rsid w:val="4DCA28A4"/>
    <w:rsid w:val="4DCE1C69"/>
    <w:rsid w:val="4DCF7EBB"/>
    <w:rsid w:val="4DD52FF7"/>
    <w:rsid w:val="4DD728CB"/>
    <w:rsid w:val="4DDC4386"/>
    <w:rsid w:val="4DDC6134"/>
    <w:rsid w:val="4DE4148C"/>
    <w:rsid w:val="4DF01BDF"/>
    <w:rsid w:val="4DF94646"/>
    <w:rsid w:val="4DF96CE5"/>
    <w:rsid w:val="4DFA0CB0"/>
    <w:rsid w:val="4DFE254E"/>
    <w:rsid w:val="4DFF0074"/>
    <w:rsid w:val="4E005FC6"/>
    <w:rsid w:val="4E015B9A"/>
    <w:rsid w:val="4E0D09E3"/>
    <w:rsid w:val="4E10402F"/>
    <w:rsid w:val="4E125FF9"/>
    <w:rsid w:val="4E1C4782"/>
    <w:rsid w:val="4E257ADB"/>
    <w:rsid w:val="4E2F6BAB"/>
    <w:rsid w:val="4E30647F"/>
    <w:rsid w:val="4E3715BC"/>
    <w:rsid w:val="4E3E294A"/>
    <w:rsid w:val="4E3F66C2"/>
    <w:rsid w:val="4E41068C"/>
    <w:rsid w:val="4E434405"/>
    <w:rsid w:val="4E5B79A0"/>
    <w:rsid w:val="4E5C54C6"/>
    <w:rsid w:val="4E5E2FEC"/>
    <w:rsid w:val="4E604C84"/>
    <w:rsid w:val="4E605A4D"/>
    <w:rsid w:val="4E61488B"/>
    <w:rsid w:val="4E683E6B"/>
    <w:rsid w:val="4E6D76D3"/>
    <w:rsid w:val="4E74636C"/>
    <w:rsid w:val="4E7C16C5"/>
    <w:rsid w:val="4E7E71EB"/>
    <w:rsid w:val="4E816B8E"/>
    <w:rsid w:val="4E850579"/>
    <w:rsid w:val="4E8A3DE2"/>
    <w:rsid w:val="4E915FA6"/>
    <w:rsid w:val="4E916F1E"/>
    <w:rsid w:val="4E944C60"/>
    <w:rsid w:val="4E9E60B6"/>
    <w:rsid w:val="4EA44485"/>
    <w:rsid w:val="4EA604F0"/>
    <w:rsid w:val="4EA824BA"/>
    <w:rsid w:val="4EA90C6E"/>
    <w:rsid w:val="4EAA7FE0"/>
    <w:rsid w:val="4EAD4A8B"/>
    <w:rsid w:val="4EB40E5E"/>
    <w:rsid w:val="4EBB3AF4"/>
    <w:rsid w:val="4EBD4210"/>
    <w:rsid w:val="4EC015B1"/>
    <w:rsid w:val="4EC53D3D"/>
    <w:rsid w:val="4EC70B92"/>
    <w:rsid w:val="4EC92B5C"/>
    <w:rsid w:val="4ECC264C"/>
    <w:rsid w:val="4ED212E5"/>
    <w:rsid w:val="4ED77988"/>
    <w:rsid w:val="4ED80FF1"/>
    <w:rsid w:val="4EDC4486"/>
    <w:rsid w:val="4EDD6607"/>
    <w:rsid w:val="4EE2777A"/>
    <w:rsid w:val="4EE334F2"/>
    <w:rsid w:val="4EE47996"/>
    <w:rsid w:val="4EEF1E97"/>
    <w:rsid w:val="4EF15C0F"/>
    <w:rsid w:val="4EF16DED"/>
    <w:rsid w:val="4EF179BD"/>
    <w:rsid w:val="4EF94AC3"/>
    <w:rsid w:val="4EFB0E9E"/>
    <w:rsid w:val="4EFC5BE4"/>
    <w:rsid w:val="4EFD45B3"/>
    <w:rsid w:val="4F0771E0"/>
    <w:rsid w:val="4F0D4DC0"/>
    <w:rsid w:val="4F132029"/>
    <w:rsid w:val="4F2E29BF"/>
    <w:rsid w:val="4F310701"/>
    <w:rsid w:val="4F3F01AC"/>
    <w:rsid w:val="4F4438E8"/>
    <w:rsid w:val="4F4777E4"/>
    <w:rsid w:val="4F480487"/>
    <w:rsid w:val="4F644633"/>
    <w:rsid w:val="4F6603AB"/>
    <w:rsid w:val="4F674123"/>
    <w:rsid w:val="4F6E54B1"/>
    <w:rsid w:val="4F716D4F"/>
    <w:rsid w:val="4F730D1A"/>
    <w:rsid w:val="4F797EA5"/>
    <w:rsid w:val="4F820F5D"/>
    <w:rsid w:val="4F8434CA"/>
    <w:rsid w:val="4F87084D"/>
    <w:rsid w:val="4F8C7A5C"/>
    <w:rsid w:val="4F8E16AF"/>
    <w:rsid w:val="4F960564"/>
    <w:rsid w:val="4F9667B6"/>
    <w:rsid w:val="4F9B0FCB"/>
    <w:rsid w:val="4F9C5AF0"/>
    <w:rsid w:val="4F9E726C"/>
    <w:rsid w:val="4F9F1B0F"/>
    <w:rsid w:val="4FA26F09"/>
    <w:rsid w:val="4FB21777"/>
    <w:rsid w:val="4FB530E0"/>
    <w:rsid w:val="4FB629B4"/>
    <w:rsid w:val="4FBB0BE7"/>
    <w:rsid w:val="4FBE3E49"/>
    <w:rsid w:val="4FC926E8"/>
    <w:rsid w:val="4FD86DCF"/>
    <w:rsid w:val="4FEE0289"/>
    <w:rsid w:val="4FEE65F2"/>
    <w:rsid w:val="4FF04118"/>
    <w:rsid w:val="4FF37764"/>
    <w:rsid w:val="4FF57980"/>
    <w:rsid w:val="4FF65DE6"/>
    <w:rsid w:val="4FFA6D45"/>
    <w:rsid w:val="4FFF15C7"/>
    <w:rsid w:val="50011E81"/>
    <w:rsid w:val="50041972"/>
    <w:rsid w:val="50045EE9"/>
    <w:rsid w:val="5005393F"/>
    <w:rsid w:val="5006393C"/>
    <w:rsid w:val="500E459E"/>
    <w:rsid w:val="501B173B"/>
    <w:rsid w:val="5024103B"/>
    <w:rsid w:val="50285660"/>
    <w:rsid w:val="502913D8"/>
    <w:rsid w:val="50324731"/>
    <w:rsid w:val="5038161B"/>
    <w:rsid w:val="503F29AA"/>
    <w:rsid w:val="504B134F"/>
    <w:rsid w:val="504B57F2"/>
    <w:rsid w:val="505428F9"/>
    <w:rsid w:val="505446A7"/>
    <w:rsid w:val="505521CD"/>
    <w:rsid w:val="50566671"/>
    <w:rsid w:val="505677D6"/>
    <w:rsid w:val="506A5C79"/>
    <w:rsid w:val="50715259"/>
    <w:rsid w:val="50722D7F"/>
    <w:rsid w:val="50744D49"/>
    <w:rsid w:val="50797CC1"/>
    <w:rsid w:val="507C775A"/>
    <w:rsid w:val="50830AE8"/>
    <w:rsid w:val="508825A3"/>
    <w:rsid w:val="508F1B83"/>
    <w:rsid w:val="50901457"/>
    <w:rsid w:val="50920766"/>
    <w:rsid w:val="50923421"/>
    <w:rsid w:val="50974594"/>
    <w:rsid w:val="509E5922"/>
    <w:rsid w:val="50A078EC"/>
    <w:rsid w:val="50A13664"/>
    <w:rsid w:val="50A62A29"/>
    <w:rsid w:val="50A849F3"/>
    <w:rsid w:val="50AB1EED"/>
    <w:rsid w:val="50B21B3B"/>
    <w:rsid w:val="50B769E4"/>
    <w:rsid w:val="50BB2978"/>
    <w:rsid w:val="50BE5FC4"/>
    <w:rsid w:val="50C03AEB"/>
    <w:rsid w:val="50C07F8E"/>
    <w:rsid w:val="50C17863"/>
    <w:rsid w:val="50C939BF"/>
    <w:rsid w:val="50CD4459"/>
    <w:rsid w:val="50D70E34"/>
    <w:rsid w:val="50DD28EE"/>
    <w:rsid w:val="50DD469C"/>
    <w:rsid w:val="50DE0415"/>
    <w:rsid w:val="50EA500B"/>
    <w:rsid w:val="50EC48E0"/>
    <w:rsid w:val="50F96FFC"/>
    <w:rsid w:val="50FF2147"/>
    <w:rsid w:val="51002139"/>
    <w:rsid w:val="510425AE"/>
    <w:rsid w:val="51087240"/>
    <w:rsid w:val="511107EA"/>
    <w:rsid w:val="5116195C"/>
    <w:rsid w:val="5118442F"/>
    <w:rsid w:val="511856D5"/>
    <w:rsid w:val="511A58F1"/>
    <w:rsid w:val="51282A8A"/>
    <w:rsid w:val="512A365A"/>
    <w:rsid w:val="51360251"/>
    <w:rsid w:val="51380478"/>
    <w:rsid w:val="51385D77"/>
    <w:rsid w:val="51404C2B"/>
    <w:rsid w:val="514364CA"/>
    <w:rsid w:val="5146742C"/>
    <w:rsid w:val="5147420C"/>
    <w:rsid w:val="514950F0"/>
    <w:rsid w:val="514C1822"/>
    <w:rsid w:val="514F30C0"/>
    <w:rsid w:val="5151508A"/>
    <w:rsid w:val="51542485"/>
    <w:rsid w:val="515B1A65"/>
    <w:rsid w:val="516A7EFA"/>
    <w:rsid w:val="516C3C72"/>
    <w:rsid w:val="516D25E4"/>
    <w:rsid w:val="516E1E1B"/>
    <w:rsid w:val="51713037"/>
    <w:rsid w:val="51721D7C"/>
    <w:rsid w:val="5176689F"/>
    <w:rsid w:val="517D0ABA"/>
    <w:rsid w:val="517F5754"/>
    <w:rsid w:val="51826FF2"/>
    <w:rsid w:val="51894824"/>
    <w:rsid w:val="519136D9"/>
    <w:rsid w:val="519311FF"/>
    <w:rsid w:val="51986D55"/>
    <w:rsid w:val="519B2B05"/>
    <w:rsid w:val="51A21442"/>
    <w:rsid w:val="51A451BA"/>
    <w:rsid w:val="51A52CE0"/>
    <w:rsid w:val="51A72EFC"/>
    <w:rsid w:val="51BC0756"/>
    <w:rsid w:val="51BD44CE"/>
    <w:rsid w:val="51BD627C"/>
    <w:rsid w:val="51C07B1A"/>
    <w:rsid w:val="51C13FBE"/>
    <w:rsid w:val="51C4760A"/>
    <w:rsid w:val="51C63383"/>
    <w:rsid w:val="51CC4711"/>
    <w:rsid w:val="51CE0489"/>
    <w:rsid w:val="51D13AD5"/>
    <w:rsid w:val="51DC4954"/>
    <w:rsid w:val="51DD247A"/>
    <w:rsid w:val="51E5020F"/>
    <w:rsid w:val="51E67581"/>
    <w:rsid w:val="51EE0B2B"/>
    <w:rsid w:val="51F15122"/>
    <w:rsid w:val="51F37EF0"/>
    <w:rsid w:val="51F779E0"/>
    <w:rsid w:val="52036385"/>
    <w:rsid w:val="5209326F"/>
    <w:rsid w:val="520F0A18"/>
    <w:rsid w:val="521A722A"/>
    <w:rsid w:val="521C7446"/>
    <w:rsid w:val="52232583"/>
    <w:rsid w:val="52297A2E"/>
    <w:rsid w:val="524B3888"/>
    <w:rsid w:val="524B7D2C"/>
    <w:rsid w:val="525C3CE7"/>
    <w:rsid w:val="526606C2"/>
    <w:rsid w:val="5268443A"/>
    <w:rsid w:val="526F57C8"/>
    <w:rsid w:val="527343E8"/>
    <w:rsid w:val="52756B57"/>
    <w:rsid w:val="5277467D"/>
    <w:rsid w:val="527C6137"/>
    <w:rsid w:val="527E1EAF"/>
    <w:rsid w:val="5281374D"/>
    <w:rsid w:val="528374C6"/>
    <w:rsid w:val="52903990"/>
    <w:rsid w:val="52974D1F"/>
    <w:rsid w:val="529C40E3"/>
    <w:rsid w:val="52A15881"/>
    <w:rsid w:val="52A40FEA"/>
    <w:rsid w:val="52AF3E17"/>
    <w:rsid w:val="52B0193D"/>
    <w:rsid w:val="52B14033"/>
    <w:rsid w:val="52B15DE1"/>
    <w:rsid w:val="52BA27BB"/>
    <w:rsid w:val="52BB6C5F"/>
    <w:rsid w:val="52C5363A"/>
    <w:rsid w:val="52CC2C1B"/>
    <w:rsid w:val="52D10231"/>
    <w:rsid w:val="52D25D57"/>
    <w:rsid w:val="52D41ACF"/>
    <w:rsid w:val="52DB4C0C"/>
    <w:rsid w:val="52DE294E"/>
    <w:rsid w:val="52E2243E"/>
    <w:rsid w:val="52EA30A1"/>
    <w:rsid w:val="52EA4E4F"/>
    <w:rsid w:val="52F97788"/>
    <w:rsid w:val="52FB52AE"/>
    <w:rsid w:val="52FE4D9E"/>
    <w:rsid w:val="53004672"/>
    <w:rsid w:val="5305612D"/>
    <w:rsid w:val="53061FB1"/>
    <w:rsid w:val="53096DD1"/>
    <w:rsid w:val="530F6FAB"/>
    <w:rsid w:val="531243A6"/>
    <w:rsid w:val="531E2D4A"/>
    <w:rsid w:val="532A5B93"/>
    <w:rsid w:val="532F6D06"/>
    <w:rsid w:val="53315FDD"/>
    <w:rsid w:val="53316F22"/>
    <w:rsid w:val="53334A48"/>
    <w:rsid w:val="533662E6"/>
    <w:rsid w:val="533E573E"/>
    <w:rsid w:val="533F163E"/>
    <w:rsid w:val="53422EDD"/>
    <w:rsid w:val="53426A39"/>
    <w:rsid w:val="534C5BEF"/>
    <w:rsid w:val="534D3630"/>
    <w:rsid w:val="53566988"/>
    <w:rsid w:val="535E75EB"/>
    <w:rsid w:val="5362532D"/>
    <w:rsid w:val="5371731E"/>
    <w:rsid w:val="537312E8"/>
    <w:rsid w:val="538452A3"/>
    <w:rsid w:val="538A03E0"/>
    <w:rsid w:val="53933738"/>
    <w:rsid w:val="5394125E"/>
    <w:rsid w:val="5394300C"/>
    <w:rsid w:val="53980172"/>
    <w:rsid w:val="53A96AB8"/>
    <w:rsid w:val="53AB6CD4"/>
    <w:rsid w:val="53B611D5"/>
    <w:rsid w:val="53B70462"/>
    <w:rsid w:val="53BC5A15"/>
    <w:rsid w:val="53C057E0"/>
    <w:rsid w:val="53C438F2"/>
    <w:rsid w:val="53C9715A"/>
    <w:rsid w:val="53CC27A6"/>
    <w:rsid w:val="53D224B3"/>
    <w:rsid w:val="53D63625"/>
    <w:rsid w:val="53E47AF0"/>
    <w:rsid w:val="53E534E0"/>
    <w:rsid w:val="53E75832"/>
    <w:rsid w:val="53E775E0"/>
    <w:rsid w:val="53E977FC"/>
    <w:rsid w:val="53FD32A8"/>
    <w:rsid w:val="540B1521"/>
    <w:rsid w:val="54136627"/>
    <w:rsid w:val="54166BC6"/>
    <w:rsid w:val="54214ADC"/>
    <w:rsid w:val="5429409D"/>
    <w:rsid w:val="542B3971"/>
    <w:rsid w:val="542D593B"/>
    <w:rsid w:val="54322F51"/>
    <w:rsid w:val="54324CFF"/>
    <w:rsid w:val="54387E3C"/>
    <w:rsid w:val="543A1E06"/>
    <w:rsid w:val="544467E1"/>
    <w:rsid w:val="5458228C"/>
    <w:rsid w:val="545C1D7C"/>
    <w:rsid w:val="546155E5"/>
    <w:rsid w:val="5463135D"/>
    <w:rsid w:val="54660E4D"/>
    <w:rsid w:val="546649A9"/>
    <w:rsid w:val="546D21DB"/>
    <w:rsid w:val="54805D9E"/>
    <w:rsid w:val="54866DF9"/>
    <w:rsid w:val="549C03CB"/>
    <w:rsid w:val="549E6453"/>
    <w:rsid w:val="54A61249"/>
    <w:rsid w:val="54B95421"/>
    <w:rsid w:val="54BE2A37"/>
    <w:rsid w:val="54C31DFB"/>
    <w:rsid w:val="54C91164"/>
    <w:rsid w:val="54C94F38"/>
    <w:rsid w:val="54CA641E"/>
    <w:rsid w:val="54CB6F02"/>
    <w:rsid w:val="54CD78D3"/>
    <w:rsid w:val="54D1276A"/>
    <w:rsid w:val="54D702EC"/>
    <w:rsid w:val="54D933CD"/>
    <w:rsid w:val="54DA0EF3"/>
    <w:rsid w:val="54E13854"/>
    <w:rsid w:val="54E65AEA"/>
    <w:rsid w:val="54E87AB4"/>
    <w:rsid w:val="54E9053C"/>
    <w:rsid w:val="54EC75A4"/>
    <w:rsid w:val="54ED50CA"/>
    <w:rsid w:val="54F50294"/>
    <w:rsid w:val="54F77CF7"/>
    <w:rsid w:val="55055F70"/>
    <w:rsid w:val="55083CB2"/>
    <w:rsid w:val="550A7A2A"/>
    <w:rsid w:val="55102257"/>
    <w:rsid w:val="5512068D"/>
    <w:rsid w:val="551268DF"/>
    <w:rsid w:val="552A00CC"/>
    <w:rsid w:val="553700F3"/>
    <w:rsid w:val="554109CF"/>
    <w:rsid w:val="55472A2C"/>
    <w:rsid w:val="554A7E27"/>
    <w:rsid w:val="554C1DF1"/>
    <w:rsid w:val="55654AB6"/>
    <w:rsid w:val="556C0353"/>
    <w:rsid w:val="556C5FEF"/>
    <w:rsid w:val="556F788D"/>
    <w:rsid w:val="557355CF"/>
    <w:rsid w:val="55741347"/>
    <w:rsid w:val="55774994"/>
    <w:rsid w:val="55825812"/>
    <w:rsid w:val="558275C0"/>
    <w:rsid w:val="558C6691"/>
    <w:rsid w:val="558F7F2F"/>
    <w:rsid w:val="559B2D78"/>
    <w:rsid w:val="559B4B26"/>
    <w:rsid w:val="559B68D4"/>
    <w:rsid w:val="559E0611"/>
    <w:rsid w:val="55A97243"/>
    <w:rsid w:val="55AA4D69"/>
    <w:rsid w:val="55AA58ED"/>
    <w:rsid w:val="55AC57E6"/>
    <w:rsid w:val="55AE4859"/>
    <w:rsid w:val="55AF05D2"/>
    <w:rsid w:val="55B31E70"/>
    <w:rsid w:val="55BB0D24"/>
    <w:rsid w:val="55D3606E"/>
    <w:rsid w:val="55D87B28"/>
    <w:rsid w:val="55E262B1"/>
    <w:rsid w:val="55E502FC"/>
    <w:rsid w:val="55E71B19"/>
    <w:rsid w:val="55EE10FA"/>
    <w:rsid w:val="55F34962"/>
    <w:rsid w:val="55FE508E"/>
    <w:rsid w:val="56004989"/>
    <w:rsid w:val="560C332E"/>
    <w:rsid w:val="56156687"/>
    <w:rsid w:val="56186177"/>
    <w:rsid w:val="56187F25"/>
    <w:rsid w:val="561977E0"/>
    <w:rsid w:val="561A3C9D"/>
    <w:rsid w:val="561B17C3"/>
    <w:rsid w:val="561D19DF"/>
    <w:rsid w:val="561D378D"/>
    <w:rsid w:val="56301712"/>
    <w:rsid w:val="56327239"/>
    <w:rsid w:val="5640122A"/>
    <w:rsid w:val="5641747C"/>
    <w:rsid w:val="56440D1A"/>
    <w:rsid w:val="56462CE4"/>
    <w:rsid w:val="564B02FA"/>
    <w:rsid w:val="564B20A8"/>
    <w:rsid w:val="564B654C"/>
    <w:rsid w:val="56502428"/>
    <w:rsid w:val="56551179"/>
    <w:rsid w:val="565B4BE7"/>
    <w:rsid w:val="565F1804"/>
    <w:rsid w:val="566B62A7"/>
    <w:rsid w:val="56717E76"/>
    <w:rsid w:val="567535C9"/>
    <w:rsid w:val="56755377"/>
    <w:rsid w:val="56757125"/>
    <w:rsid w:val="567710EF"/>
    <w:rsid w:val="56777AE0"/>
    <w:rsid w:val="56786C15"/>
    <w:rsid w:val="567D5FDA"/>
    <w:rsid w:val="567F2F35"/>
    <w:rsid w:val="568850AA"/>
    <w:rsid w:val="56903F5F"/>
    <w:rsid w:val="569752EE"/>
    <w:rsid w:val="569C0B56"/>
    <w:rsid w:val="569E667C"/>
    <w:rsid w:val="56A619D5"/>
    <w:rsid w:val="56AD68BF"/>
    <w:rsid w:val="56AE3D67"/>
    <w:rsid w:val="56B04601"/>
    <w:rsid w:val="56B16355"/>
    <w:rsid w:val="56B37C4E"/>
    <w:rsid w:val="56BA722E"/>
    <w:rsid w:val="56D16FAA"/>
    <w:rsid w:val="56DC71A4"/>
    <w:rsid w:val="56EB388B"/>
    <w:rsid w:val="56F24C1A"/>
    <w:rsid w:val="56F27DFC"/>
    <w:rsid w:val="56F97D56"/>
    <w:rsid w:val="56FB2217"/>
    <w:rsid w:val="56FC33A3"/>
    <w:rsid w:val="57014E5D"/>
    <w:rsid w:val="57016C0B"/>
    <w:rsid w:val="5713049E"/>
    <w:rsid w:val="5714693E"/>
    <w:rsid w:val="571A1C75"/>
    <w:rsid w:val="5721105B"/>
    <w:rsid w:val="57256D9D"/>
    <w:rsid w:val="572763D8"/>
    <w:rsid w:val="57342B3C"/>
    <w:rsid w:val="57390153"/>
    <w:rsid w:val="573945F7"/>
    <w:rsid w:val="573B211D"/>
    <w:rsid w:val="57437223"/>
    <w:rsid w:val="57460AC2"/>
    <w:rsid w:val="57476D14"/>
    <w:rsid w:val="57482A8C"/>
    <w:rsid w:val="574A2360"/>
    <w:rsid w:val="574C432A"/>
    <w:rsid w:val="575441E3"/>
    <w:rsid w:val="576D604E"/>
    <w:rsid w:val="57727B09"/>
    <w:rsid w:val="57783371"/>
    <w:rsid w:val="57811AFA"/>
    <w:rsid w:val="57882E88"/>
    <w:rsid w:val="5789732C"/>
    <w:rsid w:val="578E4942"/>
    <w:rsid w:val="57914433"/>
    <w:rsid w:val="57917F8F"/>
    <w:rsid w:val="57995095"/>
    <w:rsid w:val="579D4B86"/>
    <w:rsid w:val="57A31A70"/>
    <w:rsid w:val="57A75A04"/>
    <w:rsid w:val="57AE6D93"/>
    <w:rsid w:val="57B65DAB"/>
    <w:rsid w:val="57B913A3"/>
    <w:rsid w:val="57CA278D"/>
    <w:rsid w:val="57D32355"/>
    <w:rsid w:val="57D4431F"/>
    <w:rsid w:val="57DA69E8"/>
    <w:rsid w:val="57DB745C"/>
    <w:rsid w:val="57DC2E3A"/>
    <w:rsid w:val="57DF2535"/>
    <w:rsid w:val="57E722A5"/>
    <w:rsid w:val="57EC3417"/>
    <w:rsid w:val="57EF1159"/>
    <w:rsid w:val="57EF2F07"/>
    <w:rsid w:val="57F10A2D"/>
    <w:rsid w:val="57F56770"/>
    <w:rsid w:val="57F86260"/>
    <w:rsid w:val="58006EC2"/>
    <w:rsid w:val="58035760"/>
    <w:rsid w:val="580A7D41"/>
    <w:rsid w:val="580C516E"/>
    <w:rsid w:val="580E7831"/>
    <w:rsid w:val="581110D0"/>
    <w:rsid w:val="581C679B"/>
    <w:rsid w:val="581D60C6"/>
    <w:rsid w:val="5822498E"/>
    <w:rsid w:val="58276B45"/>
    <w:rsid w:val="582C7CB7"/>
    <w:rsid w:val="583628E4"/>
    <w:rsid w:val="58421289"/>
    <w:rsid w:val="584274DB"/>
    <w:rsid w:val="58490869"/>
    <w:rsid w:val="58492617"/>
    <w:rsid w:val="584E362D"/>
    <w:rsid w:val="58523BC2"/>
    <w:rsid w:val="5855720E"/>
    <w:rsid w:val="585B059D"/>
    <w:rsid w:val="585D299D"/>
    <w:rsid w:val="58627B7D"/>
    <w:rsid w:val="58694A68"/>
    <w:rsid w:val="586C6306"/>
    <w:rsid w:val="586D09FC"/>
    <w:rsid w:val="58711B6E"/>
    <w:rsid w:val="587873A1"/>
    <w:rsid w:val="58791752"/>
    <w:rsid w:val="587A6C75"/>
    <w:rsid w:val="58823D7B"/>
    <w:rsid w:val="58831FCD"/>
    <w:rsid w:val="58847AF3"/>
    <w:rsid w:val="588673C8"/>
    <w:rsid w:val="58900F85"/>
    <w:rsid w:val="58920462"/>
    <w:rsid w:val="589D0BB5"/>
    <w:rsid w:val="589F492D"/>
    <w:rsid w:val="58A41F44"/>
    <w:rsid w:val="58A43CF2"/>
    <w:rsid w:val="58AB5080"/>
    <w:rsid w:val="58B06B3A"/>
    <w:rsid w:val="58C35DBC"/>
    <w:rsid w:val="58CC429A"/>
    <w:rsid w:val="58DB25AF"/>
    <w:rsid w:val="58F307D5"/>
    <w:rsid w:val="58F46A27"/>
    <w:rsid w:val="58FD3402"/>
    <w:rsid w:val="58FE78A6"/>
    <w:rsid w:val="59011144"/>
    <w:rsid w:val="59091DA7"/>
    <w:rsid w:val="59101387"/>
    <w:rsid w:val="59232E69"/>
    <w:rsid w:val="592941F7"/>
    <w:rsid w:val="592B7F6F"/>
    <w:rsid w:val="5932734D"/>
    <w:rsid w:val="5935215E"/>
    <w:rsid w:val="593B28A8"/>
    <w:rsid w:val="593B4656"/>
    <w:rsid w:val="593E58F0"/>
    <w:rsid w:val="593F3A1A"/>
    <w:rsid w:val="59411541"/>
    <w:rsid w:val="5943175D"/>
    <w:rsid w:val="59475512"/>
    <w:rsid w:val="594F3C5E"/>
    <w:rsid w:val="59505C28"/>
    <w:rsid w:val="595079D6"/>
    <w:rsid w:val="59545718"/>
    <w:rsid w:val="59590F80"/>
    <w:rsid w:val="596A0A97"/>
    <w:rsid w:val="596C2A61"/>
    <w:rsid w:val="59713EA7"/>
    <w:rsid w:val="59741916"/>
    <w:rsid w:val="5975743C"/>
    <w:rsid w:val="5980475F"/>
    <w:rsid w:val="59814033"/>
    <w:rsid w:val="59835FFD"/>
    <w:rsid w:val="59886BA2"/>
    <w:rsid w:val="598903A9"/>
    <w:rsid w:val="598D0C2A"/>
    <w:rsid w:val="598D29D8"/>
    <w:rsid w:val="59A0095D"/>
    <w:rsid w:val="59A246D5"/>
    <w:rsid w:val="59A85A64"/>
    <w:rsid w:val="59AC10B0"/>
    <w:rsid w:val="59B10CA1"/>
    <w:rsid w:val="59B368E2"/>
    <w:rsid w:val="59B61F2F"/>
    <w:rsid w:val="59B77A55"/>
    <w:rsid w:val="59B83EF9"/>
    <w:rsid w:val="59B91A1F"/>
    <w:rsid w:val="59B937CD"/>
    <w:rsid w:val="59B9557B"/>
    <w:rsid w:val="59BE0216"/>
    <w:rsid w:val="59C06433"/>
    <w:rsid w:val="59C75EEA"/>
    <w:rsid w:val="59CA7788"/>
    <w:rsid w:val="59CB16A3"/>
    <w:rsid w:val="59D979CB"/>
    <w:rsid w:val="59DD395F"/>
    <w:rsid w:val="59DD74BB"/>
    <w:rsid w:val="59F40CA9"/>
    <w:rsid w:val="5A094754"/>
    <w:rsid w:val="5A186745"/>
    <w:rsid w:val="5A1B6236"/>
    <w:rsid w:val="5A1E1882"/>
    <w:rsid w:val="5A4B6B1B"/>
    <w:rsid w:val="5A513A05"/>
    <w:rsid w:val="5A5534F6"/>
    <w:rsid w:val="5A581238"/>
    <w:rsid w:val="5A582FE6"/>
    <w:rsid w:val="5A5C0D28"/>
    <w:rsid w:val="5A673229"/>
    <w:rsid w:val="5A6E45B7"/>
    <w:rsid w:val="5A706581"/>
    <w:rsid w:val="5A766962"/>
    <w:rsid w:val="5A81253D"/>
    <w:rsid w:val="5A8262B5"/>
    <w:rsid w:val="5A8B33BB"/>
    <w:rsid w:val="5A8B6F17"/>
    <w:rsid w:val="5A8C2C8F"/>
    <w:rsid w:val="5A8E2EAB"/>
    <w:rsid w:val="5A8F2EC6"/>
    <w:rsid w:val="5A9658BC"/>
    <w:rsid w:val="5A9722E6"/>
    <w:rsid w:val="5AAD1584"/>
    <w:rsid w:val="5AB67D0C"/>
    <w:rsid w:val="5ABA3CA0"/>
    <w:rsid w:val="5ABB5323"/>
    <w:rsid w:val="5AC11211"/>
    <w:rsid w:val="5AC24903"/>
    <w:rsid w:val="5AC468CD"/>
    <w:rsid w:val="5ACB37B8"/>
    <w:rsid w:val="5ACF5D3B"/>
    <w:rsid w:val="5ACF7B3C"/>
    <w:rsid w:val="5AD308BE"/>
    <w:rsid w:val="5AD67663"/>
    <w:rsid w:val="5AD703AE"/>
    <w:rsid w:val="5ADA34F9"/>
    <w:rsid w:val="5ADA5D42"/>
    <w:rsid w:val="5ADB73E5"/>
    <w:rsid w:val="5AE1122D"/>
    <w:rsid w:val="5AE26D53"/>
    <w:rsid w:val="5AE66844"/>
    <w:rsid w:val="5AF251E8"/>
    <w:rsid w:val="5B062A42"/>
    <w:rsid w:val="5B0B0058"/>
    <w:rsid w:val="5B13359B"/>
    <w:rsid w:val="5B174FAC"/>
    <w:rsid w:val="5B1B724B"/>
    <w:rsid w:val="5B1C4013"/>
    <w:rsid w:val="5B1E5FDD"/>
    <w:rsid w:val="5B266C40"/>
    <w:rsid w:val="5B296730"/>
    <w:rsid w:val="5B2A2BD4"/>
    <w:rsid w:val="5B2A58B0"/>
    <w:rsid w:val="5B2B4256"/>
    <w:rsid w:val="5B2D6220"/>
    <w:rsid w:val="5B2D7FCE"/>
    <w:rsid w:val="5B372BFB"/>
    <w:rsid w:val="5B37709F"/>
    <w:rsid w:val="5B4D35C8"/>
    <w:rsid w:val="5B535F4C"/>
    <w:rsid w:val="5B590DC3"/>
    <w:rsid w:val="5B5C6B06"/>
    <w:rsid w:val="5B5E462C"/>
    <w:rsid w:val="5B6065F6"/>
    <w:rsid w:val="5B6A1223"/>
    <w:rsid w:val="5B751975"/>
    <w:rsid w:val="5B794DAA"/>
    <w:rsid w:val="5B7E0D2E"/>
    <w:rsid w:val="5B856361"/>
    <w:rsid w:val="5B8804A8"/>
    <w:rsid w:val="5B892E4A"/>
    <w:rsid w:val="5B8A3673"/>
    <w:rsid w:val="5B8F0C89"/>
    <w:rsid w:val="5B920779"/>
    <w:rsid w:val="5B9E2C7A"/>
    <w:rsid w:val="5BA858A7"/>
    <w:rsid w:val="5BAA5AC3"/>
    <w:rsid w:val="5BAA7871"/>
    <w:rsid w:val="5BAF7180"/>
    <w:rsid w:val="5BB029AE"/>
    <w:rsid w:val="5BB22BCA"/>
    <w:rsid w:val="5BB57FC4"/>
    <w:rsid w:val="5BB97AB4"/>
    <w:rsid w:val="5BC4660C"/>
    <w:rsid w:val="5BC56459"/>
    <w:rsid w:val="5BCA3A6F"/>
    <w:rsid w:val="5BCC5A39"/>
    <w:rsid w:val="5BCF72D8"/>
    <w:rsid w:val="5BD7618C"/>
    <w:rsid w:val="5BE72873"/>
    <w:rsid w:val="5BED59B0"/>
    <w:rsid w:val="5BEF34D6"/>
    <w:rsid w:val="5BF179CD"/>
    <w:rsid w:val="5BF8682E"/>
    <w:rsid w:val="5BF925A6"/>
    <w:rsid w:val="5C007491"/>
    <w:rsid w:val="5C0312A3"/>
    <w:rsid w:val="5C060271"/>
    <w:rsid w:val="5C086EE6"/>
    <w:rsid w:val="5C0A0310"/>
    <w:rsid w:val="5C186ED1"/>
    <w:rsid w:val="5C1C63A8"/>
    <w:rsid w:val="5C2018E1"/>
    <w:rsid w:val="5C221AFD"/>
    <w:rsid w:val="5C2C0286"/>
    <w:rsid w:val="5C3B496D"/>
    <w:rsid w:val="5C3F26AF"/>
    <w:rsid w:val="5C4001D5"/>
    <w:rsid w:val="5C401F83"/>
    <w:rsid w:val="5C437CC6"/>
    <w:rsid w:val="5C4436B2"/>
    <w:rsid w:val="5C447CC6"/>
    <w:rsid w:val="5C473312"/>
    <w:rsid w:val="5C58107B"/>
    <w:rsid w:val="5C5A1297"/>
    <w:rsid w:val="5C5D0D87"/>
    <w:rsid w:val="5C62014C"/>
    <w:rsid w:val="5C627D9A"/>
    <w:rsid w:val="5C64411C"/>
    <w:rsid w:val="5C693288"/>
    <w:rsid w:val="5C6C0FCA"/>
    <w:rsid w:val="5C741C2D"/>
    <w:rsid w:val="5C7834CB"/>
    <w:rsid w:val="5C8400C2"/>
    <w:rsid w:val="5C853E3A"/>
    <w:rsid w:val="5C8A31FF"/>
    <w:rsid w:val="5C8B72C7"/>
    <w:rsid w:val="5C8C6F77"/>
    <w:rsid w:val="5C902F0B"/>
    <w:rsid w:val="5C932C2F"/>
    <w:rsid w:val="5C9A1694"/>
    <w:rsid w:val="5C9C18B0"/>
    <w:rsid w:val="5C9F4EFC"/>
    <w:rsid w:val="5CA6628A"/>
    <w:rsid w:val="5CAC7619"/>
    <w:rsid w:val="5CB0535B"/>
    <w:rsid w:val="5CB14C2F"/>
    <w:rsid w:val="5CB309A7"/>
    <w:rsid w:val="5CB62246"/>
    <w:rsid w:val="5CBB785C"/>
    <w:rsid w:val="5CBD1826"/>
    <w:rsid w:val="5CBD35D4"/>
    <w:rsid w:val="5CC22998"/>
    <w:rsid w:val="5CC3169E"/>
    <w:rsid w:val="5CD8040E"/>
    <w:rsid w:val="5CDF6763"/>
    <w:rsid w:val="5D003BC4"/>
    <w:rsid w:val="5D027239"/>
    <w:rsid w:val="5D0417F7"/>
    <w:rsid w:val="5D04446A"/>
    <w:rsid w:val="5D096819"/>
    <w:rsid w:val="5D0B433F"/>
    <w:rsid w:val="5D126A91"/>
    <w:rsid w:val="5D1A27D4"/>
    <w:rsid w:val="5D290C69"/>
    <w:rsid w:val="5D310D37"/>
    <w:rsid w:val="5D333896"/>
    <w:rsid w:val="5D373386"/>
    <w:rsid w:val="5D3A4C25"/>
    <w:rsid w:val="5D3C099D"/>
    <w:rsid w:val="5D6F0D72"/>
    <w:rsid w:val="5D706898"/>
    <w:rsid w:val="5D722610"/>
    <w:rsid w:val="5D7243BE"/>
    <w:rsid w:val="5D79574D"/>
    <w:rsid w:val="5D812854"/>
    <w:rsid w:val="5D891708"/>
    <w:rsid w:val="5D897022"/>
    <w:rsid w:val="5D900CE9"/>
    <w:rsid w:val="5D9A3915"/>
    <w:rsid w:val="5D9B1436"/>
    <w:rsid w:val="5DA12EF6"/>
    <w:rsid w:val="5DA84284"/>
    <w:rsid w:val="5DAB78D0"/>
    <w:rsid w:val="5DAD189A"/>
    <w:rsid w:val="5DB41FDD"/>
    <w:rsid w:val="5DB449D7"/>
    <w:rsid w:val="5DB93D9B"/>
    <w:rsid w:val="5DBC388C"/>
    <w:rsid w:val="5DBF512A"/>
    <w:rsid w:val="5DC51F30"/>
    <w:rsid w:val="5DC664B8"/>
    <w:rsid w:val="5DC76A50"/>
    <w:rsid w:val="5DC80482"/>
    <w:rsid w:val="5DCA7D57"/>
    <w:rsid w:val="5DCD3CEB"/>
    <w:rsid w:val="5DD706C5"/>
    <w:rsid w:val="5DD961EC"/>
    <w:rsid w:val="5DDC5CDC"/>
    <w:rsid w:val="5DDD2180"/>
    <w:rsid w:val="5DDE1A54"/>
    <w:rsid w:val="5DE03A1E"/>
    <w:rsid w:val="5DE11544"/>
    <w:rsid w:val="5DE54B90"/>
    <w:rsid w:val="5DE80B25"/>
    <w:rsid w:val="5DE84681"/>
    <w:rsid w:val="5DED1C97"/>
    <w:rsid w:val="5DF748C4"/>
    <w:rsid w:val="5DFA39CC"/>
    <w:rsid w:val="5DFB0858"/>
    <w:rsid w:val="5E03770C"/>
    <w:rsid w:val="5E055233"/>
    <w:rsid w:val="5E070983"/>
    <w:rsid w:val="5E070FAB"/>
    <w:rsid w:val="5E145476"/>
    <w:rsid w:val="5E1B2CA8"/>
    <w:rsid w:val="5E2002BE"/>
    <w:rsid w:val="5E275239"/>
    <w:rsid w:val="5E2F0501"/>
    <w:rsid w:val="5E3D49CC"/>
    <w:rsid w:val="5E420397"/>
    <w:rsid w:val="5E47584B"/>
    <w:rsid w:val="5E483371"/>
    <w:rsid w:val="5E5629D9"/>
    <w:rsid w:val="5E565A8E"/>
    <w:rsid w:val="5E56783C"/>
    <w:rsid w:val="5E59557E"/>
    <w:rsid w:val="5E5A37D0"/>
    <w:rsid w:val="5E5D506F"/>
    <w:rsid w:val="5E69536C"/>
    <w:rsid w:val="5E6A32E8"/>
    <w:rsid w:val="5E7128C8"/>
    <w:rsid w:val="5E7303EE"/>
    <w:rsid w:val="5E744166"/>
    <w:rsid w:val="5E777A58"/>
    <w:rsid w:val="5E7D301B"/>
    <w:rsid w:val="5E7E6D93"/>
    <w:rsid w:val="5E8048B9"/>
    <w:rsid w:val="5E88528A"/>
    <w:rsid w:val="5E8F3DCD"/>
    <w:rsid w:val="5E947BD9"/>
    <w:rsid w:val="5E982131"/>
    <w:rsid w:val="5E9B16F3"/>
    <w:rsid w:val="5EA04F5B"/>
    <w:rsid w:val="5EA26F25"/>
    <w:rsid w:val="5EA66A16"/>
    <w:rsid w:val="5EAF519E"/>
    <w:rsid w:val="5EB822A5"/>
    <w:rsid w:val="5EB904CA"/>
    <w:rsid w:val="5EBE278C"/>
    <w:rsid w:val="5EC23124"/>
    <w:rsid w:val="5EC56770"/>
    <w:rsid w:val="5ECA3D86"/>
    <w:rsid w:val="5ECD4BD6"/>
    <w:rsid w:val="5ED3237F"/>
    <w:rsid w:val="5ED52E57"/>
    <w:rsid w:val="5ED82947"/>
    <w:rsid w:val="5EF32452"/>
    <w:rsid w:val="5EF52F7B"/>
    <w:rsid w:val="5EF62DCD"/>
    <w:rsid w:val="5EFD415C"/>
    <w:rsid w:val="5EFF7ED4"/>
    <w:rsid w:val="5F021772"/>
    <w:rsid w:val="5F0454EA"/>
    <w:rsid w:val="5F13572D"/>
    <w:rsid w:val="5F230066"/>
    <w:rsid w:val="5F277E42"/>
    <w:rsid w:val="5F313E05"/>
    <w:rsid w:val="5F32224A"/>
    <w:rsid w:val="5F3758C0"/>
    <w:rsid w:val="5F37766E"/>
    <w:rsid w:val="5F3D27AA"/>
    <w:rsid w:val="5F4955F3"/>
    <w:rsid w:val="5F4B136B"/>
    <w:rsid w:val="5F4F0E5B"/>
    <w:rsid w:val="5F5024DD"/>
    <w:rsid w:val="5F557AF4"/>
    <w:rsid w:val="5F610B8F"/>
    <w:rsid w:val="5F6366B5"/>
    <w:rsid w:val="5F6B7317"/>
    <w:rsid w:val="5F6E0BB6"/>
    <w:rsid w:val="5F7F2DC3"/>
    <w:rsid w:val="5F816B3B"/>
    <w:rsid w:val="5F824661"/>
    <w:rsid w:val="5F8403D9"/>
    <w:rsid w:val="5F887EC9"/>
    <w:rsid w:val="5F922AF6"/>
    <w:rsid w:val="5F97635E"/>
    <w:rsid w:val="5F9E149B"/>
    <w:rsid w:val="5F9F5BE2"/>
    <w:rsid w:val="5FA34D03"/>
    <w:rsid w:val="5FA40A7B"/>
    <w:rsid w:val="5FA647F3"/>
    <w:rsid w:val="5FAE5456"/>
    <w:rsid w:val="5FB962D5"/>
    <w:rsid w:val="5FBA204D"/>
    <w:rsid w:val="5FBA3DFB"/>
    <w:rsid w:val="5FC627A0"/>
    <w:rsid w:val="5FC86518"/>
    <w:rsid w:val="5FCD3B2E"/>
    <w:rsid w:val="5FD21144"/>
    <w:rsid w:val="5FDE0AA5"/>
    <w:rsid w:val="5FEF7F48"/>
    <w:rsid w:val="5FF05A6E"/>
    <w:rsid w:val="5FF23595"/>
    <w:rsid w:val="5FF67529"/>
    <w:rsid w:val="5FF97FD7"/>
    <w:rsid w:val="5FFC2665"/>
    <w:rsid w:val="5FFE462F"/>
    <w:rsid w:val="60003F04"/>
    <w:rsid w:val="60104940"/>
    <w:rsid w:val="60195438"/>
    <w:rsid w:val="601C6864"/>
    <w:rsid w:val="602045A6"/>
    <w:rsid w:val="60220673"/>
    <w:rsid w:val="60275934"/>
    <w:rsid w:val="60285208"/>
    <w:rsid w:val="602D0A71"/>
    <w:rsid w:val="6031230F"/>
    <w:rsid w:val="60343BAD"/>
    <w:rsid w:val="6037544B"/>
    <w:rsid w:val="603B13E0"/>
    <w:rsid w:val="603B318E"/>
    <w:rsid w:val="603D6F06"/>
    <w:rsid w:val="604069F6"/>
    <w:rsid w:val="6045400C"/>
    <w:rsid w:val="604652B9"/>
    <w:rsid w:val="60477D84"/>
    <w:rsid w:val="605162C2"/>
    <w:rsid w:val="60563B24"/>
    <w:rsid w:val="605E0C2A"/>
    <w:rsid w:val="6062696C"/>
    <w:rsid w:val="6068521B"/>
    <w:rsid w:val="607466A0"/>
    <w:rsid w:val="60765F74"/>
    <w:rsid w:val="60791F08"/>
    <w:rsid w:val="607B5C80"/>
    <w:rsid w:val="608368E3"/>
    <w:rsid w:val="608D09A3"/>
    <w:rsid w:val="609E54CA"/>
    <w:rsid w:val="60A01243"/>
    <w:rsid w:val="60A023FA"/>
    <w:rsid w:val="60A32AE1"/>
    <w:rsid w:val="60A76850"/>
    <w:rsid w:val="60A96E90"/>
    <w:rsid w:val="60B116A2"/>
    <w:rsid w:val="60B847DE"/>
    <w:rsid w:val="60B92304"/>
    <w:rsid w:val="60BA67A8"/>
    <w:rsid w:val="60BE791B"/>
    <w:rsid w:val="60CA4511"/>
    <w:rsid w:val="60CE5DB0"/>
    <w:rsid w:val="60D31618"/>
    <w:rsid w:val="60D31D71"/>
    <w:rsid w:val="60DB671F"/>
    <w:rsid w:val="60E23609"/>
    <w:rsid w:val="60E90E3C"/>
    <w:rsid w:val="60EC4488"/>
    <w:rsid w:val="60F35816"/>
    <w:rsid w:val="60F577E0"/>
    <w:rsid w:val="6109328C"/>
    <w:rsid w:val="610E2650"/>
    <w:rsid w:val="611063C8"/>
    <w:rsid w:val="6115578D"/>
    <w:rsid w:val="6118702B"/>
    <w:rsid w:val="611D2893"/>
    <w:rsid w:val="6126799A"/>
    <w:rsid w:val="612B4FB0"/>
    <w:rsid w:val="612E2CF2"/>
    <w:rsid w:val="612F49F7"/>
    <w:rsid w:val="613100ED"/>
    <w:rsid w:val="613140DF"/>
    <w:rsid w:val="613A1697"/>
    <w:rsid w:val="613F280A"/>
    <w:rsid w:val="614147D4"/>
    <w:rsid w:val="61447E20"/>
    <w:rsid w:val="61483DB4"/>
    <w:rsid w:val="61497B2C"/>
    <w:rsid w:val="614B5652"/>
    <w:rsid w:val="614C4F26"/>
    <w:rsid w:val="615362B5"/>
    <w:rsid w:val="61565DA5"/>
    <w:rsid w:val="615A5895"/>
    <w:rsid w:val="61686204"/>
    <w:rsid w:val="61695AD8"/>
    <w:rsid w:val="617A1A94"/>
    <w:rsid w:val="617F52FC"/>
    <w:rsid w:val="618172C6"/>
    <w:rsid w:val="6186757B"/>
    <w:rsid w:val="61891CD7"/>
    <w:rsid w:val="618D5C6B"/>
    <w:rsid w:val="61903065"/>
    <w:rsid w:val="61926DDD"/>
    <w:rsid w:val="619F599E"/>
    <w:rsid w:val="61A30FEA"/>
    <w:rsid w:val="61B41449"/>
    <w:rsid w:val="61B84B09"/>
    <w:rsid w:val="61B9080E"/>
    <w:rsid w:val="61BC3AF2"/>
    <w:rsid w:val="61BE4076"/>
    <w:rsid w:val="61BF7DEE"/>
    <w:rsid w:val="61C10F84"/>
    <w:rsid w:val="61C3343B"/>
    <w:rsid w:val="61C8265E"/>
    <w:rsid w:val="61C86CA3"/>
    <w:rsid w:val="61CA2A1B"/>
    <w:rsid w:val="61E17D65"/>
    <w:rsid w:val="61E2477F"/>
    <w:rsid w:val="61E635CD"/>
    <w:rsid w:val="61E6537B"/>
    <w:rsid w:val="61F061FA"/>
    <w:rsid w:val="61F23D20"/>
    <w:rsid w:val="620D0B5A"/>
    <w:rsid w:val="620F042E"/>
    <w:rsid w:val="621243C2"/>
    <w:rsid w:val="62145A44"/>
    <w:rsid w:val="621974FF"/>
    <w:rsid w:val="621E68C3"/>
    <w:rsid w:val="62206ADF"/>
    <w:rsid w:val="6230510D"/>
    <w:rsid w:val="62346E21"/>
    <w:rsid w:val="62375BD7"/>
    <w:rsid w:val="6243457B"/>
    <w:rsid w:val="624502F4"/>
    <w:rsid w:val="624B51DE"/>
    <w:rsid w:val="62514EEA"/>
    <w:rsid w:val="62571523"/>
    <w:rsid w:val="62600C89"/>
    <w:rsid w:val="626764BC"/>
    <w:rsid w:val="62685D90"/>
    <w:rsid w:val="626A529E"/>
    <w:rsid w:val="62726C0F"/>
    <w:rsid w:val="62753841"/>
    <w:rsid w:val="627604AD"/>
    <w:rsid w:val="62764951"/>
    <w:rsid w:val="627806C9"/>
    <w:rsid w:val="627F3154"/>
    <w:rsid w:val="62854B94"/>
    <w:rsid w:val="629827B2"/>
    <w:rsid w:val="629848C7"/>
    <w:rsid w:val="62A25746"/>
    <w:rsid w:val="62A36DC8"/>
    <w:rsid w:val="62A51173"/>
    <w:rsid w:val="62A96AD4"/>
    <w:rsid w:val="62B31701"/>
    <w:rsid w:val="62B92A90"/>
    <w:rsid w:val="62C51434"/>
    <w:rsid w:val="62CC631F"/>
    <w:rsid w:val="62D53D65"/>
    <w:rsid w:val="62DB039E"/>
    <w:rsid w:val="62E573E1"/>
    <w:rsid w:val="62F45876"/>
    <w:rsid w:val="62F53AC8"/>
    <w:rsid w:val="62F61BCB"/>
    <w:rsid w:val="630261E5"/>
    <w:rsid w:val="63056863"/>
    <w:rsid w:val="630737FB"/>
    <w:rsid w:val="630C0E11"/>
    <w:rsid w:val="63163A3E"/>
    <w:rsid w:val="631F6D97"/>
    <w:rsid w:val="633640E0"/>
    <w:rsid w:val="633D1EF8"/>
    <w:rsid w:val="63414F5F"/>
    <w:rsid w:val="63422A85"/>
    <w:rsid w:val="63462575"/>
    <w:rsid w:val="634A36E8"/>
    <w:rsid w:val="634B193A"/>
    <w:rsid w:val="63500CFE"/>
    <w:rsid w:val="63556314"/>
    <w:rsid w:val="635602DE"/>
    <w:rsid w:val="636206DD"/>
    <w:rsid w:val="63627211"/>
    <w:rsid w:val="63646678"/>
    <w:rsid w:val="63686489"/>
    <w:rsid w:val="63696264"/>
    <w:rsid w:val="636E73D6"/>
    <w:rsid w:val="637075F2"/>
    <w:rsid w:val="63730E90"/>
    <w:rsid w:val="637C7D45"/>
    <w:rsid w:val="637D1D0F"/>
    <w:rsid w:val="638031E4"/>
    <w:rsid w:val="63862972"/>
    <w:rsid w:val="638E5CCA"/>
    <w:rsid w:val="63972DD1"/>
    <w:rsid w:val="63974B7F"/>
    <w:rsid w:val="639C3F43"/>
    <w:rsid w:val="639F3A33"/>
    <w:rsid w:val="63A14209"/>
    <w:rsid w:val="63A948B2"/>
    <w:rsid w:val="63B079EF"/>
    <w:rsid w:val="63B55005"/>
    <w:rsid w:val="63B804C1"/>
    <w:rsid w:val="63B82D47"/>
    <w:rsid w:val="63BE035D"/>
    <w:rsid w:val="63C17E4E"/>
    <w:rsid w:val="63C27722"/>
    <w:rsid w:val="63C65464"/>
    <w:rsid w:val="63CC019D"/>
    <w:rsid w:val="63D25BB7"/>
    <w:rsid w:val="63DC7851"/>
    <w:rsid w:val="63E71DE9"/>
    <w:rsid w:val="63EA2375"/>
    <w:rsid w:val="63EF49BB"/>
    <w:rsid w:val="63F041B5"/>
    <w:rsid w:val="63F21DB5"/>
    <w:rsid w:val="63F518A5"/>
    <w:rsid w:val="63FA6EBC"/>
    <w:rsid w:val="63FE4BFE"/>
    <w:rsid w:val="64046E46"/>
    <w:rsid w:val="640B2E77"/>
    <w:rsid w:val="641451FA"/>
    <w:rsid w:val="64191A38"/>
    <w:rsid w:val="641979E1"/>
    <w:rsid w:val="642E6B65"/>
    <w:rsid w:val="642F4DB7"/>
    <w:rsid w:val="64300B2F"/>
    <w:rsid w:val="643C5726"/>
    <w:rsid w:val="643E149E"/>
    <w:rsid w:val="6445282D"/>
    <w:rsid w:val="64462101"/>
    <w:rsid w:val="64467F21"/>
    <w:rsid w:val="644D348F"/>
    <w:rsid w:val="6450167E"/>
    <w:rsid w:val="645C36D2"/>
    <w:rsid w:val="64682077"/>
    <w:rsid w:val="64721148"/>
    <w:rsid w:val="647452F7"/>
    <w:rsid w:val="6477675E"/>
    <w:rsid w:val="64794284"/>
    <w:rsid w:val="647A1DAB"/>
    <w:rsid w:val="647C1FC7"/>
    <w:rsid w:val="64803865"/>
    <w:rsid w:val="64813139"/>
    <w:rsid w:val="648844C8"/>
    <w:rsid w:val="648B532D"/>
    <w:rsid w:val="648D7D30"/>
    <w:rsid w:val="64961BB1"/>
    <w:rsid w:val="64990483"/>
    <w:rsid w:val="64A84B6A"/>
    <w:rsid w:val="64AC6408"/>
    <w:rsid w:val="64AF7CA6"/>
    <w:rsid w:val="64B05486"/>
    <w:rsid w:val="64C574CA"/>
    <w:rsid w:val="64CA4AE0"/>
    <w:rsid w:val="64D94D23"/>
    <w:rsid w:val="64DE2339"/>
    <w:rsid w:val="64E21E2A"/>
    <w:rsid w:val="64F47DAF"/>
    <w:rsid w:val="64F63B27"/>
    <w:rsid w:val="64FA583D"/>
    <w:rsid w:val="65046244"/>
    <w:rsid w:val="65091AAC"/>
    <w:rsid w:val="650C334B"/>
    <w:rsid w:val="650D2C1F"/>
    <w:rsid w:val="650F30ED"/>
    <w:rsid w:val="651421FF"/>
    <w:rsid w:val="65167D25"/>
    <w:rsid w:val="651A5A67"/>
    <w:rsid w:val="651B533C"/>
    <w:rsid w:val="65200BA4"/>
    <w:rsid w:val="65273CE0"/>
    <w:rsid w:val="65297A59"/>
    <w:rsid w:val="652D2B7C"/>
    <w:rsid w:val="6531690D"/>
    <w:rsid w:val="65346E5E"/>
    <w:rsid w:val="65384140"/>
    <w:rsid w:val="653A7EB8"/>
    <w:rsid w:val="65402FF4"/>
    <w:rsid w:val="6546685C"/>
    <w:rsid w:val="654F5B39"/>
    <w:rsid w:val="65566374"/>
    <w:rsid w:val="65587EC8"/>
    <w:rsid w:val="656767D3"/>
    <w:rsid w:val="6569254B"/>
    <w:rsid w:val="65735178"/>
    <w:rsid w:val="65766C11"/>
    <w:rsid w:val="657D7DA4"/>
    <w:rsid w:val="65847385"/>
    <w:rsid w:val="65870C23"/>
    <w:rsid w:val="658D448B"/>
    <w:rsid w:val="65901886"/>
    <w:rsid w:val="65921AA2"/>
    <w:rsid w:val="65960E66"/>
    <w:rsid w:val="659C1D28"/>
    <w:rsid w:val="65A0589E"/>
    <w:rsid w:val="65A45331"/>
    <w:rsid w:val="65A672FB"/>
    <w:rsid w:val="65A90B99"/>
    <w:rsid w:val="65A96DEB"/>
    <w:rsid w:val="65AC2438"/>
    <w:rsid w:val="65B5753E"/>
    <w:rsid w:val="65B80DDC"/>
    <w:rsid w:val="65BC6B1F"/>
    <w:rsid w:val="65BF03BD"/>
    <w:rsid w:val="65C37EAD"/>
    <w:rsid w:val="65C9123C"/>
    <w:rsid w:val="65C94D98"/>
    <w:rsid w:val="65CB0B10"/>
    <w:rsid w:val="65CB6D62"/>
    <w:rsid w:val="65DC2D1D"/>
    <w:rsid w:val="65E6125B"/>
    <w:rsid w:val="65F31E15"/>
    <w:rsid w:val="65F404AE"/>
    <w:rsid w:val="66014531"/>
    <w:rsid w:val="66044022"/>
    <w:rsid w:val="66061B48"/>
    <w:rsid w:val="66067D9A"/>
    <w:rsid w:val="661C75BD"/>
    <w:rsid w:val="66272F36"/>
    <w:rsid w:val="662D3578"/>
    <w:rsid w:val="66320B8F"/>
    <w:rsid w:val="66337898"/>
    <w:rsid w:val="66372649"/>
    <w:rsid w:val="66377E5A"/>
    <w:rsid w:val="663A5C95"/>
    <w:rsid w:val="66442670"/>
    <w:rsid w:val="66456B14"/>
    <w:rsid w:val="664F6F83"/>
    <w:rsid w:val="66546D57"/>
    <w:rsid w:val="666176C6"/>
    <w:rsid w:val="66630D48"/>
    <w:rsid w:val="66682803"/>
    <w:rsid w:val="666B5E4F"/>
    <w:rsid w:val="667473F9"/>
    <w:rsid w:val="667C005C"/>
    <w:rsid w:val="667E25EE"/>
    <w:rsid w:val="668B029F"/>
    <w:rsid w:val="668B60F0"/>
    <w:rsid w:val="668F1B3D"/>
    <w:rsid w:val="668F7D8F"/>
    <w:rsid w:val="669058B5"/>
    <w:rsid w:val="669435F8"/>
    <w:rsid w:val="669B2BD8"/>
    <w:rsid w:val="669C3468"/>
    <w:rsid w:val="66A17AC3"/>
    <w:rsid w:val="66A575B3"/>
    <w:rsid w:val="66AB1026"/>
    <w:rsid w:val="66B07D06"/>
    <w:rsid w:val="66B3677C"/>
    <w:rsid w:val="66BC66AA"/>
    <w:rsid w:val="66C11F13"/>
    <w:rsid w:val="66C537B1"/>
    <w:rsid w:val="66CA6080"/>
    <w:rsid w:val="66D63C10"/>
    <w:rsid w:val="66D67198"/>
    <w:rsid w:val="66E856F1"/>
    <w:rsid w:val="66F81DD8"/>
    <w:rsid w:val="66FE3167"/>
    <w:rsid w:val="6703077D"/>
    <w:rsid w:val="6707201B"/>
    <w:rsid w:val="670A38BA"/>
    <w:rsid w:val="670F2C7E"/>
    <w:rsid w:val="67106B18"/>
    <w:rsid w:val="67177D85"/>
    <w:rsid w:val="672030DD"/>
    <w:rsid w:val="67220C03"/>
    <w:rsid w:val="672C1A82"/>
    <w:rsid w:val="67450B39"/>
    <w:rsid w:val="674566A0"/>
    <w:rsid w:val="674E19F8"/>
    <w:rsid w:val="674F3231"/>
    <w:rsid w:val="67550FD9"/>
    <w:rsid w:val="675D7E8D"/>
    <w:rsid w:val="675F45AB"/>
    <w:rsid w:val="67650AF0"/>
    <w:rsid w:val="67694A84"/>
    <w:rsid w:val="676C00D0"/>
    <w:rsid w:val="676C1E7F"/>
    <w:rsid w:val="676C21AF"/>
    <w:rsid w:val="677156E7"/>
    <w:rsid w:val="67784CC7"/>
    <w:rsid w:val="677E1BB2"/>
    <w:rsid w:val="678418BE"/>
    <w:rsid w:val="6788518F"/>
    <w:rsid w:val="678F3DBF"/>
    <w:rsid w:val="678F6E8F"/>
    <w:rsid w:val="67927140"/>
    <w:rsid w:val="679715F1"/>
    <w:rsid w:val="679A152B"/>
    <w:rsid w:val="679A69EC"/>
    <w:rsid w:val="67AC4971"/>
    <w:rsid w:val="67B51A77"/>
    <w:rsid w:val="67B83316"/>
    <w:rsid w:val="67B850C4"/>
    <w:rsid w:val="67BA708E"/>
    <w:rsid w:val="67BD092C"/>
    <w:rsid w:val="67C55DFB"/>
    <w:rsid w:val="67D57A24"/>
    <w:rsid w:val="67E4410B"/>
    <w:rsid w:val="67E55CBC"/>
    <w:rsid w:val="67F00D02"/>
    <w:rsid w:val="67F15C48"/>
    <w:rsid w:val="67F971AD"/>
    <w:rsid w:val="67FA46A9"/>
    <w:rsid w:val="67FF7197"/>
    <w:rsid w:val="680227E3"/>
    <w:rsid w:val="680E2242"/>
    <w:rsid w:val="68193FC1"/>
    <w:rsid w:val="681C0A67"/>
    <w:rsid w:val="681D13CB"/>
    <w:rsid w:val="6821710D"/>
    <w:rsid w:val="682E7AFD"/>
    <w:rsid w:val="683C5E64"/>
    <w:rsid w:val="684014B1"/>
    <w:rsid w:val="684150B9"/>
    <w:rsid w:val="68444BA9"/>
    <w:rsid w:val="68493A59"/>
    <w:rsid w:val="6852376A"/>
    <w:rsid w:val="68866F70"/>
    <w:rsid w:val="688D02FE"/>
    <w:rsid w:val="688D6DD8"/>
    <w:rsid w:val="68905759"/>
    <w:rsid w:val="68907DEF"/>
    <w:rsid w:val="689773CF"/>
    <w:rsid w:val="689B6EBF"/>
    <w:rsid w:val="68A815DC"/>
    <w:rsid w:val="68AA0EB0"/>
    <w:rsid w:val="68B03FED"/>
    <w:rsid w:val="68B45F92"/>
    <w:rsid w:val="68B735CD"/>
    <w:rsid w:val="68B80DBB"/>
    <w:rsid w:val="68BB0E3E"/>
    <w:rsid w:val="68C006D4"/>
    <w:rsid w:val="68C33D20"/>
    <w:rsid w:val="68C53F3C"/>
    <w:rsid w:val="68E11A71"/>
    <w:rsid w:val="68E1689C"/>
    <w:rsid w:val="68EA39A3"/>
    <w:rsid w:val="68EA74FF"/>
    <w:rsid w:val="68EF720B"/>
    <w:rsid w:val="68F0088D"/>
    <w:rsid w:val="68F47A32"/>
    <w:rsid w:val="68F55EA4"/>
    <w:rsid w:val="68FB5BB0"/>
    <w:rsid w:val="68FE2FAA"/>
    <w:rsid w:val="68FF5457"/>
    <w:rsid w:val="690600B1"/>
    <w:rsid w:val="690A5DF3"/>
    <w:rsid w:val="691602F4"/>
    <w:rsid w:val="6916074D"/>
    <w:rsid w:val="691B0000"/>
    <w:rsid w:val="691B1DAE"/>
    <w:rsid w:val="691B3B5C"/>
    <w:rsid w:val="691D2AAA"/>
    <w:rsid w:val="692A0243"/>
    <w:rsid w:val="692F585A"/>
    <w:rsid w:val="692F6F09"/>
    <w:rsid w:val="6931512E"/>
    <w:rsid w:val="6935090A"/>
    <w:rsid w:val="693B5FAC"/>
    <w:rsid w:val="693E784B"/>
    <w:rsid w:val="694035C3"/>
    <w:rsid w:val="6941762A"/>
    <w:rsid w:val="69450BD9"/>
    <w:rsid w:val="69456E2B"/>
    <w:rsid w:val="69470DF5"/>
    <w:rsid w:val="694C640B"/>
    <w:rsid w:val="694E2184"/>
    <w:rsid w:val="69584DB0"/>
    <w:rsid w:val="69603C65"/>
    <w:rsid w:val="69623539"/>
    <w:rsid w:val="696912CD"/>
    <w:rsid w:val="696C43B8"/>
    <w:rsid w:val="69717C20"/>
    <w:rsid w:val="69782D5D"/>
    <w:rsid w:val="698060B5"/>
    <w:rsid w:val="69823D4B"/>
    <w:rsid w:val="69847953"/>
    <w:rsid w:val="69872FA0"/>
    <w:rsid w:val="698B0E5A"/>
    <w:rsid w:val="698C6808"/>
    <w:rsid w:val="69935DE8"/>
    <w:rsid w:val="69967687"/>
    <w:rsid w:val="699E6CAA"/>
    <w:rsid w:val="699F29DF"/>
    <w:rsid w:val="699F478D"/>
    <w:rsid w:val="69A04061"/>
    <w:rsid w:val="69A2427D"/>
    <w:rsid w:val="69A51678"/>
    <w:rsid w:val="69AC6EAA"/>
    <w:rsid w:val="69AE49D0"/>
    <w:rsid w:val="69B30239"/>
    <w:rsid w:val="69B61AD7"/>
    <w:rsid w:val="69BB75DA"/>
    <w:rsid w:val="69BD2E65"/>
    <w:rsid w:val="69BD4C2B"/>
    <w:rsid w:val="69BF098B"/>
    <w:rsid w:val="69C12F13"/>
    <w:rsid w:val="69CC0026"/>
    <w:rsid w:val="69CC4E56"/>
    <w:rsid w:val="69DB32EB"/>
    <w:rsid w:val="69F66377"/>
    <w:rsid w:val="69F745C9"/>
    <w:rsid w:val="6A025978"/>
    <w:rsid w:val="6A2922A9"/>
    <w:rsid w:val="6A2E5B11"/>
    <w:rsid w:val="6A30400B"/>
    <w:rsid w:val="6A325601"/>
    <w:rsid w:val="6A356EA0"/>
    <w:rsid w:val="6A372C18"/>
    <w:rsid w:val="6A3824EC"/>
    <w:rsid w:val="6A440E91"/>
    <w:rsid w:val="6A4437F4"/>
    <w:rsid w:val="6A486BD3"/>
    <w:rsid w:val="6A4D269B"/>
    <w:rsid w:val="6A503CD9"/>
    <w:rsid w:val="6A506AE1"/>
    <w:rsid w:val="6A554E4C"/>
    <w:rsid w:val="6A5F5CCB"/>
    <w:rsid w:val="6A615EE7"/>
    <w:rsid w:val="6A6C1D17"/>
    <w:rsid w:val="6A707ED8"/>
    <w:rsid w:val="6A723C50"/>
    <w:rsid w:val="6A7D43A3"/>
    <w:rsid w:val="6A8614A9"/>
    <w:rsid w:val="6A90057A"/>
    <w:rsid w:val="6A941E18"/>
    <w:rsid w:val="6AA638F9"/>
    <w:rsid w:val="6AAA163C"/>
    <w:rsid w:val="6AAD6A36"/>
    <w:rsid w:val="6AB04778"/>
    <w:rsid w:val="6AB36FF1"/>
    <w:rsid w:val="6AB448D3"/>
    <w:rsid w:val="6AB73D58"/>
    <w:rsid w:val="6ABC311D"/>
    <w:rsid w:val="6ABC360E"/>
    <w:rsid w:val="6AC50223"/>
    <w:rsid w:val="6AC67AF8"/>
    <w:rsid w:val="6AC975E8"/>
    <w:rsid w:val="6ACB15B2"/>
    <w:rsid w:val="6AD00976"/>
    <w:rsid w:val="6AD9373A"/>
    <w:rsid w:val="6AD93CCF"/>
    <w:rsid w:val="6AD95A7D"/>
    <w:rsid w:val="6AD9782B"/>
    <w:rsid w:val="6ADB7A47"/>
    <w:rsid w:val="6ADD43E2"/>
    <w:rsid w:val="6ADF0B16"/>
    <w:rsid w:val="6AFF300A"/>
    <w:rsid w:val="6B106FC5"/>
    <w:rsid w:val="6B144D07"/>
    <w:rsid w:val="6B3C54D1"/>
    <w:rsid w:val="6B3E1D84"/>
    <w:rsid w:val="6B403D4E"/>
    <w:rsid w:val="6B4355EC"/>
    <w:rsid w:val="6B454EC0"/>
    <w:rsid w:val="6B5670CE"/>
    <w:rsid w:val="6B572E46"/>
    <w:rsid w:val="6B574BF4"/>
    <w:rsid w:val="6B581098"/>
    <w:rsid w:val="6B5854CB"/>
    <w:rsid w:val="6B6317EA"/>
    <w:rsid w:val="6B655563"/>
    <w:rsid w:val="6B741C4A"/>
    <w:rsid w:val="6B8359E9"/>
    <w:rsid w:val="6B87443F"/>
    <w:rsid w:val="6B8A6F5F"/>
    <w:rsid w:val="6B8F438D"/>
    <w:rsid w:val="6B8F7255"/>
    <w:rsid w:val="6B9145AA"/>
    <w:rsid w:val="6B985938"/>
    <w:rsid w:val="6B9876E6"/>
    <w:rsid w:val="6B9D2F4E"/>
    <w:rsid w:val="6B9F6CC6"/>
    <w:rsid w:val="6BA047ED"/>
    <w:rsid w:val="6BA442DD"/>
    <w:rsid w:val="6BB42046"/>
    <w:rsid w:val="6BC24763"/>
    <w:rsid w:val="6BC56001"/>
    <w:rsid w:val="6BD42820"/>
    <w:rsid w:val="6BD44496"/>
    <w:rsid w:val="6BD83F86"/>
    <w:rsid w:val="6BDD77EF"/>
    <w:rsid w:val="6BDF5315"/>
    <w:rsid w:val="6BE50451"/>
    <w:rsid w:val="6BEC5C84"/>
    <w:rsid w:val="6BF16DF6"/>
    <w:rsid w:val="6BF84629"/>
    <w:rsid w:val="6BFF59B7"/>
    <w:rsid w:val="6C021003"/>
    <w:rsid w:val="6C060AF4"/>
    <w:rsid w:val="6C07486C"/>
    <w:rsid w:val="6C0774BC"/>
    <w:rsid w:val="6C0B435C"/>
    <w:rsid w:val="6C0B610A"/>
    <w:rsid w:val="6C0C1E82"/>
    <w:rsid w:val="6C117498"/>
    <w:rsid w:val="6C1A634D"/>
    <w:rsid w:val="6C1F5711"/>
    <w:rsid w:val="6C2216A6"/>
    <w:rsid w:val="6C225202"/>
    <w:rsid w:val="6C2E5CBA"/>
    <w:rsid w:val="6C411B2C"/>
    <w:rsid w:val="6C445178"/>
    <w:rsid w:val="6C467142"/>
    <w:rsid w:val="6C517895"/>
    <w:rsid w:val="6C643A6C"/>
    <w:rsid w:val="6C6E0447"/>
    <w:rsid w:val="6C6F77E2"/>
    <w:rsid w:val="6C77379F"/>
    <w:rsid w:val="6C7C0DB6"/>
    <w:rsid w:val="6C7D68DC"/>
    <w:rsid w:val="6C7F08A6"/>
    <w:rsid w:val="6C830396"/>
    <w:rsid w:val="6C841833"/>
    <w:rsid w:val="6C8669DD"/>
    <w:rsid w:val="6C9C3206"/>
    <w:rsid w:val="6C9F2CF6"/>
    <w:rsid w:val="6CA91B93"/>
    <w:rsid w:val="6CA95923"/>
    <w:rsid w:val="6CB30550"/>
    <w:rsid w:val="6CB322FE"/>
    <w:rsid w:val="6CB5251A"/>
    <w:rsid w:val="6CBA7B30"/>
    <w:rsid w:val="6CBC5656"/>
    <w:rsid w:val="6CBF6EF4"/>
    <w:rsid w:val="6CC16DF8"/>
    <w:rsid w:val="6CC60283"/>
    <w:rsid w:val="6CCA7D73"/>
    <w:rsid w:val="6CCC2D72"/>
    <w:rsid w:val="6CD01D77"/>
    <w:rsid w:val="6CD163C6"/>
    <w:rsid w:val="6CD56718"/>
    <w:rsid w:val="6CF43042"/>
    <w:rsid w:val="6CF748E0"/>
    <w:rsid w:val="6CFE5C6F"/>
    <w:rsid w:val="6D003795"/>
    <w:rsid w:val="6D005550"/>
    <w:rsid w:val="6D0A63C2"/>
    <w:rsid w:val="6D0B205B"/>
    <w:rsid w:val="6D0D4104"/>
    <w:rsid w:val="6D1056EB"/>
    <w:rsid w:val="6D1234C8"/>
    <w:rsid w:val="6D147240"/>
    <w:rsid w:val="6D154D66"/>
    <w:rsid w:val="6D162FB8"/>
    <w:rsid w:val="6D1E1E6D"/>
    <w:rsid w:val="6D266F73"/>
    <w:rsid w:val="6D317DF2"/>
    <w:rsid w:val="6D321474"/>
    <w:rsid w:val="6D3671B7"/>
    <w:rsid w:val="6D392803"/>
    <w:rsid w:val="6D3E42BD"/>
    <w:rsid w:val="6D436DAD"/>
    <w:rsid w:val="6D45564C"/>
    <w:rsid w:val="6D464F20"/>
    <w:rsid w:val="6D486EEA"/>
    <w:rsid w:val="6D513A8A"/>
    <w:rsid w:val="6D513FF0"/>
    <w:rsid w:val="6D5238C5"/>
    <w:rsid w:val="6D6D5458"/>
    <w:rsid w:val="6D714693"/>
    <w:rsid w:val="6D725D15"/>
    <w:rsid w:val="6D761CA9"/>
    <w:rsid w:val="6D7D3037"/>
    <w:rsid w:val="6D8008FA"/>
    <w:rsid w:val="6D8A305E"/>
    <w:rsid w:val="6D934609"/>
    <w:rsid w:val="6D967C55"/>
    <w:rsid w:val="6D9C0FE4"/>
    <w:rsid w:val="6DA00AD4"/>
    <w:rsid w:val="6DA854AB"/>
    <w:rsid w:val="6DA9210F"/>
    <w:rsid w:val="6DAA3B67"/>
    <w:rsid w:val="6DAE1443"/>
    <w:rsid w:val="6DAE403A"/>
    <w:rsid w:val="6DB4632D"/>
    <w:rsid w:val="6DC26C9C"/>
    <w:rsid w:val="6DC81DD9"/>
    <w:rsid w:val="6DCA5B73"/>
    <w:rsid w:val="6DCF4F15"/>
    <w:rsid w:val="6DD05461"/>
    <w:rsid w:val="6DD16EDF"/>
    <w:rsid w:val="6DD469CF"/>
    <w:rsid w:val="6DDB7D5E"/>
    <w:rsid w:val="6DE035C6"/>
    <w:rsid w:val="6DEC5AC7"/>
    <w:rsid w:val="6DF40E20"/>
    <w:rsid w:val="6DFF3A4C"/>
    <w:rsid w:val="6E041063"/>
    <w:rsid w:val="6E096679"/>
    <w:rsid w:val="6E0B0E8D"/>
    <w:rsid w:val="6E2711F5"/>
    <w:rsid w:val="6E313E22"/>
    <w:rsid w:val="6E396833"/>
    <w:rsid w:val="6E3A2CD6"/>
    <w:rsid w:val="6E3A4A84"/>
    <w:rsid w:val="6E401DF3"/>
    <w:rsid w:val="6E421B8B"/>
    <w:rsid w:val="6E4476B1"/>
    <w:rsid w:val="6E493089"/>
    <w:rsid w:val="6E563714"/>
    <w:rsid w:val="6E5B2C4D"/>
    <w:rsid w:val="6E61112C"/>
    <w:rsid w:val="6E623FDB"/>
    <w:rsid w:val="6E645FA5"/>
    <w:rsid w:val="6E680FFF"/>
    <w:rsid w:val="6E737F96"/>
    <w:rsid w:val="6E7A30D3"/>
    <w:rsid w:val="6E7B6E4B"/>
    <w:rsid w:val="6E7C1B49"/>
    <w:rsid w:val="6E82467D"/>
    <w:rsid w:val="6E865F1C"/>
    <w:rsid w:val="6E895A0C"/>
    <w:rsid w:val="6E8E6B7E"/>
    <w:rsid w:val="6E9C1F37"/>
    <w:rsid w:val="6E9F0D8B"/>
    <w:rsid w:val="6EA97922"/>
    <w:rsid w:val="6EB04C24"/>
    <w:rsid w:val="6EBC36EB"/>
    <w:rsid w:val="6EBC7B8F"/>
    <w:rsid w:val="6ECD3B4B"/>
    <w:rsid w:val="6EDC481A"/>
    <w:rsid w:val="6EE21ED9"/>
    <w:rsid w:val="6EE844E0"/>
    <w:rsid w:val="6EF235B1"/>
    <w:rsid w:val="6EF32E85"/>
    <w:rsid w:val="6EFA2466"/>
    <w:rsid w:val="6EFC2C8E"/>
    <w:rsid w:val="6F010E4F"/>
    <w:rsid w:val="6F0137F4"/>
    <w:rsid w:val="6F046E40"/>
    <w:rsid w:val="6F084B83"/>
    <w:rsid w:val="6F094457"/>
    <w:rsid w:val="6F0D3F47"/>
    <w:rsid w:val="6F0F4163"/>
    <w:rsid w:val="6F141779"/>
    <w:rsid w:val="6F146CB4"/>
    <w:rsid w:val="6F20011E"/>
    <w:rsid w:val="6F23376B"/>
    <w:rsid w:val="6F255735"/>
    <w:rsid w:val="6F286FD3"/>
    <w:rsid w:val="6F2F0361"/>
    <w:rsid w:val="6F2F210F"/>
    <w:rsid w:val="6F2F65B3"/>
    <w:rsid w:val="6F2F7F6A"/>
    <w:rsid w:val="6F3A0AB4"/>
    <w:rsid w:val="6F3C482C"/>
    <w:rsid w:val="6F41697A"/>
    <w:rsid w:val="6F4656AB"/>
    <w:rsid w:val="6F473766"/>
    <w:rsid w:val="6F48197F"/>
    <w:rsid w:val="6F4F630E"/>
    <w:rsid w:val="6F514DDE"/>
    <w:rsid w:val="6F5558EE"/>
    <w:rsid w:val="6F5A4CB2"/>
    <w:rsid w:val="6F6F4C02"/>
    <w:rsid w:val="6F7E3097"/>
    <w:rsid w:val="6F7E4E45"/>
    <w:rsid w:val="6F8A37EA"/>
    <w:rsid w:val="6F8C2176"/>
    <w:rsid w:val="6F8F7052"/>
    <w:rsid w:val="6F997ED1"/>
    <w:rsid w:val="6F9B77A5"/>
    <w:rsid w:val="6F9E1043"/>
    <w:rsid w:val="6FAA3E8C"/>
    <w:rsid w:val="6FAA5C3A"/>
    <w:rsid w:val="6FB645DF"/>
    <w:rsid w:val="6FBB1BF5"/>
    <w:rsid w:val="6FBB39A3"/>
    <w:rsid w:val="6FBE759A"/>
    <w:rsid w:val="6FC55B54"/>
    <w:rsid w:val="6FDE58E3"/>
    <w:rsid w:val="6FE56C72"/>
    <w:rsid w:val="6FE949B4"/>
    <w:rsid w:val="6FEE1FCA"/>
    <w:rsid w:val="6FF15617"/>
    <w:rsid w:val="6FF173C5"/>
    <w:rsid w:val="6FF9096F"/>
    <w:rsid w:val="6FF944CB"/>
    <w:rsid w:val="6FFB0243"/>
    <w:rsid w:val="6FFD3FBC"/>
    <w:rsid w:val="700658BC"/>
    <w:rsid w:val="70082960"/>
    <w:rsid w:val="70096E04"/>
    <w:rsid w:val="700A0487"/>
    <w:rsid w:val="700C2451"/>
    <w:rsid w:val="701337DF"/>
    <w:rsid w:val="701B08E6"/>
    <w:rsid w:val="7021249C"/>
    <w:rsid w:val="70241B23"/>
    <w:rsid w:val="702459EC"/>
    <w:rsid w:val="702A28D7"/>
    <w:rsid w:val="702F4391"/>
    <w:rsid w:val="702F613F"/>
    <w:rsid w:val="702F7EED"/>
    <w:rsid w:val="70313C65"/>
    <w:rsid w:val="70383246"/>
    <w:rsid w:val="703B4AE4"/>
    <w:rsid w:val="7040659E"/>
    <w:rsid w:val="70427EBA"/>
    <w:rsid w:val="70441BEA"/>
    <w:rsid w:val="70447E3C"/>
    <w:rsid w:val="704716DB"/>
    <w:rsid w:val="70480FAF"/>
    <w:rsid w:val="70495453"/>
    <w:rsid w:val="704C4F43"/>
    <w:rsid w:val="704C6CF1"/>
    <w:rsid w:val="7055244F"/>
    <w:rsid w:val="705838E8"/>
    <w:rsid w:val="705D2CAC"/>
    <w:rsid w:val="7064403B"/>
    <w:rsid w:val="70651B61"/>
    <w:rsid w:val="706978A3"/>
    <w:rsid w:val="706C06D6"/>
    <w:rsid w:val="706C2EEF"/>
    <w:rsid w:val="707029DF"/>
    <w:rsid w:val="707149AA"/>
    <w:rsid w:val="70716758"/>
    <w:rsid w:val="70757FF6"/>
    <w:rsid w:val="70776C11"/>
    <w:rsid w:val="707F0E75"/>
    <w:rsid w:val="7080699B"/>
    <w:rsid w:val="708446DD"/>
    <w:rsid w:val="70891CF3"/>
    <w:rsid w:val="708F6BDE"/>
    <w:rsid w:val="70910BA8"/>
    <w:rsid w:val="70932B72"/>
    <w:rsid w:val="709366CE"/>
    <w:rsid w:val="709541F4"/>
    <w:rsid w:val="70A703CB"/>
    <w:rsid w:val="70A72179"/>
    <w:rsid w:val="70AB3A18"/>
    <w:rsid w:val="70AB7EBB"/>
    <w:rsid w:val="70B054D2"/>
    <w:rsid w:val="70C04FE9"/>
    <w:rsid w:val="70C25205"/>
    <w:rsid w:val="70CB2656"/>
    <w:rsid w:val="70D171F6"/>
    <w:rsid w:val="70D2369A"/>
    <w:rsid w:val="70DA254F"/>
    <w:rsid w:val="70DA42FD"/>
    <w:rsid w:val="70E17439"/>
    <w:rsid w:val="70F21646"/>
    <w:rsid w:val="70F53EEA"/>
    <w:rsid w:val="70F57389"/>
    <w:rsid w:val="70F74EAF"/>
    <w:rsid w:val="70F76C5D"/>
    <w:rsid w:val="70FC24C5"/>
    <w:rsid w:val="70FC67DE"/>
    <w:rsid w:val="71063344"/>
    <w:rsid w:val="71080FF0"/>
    <w:rsid w:val="71107D1F"/>
    <w:rsid w:val="71123A97"/>
    <w:rsid w:val="711C4915"/>
    <w:rsid w:val="7127119A"/>
    <w:rsid w:val="71271F08"/>
    <w:rsid w:val="7128150C"/>
    <w:rsid w:val="713E488C"/>
    <w:rsid w:val="714025F2"/>
    <w:rsid w:val="714125CE"/>
    <w:rsid w:val="714A76D4"/>
    <w:rsid w:val="716562BC"/>
    <w:rsid w:val="716D4044"/>
    <w:rsid w:val="717100DF"/>
    <w:rsid w:val="717371C8"/>
    <w:rsid w:val="71744751"/>
    <w:rsid w:val="717A163C"/>
    <w:rsid w:val="717E737E"/>
    <w:rsid w:val="717F6C52"/>
    <w:rsid w:val="718F3339"/>
    <w:rsid w:val="71902C0D"/>
    <w:rsid w:val="71956476"/>
    <w:rsid w:val="719A31FD"/>
    <w:rsid w:val="719A3A8C"/>
    <w:rsid w:val="719E17CE"/>
    <w:rsid w:val="71B27028"/>
    <w:rsid w:val="71B42DA0"/>
    <w:rsid w:val="71BB2380"/>
    <w:rsid w:val="71C93720"/>
    <w:rsid w:val="71CA25C3"/>
    <w:rsid w:val="71CE09AC"/>
    <w:rsid w:val="71CF1988"/>
    <w:rsid w:val="71D1072A"/>
    <w:rsid w:val="71D4725F"/>
    <w:rsid w:val="71D473EF"/>
    <w:rsid w:val="71D76A8E"/>
    <w:rsid w:val="71DA3830"/>
    <w:rsid w:val="71E116BB"/>
    <w:rsid w:val="71E35433"/>
    <w:rsid w:val="71E371E1"/>
    <w:rsid w:val="71E82A49"/>
    <w:rsid w:val="71E847F7"/>
    <w:rsid w:val="71EA4A14"/>
    <w:rsid w:val="71EF3DD8"/>
    <w:rsid w:val="71F907B3"/>
    <w:rsid w:val="71F92EA9"/>
    <w:rsid w:val="71FE1FF2"/>
    <w:rsid w:val="71FE401B"/>
    <w:rsid w:val="72007D93"/>
    <w:rsid w:val="72023B0B"/>
    <w:rsid w:val="720D19AA"/>
    <w:rsid w:val="72113D4E"/>
    <w:rsid w:val="72130821"/>
    <w:rsid w:val="721E646B"/>
    <w:rsid w:val="722021E3"/>
    <w:rsid w:val="722577FA"/>
    <w:rsid w:val="72273572"/>
    <w:rsid w:val="7229553C"/>
    <w:rsid w:val="72313DAA"/>
    <w:rsid w:val="7231619E"/>
    <w:rsid w:val="723F4D5F"/>
    <w:rsid w:val="72404633"/>
    <w:rsid w:val="724F4877"/>
    <w:rsid w:val="72536115"/>
    <w:rsid w:val="72573623"/>
    <w:rsid w:val="725D6F93"/>
    <w:rsid w:val="725F0F5E"/>
    <w:rsid w:val="726148AD"/>
    <w:rsid w:val="726245AA"/>
    <w:rsid w:val="72693B8A"/>
    <w:rsid w:val="726E73F3"/>
    <w:rsid w:val="72712A3F"/>
    <w:rsid w:val="72783DCD"/>
    <w:rsid w:val="727918F3"/>
    <w:rsid w:val="727D13E4"/>
    <w:rsid w:val="727D5888"/>
    <w:rsid w:val="72842772"/>
    <w:rsid w:val="728564EA"/>
    <w:rsid w:val="728704B4"/>
    <w:rsid w:val="728946EE"/>
    <w:rsid w:val="72903084"/>
    <w:rsid w:val="72985EB3"/>
    <w:rsid w:val="729D3834"/>
    <w:rsid w:val="729F135A"/>
    <w:rsid w:val="72A4298A"/>
    <w:rsid w:val="72A5093A"/>
    <w:rsid w:val="72AB41A3"/>
    <w:rsid w:val="72AE3C93"/>
    <w:rsid w:val="72B03567"/>
    <w:rsid w:val="72B312A9"/>
    <w:rsid w:val="72B8241C"/>
    <w:rsid w:val="72C74D55"/>
    <w:rsid w:val="72C963D7"/>
    <w:rsid w:val="72CA5DE6"/>
    <w:rsid w:val="72CE1C3F"/>
    <w:rsid w:val="72CE60E3"/>
    <w:rsid w:val="72D44DD2"/>
    <w:rsid w:val="72D57472"/>
    <w:rsid w:val="72D80D10"/>
    <w:rsid w:val="72DF3E4C"/>
    <w:rsid w:val="72E5220E"/>
    <w:rsid w:val="72E96A79"/>
    <w:rsid w:val="72EC0317"/>
    <w:rsid w:val="72F378F8"/>
    <w:rsid w:val="72F5541E"/>
    <w:rsid w:val="72F76971"/>
    <w:rsid w:val="72F8530C"/>
    <w:rsid w:val="72F86CBC"/>
    <w:rsid w:val="72FD2525"/>
    <w:rsid w:val="731352DC"/>
    <w:rsid w:val="73137F9A"/>
    <w:rsid w:val="731A30D6"/>
    <w:rsid w:val="731D4975"/>
    <w:rsid w:val="7327134F"/>
    <w:rsid w:val="732B0E40"/>
    <w:rsid w:val="732C6966"/>
    <w:rsid w:val="7332230D"/>
    <w:rsid w:val="733A1083"/>
    <w:rsid w:val="733A5527"/>
    <w:rsid w:val="733D0B73"/>
    <w:rsid w:val="733F48EB"/>
    <w:rsid w:val="734168B5"/>
    <w:rsid w:val="7370375C"/>
    <w:rsid w:val="73734595"/>
    <w:rsid w:val="737E18B7"/>
    <w:rsid w:val="73840550"/>
    <w:rsid w:val="73880040"/>
    <w:rsid w:val="7399049F"/>
    <w:rsid w:val="739A2A84"/>
    <w:rsid w:val="739A5FC5"/>
    <w:rsid w:val="739C3AEB"/>
    <w:rsid w:val="739D7782"/>
    <w:rsid w:val="73A86934"/>
    <w:rsid w:val="73AD5CF9"/>
    <w:rsid w:val="73B07597"/>
    <w:rsid w:val="73B70925"/>
    <w:rsid w:val="73BC418E"/>
    <w:rsid w:val="73BE334D"/>
    <w:rsid w:val="73BE3A62"/>
    <w:rsid w:val="73C3376E"/>
    <w:rsid w:val="73CF1701"/>
    <w:rsid w:val="73CF3EC1"/>
    <w:rsid w:val="73D019E7"/>
    <w:rsid w:val="73D56FFD"/>
    <w:rsid w:val="73D72D76"/>
    <w:rsid w:val="73DD6B53"/>
    <w:rsid w:val="73E060CE"/>
    <w:rsid w:val="73E57C39"/>
    <w:rsid w:val="73ED2599"/>
    <w:rsid w:val="73F25E01"/>
    <w:rsid w:val="73F531FC"/>
    <w:rsid w:val="73F676A0"/>
    <w:rsid w:val="73FC458A"/>
    <w:rsid w:val="73FE0302"/>
    <w:rsid w:val="73FE47A6"/>
    <w:rsid w:val="7400051E"/>
    <w:rsid w:val="7406305F"/>
    <w:rsid w:val="74161BB3"/>
    <w:rsid w:val="741915E0"/>
    <w:rsid w:val="741B5358"/>
    <w:rsid w:val="74212243"/>
    <w:rsid w:val="7426442E"/>
    <w:rsid w:val="742E39B7"/>
    <w:rsid w:val="742F670E"/>
    <w:rsid w:val="74330C5F"/>
    <w:rsid w:val="743401C8"/>
    <w:rsid w:val="74365CEE"/>
    <w:rsid w:val="74367A9C"/>
    <w:rsid w:val="74381A66"/>
    <w:rsid w:val="74406B6D"/>
    <w:rsid w:val="744C5512"/>
    <w:rsid w:val="744F5002"/>
    <w:rsid w:val="74566390"/>
    <w:rsid w:val="745727B9"/>
    <w:rsid w:val="745919DD"/>
    <w:rsid w:val="745D14CD"/>
    <w:rsid w:val="745D771F"/>
    <w:rsid w:val="74610711"/>
    <w:rsid w:val="746565D3"/>
    <w:rsid w:val="746A5998"/>
    <w:rsid w:val="746D7236"/>
    <w:rsid w:val="747B1953"/>
    <w:rsid w:val="747D1B6F"/>
    <w:rsid w:val="74850A24"/>
    <w:rsid w:val="74890514"/>
    <w:rsid w:val="748F53FE"/>
    <w:rsid w:val="7493429B"/>
    <w:rsid w:val="74961BD4"/>
    <w:rsid w:val="749D7B1B"/>
    <w:rsid w:val="749F1AE5"/>
    <w:rsid w:val="749F7D37"/>
    <w:rsid w:val="74A76BEC"/>
    <w:rsid w:val="74B66E2F"/>
    <w:rsid w:val="74BC0510"/>
    <w:rsid w:val="74C0380A"/>
    <w:rsid w:val="74C57072"/>
    <w:rsid w:val="74CC6652"/>
    <w:rsid w:val="74D13C69"/>
    <w:rsid w:val="74D6127F"/>
    <w:rsid w:val="74D8656F"/>
    <w:rsid w:val="74DC4AE7"/>
    <w:rsid w:val="74E25E76"/>
    <w:rsid w:val="74E97204"/>
    <w:rsid w:val="74EB3CE3"/>
    <w:rsid w:val="74F06AE9"/>
    <w:rsid w:val="74F55BA9"/>
    <w:rsid w:val="74F82FA3"/>
    <w:rsid w:val="74FD4A5E"/>
    <w:rsid w:val="74FF07D6"/>
    <w:rsid w:val="75061B64"/>
    <w:rsid w:val="75091655"/>
    <w:rsid w:val="750F61DE"/>
    <w:rsid w:val="75112399"/>
    <w:rsid w:val="75114065"/>
    <w:rsid w:val="75175B20"/>
    <w:rsid w:val="75204CB3"/>
    <w:rsid w:val="7521699E"/>
    <w:rsid w:val="752244C4"/>
    <w:rsid w:val="75287D2D"/>
    <w:rsid w:val="75292FF9"/>
    <w:rsid w:val="752B3379"/>
    <w:rsid w:val="75377F70"/>
    <w:rsid w:val="75383CE8"/>
    <w:rsid w:val="753A35BC"/>
    <w:rsid w:val="7541494A"/>
    <w:rsid w:val="754601B3"/>
    <w:rsid w:val="75502DDF"/>
    <w:rsid w:val="75525534"/>
    <w:rsid w:val="755723C0"/>
    <w:rsid w:val="755C79D6"/>
    <w:rsid w:val="755E78D7"/>
    <w:rsid w:val="755F74C6"/>
    <w:rsid w:val="75680129"/>
    <w:rsid w:val="756B5E6B"/>
    <w:rsid w:val="756F2BA9"/>
    <w:rsid w:val="757545F4"/>
    <w:rsid w:val="757E5B9F"/>
    <w:rsid w:val="75812F99"/>
    <w:rsid w:val="758415F2"/>
    <w:rsid w:val="758B02BC"/>
    <w:rsid w:val="758D5DE2"/>
    <w:rsid w:val="758E216C"/>
    <w:rsid w:val="75906732"/>
    <w:rsid w:val="75954C96"/>
    <w:rsid w:val="759E3B4B"/>
    <w:rsid w:val="75A31161"/>
    <w:rsid w:val="75A86778"/>
    <w:rsid w:val="75A90742"/>
    <w:rsid w:val="75B96BD7"/>
    <w:rsid w:val="75BA46FD"/>
    <w:rsid w:val="75BA64AB"/>
    <w:rsid w:val="75BF3AC1"/>
    <w:rsid w:val="75BF7F65"/>
    <w:rsid w:val="75C630A2"/>
    <w:rsid w:val="75CB06B8"/>
    <w:rsid w:val="75D4756D"/>
    <w:rsid w:val="75DE3C18"/>
    <w:rsid w:val="75E8126A"/>
    <w:rsid w:val="75EB0D5A"/>
    <w:rsid w:val="75F55735"/>
    <w:rsid w:val="760065B4"/>
    <w:rsid w:val="7601057E"/>
    <w:rsid w:val="7601232C"/>
    <w:rsid w:val="760616F0"/>
    <w:rsid w:val="760B4F58"/>
    <w:rsid w:val="7610256F"/>
    <w:rsid w:val="76143E0D"/>
    <w:rsid w:val="76191423"/>
    <w:rsid w:val="76200A04"/>
    <w:rsid w:val="762304F4"/>
    <w:rsid w:val="762322A2"/>
    <w:rsid w:val="763B75EC"/>
    <w:rsid w:val="763E0E8A"/>
    <w:rsid w:val="76424E1E"/>
    <w:rsid w:val="764364A0"/>
    <w:rsid w:val="76452218"/>
    <w:rsid w:val="765661D4"/>
    <w:rsid w:val="76592168"/>
    <w:rsid w:val="765B2538"/>
    <w:rsid w:val="76650B0D"/>
    <w:rsid w:val="766905FD"/>
    <w:rsid w:val="766D6E76"/>
    <w:rsid w:val="766D79C1"/>
    <w:rsid w:val="76726D86"/>
    <w:rsid w:val="76766876"/>
    <w:rsid w:val="76780840"/>
    <w:rsid w:val="767B20DE"/>
    <w:rsid w:val="767C19B2"/>
    <w:rsid w:val="76852F5D"/>
    <w:rsid w:val="768865A9"/>
    <w:rsid w:val="768A0573"/>
    <w:rsid w:val="768C6099"/>
    <w:rsid w:val="768C7332"/>
    <w:rsid w:val="768F16E6"/>
    <w:rsid w:val="7693567A"/>
    <w:rsid w:val="769C3E9C"/>
    <w:rsid w:val="769C7C7E"/>
    <w:rsid w:val="769E7B7B"/>
    <w:rsid w:val="76A5715B"/>
    <w:rsid w:val="76A72ED3"/>
    <w:rsid w:val="76AA29C3"/>
    <w:rsid w:val="76AF3B36"/>
    <w:rsid w:val="76BE1498"/>
    <w:rsid w:val="76C665F0"/>
    <w:rsid w:val="76CA2E00"/>
    <w:rsid w:val="76CF41D8"/>
    <w:rsid w:val="76DD4B47"/>
    <w:rsid w:val="76DF7D60"/>
    <w:rsid w:val="76E00193"/>
    <w:rsid w:val="76E934EC"/>
    <w:rsid w:val="76EA1012"/>
    <w:rsid w:val="76EF1037"/>
    <w:rsid w:val="76FA1255"/>
    <w:rsid w:val="76FB488C"/>
    <w:rsid w:val="76FD2AF3"/>
    <w:rsid w:val="76FD6F97"/>
    <w:rsid w:val="7702030B"/>
    <w:rsid w:val="770519A8"/>
    <w:rsid w:val="77057A22"/>
    <w:rsid w:val="77072003"/>
    <w:rsid w:val="77083846"/>
    <w:rsid w:val="770B16B4"/>
    <w:rsid w:val="770E3DCD"/>
    <w:rsid w:val="77100A78"/>
    <w:rsid w:val="771816DB"/>
    <w:rsid w:val="771C39BD"/>
    <w:rsid w:val="771D13E7"/>
    <w:rsid w:val="771F0CBB"/>
    <w:rsid w:val="772C162A"/>
    <w:rsid w:val="77336515"/>
    <w:rsid w:val="773B361B"/>
    <w:rsid w:val="773D55E5"/>
    <w:rsid w:val="773E6472"/>
    <w:rsid w:val="77416E84"/>
    <w:rsid w:val="77456248"/>
    <w:rsid w:val="774D0FE5"/>
    <w:rsid w:val="77521CC0"/>
    <w:rsid w:val="775A1CF3"/>
    <w:rsid w:val="776810B5"/>
    <w:rsid w:val="776E39F1"/>
    <w:rsid w:val="77701517"/>
    <w:rsid w:val="77754D7F"/>
    <w:rsid w:val="777A05E8"/>
    <w:rsid w:val="777D3C34"/>
    <w:rsid w:val="7782124A"/>
    <w:rsid w:val="779D6084"/>
    <w:rsid w:val="77A2369A"/>
    <w:rsid w:val="77A411C1"/>
    <w:rsid w:val="77AA2EC6"/>
    <w:rsid w:val="77D00208"/>
    <w:rsid w:val="77D45F4A"/>
    <w:rsid w:val="77D73344"/>
    <w:rsid w:val="77D777E8"/>
    <w:rsid w:val="77D93560"/>
    <w:rsid w:val="77DF669D"/>
    <w:rsid w:val="77E675C1"/>
    <w:rsid w:val="77E864B3"/>
    <w:rsid w:val="77ED0DBA"/>
    <w:rsid w:val="77F57C6E"/>
    <w:rsid w:val="77F739E6"/>
    <w:rsid w:val="78000AED"/>
    <w:rsid w:val="7802135D"/>
    <w:rsid w:val="78061E7B"/>
    <w:rsid w:val="780879A1"/>
    <w:rsid w:val="780954C8"/>
    <w:rsid w:val="780D6D66"/>
    <w:rsid w:val="78105060"/>
    <w:rsid w:val="78106856"/>
    <w:rsid w:val="78113662"/>
    <w:rsid w:val="78120820"/>
    <w:rsid w:val="781B0D4D"/>
    <w:rsid w:val="78232A2D"/>
    <w:rsid w:val="782431E1"/>
    <w:rsid w:val="78281DF2"/>
    <w:rsid w:val="782D11B6"/>
    <w:rsid w:val="782F4F2E"/>
    <w:rsid w:val="78324A2B"/>
    <w:rsid w:val="783E33C3"/>
    <w:rsid w:val="7840713B"/>
    <w:rsid w:val="785D0119"/>
    <w:rsid w:val="7860333A"/>
    <w:rsid w:val="786372CE"/>
    <w:rsid w:val="786A065C"/>
    <w:rsid w:val="786F2AEC"/>
    <w:rsid w:val="78745037"/>
    <w:rsid w:val="7878286A"/>
    <w:rsid w:val="788259A6"/>
    <w:rsid w:val="788334CC"/>
    <w:rsid w:val="78857244"/>
    <w:rsid w:val="788A6608"/>
    <w:rsid w:val="788B1CC4"/>
    <w:rsid w:val="788C2381"/>
    <w:rsid w:val="78972AD3"/>
    <w:rsid w:val="789B6A68"/>
    <w:rsid w:val="78B33DB1"/>
    <w:rsid w:val="78B418D7"/>
    <w:rsid w:val="78C25DA2"/>
    <w:rsid w:val="78C55892"/>
    <w:rsid w:val="78CE0BEB"/>
    <w:rsid w:val="78CF04BF"/>
    <w:rsid w:val="78D50209"/>
    <w:rsid w:val="78D855C6"/>
    <w:rsid w:val="78DE6954"/>
    <w:rsid w:val="78E201F2"/>
    <w:rsid w:val="78E33F6B"/>
    <w:rsid w:val="78E73A5B"/>
    <w:rsid w:val="78EF4F7D"/>
    <w:rsid w:val="78F46178"/>
    <w:rsid w:val="78F9553C"/>
    <w:rsid w:val="78FB12B4"/>
    <w:rsid w:val="79014A3F"/>
    <w:rsid w:val="790E548B"/>
    <w:rsid w:val="79132AA2"/>
    <w:rsid w:val="79134850"/>
    <w:rsid w:val="79183C14"/>
    <w:rsid w:val="791B3704"/>
    <w:rsid w:val="79200D1B"/>
    <w:rsid w:val="79226841"/>
    <w:rsid w:val="79256331"/>
    <w:rsid w:val="79294073"/>
    <w:rsid w:val="792D44A9"/>
    <w:rsid w:val="79334EF2"/>
    <w:rsid w:val="79397A68"/>
    <w:rsid w:val="793A6280"/>
    <w:rsid w:val="79420C91"/>
    <w:rsid w:val="794669D3"/>
    <w:rsid w:val="794744F9"/>
    <w:rsid w:val="794C1B10"/>
    <w:rsid w:val="794C38BE"/>
    <w:rsid w:val="79532E9E"/>
    <w:rsid w:val="79607369"/>
    <w:rsid w:val="796C0DB6"/>
    <w:rsid w:val="796E1A86"/>
    <w:rsid w:val="797F0137"/>
    <w:rsid w:val="798017B9"/>
    <w:rsid w:val="79A236B5"/>
    <w:rsid w:val="79A27982"/>
    <w:rsid w:val="79A86437"/>
    <w:rsid w:val="79AB4A88"/>
    <w:rsid w:val="79AC4057"/>
    <w:rsid w:val="79B06543"/>
    <w:rsid w:val="79BB48AD"/>
    <w:rsid w:val="79C124FE"/>
    <w:rsid w:val="79C17FF8"/>
    <w:rsid w:val="79C46B95"/>
    <w:rsid w:val="79C478F8"/>
    <w:rsid w:val="79C93160"/>
    <w:rsid w:val="79CB6ED9"/>
    <w:rsid w:val="79CE4C1B"/>
    <w:rsid w:val="79D0629D"/>
    <w:rsid w:val="79D7587D"/>
    <w:rsid w:val="79DA35C0"/>
    <w:rsid w:val="79DC7338"/>
    <w:rsid w:val="79DD6C0C"/>
    <w:rsid w:val="79DE4421"/>
    <w:rsid w:val="79DF2984"/>
    <w:rsid w:val="79E24222"/>
    <w:rsid w:val="79EA1A55"/>
    <w:rsid w:val="79EB1329"/>
    <w:rsid w:val="79F006ED"/>
    <w:rsid w:val="79FD2E0A"/>
    <w:rsid w:val="7A0128FA"/>
    <w:rsid w:val="7A044199"/>
    <w:rsid w:val="7A0B19CB"/>
    <w:rsid w:val="7A102B3D"/>
    <w:rsid w:val="7A1268B5"/>
    <w:rsid w:val="7A1F7224"/>
    <w:rsid w:val="7A2860D9"/>
    <w:rsid w:val="7A2D1941"/>
    <w:rsid w:val="7A2F7467"/>
    <w:rsid w:val="7A3902E6"/>
    <w:rsid w:val="7A3E3B4E"/>
    <w:rsid w:val="7A41363F"/>
    <w:rsid w:val="7A4B3BF0"/>
    <w:rsid w:val="7A550106"/>
    <w:rsid w:val="7A552C46"/>
    <w:rsid w:val="7A560C6E"/>
    <w:rsid w:val="7A5C3FD5"/>
    <w:rsid w:val="7A61631D"/>
    <w:rsid w:val="7A6D61E2"/>
    <w:rsid w:val="7A74131E"/>
    <w:rsid w:val="7A747570"/>
    <w:rsid w:val="7A7E03EF"/>
    <w:rsid w:val="7A7E22D2"/>
    <w:rsid w:val="7A8F7F06"/>
    <w:rsid w:val="7A903C7E"/>
    <w:rsid w:val="7A910122"/>
    <w:rsid w:val="7A9814B1"/>
    <w:rsid w:val="7A9A75B1"/>
    <w:rsid w:val="7A9E283F"/>
    <w:rsid w:val="7AA977A4"/>
    <w:rsid w:val="7AAD4830"/>
    <w:rsid w:val="7AB12572"/>
    <w:rsid w:val="7AB14320"/>
    <w:rsid w:val="7AB21E46"/>
    <w:rsid w:val="7AB931D5"/>
    <w:rsid w:val="7ABB0CFB"/>
    <w:rsid w:val="7ABB6F4D"/>
    <w:rsid w:val="7ABE07EB"/>
    <w:rsid w:val="7AC1208A"/>
    <w:rsid w:val="7AC5601E"/>
    <w:rsid w:val="7AC740A6"/>
    <w:rsid w:val="7AD41DBD"/>
    <w:rsid w:val="7ADB314B"/>
    <w:rsid w:val="7AE74AB5"/>
    <w:rsid w:val="7AE77D42"/>
    <w:rsid w:val="7AE85F45"/>
    <w:rsid w:val="7AE91D0C"/>
    <w:rsid w:val="7AEF4E49"/>
    <w:rsid w:val="7AF10BC1"/>
    <w:rsid w:val="7AFB37ED"/>
    <w:rsid w:val="7AFE508C"/>
    <w:rsid w:val="7B022DCE"/>
    <w:rsid w:val="7B0326A2"/>
    <w:rsid w:val="7B0703E4"/>
    <w:rsid w:val="7B0A3A31"/>
    <w:rsid w:val="7B0E1773"/>
    <w:rsid w:val="7B0E3521"/>
    <w:rsid w:val="7B14665D"/>
    <w:rsid w:val="7B164183"/>
    <w:rsid w:val="7B1D00E3"/>
    <w:rsid w:val="7B205002"/>
    <w:rsid w:val="7B220D7A"/>
    <w:rsid w:val="7B226FCC"/>
    <w:rsid w:val="7B2276F6"/>
    <w:rsid w:val="7B2A5E81"/>
    <w:rsid w:val="7B332F87"/>
    <w:rsid w:val="7B340AAD"/>
    <w:rsid w:val="7B3D087F"/>
    <w:rsid w:val="7B4231CA"/>
    <w:rsid w:val="7B450F0D"/>
    <w:rsid w:val="7B454A69"/>
    <w:rsid w:val="7B4927AB"/>
    <w:rsid w:val="7B58479C"/>
    <w:rsid w:val="7B62386D"/>
    <w:rsid w:val="7B62561B"/>
    <w:rsid w:val="7B66335D"/>
    <w:rsid w:val="7B6C6C49"/>
    <w:rsid w:val="7B7315D6"/>
    <w:rsid w:val="7B73716A"/>
    <w:rsid w:val="7B7610C6"/>
    <w:rsid w:val="7B7F4658"/>
    <w:rsid w:val="7B7F7F7B"/>
    <w:rsid w:val="7B892BA7"/>
    <w:rsid w:val="7B8E01BE"/>
    <w:rsid w:val="7B8E4662"/>
    <w:rsid w:val="7B9638E8"/>
    <w:rsid w:val="7B9D6653"/>
    <w:rsid w:val="7BA23C69"/>
    <w:rsid w:val="7BAE260E"/>
    <w:rsid w:val="7BB75966"/>
    <w:rsid w:val="7BBA7374"/>
    <w:rsid w:val="7BC02DE0"/>
    <w:rsid w:val="7BC60815"/>
    <w:rsid w:val="7BC736D0"/>
    <w:rsid w:val="7BD14C58"/>
    <w:rsid w:val="7BD82FF8"/>
    <w:rsid w:val="7BE06B38"/>
    <w:rsid w:val="7BE349AD"/>
    <w:rsid w:val="7BE73D72"/>
    <w:rsid w:val="7BE75B20"/>
    <w:rsid w:val="7BF24BF0"/>
    <w:rsid w:val="7BFA3AA5"/>
    <w:rsid w:val="7BFC5A6F"/>
    <w:rsid w:val="7C013085"/>
    <w:rsid w:val="7C030BAC"/>
    <w:rsid w:val="7C084414"/>
    <w:rsid w:val="7C0C57F6"/>
    <w:rsid w:val="7C137E39"/>
    <w:rsid w:val="7C142DB9"/>
    <w:rsid w:val="7C176405"/>
    <w:rsid w:val="7C1F350C"/>
    <w:rsid w:val="7C2154D6"/>
    <w:rsid w:val="7C280612"/>
    <w:rsid w:val="7C305719"/>
    <w:rsid w:val="7C324FED"/>
    <w:rsid w:val="7C3554CA"/>
    <w:rsid w:val="7C3E59B8"/>
    <w:rsid w:val="7C4A4A2C"/>
    <w:rsid w:val="7C4B4301"/>
    <w:rsid w:val="7C52777D"/>
    <w:rsid w:val="7C5533D1"/>
    <w:rsid w:val="7C573B71"/>
    <w:rsid w:val="7C653614"/>
    <w:rsid w:val="7C683105"/>
    <w:rsid w:val="7C686C61"/>
    <w:rsid w:val="7C703D67"/>
    <w:rsid w:val="7C705B15"/>
    <w:rsid w:val="7C72188D"/>
    <w:rsid w:val="7C7B2E38"/>
    <w:rsid w:val="7C7C270C"/>
    <w:rsid w:val="7C8141C6"/>
    <w:rsid w:val="7C8F68E3"/>
    <w:rsid w:val="7C917819"/>
    <w:rsid w:val="7C920181"/>
    <w:rsid w:val="7C927416"/>
    <w:rsid w:val="7C961804"/>
    <w:rsid w:val="7CB24380"/>
    <w:rsid w:val="7CB2612E"/>
    <w:rsid w:val="7CB41EA6"/>
    <w:rsid w:val="7CB93960"/>
    <w:rsid w:val="7CBB3413"/>
    <w:rsid w:val="7CC75C8D"/>
    <w:rsid w:val="7CCC5441"/>
    <w:rsid w:val="7CD2102B"/>
    <w:rsid w:val="7CD9190C"/>
    <w:rsid w:val="7CDF7C7E"/>
    <w:rsid w:val="7CE56503"/>
    <w:rsid w:val="7CEC1640"/>
    <w:rsid w:val="7CEC5AE4"/>
    <w:rsid w:val="7CED360A"/>
    <w:rsid w:val="7CEF7382"/>
    <w:rsid w:val="7CFE1373"/>
    <w:rsid w:val="7D032A3B"/>
    <w:rsid w:val="7D0746CC"/>
    <w:rsid w:val="7D07647A"/>
    <w:rsid w:val="7D0A5F6A"/>
    <w:rsid w:val="7D0D7808"/>
    <w:rsid w:val="7D0F17D2"/>
    <w:rsid w:val="7D126BCC"/>
    <w:rsid w:val="7D1604F2"/>
    <w:rsid w:val="7D221505"/>
    <w:rsid w:val="7D276B1C"/>
    <w:rsid w:val="7D2863F0"/>
    <w:rsid w:val="7D360B0D"/>
    <w:rsid w:val="7D3E5C13"/>
    <w:rsid w:val="7D4551F4"/>
    <w:rsid w:val="7D4C0330"/>
    <w:rsid w:val="7D562F5D"/>
    <w:rsid w:val="7D5A5B2C"/>
    <w:rsid w:val="7D5C10B9"/>
    <w:rsid w:val="7D5E0064"/>
    <w:rsid w:val="7D625DA6"/>
    <w:rsid w:val="7D6438CC"/>
    <w:rsid w:val="7D6C09D3"/>
    <w:rsid w:val="7D6C753E"/>
    <w:rsid w:val="7D711B45"/>
    <w:rsid w:val="7D742F87"/>
    <w:rsid w:val="7D781125"/>
    <w:rsid w:val="7D7B29C4"/>
    <w:rsid w:val="7D80622C"/>
    <w:rsid w:val="7D851A94"/>
    <w:rsid w:val="7D9046C1"/>
    <w:rsid w:val="7D9121E7"/>
    <w:rsid w:val="7D9330EC"/>
    <w:rsid w:val="7D9C58DF"/>
    <w:rsid w:val="7D9D293A"/>
    <w:rsid w:val="7DA243F4"/>
    <w:rsid w:val="7DA4016C"/>
    <w:rsid w:val="7DA55C93"/>
    <w:rsid w:val="7DA71A0B"/>
    <w:rsid w:val="7DAB14FB"/>
    <w:rsid w:val="7DAE4B47"/>
    <w:rsid w:val="7DC10D1E"/>
    <w:rsid w:val="7DD90C77"/>
    <w:rsid w:val="7DE063AD"/>
    <w:rsid w:val="7DE22A43"/>
    <w:rsid w:val="7DE247F1"/>
    <w:rsid w:val="7DF369FE"/>
    <w:rsid w:val="7DF6029C"/>
    <w:rsid w:val="7DFA5FDE"/>
    <w:rsid w:val="7E062BD5"/>
    <w:rsid w:val="7E066882"/>
    <w:rsid w:val="7E0D5D12"/>
    <w:rsid w:val="7E132BFC"/>
    <w:rsid w:val="7E1370A0"/>
    <w:rsid w:val="7E154BC6"/>
    <w:rsid w:val="7E164407"/>
    <w:rsid w:val="7E186464"/>
    <w:rsid w:val="7E223608"/>
    <w:rsid w:val="7E301A00"/>
    <w:rsid w:val="7E3201B8"/>
    <w:rsid w:val="7E386741"/>
    <w:rsid w:val="7E3E411D"/>
    <w:rsid w:val="7E437985"/>
    <w:rsid w:val="7E486D4A"/>
    <w:rsid w:val="7E4B4A8C"/>
    <w:rsid w:val="7E4E559F"/>
    <w:rsid w:val="7E4F507E"/>
    <w:rsid w:val="7E521A14"/>
    <w:rsid w:val="7E5356EF"/>
    <w:rsid w:val="7E551467"/>
    <w:rsid w:val="7E5C45A3"/>
    <w:rsid w:val="7E5F1447"/>
    <w:rsid w:val="7E5F22E5"/>
    <w:rsid w:val="7E6416AA"/>
    <w:rsid w:val="7E741B85"/>
    <w:rsid w:val="7E7D700D"/>
    <w:rsid w:val="7E7E6C0F"/>
    <w:rsid w:val="7E7F0292"/>
    <w:rsid w:val="7E81400A"/>
    <w:rsid w:val="7E88183C"/>
    <w:rsid w:val="7E9755DB"/>
    <w:rsid w:val="7E991353"/>
    <w:rsid w:val="7E9A331D"/>
    <w:rsid w:val="7E9A50CB"/>
    <w:rsid w:val="7E9B156F"/>
    <w:rsid w:val="7E9C7095"/>
    <w:rsid w:val="7EA36676"/>
    <w:rsid w:val="7EA67F14"/>
    <w:rsid w:val="7EBF106A"/>
    <w:rsid w:val="7EBF4B32"/>
    <w:rsid w:val="7EC14D4E"/>
    <w:rsid w:val="7EC51DF8"/>
    <w:rsid w:val="7EC64112"/>
    <w:rsid w:val="7EC65EC0"/>
    <w:rsid w:val="7EC81C39"/>
    <w:rsid w:val="7EC9775F"/>
    <w:rsid w:val="7ED22AB7"/>
    <w:rsid w:val="7ED700CE"/>
    <w:rsid w:val="7ED9163C"/>
    <w:rsid w:val="7EEA08E1"/>
    <w:rsid w:val="7EEB2310"/>
    <w:rsid w:val="7EED169F"/>
    <w:rsid w:val="7EF90044"/>
    <w:rsid w:val="7F0215EE"/>
    <w:rsid w:val="7F1255AA"/>
    <w:rsid w:val="7F1B620C"/>
    <w:rsid w:val="7F252E98"/>
    <w:rsid w:val="7F264BB1"/>
    <w:rsid w:val="7F2D4191"/>
    <w:rsid w:val="7F3217A8"/>
    <w:rsid w:val="7F34107C"/>
    <w:rsid w:val="7F364DF4"/>
    <w:rsid w:val="7F3F2762"/>
    <w:rsid w:val="7F405C73"/>
    <w:rsid w:val="7F482D79"/>
    <w:rsid w:val="7F547970"/>
    <w:rsid w:val="7F5819C8"/>
    <w:rsid w:val="7F671451"/>
    <w:rsid w:val="7F7678E7"/>
    <w:rsid w:val="7F7B1B2A"/>
    <w:rsid w:val="7F855D7C"/>
    <w:rsid w:val="7F871AF4"/>
    <w:rsid w:val="7F8A15E4"/>
    <w:rsid w:val="7F8E3281"/>
    <w:rsid w:val="7F963AE5"/>
    <w:rsid w:val="7FA2692E"/>
    <w:rsid w:val="7FA44454"/>
    <w:rsid w:val="7FA75CF2"/>
    <w:rsid w:val="7FA97CBC"/>
    <w:rsid w:val="7FAA57E2"/>
    <w:rsid w:val="7FB0616F"/>
    <w:rsid w:val="7FBB79EF"/>
    <w:rsid w:val="7FCB16B2"/>
    <w:rsid w:val="7FCE7723"/>
    <w:rsid w:val="7FD665D7"/>
    <w:rsid w:val="7FDD1714"/>
    <w:rsid w:val="7FDD7966"/>
    <w:rsid w:val="7FEA3E31"/>
    <w:rsid w:val="7FEC7BA9"/>
    <w:rsid w:val="7FF52F01"/>
    <w:rsid w:val="7FFD3B64"/>
    <w:rsid w:val="7FFF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2"/>
    <w:qFormat/>
    <w:uiPriority w:val="0"/>
    <w:pPr>
      <w:keepNext/>
      <w:keepLines/>
      <w:tabs>
        <w:tab w:val="left" w:pos="0"/>
        <w:tab w:val="left" w:pos="567"/>
        <w:tab w:val="left" w:pos="900"/>
      </w:tabs>
      <w:spacing w:line="360" w:lineRule="auto"/>
      <w:outlineLvl w:val="2"/>
    </w:pPr>
    <w:rPr>
      <w:rFonts w:eastAsia="仿宋"/>
      <w:b/>
      <w:bCs/>
      <w:sz w:val="28"/>
      <w:szCs w:val="21"/>
    </w:rPr>
  </w:style>
  <w:style w:type="paragraph" w:styleId="5">
    <w:name w:val="heading 4"/>
    <w:basedOn w:val="1"/>
    <w:next w:val="6"/>
    <w:link w:val="73"/>
    <w:qFormat/>
    <w:uiPriority w:val="9"/>
    <w:pPr>
      <w:tabs>
        <w:tab w:val="left" w:pos="0"/>
        <w:tab w:val="left" w:pos="864"/>
      </w:tabs>
      <w:adjustRightInd w:val="0"/>
      <w:spacing w:line="360" w:lineRule="auto"/>
      <w:ind w:left="864" w:hanging="864"/>
      <w:jc w:val="left"/>
      <w:textAlignment w:val="baseline"/>
      <w:outlineLvl w:val="3"/>
    </w:pPr>
    <w:rPr>
      <w:b/>
      <w:bCs/>
      <w:smallCaps/>
      <w:kern w:val="0"/>
      <w:sz w:val="24"/>
    </w:rPr>
  </w:style>
  <w:style w:type="paragraph" w:styleId="7">
    <w:name w:val="heading 5"/>
    <w:basedOn w:val="1"/>
    <w:next w:val="1"/>
    <w:link w:val="161"/>
    <w:qFormat/>
    <w:uiPriority w:val="9"/>
    <w:pPr>
      <w:keepNext/>
      <w:keepLines/>
      <w:tabs>
        <w:tab w:val="left" w:pos="0"/>
        <w:tab w:val="left" w:pos="1008"/>
      </w:tabs>
      <w:spacing w:line="312" w:lineRule="auto"/>
      <w:ind w:left="1008" w:hanging="1008"/>
      <w:outlineLvl w:val="4"/>
    </w:pPr>
    <w:rPr>
      <w:b/>
      <w:bCs/>
      <w:kern w:val="0"/>
      <w:sz w:val="24"/>
      <w:szCs w:val="28"/>
    </w:rPr>
  </w:style>
  <w:style w:type="paragraph" w:styleId="8">
    <w:name w:val="heading 6"/>
    <w:basedOn w:val="1"/>
    <w:next w:val="1"/>
    <w:link w:val="157"/>
    <w:semiHidden/>
    <w:unhideWhenUsed/>
    <w:qFormat/>
    <w:uiPriority w:val="9"/>
    <w:pPr>
      <w:keepNext/>
      <w:keepLines/>
      <w:spacing w:before="40"/>
      <w:outlineLvl w:val="5"/>
    </w:pPr>
    <w:rPr>
      <w:rFonts w:cstheme="majorBidi"/>
      <w:b/>
      <w:bCs/>
      <w:color w:val="376092" w:themeColor="accent1" w:themeShade="BF"/>
    </w:rPr>
  </w:style>
  <w:style w:type="paragraph" w:styleId="9">
    <w:name w:val="heading 7"/>
    <w:basedOn w:val="1"/>
    <w:next w:val="1"/>
    <w:link w:val="15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15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16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74"/>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13">
    <w:name w:val="List Number"/>
    <w:basedOn w:val="1"/>
    <w:qFormat/>
    <w:uiPriority w:val="0"/>
    <w:pPr>
      <w:widowControl/>
      <w:numPr>
        <w:ilvl w:val="0"/>
        <w:numId w:val="1"/>
      </w:numPr>
      <w:tabs>
        <w:tab w:val="left" w:pos="454"/>
        <w:tab w:val="left" w:pos="720"/>
      </w:tabs>
      <w:spacing w:after="50" w:afterLines="50"/>
      <w:jc w:val="left"/>
    </w:pPr>
    <w:rPr>
      <w:kern w:val="0"/>
      <w:sz w:val="24"/>
      <w:szCs w:val="20"/>
    </w:rPr>
  </w:style>
  <w:style w:type="paragraph" w:styleId="14">
    <w:name w:val="caption"/>
    <w:basedOn w:val="1"/>
    <w:next w:val="1"/>
    <w:link w:val="75"/>
    <w:qFormat/>
    <w:uiPriority w:val="0"/>
    <w:pPr>
      <w:spacing w:before="152" w:after="160"/>
    </w:pPr>
    <w:rPr>
      <w:rFonts w:ascii="Arial" w:hAnsi="Arial" w:eastAsia="黑体" w:cs="Arial"/>
      <w:sz w:val="20"/>
      <w:szCs w:val="20"/>
    </w:rPr>
  </w:style>
  <w:style w:type="paragraph" w:styleId="15">
    <w:name w:val="Document Map"/>
    <w:basedOn w:val="1"/>
    <w:link w:val="154"/>
    <w:qFormat/>
    <w:uiPriority w:val="0"/>
    <w:pPr>
      <w:shd w:val="clear" w:color="auto" w:fill="000080"/>
    </w:pPr>
  </w:style>
  <w:style w:type="paragraph" w:styleId="16">
    <w:name w:val="annotation text"/>
    <w:basedOn w:val="1"/>
    <w:link w:val="76"/>
    <w:qFormat/>
    <w:uiPriority w:val="0"/>
    <w:pPr>
      <w:jc w:val="left"/>
    </w:pPr>
  </w:style>
  <w:style w:type="paragraph" w:styleId="17">
    <w:name w:val="Body Text 3"/>
    <w:basedOn w:val="1"/>
    <w:qFormat/>
    <w:uiPriority w:val="0"/>
    <w:pPr>
      <w:snapToGrid w:val="0"/>
      <w:spacing w:before="50" w:after="50"/>
    </w:pPr>
    <w:rPr>
      <w:rFonts w:hAnsi="宋体" w:eastAsia="仿宋_GB2312"/>
      <w:b/>
      <w:bCs/>
      <w:sz w:val="24"/>
      <w:szCs w:val="20"/>
    </w:rPr>
  </w:style>
  <w:style w:type="paragraph" w:styleId="18">
    <w:name w:val="Body Text"/>
    <w:basedOn w:val="1"/>
    <w:next w:val="19"/>
    <w:link w:val="170"/>
    <w:qFormat/>
    <w:uiPriority w:val="0"/>
    <w:pPr>
      <w:spacing w:after="120"/>
    </w:pPr>
    <w:rPr>
      <w:sz w:val="28"/>
    </w:rPr>
  </w:style>
  <w:style w:type="paragraph" w:customStyle="1" w:styleId="19">
    <w:name w:val="style4"/>
    <w:basedOn w:val="1"/>
    <w:next w:val="20"/>
    <w:qFormat/>
    <w:uiPriority w:val="0"/>
    <w:pPr>
      <w:spacing w:before="280" w:after="280"/>
    </w:pPr>
    <w:rPr>
      <w:rFonts w:ascii="宋体" w:hAnsi="Calibri"/>
      <w:sz w:val="18"/>
    </w:rPr>
  </w:style>
  <w:style w:type="paragraph" w:customStyle="1" w:styleId="2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1">
    <w:name w:val="Body Text Indent"/>
    <w:basedOn w:val="1"/>
    <w:next w:val="1"/>
    <w:link w:val="77"/>
    <w:qFormat/>
    <w:uiPriority w:val="0"/>
    <w:pPr>
      <w:spacing w:line="200" w:lineRule="exact"/>
      <w:ind w:firstLine="301"/>
    </w:pPr>
    <w:rPr>
      <w:rFonts w:ascii="宋体" w:hAnsi="Courier New"/>
      <w:spacing w:val="-4"/>
      <w:sz w:val="18"/>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Block Text"/>
    <w:basedOn w:val="1"/>
    <w:unhideWhenUsed/>
    <w:qFormat/>
    <w:uiPriority w:val="99"/>
    <w:pPr>
      <w:spacing w:after="120"/>
      <w:ind w:left="1440" w:leftChars="700" w:right="1440" w:rightChars="700"/>
    </w:pPr>
    <w:rPr>
      <w:szCs w:val="21"/>
    </w:rPr>
  </w:style>
  <w:style w:type="paragraph" w:styleId="25">
    <w:name w:val="index 4"/>
    <w:basedOn w:val="1"/>
    <w:next w:val="1"/>
    <w:unhideWhenUsed/>
    <w:qFormat/>
    <w:uiPriority w:val="99"/>
    <w:pPr>
      <w:ind w:left="600" w:leftChars="600"/>
    </w:pPr>
    <w:rPr>
      <w:sz w:val="32"/>
    </w:rPr>
  </w:style>
  <w:style w:type="paragraph" w:styleId="26">
    <w:name w:val="toc 5"/>
    <w:basedOn w:val="1"/>
    <w:next w:val="1"/>
    <w:autoRedefine/>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27">
    <w:name w:val="toc 3"/>
    <w:basedOn w:val="1"/>
    <w:next w:val="1"/>
    <w:autoRedefine/>
    <w:qFormat/>
    <w:uiPriority w:val="39"/>
    <w:pPr>
      <w:ind w:left="840" w:leftChars="400"/>
    </w:pPr>
  </w:style>
  <w:style w:type="paragraph" w:styleId="28">
    <w:name w:val="Plain Text"/>
    <w:basedOn w:val="1"/>
    <w:next w:val="1"/>
    <w:link w:val="78"/>
    <w:qFormat/>
    <w:uiPriority w:val="0"/>
    <w:pPr>
      <w:spacing w:before="156" w:beforeLines="50" w:after="156" w:afterLines="50" w:line="400" w:lineRule="exact"/>
    </w:pPr>
    <w:rPr>
      <w:rFonts w:ascii="宋体" w:hAnsi="Courier New"/>
      <w:sz w:val="24"/>
    </w:rPr>
  </w:style>
  <w:style w:type="paragraph" w:styleId="29">
    <w:name w:val="toc 8"/>
    <w:basedOn w:val="1"/>
    <w:next w:val="1"/>
    <w:autoRedefine/>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30">
    <w:name w:val="Date"/>
    <w:basedOn w:val="1"/>
    <w:next w:val="1"/>
    <w:qFormat/>
    <w:uiPriority w:val="0"/>
    <w:pPr>
      <w:ind w:left="2500" w:leftChars="2500"/>
    </w:pPr>
    <w:rPr>
      <w:rFonts w:eastAsia="楷体_GB2312"/>
      <w:sz w:val="32"/>
      <w:szCs w:val="20"/>
    </w:rPr>
  </w:style>
  <w:style w:type="paragraph" w:styleId="31">
    <w:name w:val="Body Text Indent 2"/>
    <w:basedOn w:val="1"/>
    <w:link w:val="79"/>
    <w:qFormat/>
    <w:uiPriority w:val="0"/>
    <w:pPr>
      <w:snapToGrid w:val="0"/>
      <w:ind w:firstLine="542" w:firstLineChars="225"/>
    </w:pPr>
    <w:rPr>
      <w:rFonts w:ascii="仿宋_GB2312" w:hAnsi="宋体"/>
      <w:b/>
      <w:bCs/>
      <w:color w:val="000000"/>
      <w:sz w:val="24"/>
    </w:rPr>
  </w:style>
  <w:style w:type="paragraph" w:styleId="32">
    <w:name w:val="Balloon Text"/>
    <w:basedOn w:val="1"/>
    <w:semiHidden/>
    <w:qFormat/>
    <w:uiPriority w:val="0"/>
    <w:rPr>
      <w:sz w:val="18"/>
      <w:szCs w:val="18"/>
    </w:rPr>
  </w:style>
  <w:style w:type="paragraph" w:styleId="33">
    <w:name w:val="footer"/>
    <w:basedOn w:val="1"/>
    <w:link w:val="80"/>
    <w:qFormat/>
    <w:uiPriority w:val="99"/>
    <w:pPr>
      <w:tabs>
        <w:tab w:val="center" w:pos="4153"/>
        <w:tab w:val="right" w:pos="8306"/>
      </w:tabs>
      <w:snapToGrid w:val="0"/>
      <w:jc w:val="left"/>
    </w:pPr>
    <w:rPr>
      <w:rFonts w:eastAsia="黑体"/>
      <w:snapToGrid w:val="0"/>
      <w:kern w:val="0"/>
      <w:sz w:val="18"/>
      <w:szCs w:val="18"/>
    </w:rPr>
  </w:style>
  <w:style w:type="paragraph" w:styleId="34">
    <w:name w:val="header"/>
    <w:basedOn w:val="1"/>
    <w:link w:val="8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1"/>
    <w:next w:val="1"/>
    <w:qFormat/>
    <w:uiPriority w:val="39"/>
  </w:style>
  <w:style w:type="paragraph" w:styleId="36">
    <w:name w:val="toc 4"/>
    <w:basedOn w:val="1"/>
    <w:next w:val="1"/>
    <w:autoRedefine/>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37">
    <w:name w:val="Subtitle"/>
    <w:basedOn w:val="1"/>
    <w:next w:val="1"/>
    <w:link w:val="163"/>
    <w:qFormat/>
    <w:uiPriority w:val="11"/>
    <w:pPr>
      <w:autoSpaceDE w:val="0"/>
      <w:autoSpaceDN w:val="0"/>
      <w:adjustRightInd w:val="0"/>
      <w:spacing w:line="360" w:lineRule="auto"/>
      <w:jc w:val="left"/>
      <w:outlineLvl w:val="1"/>
    </w:pPr>
    <w:rPr>
      <w:rFonts w:ascii="Cambria" w:hAnsi="Cambria"/>
      <w:b/>
      <w:kern w:val="28"/>
      <w:sz w:val="28"/>
      <w:szCs w:val="20"/>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39"/>
    <w:pPr>
      <w:ind w:left="1050"/>
      <w:jc w:val="left"/>
    </w:pPr>
    <w:rPr>
      <w:rFonts w:ascii="等线" w:eastAsia="等线"/>
      <w:sz w:val="20"/>
      <w:szCs w:val="20"/>
    </w:rPr>
  </w:style>
  <w:style w:type="paragraph" w:styleId="40">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41">
    <w:name w:val="toc 2"/>
    <w:basedOn w:val="1"/>
    <w:next w:val="1"/>
    <w:autoRedefine/>
    <w:qFormat/>
    <w:uiPriority w:val="39"/>
    <w:pPr>
      <w:ind w:left="420" w:leftChars="200"/>
    </w:pPr>
  </w:style>
  <w:style w:type="paragraph" w:styleId="42">
    <w:name w:val="toc 9"/>
    <w:basedOn w:val="1"/>
    <w:next w:val="1"/>
    <w:autoRedefine/>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43">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44">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幼圆"/>
      <w:kern w:val="0"/>
      <w:sz w:val="24"/>
    </w:rPr>
  </w:style>
  <w:style w:type="paragraph" w:styleId="45">
    <w:name w:val="Normal (Web)"/>
    <w:basedOn w:val="1"/>
    <w:link w:val="83"/>
    <w:qFormat/>
    <w:uiPriority w:val="99"/>
    <w:pPr>
      <w:widowControl/>
      <w:jc w:val="left"/>
    </w:pPr>
    <w:rPr>
      <w:rFonts w:ascii="宋体" w:hAnsi="宋体"/>
      <w:kern w:val="0"/>
      <w:sz w:val="24"/>
    </w:rPr>
  </w:style>
  <w:style w:type="paragraph" w:styleId="46">
    <w:name w:val="index 1"/>
    <w:basedOn w:val="1"/>
    <w:next w:val="1"/>
    <w:qFormat/>
    <w:uiPriority w:val="0"/>
    <w:rPr>
      <w:rFonts w:ascii="Calibri" w:hAnsi="Calibri"/>
      <w:szCs w:val="22"/>
    </w:rPr>
  </w:style>
  <w:style w:type="paragraph" w:styleId="47">
    <w:name w:val="Title"/>
    <w:basedOn w:val="1"/>
    <w:next w:val="1"/>
    <w:link w:val="162"/>
    <w:qFormat/>
    <w:uiPriority w:val="10"/>
    <w:pPr>
      <w:spacing w:before="240" w:after="60" w:line="312" w:lineRule="auto"/>
      <w:jc w:val="center"/>
      <w:outlineLvl w:val="0"/>
    </w:pPr>
    <w:rPr>
      <w:rFonts w:ascii="Cambria" w:hAnsi="Cambria"/>
      <w:b/>
      <w:bCs/>
      <w:sz w:val="32"/>
      <w:szCs w:val="32"/>
    </w:rPr>
  </w:style>
  <w:style w:type="paragraph" w:styleId="48">
    <w:name w:val="annotation subject"/>
    <w:basedOn w:val="16"/>
    <w:next w:val="16"/>
    <w:link w:val="84"/>
    <w:qFormat/>
    <w:uiPriority w:val="0"/>
    <w:rPr>
      <w:b/>
      <w:bCs/>
    </w:rPr>
  </w:style>
  <w:style w:type="paragraph" w:styleId="49">
    <w:name w:val="Body Text First Indent"/>
    <w:basedOn w:val="18"/>
    <w:next w:val="39"/>
    <w:qFormat/>
    <w:uiPriority w:val="0"/>
    <w:pPr>
      <w:autoSpaceDE w:val="0"/>
      <w:autoSpaceDN w:val="0"/>
      <w:adjustRightInd w:val="0"/>
      <w:spacing w:after="0"/>
      <w:jc w:val="left"/>
    </w:pPr>
    <w:rPr>
      <w:kern w:val="0"/>
      <w:szCs w:val="20"/>
    </w:rPr>
  </w:style>
  <w:style w:type="paragraph" w:styleId="50">
    <w:name w:val="Body Text First Indent 2"/>
    <w:basedOn w:val="21"/>
    <w:next w:val="49"/>
    <w:unhideWhenUsed/>
    <w:qFormat/>
    <w:uiPriority w:val="0"/>
    <w:pPr>
      <w:ind w:firstLine="420" w:firstLineChars="200"/>
    </w:p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0"/>
    <w:rPr>
      <w:color w:val="333333"/>
      <w:u w:val="none"/>
    </w:rPr>
  </w:style>
  <w:style w:type="character" w:styleId="57">
    <w:name w:val="Emphasis"/>
    <w:qFormat/>
    <w:uiPriority w:val="0"/>
    <w:rPr>
      <w:b/>
      <w:bCs/>
    </w:rPr>
  </w:style>
  <w:style w:type="character" w:styleId="58">
    <w:name w:val="HTML Definition"/>
    <w:qFormat/>
    <w:uiPriority w:val="0"/>
  </w:style>
  <w:style w:type="character" w:styleId="59">
    <w:name w:val="HTML Variable"/>
    <w:qFormat/>
    <w:uiPriority w:val="0"/>
  </w:style>
  <w:style w:type="character" w:styleId="60">
    <w:name w:val="Hyperlink"/>
    <w:qFormat/>
    <w:uiPriority w:val="99"/>
    <w:rPr>
      <w:color w:val="333333"/>
      <w:u w:val="none"/>
    </w:rPr>
  </w:style>
  <w:style w:type="character" w:styleId="61">
    <w:name w:val="HTML Code"/>
    <w:qFormat/>
    <w:uiPriority w:val="0"/>
    <w:rPr>
      <w:rFonts w:ascii="Courier New" w:hAnsi="Courier New"/>
      <w:sz w:val="20"/>
    </w:rPr>
  </w:style>
  <w:style w:type="character" w:styleId="62">
    <w:name w:val="annotation reference"/>
    <w:qFormat/>
    <w:uiPriority w:val="0"/>
    <w:rPr>
      <w:sz w:val="21"/>
      <w:szCs w:val="21"/>
    </w:rPr>
  </w:style>
  <w:style w:type="character" w:styleId="63">
    <w:name w:val="HTML Cite"/>
    <w:qFormat/>
    <w:uiPriority w:val="0"/>
  </w:style>
  <w:style w:type="character" w:styleId="64">
    <w:name w:val="HTML Keyboard"/>
    <w:qFormat/>
    <w:uiPriority w:val="0"/>
    <w:rPr>
      <w:rFonts w:ascii="Courier New" w:hAnsi="Courier New"/>
      <w:sz w:val="20"/>
    </w:rPr>
  </w:style>
  <w:style w:type="character" w:styleId="65">
    <w:name w:val="HTML Sample"/>
    <w:qFormat/>
    <w:uiPriority w:val="0"/>
    <w:rPr>
      <w:rFonts w:ascii="Courier New" w:hAnsi="Courier New"/>
    </w:rPr>
  </w:style>
  <w:style w:type="paragraph" w:customStyle="1" w:styleId="66">
    <w:name w:val="Body Text First Indent 21"/>
    <w:basedOn w:val="67"/>
    <w:qFormat/>
    <w:uiPriority w:val="99"/>
    <w:pPr>
      <w:ind w:firstLine="420"/>
    </w:pPr>
  </w:style>
  <w:style w:type="paragraph" w:customStyle="1" w:styleId="67">
    <w:name w:val="Body Text Indent1"/>
    <w:basedOn w:val="1"/>
    <w:qFormat/>
    <w:uiPriority w:val="99"/>
    <w:pPr>
      <w:ind w:left="420" w:leftChars="200"/>
    </w:pPr>
  </w:style>
  <w:style w:type="paragraph" w:styleId="68">
    <w:name w:val="List Paragraph"/>
    <w:basedOn w:val="1"/>
    <w:next w:val="69"/>
    <w:qFormat/>
    <w:uiPriority w:val="34"/>
    <w:pPr>
      <w:ind w:firstLine="420" w:firstLineChars="200"/>
    </w:pPr>
    <w:rPr>
      <w:rFonts w:ascii="宋体" w:hAnsi="宋体"/>
      <w:sz w:val="24"/>
    </w:rPr>
  </w:style>
  <w:style w:type="paragraph" w:customStyle="1" w:styleId="69">
    <w:name w:val="目录 32"/>
    <w:next w:val="1"/>
    <w:qFormat/>
    <w:uiPriority w:val="0"/>
    <w:pPr>
      <w:wordWrap w:val="0"/>
      <w:ind w:left="425"/>
      <w:jc w:val="both"/>
    </w:pPr>
    <w:rPr>
      <w:rFonts w:ascii="Times New Roman" w:hAnsi="Times New Roman" w:eastAsia="宋体" w:cs="Times New Roman"/>
      <w:sz w:val="21"/>
      <w:lang w:val="en-US" w:eastAsia="zh-CN" w:bidi="ar-SA"/>
    </w:rPr>
  </w:style>
  <w:style w:type="character" w:customStyle="1" w:styleId="70">
    <w:name w:val="标题 1 字符"/>
    <w:link w:val="2"/>
    <w:qFormat/>
    <w:uiPriority w:val="0"/>
    <w:rPr>
      <w:b/>
      <w:bCs/>
      <w:kern w:val="44"/>
      <w:sz w:val="44"/>
      <w:szCs w:val="44"/>
    </w:rPr>
  </w:style>
  <w:style w:type="character" w:customStyle="1" w:styleId="71">
    <w:name w:val="标题 2 字符"/>
    <w:link w:val="3"/>
    <w:qFormat/>
    <w:locked/>
    <w:uiPriority w:val="0"/>
    <w:rPr>
      <w:rFonts w:ascii="Arial" w:hAnsi="Arial" w:eastAsia="黑体"/>
      <w:b/>
      <w:bCs/>
      <w:kern w:val="2"/>
      <w:sz w:val="32"/>
      <w:szCs w:val="32"/>
      <w:lang w:val="en-US" w:eastAsia="zh-CN" w:bidi="ar-SA"/>
    </w:rPr>
  </w:style>
  <w:style w:type="character" w:customStyle="1" w:styleId="72">
    <w:name w:val="标题 3 字符"/>
    <w:link w:val="4"/>
    <w:qFormat/>
    <w:locked/>
    <w:uiPriority w:val="0"/>
    <w:rPr>
      <w:rFonts w:eastAsia="仿宋"/>
      <w:b/>
      <w:bCs/>
      <w:kern w:val="2"/>
      <w:sz w:val="28"/>
      <w:szCs w:val="21"/>
      <w:lang w:val="en-US" w:eastAsia="zh-CN" w:bidi="ar-SA"/>
    </w:rPr>
  </w:style>
  <w:style w:type="character" w:customStyle="1" w:styleId="73">
    <w:name w:val="标题 4 字符"/>
    <w:link w:val="5"/>
    <w:qFormat/>
    <w:uiPriority w:val="9"/>
    <w:rPr>
      <w:b/>
      <w:bCs/>
      <w:smallCaps/>
      <w:kern w:val="0"/>
      <w:sz w:val="24"/>
    </w:rPr>
  </w:style>
  <w:style w:type="character" w:customStyle="1" w:styleId="74">
    <w:name w:val="正文缩进 字符"/>
    <w:link w:val="6"/>
    <w:qFormat/>
    <w:uiPriority w:val="0"/>
    <w:rPr>
      <w:kern w:val="2"/>
      <w:sz w:val="21"/>
    </w:rPr>
  </w:style>
  <w:style w:type="character" w:customStyle="1" w:styleId="75">
    <w:name w:val="题注 字符"/>
    <w:link w:val="14"/>
    <w:qFormat/>
    <w:locked/>
    <w:uiPriority w:val="0"/>
    <w:rPr>
      <w:rFonts w:ascii="Arial" w:hAnsi="Arial" w:eastAsia="黑体" w:cs="Arial"/>
      <w:kern w:val="2"/>
      <w:lang w:val="en-US" w:eastAsia="zh-CN" w:bidi="ar-SA"/>
    </w:rPr>
  </w:style>
  <w:style w:type="character" w:customStyle="1" w:styleId="76">
    <w:name w:val="批注文字 字符"/>
    <w:link w:val="16"/>
    <w:qFormat/>
    <w:uiPriority w:val="0"/>
    <w:rPr>
      <w:kern w:val="2"/>
      <w:sz w:val="21"/>
      <w:szCs w:val="24"/>
    </w:rPr>
  </w:style>
  <w:style w:type="character" w:customStyle="1" w:styleId="77">
    <w:name w:val="正文文本缩进 字符"/>
    <w:link w:val="21"/>
    <w:qFormat/>
    <w:locked/>
    <w:uiPriority w:val="0"/>
    <w:rPr>
      <w:rFonts w:ascii="宋体" w:hAnsi="Courier New" w:eastAsia="宋体"/>
      <w:spacing w:val="-4"/>
      <w:kern w:val="2"/>
      <w:sz w:val="18"/>
      <w:lang w:val="en-US" w:eastAsia="zh-CN" w:bidi="ar-SA"/>
    </w:rPr>
  </w:style>
  <w:style w:type="character" w:customStyle="1" w:styleId="78">
    <w:name w:val="纯文本 字符"/>
    <w:link w:val="28"/>
    <w:qFormat/>
    <w:uiPriority w:val="0"/>
    <w:rPr>
      <w:rFonts w:ascii="宋体" w:hAnsi="Courier New" w:eastAsia="宋体"/>
      <w:kern w:val="2"/>
      <w:sz w:val="24"/>
      <w:szCs w:val="24"/>
      <w:lang w:val="en-US" w:eastAsia="zh-CN" w:bidi="ar-SA"/>
    </w:rPr>
  </w:style>
  <w:style w:type="character" w:customStyle="1" w:styleId="79">
    <w:name w:val="正文文本缩进 2 字符"/>
    <w:link w:val="31"/>
    <w:qFormat/>
    <w:locked/>
    <w:uiPriority w:val="0"/>
    <w:rPr>
      <w:rFonts w:ascii="仿宋_GB2312" w:hAnsi="宋体" w:cs="Arial"/>
      <w:b/>
      <w:bCs/>
      <w:color w:val="000000"/>
      <w:kern w:val="2"/>
      <w:sz w:val="24"/>
      <w:szCs w:val="24"/>
    </w:rPr>
  </w:style>
  <w:style w:type="character" w:customStyle="1" w:styleId="80">
    <w:name w:val="页脚 字符"/>
    <w:link w:val="33"/>
    <w:qFormat/>
    <w:uiPriority w:val="99"/>
    <w:rPr>
      <w:rFonts w:eastAsia="黑体"/>
      <w:snapToGrid w:val="0"/>
      <w:sz w:val="18"/>
      <w:szCs w:val="18"/>
      <w:lang w:val="en-US" w:eastAsia="zh-CN" w:bidi="ar-SA"/>
    </w:rPr>
  </w:style>
  <w:style w:type="character" w:customStyle="1" w:styleId="81">
    <w:name w:val="页眉 字符"/>
    <w:link w:val="34"/>
    <w:qFormat/>
    <w:uiPriority w:val="99"/>
    <w:rPr>
      <w:rFonts w:eastAsia="仿宋_GB2312"/>
      <w:kern w:val="2"/>
      <w:sz w:val="18"/>
    </w:rPr>
  </w:style>
  <w:style w:type="character" w:customStyle="1" w:styleId="82">
    <w:name w:val="HTML 预设格式 字符"/>
    <w:link w:val="44"/>
    <w:qFormat/>
    <w:uiPriority w:val="0"/>
    <w:rPr>
      <w:rFonts w:ascii="宋体" w:hAnsi="宋体" w:eastAsia="幼圆" w:cs="幼圆"/>
      <w:sz w:val="24"/>
      <w:szCs w:val="24"/>
    </w:rPr>
  </w:style>
  <w:style w:type="character" w:customStyle="1" w:styleId="83">
    <w:name w:val="普通(网站) 字符"/>
    <w:link w:val="45"/>
    <w:qFormat/>
    <w:locked/>
    <w:uiPriority w:val="99"/>
    <w:rPr>
      <w:rFonts w:ascii="宋体" w:hAnsi="宋体" w:cs="宋体"/>
      <w:sz w:val="24"/>
      <w:szCs w:val="24"/>
    </w:rPr>
  </w:style>
  <w:style w:type="character" w:customStyle="1" w:styleId="84">
    <w:name w:val="批注主题 字符"/>
    <w:link w:val="48"/>
    <w:qFormat/>
    <w:uiPriority w:val="0"/>
    <w:rPr>
      <w:b/>
      <w:bCs/>
      <w:kern w:val="2"/>
      <w:sz w:val="21"/>
      <w:szCs w:val="24"/>
    </w:rPr>
  </w:style>
  <w:style w:type="character" w:customStyle="1" w:styleId="85">
    <w:name w:val="fontstyle21"/>
    <w:qFormat/>
    <w:uiPriority w:val="0"/>
    <w:rPr>
      <w:rFonts w:hint="eastAsia" w:ascii="文鼎CS仿宋体+FPEF" w:hAnsi="Tahoma" w:eastAsia="文鼎CS仿宋体+FPEF"/>
      <w:color w:val="000000"/>
      <w:sz w:val="28"/>
      <w:szCs w:val="28"/>
    </w:rPr>
  </w:style>
  <w:style w:type="character" w:customStyle="1" w:styleId="86">
    <w:name w:val="jbox-icon-error"/>
    <w:basedOn w:val="53"/>
    <w:qFormat/>
    <w:uiPriority w:val="0"/>
  </w:style>
  <w:style w:type="character" w:customStyle="1" w:styleId="87">
    <w:name w:val="Char Char10"/>
    <w:qFormat/>
    <w:uiPriority w:val="0"/>
    <w:rPr>
      <w:rFonts w:ascii="宋体" w:hAnsi="Courier New"/>
      <w:spacing w:val="-4"/>
      <w:kern w:val="2"/>
      <w:sz w:val="18"/>
    </w:rPr>
  </w:style>
  <w:style w:type="character" w:customStyle="1" w:styleId="88">
    <w:name w:val="正文首行缩进 2 + Times New Roman Char Char"/>
    <w:link w:val="89"/>
    <w:qFormat/>
    <w:locked/>
    <w:uiPriority w:val="0"/>
    <w:rPr>
      <w:rFonts w:eastAsia="仿宋_GB2312"/>
      <w:sz w:val="30"/>
      <w:szCs w:val="24"/>
      <w:lang w:val="en-US" w:eastAsia="zh-CN" w:bidi="ar-SA"/>
    </w:rPr>
  </w:style>
  <w:style w:type="paragraph" w:customStyle="1" w:styleId="89">
    <w:name w:val="正文首行缩进 2 + Times New Roman"/>
    <w:basedOn w:val="1"/>
    <w:link w:val="88"/>
    <w:qFormat/>
    <w:uiPriority w:val="0"/>
    <w:pPr>
      <w:tabs>
        <w:tab w:val="left" w:pos="0"/>
        <w:tab w:val="left" w:pos="870"/>
        <w:tab w:val="left" w:pos="1680"/>
        <w:tab w:val="left" w:pos="3150"/>
      </w:tabs>
      <w:autoSpaceDE w:val="0"/>
      <w:autoSpaceDN w:val="0"/>
      <w:spacing w:line="360" w:lineRule="auto"/>
      <w:ind w:firstLine="600" w:firstLineChars="200"/>
      <w:jc w:val="left"/>
    </w:pPr>
    <w:rPr>
      <w:rFonts w:eastAsia="仿宋_GB2312"/>
      <w:kern w:val="0"/>
      <w:sz w:val="30"/>
    </w:rPr>
  </w:style>
  <w:style w:type="character" w:customStyle="1" w:styleId="90">
    <w:name w:val="无间隔 字符"/>
    <w:link w:val="91"/>
    <w:qFormat/>
    <w:uiPriority w:val="99"/>
    <w:rPr>
      <w:rFonts w:ascii="Calibri" w:hAnsi="Calibri"/>
      <w:lang w:eastAsia="en-US" w:bidi="en-US"/>
    </w:rPr>
  </w:style>
  <w:style w:type="paragraph" w:styleId="91">
    <w:name w:val="No Spacing"/>
    <w:basedOn w:val="1"/>
    <w:link w:val="90"/>
    <w:qFormat/>
    <w:uiPriority w:val="99"/>
    <w:pPr>
      <w:widowControl/>
      <w:jc w:val="left"/>
    </w:pPr>
    <w:rPr>
      <w:rFonts w:ascii="Calibri" w:hAnsi="Calibri"/>
      <w:kern w:val="0"/>
      <w:sz w:val="20"/>
      <w:szCs w:val="20"/>
      <w:lang w:eastAsia="en-US" w:bidi="en-US"/>
    </w:rPr>
  </w:style>
  <w:style w:type="character" w:customStyle="1" w:styleId="92">
    <w:name w:val="标题 1 Char Char"/>
    <w:qFormat/>
    <w:uiPriority w:val="0"/>
    <w:rPr>
      <w:rFonts w:eastAsia="宋体"/>
      <w:b/>
      <w:spacing w:val="-2"/>
      <w:sz w:val="24"/>
      <w:lang w:val="en-US" w:eastAsia="zh-CN" w:bidi="ar-SA"/>
    </w:rPr>
  </w:style>
  <w:style w:type="character" w:customStyle="1" w:styleId="93">
    <w:name w:val="Footer Char"/>
    <w:qFormat/>
    <w:locked/>
    <w:uiPriority w:val="0"/>
    <w:rPr>
      <w:rFonts w:eastAsia="仿宋"/>
      <w:kern w:val="2"/>
      <w:sz w:val="18"/>
    </w:rPr>
  </w:style>
  <w:style w:type="character" w:customStyle="1" w:styleId="94">
    <w:name w:val="font91"/>
    <w:qFormat/>
    <w:uiPriority w:val="0"/>
    <w:rPr>
      <w:rFonts w:hint="eastAsia" w:ascii="宋体" w:hAnsi="宋体" w:eastAsia="宋体" w:cs="宋体"/>
      <w:b/>
      <w:bCs/>
      <w:color w:val="FF0000"/>
      <w:sz w:val="18"/>
      <w:szCs w:val="18"/>
      <w:u w:val="none"/>
    </w:rPr>
  </w:style>
  <w:style w:type="character" w:customStyle="1" w:styleId="95">
    <w:name w:val="HTML 预设格式 Char1"/>
    <w:qFormat/>
    <w:uiPriority w:val="0"/>
    <w:rPr>
      <w:rFonts w:ascii="Courier New" w:hAnsi="Courier New" w:cs="Courier New"/>
      <w:kern w:val="2"/>
    </w:rPr>
  </w:style>
  <w:style w:type="character" w:customStyle="1" w:styleId="96">
    <w:name w:val="页码1"/>
    <w:qFormat/>
    <w:uiPriority w:val="99"/>
  </w:style>
  <w:style w:type="character" w:customStyle="1" w:styleId="97">
    <w:name w:val="font51"/>
    <w:qFormat/>
    <w:uiPriority w:val="0"/>
    <w:rPr>
      <w:rFonts w:hint="eastAsia" w:ascii="宋体" w:hAnsi="宋体" w:eastAsia="宋体" w:cs="宋体"/>
      <w:b/>
      <w:bCs/>
      <w:color w:val="000000"/>
      <w:sz w:val="18"/>
      <w:szCs w:val="18"/>
      <w:u w:val="none"/>
    </w:rPr>
  </w:style>
  <w:style w:type="character" w:customStyle="1" w:styleId="98">
    <w:name w:val="表格文字2 Char"/>
    <w:link w:val="99"/>
    <w:qFormat/>
    <w:locked/>
    <w:uiPriority w:val="0"/>
    <w:rPr>
      <w:rFonts w:ascii="宋体" w:hAnsi="宋体" w:eastAsia="仿宋_GB2312"/>
      <w:sz w:val="24"/>
      <w:szCs w:val="21"/>
      <w:lang w:val="en-US" w:eastAsia="zh-CN" w:bidi="ar-SA"/>
    </w:rPr>
  </w:style>
  <w:style w:type="paragraph" w:customStyle="1" w:styleId="99">
    <w:name w:val="表格文字2"/>
    <w:basedOn w:val="1"/>
    <w:link w:val="98"/>
    <w:qFormat/>
    <w:uiPriority w:val="0"/>
    <w:pPr>
      <w:tabs>
        <w:tab w:val="left" w:pos="277"/>
        <w:tab w:val="left" w:pos="600"/>
        <w:tab w:val="left" w:pos="780"/>
        <w:tab w:val="left" w:pos="2517"/>
      </w:tabs>
      <w:adjustRightInd w:val="0"/>
      <w:spacing w:before="60"/>
      <w:jc w:val="center"/>
      <w:textAlignment w:val="baseline"/>
    </w:pPr>
    <w:rPr>
      <w:rFonts w:ascii="宋体" w:hAnsi="宋体" w:eastAsia="仿宋_GB2312"/>
      <w:kern w:val="0"/>
      <w:sz w:val="24"/>
      <w:szCs w:val="21"/>
    </w:rPr>
  </w:style>
  <w:style w:type="character" w:customStyle="1" w:styleId="100">
    <w:name w:val="jbox-icon-info"/>
    <w:basedOn w:val="53"/>
    <w:qFormat/>
    <w:uiPriority w:val="0"/>
  </w:style>
  <w:style w:type="character" w:customStyle="1" w:styleId="101">
    <w:name w:val="Char Char4"/>
    <w:qFormat/>
    <w:uiPriority w:val="0"/>
    <w:rPr>
      <w:rFonts w:ascii="宋体" w:hAnsi="Courier New" w:eastAsia="宋体"/>
      <w:kern w:val="2"/>
      <w:sz w:val="21"/>
      <w:szCs w:val="21"/>
      <w:lang w:bidi="ar-SA"/>
    </w:rPr>
  </w:style>
  <w:style w:type="character" w:customStyle="1" w:styleId="102">
    <w:name w:val="正文2 Char Char"/>
    <w:link w:val="103"/>
    <w:qFormat/>
    <w:uiPriority w:val="0"/>
    <w:rPr>
      <w:rFonts w:eastAsia="宋体"/>
      <w:kern w:val="2"/>
      <w:sz w:val="24"/>
      <w:lang w:val="en-US" w:eastAsia="zh-CN" w:bidi="ar-SA"/>
    </w:rPr>
  </w:style>
  <w:style w:type="paragraph" w:customStyle="1" w:styleId="103">
    <w:name w:val="正文2"/>
    <w:basedOn w:val="1"/>
    <w:link w:val="102"/>
    <w:qFormat/>
    <w:uiPriority w:val="0"/>
    <w:pPr>
      <w:spacing w:before="156" w:line="360" w:lineRule="auto"/>
      <w:ind w:firstLine="510" w:firstLineChars="200"/>
    </w:pPr>
    <w:rPr>
      <w:sz w:val="24"/>
      <w:szCs w:val="20"/>
    </w:rPr>
  </w:style>
  <w:style w:type="character" w:customStyle="1" w:styleId="104">
    <w:name w:val="纯文本 Char2"/>
    <w:qFormat/>
    <w:locked/>
    <w:uiPriority w:val="0"/>
    <w:rPr>
      <w:rFonts w:ascii="宋体" w:hAnsi="Courier New" w:eastAsia="宋体" w:cs="宋体"/>
      <w:kern w:val="2"/>
      <w:sz w:val="24"/>
      <w:szCs w:val="24"/>
      <w:lang w:val="en-US" w:eastAsia="zh-CN" w:bidi="ar-SA"/>
    </w:rPr>
  </w:style>
  <w:style w:type="character" w:customStyle="1" w:styleId="105">
    <w:name w:val="Plain Text Char"/>
    <w:qFormat/>
    <w:locked/>
    <w:uiPriority w:val="0"/>
    <w:rPr>
      <w:rFonts w:ascii="宋体" w:hAnsi="Courier New"/>
      <w:sz w:val="24"/>
    </w:rPr>
  </w:style>
  <w:style w:type="character" w:customStyle="1" w:styleId="106">
    <w:name w:val="jbox-icon-none"/>
    <w:basedOn w:val="53"/>
    <w:qFormat/>
    <w:uiPriority w:val="0"/>
    <w:rPr>
      <w:vanish/>
    </w:rPr>
  </w:style>
  <w:style w:type="character" w:customStyle="1" w:styleId="107">
    <w:name w:val="maintxt11"/>
    <w:qFormat/>
    <w:uiPriority w:val="0"/>
    <w:rPr>
      <w:rFonts w:hint="default" w:ascii="Arial" w:hAnsi="Arial" w:cs="Arial"/>
      <w:color w:val="000000"/>
      <w:sz w:val="18"/>
      <w:szCs w:val="18"/>
    </w:rPr>
  </w:style>
  <w:style w:type="character" w:customStyle="1" w:styleId="108">
    <w:name w:val="font11"/>
    <w:qFormat/>
    <w:uiPriority w:val="0"/>
    <w:rPr>
      <w:rFonts w:hint="default" w:ascii="Times New Roman" w:hAnsi="Times New Roman" w:cs="Times New Roman"/>
      <w:color w:val="000000"/>
      <w:sz w:val="20"/>
      <w:szCs w:val="20"/>
      <w:u w:val="none"/>
    </w:rPr>
  </w:style>
  <w:style w:type="character" w:customStyle="1" w:styleId="109">
    <w:name w:val="font31"/>
    <w:qFormat/>
    <w:uiPriority w:val="0"/>
    <w:rPr>
      <w:rFonts w:hint="eastAsia" w:ascii="宋体" w:hAnsi="宋体" w:eastAsia="宋体" w:cs="宋体"/>
      <w:color w:val="000000"/>
      <w:sz w:val="20"/>
      <w:szCs w:val="20"/>
      <w:u w:val="none"/>
    </w:rPr>
  </w:style>
  <w:style w:type="character" w:customStyle="1" w:styleId="110">
    <w:name w:val="Heading 1 Char"/>
    <w:qFormat/>
    <w:locked/>
    <w:uiPriority w:val="0"/>
    <w:rPr>
      <w:rFonts w:ascii="黑体" w:eastAsia="仿宋"/>
      <w:b/>
      <w:kern w:val="44"/>
      <w:sz w:val="21"/>
    </w:rPr>
  </w:style>
  <w:style w:type="character" w:customStyle="1" w:styleId="111">
    <w:name w:val="jbox-icon"/>
    <w:basedOn w:val="53"/>
    <w:qFormat/>
    <w:uiPriority w:val="0"/>
  </w:style>
  <w:style w:type="character" w:customStyle="1" w:styleId="112">
    <w:name w:val="font21"/>
    <w:qFormat/>
    <w:uiPriority w:val="0"/>
    <w:rPr>
      <w:rFonts w:hint="default" w:ascii="仿宋_GB2312" w:eastAsia="仿宋_GB2312" w:cs="仿宋_GB2312"/>
      <w:color w:val="000000"/>
      <w:sz w:val="20"/>
      <w:szCs w:val="20"/>
      <w:u w:val="none"/>
    </w:rPr>
  </w:style>
  <w:style w:type="character" w:customStyle="1" w:styleId="113">
    <w:name w:val="font71"/>
    <w:qFormat/>
    <w:uiPriority w:val="0"/>
    <w:rPr>
      <w:rFonts w:hint="default" w:ascii="仿宋_GB2312" w:eastAsia="仿宋_GB2312" w:cs="仿宋_GB2312"/>
      <w:color w:val="000000"/>
      <w:sz w:val="20"/>
      <w:szCs w:val="20"/>
      <w:u w:val="single"/>
    </w:rPr>
  </w:style>
  <w:style w:type="character" w:customStyle="1" w:styleId="114">
    <w:name w:val="layui-laypage-curr"/>
    <w:qFormat/>
    <w:uiPriority w:val="0"/>
  </w:style>
  <w:style w:type="character" w:customStyle="1" w:styleId="115">
    <w:name w:val="font101"/>
    <w:qFormat/>
    <w:uiPriority w:val="0"/>
    <w:rPr>
      <w:rFonts w:hint="eastAsia" w:ascii="宋体" w:hAnsi="宋体" w:eastAsia="宋体" w:cs="宋体"/>
      <w:b/>
      <w:bCs/>
      <w:color w:val="FF0000"/>
      <w:sz w:val="18"/>
      <w:szCs w:val="18"/>
      <w:u w:val="none"/>
    </w:rPr>
  </w:style>
  <w:style w:type="character" w:customStyle="1" w:styleId="116">
    <w:name w:val="jbox-icon-warning"/>
    <w:basedOn w:val="53"/>
    <w:qFormat/>
    <w:uiPriority w:val="0"/>
  </w:style>
  <w:style w:type="character" w:customStyle="1" w:styleId="117">
    <w:name w:val="jbox-icon-success"/>
    <w:basedOn w:val="53"/>
    <w:qFormat/>
    <w:uiPriority w:val="0"/>
  </w:style>
  <w:style w:type="character" w:customStyle="1" w:styleId="118">
    <w:name w:val="jbox-icon-loading"/>
    <w:basedOn w:val="53"/>
    <w:qFormat/>
    <w:uiPriority w:val="0"/>
  </w:style>
  <w:style w:type="character" w:customStyle="1" w:styleId="119">
    <w:name w:val="jbox-icon-question"/>
    <w:basedOn w:val="53"/>
    <w:qFormat/>
    <w:uiPriority w:val="0"/>
  </w:style>
  <w:style w:type="character" w:customStyle="1" w:styleId="120">
    <w:name w:val="text"/>
    <w:basedOn w:val="53"/>
    <w:qFormat/>
    <w:uiPriority w:val="0"/>
  </w:style>
  <w:style w:type="paragraph" w:customStyle="1" w:styleId="1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2">
    <w:name w:val="列出段落1"/>
    <w:basedOn w:val="1"/>
    <w:qFormat/>
    <w:uiPriority w:val="0"/>
    <w:pPr>
      <w:ind w:firstLine="420" w:firstLineChars="200"/>
    </w:pPr>
    <w:rPr>
      <w:rFonts w:ascii="Calibri" w:hAnsi="Calibri"/>
      <w:szCs w:val="22"/>
    </w:rPr>
  </w:style>
  <w:style w:type="paragraph" w:customStyle="1" w:styleId="12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_Style 106"/>
    <w:semiHidden/>
    <w:qFormat/>
    <w:uiPriority w:val="99"/>
    <w:rPr>
      <w:rFonts w:ascii="Times New Roman" w:hAnsi="Times New Roman" w:eastAsia="宋体" w:cs="Times New Roman"/>
      <w:kern w:val="2"/>
      <w:sz w:val="21"/>
      <w:szCs w:val="24"/>
      <w:lang w:val="en-US" w:eastAsia="zh-CN" w:bidi="ar-SA"/>
    </w:rPr>
  </w:style>
  <w:style w:type="paragraph" w:customStyle="1" w:styleId="125">
    <w:name w:val="表格文字1"/>
    <w:basedOn w:val="99"/>
    <w:qFormat/>
    <w:uiPriority w:val="0"/>
    <w:pPr>
      <w:spacing w:before="0"/>
      <w:jc w:val="left"/>
    </w:pPr>
    <w:rPr>
      <w:rFonts w:ascii="仿宋_GB2312"/>
      <w:color w:val="000000"/>
    </w:rPr>
  </w:style>
  <w:style w:type="paragraph" w:customStyle="1" w:styleId="126">
    <w:name w:val="正文段"/>
    <w:basedOn w:val="1"/>
    <w:qFormat/>
    <w:uiPriority w:val="0"/>
    <w:pPr>
      <w:widowControl/>
      <w:snapToGrid w:val="0"/>
      <w:spacing w:after="50" w:afterLines="50"/>
      <w:ind w:firstLine="200" w:firstLineChars="200"/>
    </w:pPr>
    <w:rPr>
      <w:kern w:val="0"/>
      <w:sz w:val="24"/>
      <w:szCs w:val="20"/>
    </w:rPr>
  </w:style>
  <w:style w:type="paragraph" w:customStyle="1" w:styleId="127">
    <w:name w:val="List Paragraph1"/>
    <w:basedOn w:val="1"/>
    <w:qFormat/>
    <w:uiPriority w:val="0"/>
    <w:pPr>
      <w:ind w:firstLine="420" w:firstLineChars="200"/>
    </w:pPr>
  </w:style>
  <w:style w:type="paragraph" w:customStyle="1" w:styleId="128">
    <w:name w:val="A3"/>
    <w:basedOn w:val="4"/>
    <w:qFormat/>
    <w:uiPriority w:val="0"/>
    <w:pPr>
      <w:numPr>
        <w:ilvl w:val="2"/>
        <w:numId w:val="3"/>
      </w:numPr>
      <w:tabs>
        <w:tab w:val="clear" w:pos="0"/>
        <w:tab w:val="clear" w:pos="567"/>
        <w:tab w:val="clear" w:pos="900"/>
      </w:tabs>
      <w:spacing w:before="260" w:after="260" w:line="416" w:lineRule="auto"/>
    </w:pPr>
    <w:rPr>
      <w:rFonts w:ascii="宋体" w:hAnsi="宋体" w:eastAsia="宋体"/>
      <w:bCs w:val="0"/>
      <w:szCs w:val="24"/>
    </w:rPr>
  </w:style>
  <w:style w:type="paragraph" w:customStyle="1" w:styleId="129">
    <w:name w:val="Table Paragraph"/>
    <w:basedOn w:val="1"/>
    <w:qFormat/>
    <w:uiPriority w:val="1"/>
    <w:pPr>
      <w:autoSpaceDE w:val="0"/>
      <w:autoSpaceDN w:val="0"/>
      <w:adjustRightInd w:val="0"/>
      <w:jc w:val="left"/>
    </w:pPr>
    <w:rPr>
      <w:kern w:val="0"/>
      <w:sz w:val="24"/>
    </w:rPr>
  </w:style>
  <w:style w:type="paragraph" w:customStyle="1" w:styleId="130">
    <w:name w:val="Char"/>
    <w:basedOn w:val="1"/>
    <w:qFormat/>
    <w:uiPriority w:val="0"/>
    <w:pPr>
      <w:widowControl/>
      <w:spacing w:line="400" w:lineRule="exact"/>
      <w:jc w:val="center"/>
    </w:pPr>
    <w:rPr>
      <w:rFonts w:ascii="Verdana" w:hAnsi="Verdana"/>
      <w:kern w:val="0"/>
      <w:szCs w:val="20"/>
      <w:lang w:eastAsia="en-US"/>
    </w:rPr>
  </w:style>
  <w:style w:type="paragraph" w:customStyle="1" w:styleId="131">
    <w:name w:val="Char1"/>
    <w:basedOn w:val="1"/>
    <w:qFormat/>
    <w:uiPriority w:val="0"/>
    <w:rPr>
      <w:rFonts w:ascii="Tahoma" w:hAnsi="Tahoma"/>
      <w:sz w:val="24"/>
      <w:szCs w:val="20"/>
    </w:rPr>
  </w:style>
  <w:style w:type="paragraph" w:customStyle="1" w:styleId="132">
    <w:name w:val="A2"/>
    <w:basedOn w:val="3"/>
    <w:qFormat/>
    <w:uiPriority w:val="0"/>
    <w:pPr>
      <w:numPr>
        <w:ilvl w:val="1"/>
        <w:numId w:val="3"/>
      </w:numPr>
    </w:pPr>
    <w:rPr>
      <w:rFonts w:ascii="Cambria" w:hAnsi="Cambria" w:eastAsia="仿宋"/>
      <w:bCs w:val="0"/>
      <w:szCs w:val="24"/>
    </w:rPr>
  </w:style>
  <w:style w:type="paragraph" w:customStyle="1" w:styleId="133">
    <w:name w:val="No Spacing1"/>
    <w:qFormat/>
    <w:uiPriority w:val="0"/>
    <w:rPr>
      <w:rFonts w:ascii="Calibri" w:hAnsi="Calibri" w:eastAsia="宋体" w:cs="Times New Roman"/>
      <w:sz w:val="22"/>
      <w:szCs w:val="22"/>
      <w:lang w:val="en-US" w:eastAsia="en-US" w:bidi="ar-SA"/>
    </w:rPr>
  </w:style>
  <w:style w:type="paragraph" w:customStyle="1" w:styleId="134">
    <w:name w:val="标题 31"/>
    <w:basedOn w:val="1"/>
    <w:qFormat/>
    <w:uiPriority w:val="1"/>
    <w:pPr>
      <w:autoSpaceDE w:val="0"/>
      <w:autoSpaceDN w:val="0"/>
      <w:adjustRightInd w:val="0"/>
      <w:spacing w:before="118"/>
      <w:ind w:left="117"/>
      <w:jc w:val="left"/>
      <w:outlineLvl w:val="2"/>
    </w:pPr>
    <w:rPr>
      <w:rFonts w:ascii="宋体" w:cs="宋体"/>
      <w:b/>
      <w:bCs/>
      <w:kern w:val="0"/>
      <w:szCs w:val="21"/>
    </w:rPr>
  </w:style>
  <w:style w:type="paragraph" w:customStyle="1" w:styleId="13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7">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38">
    <w:name w:val="默认段落字体 Para Char Char Char Char Char Char Char Char Char1 Char Char Char Char"/>
    <w:basedOn w:val="1"/>
    <w:qFormat/>
    <w:uiPriority w:val="0"/>
    <w:rPr>
      <w:rFonts w:ascii="Tahoma" w:hAnsi="Tahoma"/>
      <w:sz w:val="24"/>
      <w:szCs w:val="20"/>
    </w:rPr>
  </w:style>
  <w:style w:type="paragraph" w:customStyle="1" w:styleId="139">
    <w:name w:val="正文1"/>
    <w:basedOn w:val="1"/>
    <w:qFormat/>
    <w:uiPriority w:val="0"/>
    <w:pPr>
      <w:adjustRightInd w:val="0"/>
      <w:spacing w:line="318" w:lineRule="atLeast"/>
      <w:ind w:left="369" w:firstLine="369"/>
      <w:textAlignment w:val="baseline"/>
    </w:pPr>
    <w:rPr>
      <w:rFonts w:ascii="宋体"/>
      <w:szCs w:val="20"/>
    </w:rPr>
  </w:style>
  <w:style w:type="paragraph" w:customStyle="1" w:styleId="140">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41">
    <w:name w:val="form"/>
    <w:basedOn w:val="1"/>
    <w:qFormat/>
    <w:uiPriority w:val="0"/>
    <w:pPr>
      <w:wordWrap w:val="0"/>
      <w:snapToGrid w:val="0"/>
      <w:jc w:val="center"/>
    </w:pPr>
    <w:rPr>
      <w:rFonts w:ascii="Calibri" w:hAnsi="Calibri"/>
      <w:szCs w:val="21"/>
    </w:rPr>
  </w:style>
  <w:style w:type="paragraph" w:customStyle="1" w:styleId="142">
    <w:name w:val="Other|1"/>
    <w:basedOn w:val="1"/>
    <w:qFormat/>
    <w:uiPriority w:val="0"/>
    <w:pPr>
      <w:spacing w:line="480" w:lineRule="auto"/>
      <w:ind w:firstLine="400"/>
    </w:pPr>
    <w:rPr>
      <w:rFonts w:ascii="宋体" w:hAnsi="宋体" w:cs="宋体"/>
      <w:sz w:val="26"/>
      <w:szCs w:val="26"/>
      <w:lang w:val="zh-TW" w:eastAsia="zh-TW" w:bidi="zh-TW"/>
    </w:rPr>
  </w:style>
  <w:style w:type="paragraph" w:customStyle="1" w:styleId="143">
    <w:name w:val="表格用"/>
    <w:basedOn w:val="1"/>
    <w:qFormat/>
    <w:uiPriority w:val="0"/>
    <w:pPr>
      <w:widowControl/>
      <w:spacing w:line="360" w:lineRule="auto"/>
      <w:jc w:val="left"/>
    </w:pPr>
    <w:rPr>
      <w:rFonts w:ascii="宋体" w:hAnsi="宋体"/>
      <w:kern w:val="0"/>
      <w:sz w:val="24"/>
    </w:rPr>
  </w:style>
  <w:style w:type="paragraph" w:customStyle="1" w:styleId="144">
    <w:name w:val="二级标题"/>
    <w:basedOn w:val="28"/>
    <w:qFormat/>
    <w:uiPriority w:val="0"/>
    <w:pPr>
      <w:snapToGrid w:val="0"/>
      <w:spacing w:before="50" w:after="50" w:line="240" w:lineRule="auto"/>
      <w:ind w:firstLine="200" w:firstLineChars="200"/>
      <w:outlineLvl w:val="1"/>
    </w:pPr>
    <w:rPr>
      <w:rFonts w:hAnsi="宋体"/>
      <w:b/>
      <w:sz w:val="21"/>
      <w:szCs w:val="21"/>
    </w:rPr>
  </w:style>
  <w:style w:type="paragraph" w:customStyle="1" w:styleId="145">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1级标题"/>
    <w:basedOn w:val="2"/>
    <w:qFormat/>
    <w:uiPriority w:val="0"/>
    <w:pPr>
      <w:numPr>
        <w:ilvl w:val="0"/>
        <w:numId w:val="4"/>
      </w:numPr>
      <w:spacing w:before="0" w:after="0" w:line="300" w:lineRule="auto"/>
      <w:jc w:val="center"/>
    </w:pPr>
    <w:rPr>
      <w:rFonts w:ascii="宋体" w:hAnsi="宋体"/>
      <w:sz w:val="24"/>
      <w:szCs w:val="24"/>
    </w:rPr>
  </w:style>
  <w:style w:type="paragraph" w:customStyle="1" w:styleId="148">
    <w:name w:val="2级标题"/>
    <w:basedOn w:val="3"/>
    <w:next w:val="32"/>
    <w:qFormat/>
    <w:uiPriority w:val="0"/>
    <w:pPr>
      <w:numPr>
        <w:ilvl w:val="1"/>
        <w:numId w:val="5"/>
      </w:numPr>
      <w:spacing w:before="120" w:after="120" w:line="415" w:lineRule="auto"/>
      <w:ind w:left="709" w:firstLine="0"/>
      <w:jc w:val="left"/>
    </w:pPr>
    <w:rPr>
      <w:rFonts w:ascii="宋体" w:hAnsi="宋体" w:eastAsia="宋体"/>
      <w:sz w:val="24"/>
      <w:szCs w:val="24"/>
    </w:rPr>
  </w:style>
  <w:style w:type="paragraph" w:customStyle="1" w:styleId="149">
    <w:name w:val="3级"/>
    <w:basedOn w:val="1"/>
    <w:qFormat/>
    <w:uiPriority w:val="0"/>
    <w:pPr>
      <w:numPr>
        <w:ilvl w:val="2"/>
        <w:numId w:val="5"/>
      </w:numPr>
      <w:ind w:left="1418"/>
      <w:outlineLvl w:val="2"/>
    </w:pPr>
    <w:rPr>
      <w:rFonts w:ascii="Calibri" w:hAnsi="Calibri"/>
      <w:b/>
      <w:sz w:val="28"/>
      <w:szCs w:val="3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52">
    <w:name w:val="未处理的提及1"/>
    <w:basedOn w:val="53"/>
    <w:semiHidden/>
    <w:unhideWhenUsed/>
    <w:qFormat/>
    <w:uiPriority w:val="99"/>
    <w:rPr>
      <w:color w:val="605E5C"/>
      <w:shd w:val="clear" w:color="auto" w:fill="E1DFDD"/>
    </w:rPr>
  </w:style>
  <w:style w:type="paragraph" w:customStyle="1" w:styleId="15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54">
    <w:name w:val="文档结构图 字符"/>
    <w:link w:val="15"/>
    <w:qFormat/>
    <w:locked/>
    <w:uiPriority w:val="0"/>
    <w:rPr>
      <w:kern w:val="2"/>
      <w:sz w:val="21"/>
      <w:szCs w:val="24"/>
      <w:shd w:val="clear" w:color="auto" w:fill="000080"/>
    </w:rPr>
  </w:style>
  <w:style w:type="character" w:customStyle="1" w:styleId="155">
    <w:name w:val="纯文本 字符3"/>
    <w:qFormat/>
    <w:locked/>
    <w:uiPriority w:val="0"/>
    <w:rPr>
      <w:rFonts w:ascii="宋体" w:hAnsi="Courier New" w:cs="宋体"/>
      <w:kern w:val="2"/>
      <w:sz w:val="24"/>
      <w:szCs w:val="24"/>
    </w:rPr>
  </w:style>
  <w:style w:type="paragraph" w:customStyle="1" w:styleId="156">
    <w:name w:val="列表段落1"/>
    <w:basedOn w:val="1"/>
    <w:qFormat/>
    <w:uiPriority w:val="0"/>
    <w:pPr>
      <w:ind w:firstLine="420" w:firstLineChars="200"/>
    </w:pPr>
    <w:rPr>
      <w:szCs w:val="21"/>
    </w:rPr>
  </w:style>
  <w:style w:type="character" w:customStyle="1" w:styleId="157">
    <w:name w:val="标题 6 字符"/>
    <w:basedOn w:val="53"/>
    <w:link w:val="8"/>
    <w:semiHidden/>
    <w:qFormat/>
    <w:uiPriority w:val="9"/>
    <w:rPr>
      <w:rFonts w:cstheme="majorBidi"/>
      <w:b/>
      <w:bCs/>
      <w:color w:val="376092" w:themeColor="accent1" w:themeShade="BF"/>
      <w:kern w:val="2"/>
      <w:sz w:val="21"/>
      <w:szCs w:val="24"/>
    </w:rPr>
  </w:style>
  <w:style w:type="character" w:customStyle="1" w:styleId="158">
    <w:name w:val="标题 7 字符"/>
    <w:basedOn w:val="53"/>
    <w:link w:val="9"/>
    <w:semiHidden/>
    <w:qFormat/>
    <w:uiPriority w:val="9"/>
    <w:rPr>
      <w:rFonts w:cstheme="majorBidi"/>
      <w:b/>
      <w:bCs/>
      <w:color w:val="595959" w:themeColor="text1" w:themeTint="A6"/>
      <w:kern w:val="2"/>
      <w:sz w:val="21"/>
      <w:szCs w:val="24"/>
      <w14:textFill>
        <w14:solidFill>
          <w14:schemeClr w14:val="tx1">
            <w14:lumMod w14:val="65000"/>
            <w14:lumOff w14:val="35000"/>
          </w14:schemeClr>
        </w14:solidFill>
      </w14:textFill>
    </w:rPr>
  </w:style>
  <w:style w:type="character" w:customStyle="1" w:styleId="159">
    <w:name w:val="标题 8 字符"/>
    <w:basedOn w:val="53"/>
    <w:link w:val="10"/>
    <w:semiHidden/>
    <w:qFormat/>
    <w:uiPriority w:val="9"/>
    <w:rPr>
      <w:rFonts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160">
    <w:name w:val="标题 9 字符"/>
    <w:basedOn w:val="53"/>
    <w:link w:val="11"/>
    <w:semiHidden/>
    <w:qFormat/>
    <w:uiPriority w:val="9"/>
    <w:rPr>
      <w:rFonts w:eastAsiaTheme="majorEastAsia" w:cstheme="majorBidi"/>
      <w:color w:val="595959" w:themeColor="text1" w:themeTint="A6"/>
      <w:kern w:val="2"/>
      <w:sz w:val="21"/>
      <w:szCs w:val="24"/>
      <w14:textFill>
        <w14:solidFill>
          <w14:schemeClr w14:val="tx1">
            <w14:lumMod w14:val="65000"/>
            <w14:lumOff w14:val="35000"/>
          </w14:schemeClr>
        </w14:solidFill>
      </w14:textFill>
    </w:rPr>
  </w:style>
  <w:style w:type="character" w:customStyle="1" w:styleId="161">
    <w:name w:val="标题 5 字符"/>
    <w:basedOn w:val="53"/>
    <w:link w:val="7"/>
    <w:qFormat/>
    <w:uiPriority w:val="9"/>
    <w:rPr>
      <w:b/>
      <w:bCs/>
      <w:sz w:val="24"/>
      <w:szCs w:val="28"/>
    </w:rPr>
  </w:style>
  <w:style w:type="character" w:customStyle="1" w:styleId="162">
    <w:name w:val="标题 字符"/>
    <w:basedOn w:val="53"/>
    <w:link w:val="47"/>
    <w:qFormat/>
    <w:uiPriority w:val="10"/>
    <w:rPr>
      <w:rFonts w:ascii="Cambria" w:hAnsi="Cambria"/>
      <w:b/>
      <w:bCs/>
      <w:kern w:val="2"/>
      <w:sz w:val="32"/>
      <w:szCs w:val="32"/>
    </w:rPr>
  </w:style>
  <w:style w:type="character" w:customStyle="1" w:styleId="163">
    <w:name w:val="副标题 字符"/>
    <w:basedOn w:val="53"/>
    <w:link w:val="37"/>
    <w:qFormat/>
    <w:uiPriority w:val="11"/>
    <w:rPr>
      <w:rFonts w:ascii="Cambria" w:hAnsi="Cambria"/>
      <w:b/>
      <w:kern w:val="28"/>
      <w:sz w:val="28"/>
    </w:rPr>
  </w:style>
  <w:style w:type="paragraph" w:styleId="164">
    <w:name w:val="Quote"/>
    <w:basedOn w:val="1"/>
    <w:next w:val="1"/>
    <w:link w:val="16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165">
    <w:name w:val="引用 字符"/>
    <w:basedOn w:val="53"/>
    <w:link w:val="164"/>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66">
    <w:name w:val="Intense Emphasis"/>
    <w:basedOn w:val="53"/>
    <w:qFormat/>
    <w:uiPriority w:val="21"/>
    <w:rPr>
      <w:i/>
      <w:iCs/>
      <w:color w:val="376092" w:themeColor="accent1" w:themeShade="BF"/>
    </w:rPr>
  </w:style>
  <w:style w:type="paragraph" w:styleId="167">
    <w:name w:val="Intense Quote"/>
    <w:basedOn w:val="1"/>
    <w:next w:val="1"/>
    <w:link w:val="168"/>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168">
    <w:name w:val="明显引用 字符"/>
    <w:basedOn w:val="53"/>
    <w:link w:val="167"/>
    <w:qFormat/>
    <w:uiPriority w:val="30"/>
    <w:rPr>
      <w:i/>
      <w:iCs/>
      <w:color w:val="376092" w:themeColor="accent1" w:themeShade="BF"/>
      <w:kern w:val="2"/>
      <w:sz w:val="21"/>
      <w:szCs w:val="24"/>
    </w:rPr>
  </w:style>
  <w:style w:type="character" w:customStyle="1" w:styleId="169">
    <w:name w:val="Intense Reference"/>
    <w:basedOn w:val="53"/>
    <w:qFormat/>
    <w:uiPriority w:val="32"/>
    <w:rPr>
      <w:b/>
      <w:bCs/>
      <w:smallCaps/>
      <w:color w:val="376092" w:themeColor="accent1" w:themeShade="BF"/>
      <w:spacing w:val="5"/>
    </w:rPr>
  </w:style>
  <w:style w:type="character" w:customStyle="1" w:styleId="170">
    <w:name w:val="正文文本 字符"/>
    <w:basedOn w:val="53"/>
    <w:link w:val="18"/>
    <w:qFormat/>
    <w:uiPriority w:val="0"/>
    <w:rPr>
      <w:kern w:val="2"/>
      <w:sz w:val="28"/>
      <w:szCs w:val="24"/>
    </w:rPr>
  </w:style>
  <w:style w:type="character" w:customStyle="1" w:styleId="171">
    <w:name w:val="页脚 字符2"/>
    <w:qFormat/>
    <w:locked/>
    <w:uiPriority w:val="99"/>
    <w:rPr>
      <w:kern w:val="2"/>
      <w:sz w:val="18"/>
      <w:szCs w:val="18"/>
    </w:rPr>
  </w:style>
  <w:style w:type="character" w:customStyle="1" w:styleId="172">
    <w:name w:val="页眉 字符2"/>
    <w:qFormat/>
    <w:locked/>
    <w:uiPriority w:val="99"/>
    <w:rPr>
      <w:kern w:val="2"/>
      <w:sz w:val="18"/>
      <w:szCs w:val="18"/>
    </w:rPr>
  </w:style>
  <w:style w:type="paragraph" w:customStyle="1" w:styleId="173">
    <w:name w:val="Table Text"/>
    <w:basedOn w:val="1"/>
    <w:semiHidden/>
    <w:qFormat/>
    <w:uiPriority w:val="0"/>
    <w:rPr>
      <w:rFonts w:ascii="宋体" w:hAnsi="宋体" w:eastAsia="宋体" w:cs="宋体"/>
      <w:sz w:val="20"/>
      <w:szCs w:val="20"/>
      <w:lang w:val="en-US" w:eastAsia="en-US" w:bidi="ar-SA"/>
    </w:rPr>
  </w:style>
  <w:style w:type="table" w:customStyle="1" w:styleId="17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22075</Words>
  <Characters>23236</Characters>
  <Lines>618</Lines>
  <Paragraphs>174</Paragraphs>
  <TotalTime>12</TotalTime>
  <ScaleCrop>false</ScaleCrop>
  <LinksUpToDate>false</LinksUpToDate>
  <CharactersWithSpaces>23510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2024-12-06T08:46:00Z</dcterms:created>
  <dc:creator>黄旭明</dc:creator>
  <cp:lastModifiedBy>L  。</cp:lastModifiedBy>
  <cp:lastPrinted>2025-02-12T01:08:00Z</cp:lastPrinted>
  <dcterms:modified xsi:type="dcterms:W3CDTF">2025-02-12T07:56:24Z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3EBED9943B94410BBDCE34C72DF81433_13</vt:lpwstr>
  </property>
  <property fmtid="{D5CDD505-2E9C-101B-9397-08002B2CF9AE}" pid="4" name="KSOTemplateDocerSaveRecord">
    <vt:lpwstr>eyJoZGlkIjoiOWQ2ZWExMDIwMTAyNTlkY2I3MDQ0MGE2NzkwYzQ5NGQiLCJ1c2VySWQiOiI0MzQ3MTc1ODMifQ==</vt:lpwstr>
  </property>
</Properties>
</file>