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360" w:lineRule="auto"/>
        <w:jc w:val="center"/>
        <w:rPr>
          <w:rFonts w:ascii="宋体" w:hAnsi="宋体"/>
          <w:b/>
          <w:color w:val="auto"/>
          <w:sz w:val="52"/>
          <w:highlight w:val="none"/>
        </w:rPr>
      </w:pPr>
    </w:p>
    <w:p>
      <w:pPr>
        <w:spacing w:after="120" w:line="360" w:lineRule="auto"/>
        <w:jc w:val="center"/>
        <w:rPr>
          <w:rFonts w:ascii="宋体" w:hAnsi="宋体"/>
          <w:b/>
          <w:color w:val="auto"/>
          <w:sz w:val="48"/>
          <w:highlight w:val="none"/>
        </w:rPr>
      </w:pPr>
      <w:r>
        <w:rPr>
          <w:rFonts w:hint="eastAsia" w:ascii="宋体" w:hAnsi="宋体"/>
          <w:b/>
          <w:color w:val="auto"/>
          <w:sz w:val="48"/>
          <w:highlight w:val="none"/>
        </w:rPr>
        <w:t>政府采购项目</w:t>
      </w:r>
    </w:p>
    <w:p>
      <w:pPr>
        <w:spacing w:after="120" w:line="360" w:lineRule="auto"/>
        <w:jc w:val="center"/>
        <w:rPr>
          <w:rFonts w:ascii="宋体" w:hAnsi="宋体"/>
          <w:b/>
          <w:color w:val="auto"/>
          <w:sz w:val="72"/>
          <w:highlight w:val="none"/>
        </w:rPr>
      </w:pPr>
      <w:r>
        <w:rPr>
          <w:rFonts w:hint="eastAsia" w:ascii="宋体" w:hAnsi="宋体"/>
          <w:b/>
          <w:color w:val="auto"/>
          <w:sz w:val="72"/>
          <w:highlight w:val="none"/>
        </w:rPr>
        <w:t>公开招标招标文件</w:t>
      </w:r>
    </w:p>
    <w:p>
      <w:pPr>
        <w:spacing w:line="360" w:lineRule="auto"/>
        <w:jc w:val="center"/>
        <w:rPr>
          <w:rFonts w:ascii="宋体" w:hAnsi="宋体"/>
          <w:b/>
          <w:color w:val="auto"/>
          <w:sz w:val="40"/>
          <w:highlight w:val="none"/>
        </w:rPr>
      </w:pPr>
      <w:r>
        <w:rPr>
          <w:rFonts w:hint="eastAsia" w:ascii="宋体" w:hAnsi="宋体"/>
          <w:b/>
          <w:color w:val="auto"/>
          <w:sz w:val="40"/>
          <w:highlight w:val="none"/>
        </w:rPr>
        <w:t>(服务类)</w:t>
      </w:r>
    </w:p>
    <w:p>
      <w:pPr>
        <w:spacing w:line="360" w:lineRule="auto"/>
        <w:rPr>
          <w:rFonts w:ascii="宋体" w:hAnsi="宋体"/>
          <w:b/>
          <w:color w:val="auto"/>
          <w:highlight w:val="none"/>
        </w:rPr>
      </w:pPr>
    </w:p>
    <w:p>
      <w:pPr>
        <w:spacing w:line="360" w:lineRule="auto"/>
        <w:rPr>
          <w:rFonts w:ascii="宋体" w:hAnsi="宋体"/>
          <w:b/>
          <w:color w:val="auto"/>
          <w:highlight w:val="none"/>
        </w:rPr>
      </w:pPr>
    </w:p>
    <w:p>
      <w:pPr>
        <w:spacing w:line="360" w:lineRule="auto"/>
        <w:ind w:firstLine="529" w:firstLineChars="147"/>
        <w:rPr>
          <w:rFonts w:ascii="宋体" w:hAnsi="宋体"/>
          <w:b/>
          <w:color w:val="auto"/>
          <w:sz w:val="36"/>
          <w:szCs w:val="36"/>
          <w:highlight w:val="none"/>
        </w:rPr>
      </w:pPr>
    </w:p>
    <w:p>
      <w:pPr>
        <w:spacing w:line="360" w:lineRule="auto"/>
        <w:ind w:firstLine="529" w:firstLineChars="147"/>
        <w:rPr>
          <w:rFonts w:ascii="宋体" w:hAnsi="宋体"/>
          <w:b/>
          <w:color w:val="auto"/>
          <w:sz w:val="36"/>
          <w:szCs w:val="36"/>
          <w:highlight w:val="none"/>
          <w:u w:val="single"/>
        </w:rPr>
      </w:pPr>
      <w:r>
        <w:rPr>
          <w:rFonts w:hint="eastAsia" w:ascii="宋体" w:hAnsi="宋体"/>
          <w:b/>
          <w:color w:val="auto"/>
          <w:sz w:val="36"/>
          <w:szCs w:val="36"/>
          <w:highlight w:val="none"/>
        </w:rPr>
        <w:t>招标编号：</w:t>
      </w:r>
      <w:bookmarkStart w:id="0" w:name="OLE_LINK57"/>
      <w:r>
        <w:rPr>
          <w:rFonts w:hint="eastAsia" w:ascii="宋体" w:hAnsi="宋体"/>
          <w:b/>
          <w:color w:val="auto"/>
          <w:sz w:val="36"/>
          <w:szCs w:val="36"/>
          <w:highlight w:val="none"/>
          <w:u w:val="single"/>
        </w:rPr>
        <w:t>NBGODOZB225003-7G</w:t>
      </w:r>
      <w:bookmarkEnd w:id="0"/>
    </w:p>
    <w:p>
      <w:pPr>
        <w:spacing w:line="360" w:lineRule="auto"/>
        <w:rPr>
          <w:rFonts w:ascii="宋体" w:hAnsi="宋体"/>
          <w:b/>
          <w:color w:val="auto"/>
          <w:sz w:val="36"/>
          <w:szCs w:val="36"/>
          <w:highlight w:val="none"/>
        </w:rPr>
      </w:pPr>
    </w:p>
    <w:p>
      <w:pPr>
        <w:spacing w:line="360" w:lineRule="auto"/>
        <w:rPr>
          <w:rFonts w:ascii="宋体" w:hAnsi="宋体"/>
          <w:b/>
          <w:color w:val="auto"/>
          <w:sz w:val="36"/>
          <w:szCs w:val="36"/>
          <w:highlight w:val="none"/>
        </w:rPr>
      </w:pPr>
    </w:p>
    <w:p>
      <w:pPr>
        <w:spacing w:line="360" w:lineRule="auto"/>
        <w:ind w:left="2518" w:leftChars="342" w:hanging="1800" w:hangingChars="500"/>
        <w:rPr>
          <w:rFonts w:ascii="宋体" w:hAnsi="宋体"/>
          <w:b/>
          <w:color w:val="auto"/>
          <w:sz w:val="36"/>
          <w:szCs w:val="36"/>
          <w:highlight w:val="none"/>
          <w:u w:val="single"/>
        </w:rPr>
      </w:pPr>
      <w:r>
        <w:rPr>
          <w:rFonts w:hint="eastAsia" w:ascii="宋体" w:hAnsi="宋体"/>
          <w:b/>
          <w:color w:val="auto"/>
          <w:sz w:val="36"/>
          <w:szCs w:val="36"/>
          <w:highlight w:val="none"/>
        </w:rPr>
        <w:t>项目名称：</w:t>
      </w:r>
      <w:r>
        <w:rPr>
          <w:rFonts w:hint="eastAsia" w:ascii="宋体" w:hAnsi="宋体"/>
          <w:b/>
          <w:color w:val="auto"/>
          <w:sz w:val="36"/>
          <w:szCs w:val="36"/>
          <w:highlight w:val="none"/>
          <w:u w:val="single"/>
        </w:rPr>
        <w:t>宁波市公安局交通警察局2025年市三区重大活动交通安全及方案咨询项目</w:t>
      </w:r>
    </w:p>
    <w:p>
      <w:pPr>
        <w:spacing w:line="360" w:lineRule="auto"/>
        <w:ind w:firstLine="360" w:firstLineChars="100"/>
        <w:rPr>
          <w:rFonts w:ascii="宋体" w:hAnsi="宋体"/>
          <w:b/>
          <w:color w:val="auto"/>
          <w:sz w:val="36"/>
          <w:szCs w:val="36"/>
          <w:highlight w:val="none"/>
        </w:rPr>
      </w:pPr>
    </w:p>
    <w:p>
      <w:pPr>
        <w:spacing w:line="360" w:lineRule="auto"/>
        <w:ind w:left="361" w:leftChars="172" w:firstLine="180" w:firstLineChars="50"/>
        <w:rPr>
          <w:rFonts w:ascii="宋体" w:hAnsi="宋体"/>
          <w:b/>
          <w:color w:val="auto"/>
          <w:sz w:val="36"/>
          <w:szCs w:val="36"/>
          <w:highlight w:val="none"/>
        </w:rPr>
      </w:pPr>
    </w:p>
    <w:p>
      <w:pPr>
        <w:spacing w:line="360" w:lineRule="auto"/>
        <w:ind w:left="361" w:leftChars="172" w:firstLine="180" w:firstLineChars="50"/>
        <w:rPr>
          <w:rFonts w:ascii="宋体" w:hAnsi="宋体"/>
          <w:b/>
          <w:color w:val="auto"/>
          <w:sz w:val="34"/>
          <w:szCs w:val="36"/>
          <w:highlight w:val="none"/>
          <w:u w:val="single"/>
        </w:rPr>
      </w:pPr>
      <w:r>
        <w:rPr>
          <w:rFonts w:hint="eastAsia" w:ascii="宋体" w:hAnsi="宋体"/>
          <w:b/>
          <w:color w:val="auto"/>
          <w:sz w:val="36"/>
          <w:szCs w:val="36"/>
          <w:highlight w:val="none"/>
        </w:rPr>
        <w:t>采 购 人：</w:t>
      </w:r>
      <w:r>
        <w:rPr>
          <w:rFonts w:hint="eastAsia" w:ascii="宋体" w:hAnsi="宋体" w:cs="宋体"/>
          <w:b/>
          <w:color w:val="auto"/>
          <w:sz w:val="36"/>
          <w:szCs w:val="36"/>
          <w:highlight w:val="none"/>
          <w:u w:val="single"/>
        </w:rPr>
        <w:t>宁波市公安局交通警察局</w:t>
      </w:r>
    </w:p>
    <w:p>
      <w:pPr>
        <w:spacing w:line="360" w:lineRule="auto"/>
        <w:ind w:left="361" w:leftChars="172" w:firstLine="180" w:firstLineChars="50"/>
        <w:rPr>
          <w:rFonts w:ascii="宋体" w:hAnsi="宋体"/>
          <w:b/>
          <w:color w:val="auto"/>
          <w:sz w:val="36"/>
          <w:szCs w:val="36"/>
          <w:highlight w:val="none"/>
        </w:rPr>
      </w:pPr>
    </w:p>
    <w:p>
      <w:pPr>
        <w:spacing w:line="360" w:lineRule="auto"/>
        <w:ind w:firstLine="360" w:firstLineChars="100"/>
        <w:rPr>
          <w:rFonts w:ascii="宋体" w:hAnsi="宋体"/>
          <w:b/>
          <w:color w:val="auto"/>
          <w:sz w:val="36"/>
          <w:szCs w:val="36"/>
          <w:highlight w:val="none"/>
        </w:rPr>
      </w:pPr>
    </w:p>
    <w:p>
      <w:pPr>
        <w:spacing w:line="360" w:lineRule="auto"/>
        <w:ind w:firstLine="360" w:firstLineChars="100"/>
        <w:rPr>
          <w:rFonts w:ascii="宋体" w:hAnsi="宋体"/>
          <w:b/>
          <w:color w:val="auto"/>
          <w:sz w:val="36"/>
          <w:szCs w:val="36"/>
          <w:highlight w:val="none"/>
        </w:rPr>
      </w:pPr>
    </w:p>
    <w:p>
      <w:pPr>
        <w:spacing w:line="360" w:lineRule="auto"/>
        <w:ind w:firstLine="540" w:firstLineChars="150"/>
        <w:rPr>
          <w:rFonts w:ascii="宋体" w:hAnsi="宋体"/>
          <w:b/>
          <w:color w:val="auto"/>
          <w:sz w:val="36"/>
          <w:szCs w:val="36"/>
          <w:highlight w:val="none"/>
        </w:rPr>
      </w:pPr>
      <w:r>
        <w:rPr>
          <w:rFonts w:hint="eastAsia" w:ascii="宋体" w:hAnsi="宋体"/>
          <w:b/>
          <w:color w:val="auto"/>
          <w:sz w:val="36"/>
          <w:szCs w:val="36"/>
          <w:highlight w:val="none"/>
        </w:rPr>
        <w:t>采购代理机构：</w:t>
      </w:r>
      <w:r>
        <w:rPr>
          <w:rFonts w:hint="eastAsia" w:ascii="宋体" w:hAnsi="宋体"/>
          <w:b/>
          <w:color w:val="auto"/>
          <w:sz w:val="36"/>
          <w:szCs w:val="36"/>
          <w:highlight w:val="none"/>
          <w:u w:val="single"/>
        </w:rPr>
        <w:t>宁波国际投资咨询有限公司</w:t>
      </w:r>
    </w:p>
    <w:p>
      <w:pPr>
        <w:spacing w:line="360" w:lineRule="auto"/>
        <w:jc w:val="center"/>
        <w:rPr>
          <w:rFonts w:ascii="宋体" w:hAnsi="宋体"/>
          <w:b/>
          <w:color w:val="auto"/>
          <w:sz w:val="36"/>
          <w:szCs w:val="36"/>
          <w:highlight w:val="none"/>
        </w:rPr>
      </w:pPr>
    </w:p>
    <w:p>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2025年</w:t>
      </w:r>
      <w:r>
        <w:rPr>
          <w:rFonts w:hint="eastAsia" w:ascii="宋体" w:hAnsi="宋体"/>
          <w:b/>
          <w:color w:val="auto"/>
          <w:sz w:val="36"/>
          <w:szCs w:val="36"/>
          <w:highlight w:val="none"/>
          <w:lang w:val="en-US" w:eastAsia="zh-CN"/>
        </w:rPr>
        <w:t>4</w:t>
      </w:r>
      <w:r>
        <w:rPr>
          <w:rFonts w:hint="eastAsia" w:ascii="宋体" w:hAnsi="宋体"/>
          <w:b/>
          <w:color w:val="auto"/>
          <w:sz w:val="36"/>
          <w:szCs w:val="36"/>
          <w:highlight w:val="none"/>
        </w:rPr>
        <w:t xml:space="preserve">月 </w:t>
      </w:r>
    </w:p>
    <w:p>
      <w:pPr>
        <w:spacing w:line="360" w:lineRule="auto"/>
        <w:jc w:val="center"/>
        <w:rPr>
          <w:rFonts w:ascii="宋体" w:hAnsi="宋体"/>
          <w:b/>
          <w:color w:val="auto"/>
          <w:sz w:val="36"/>
          <w:highlight w:val="none"/>
        </w:rPr>
      </w:pPr>
    </w:p>
    <w:p>
      <w:pPr>
        <w:spacing w:line="360" w:lineRule="auto"/>
        <w:jc w:val="center"/>
        <w:rPr>
          <w:rFonts w:ascii="宋体" w:hAnsi="宋体"/>
          <w:b/>
          <w:color w:val="auto"/>
          <w:sz w:val="36"/>
          <w:highlight w:val="none"/>
        </w:rPr>
      </w:pPr>
    </w:p>
    <w:p>
      <w:pPr>
        <w:spacing w:line="360" w:lineRule="auto"/>
        <w:jc w:val="center"/>
        <w:rPr>
          <w:rFonts w:ascii="宋体" w:hAnsi="宋体"/>
          <w:b/>
          <w:color w:val="auto"/>
          <w:sz w:val="36"/>
          <w:highlight w:val="none"/>
        </w:rPr>
      </w:pPr>
    </w:p>
    <w:p>
      <w:pPr>
        <w:spacing w:line="360" w:lineRule="auto"/>
        <w:jc w:val="center"/>
        <w:rPr>
          <w:rFonts w:ascii="宋体" w:hAnsi="宋体"/>
          <w:b/>
          <w:color w:val="auto"/>
          <w:sz w:val="36"/>
          <w:highlight w:val="none"/>
        </w:rPr>
      </w:pPr>
      <w:r>
        <w:rPr>
          <w:rFonts w:hint="eastAsia" w:ascii="宋体" w:hAnsi="宋体"/>
          <w:b/>
          <w:color w:val="auto"/>
          <w:sz w:val="36"/>
          <w:highlight w:val="none"/>
        </w:rPr>
        <w:t>目    录</w:t>
      </w:r>
    </w:p>
    <w:p>
      <w:pPr>
        <w:spacing w:line="360" w:lineRule="auto"/>
        <w:jc w:val="center"/>
        <w:rPr>
          <w:rFonts w:ascii="宋体" w:hAnsi="宋体"/>
          <w:b/>
          <w:color w:val="auto"/>
          <w:sz w:val="36"/>
          <w:highlight w:val="none"/>
        </w:rPr>
      </w:pPr>
    </w:p>
    <w:p>
      <w:pPr>
        <w:pStyle w:val="25"/>
        <w:tabs>
          <w:tab w:val="right" w:leader="dot" w:pos="8930"/>
        </w:tabs>
        <w:rPr>
          <w:b/>
          <w:bCs/>
          <w:color w:val="auto"/>
          <w:sz w:val="28"/>
          <w:szCs w:val="28"/>
          <w:highlight w:val="none"/>
        </w:rPr>
      </w:pPr>
      <w:r>
        <w:rPr>
          <w:rFonts w:ascii="宋体" w:hAnsi="宋体"/>
          <w:b/>
          <w:color w:val="auto"/>
          <w:highlight w:val="none"/>
        </w:rPr>
        <w:fldChar w:fldCharType="begin"/>
      </w:r>
      <w:r>
        <w:rPr>
          <w:rFonts w:ascii="宋体" w:hAnsi="宋体"/>
          <w:b/>
          <w:color w:val="auto"/>
          <w:highlight w:val="none"/>
        </w:rPr>
        <w:instrText xml:space="preserve"> TOC \o "1-3" \h \z \u </w:instrText>
      </w:r>
      <w:r>
        <w:rPr>
          <w:rFonts w:ascii="宋体" w:hAnsi="宋体"/>
          <w:b/>
          <w:color w:val="auto"/>
          <w:highlight w:val="none"/>
        </w:rPr>
        <w:fldChar w:fldCharType="separate"/>
      </w:r>
      <w:r>
        <w:rPr>
          <w:color w:val="auto"/>
          <w:highlight w:val="none"/>
        </w:rPr>
        <w:fldChar w:fldCharType="begin"/>
      </w:r>
      <w:r>
        <w:rPr>
          <w:color w:val="auto"/>
          <w:highlight w:val="none"/>
        </w:rPr>
        <w:instrText xml:space="preserve"> HYPERLINK \l "_Toc17296" </w:instrText>
      </w:r>
      <w:r>
        <w:rPr>
          <w:color w:val="auto"/>
          <w:highlight w:val="none"/>
        </w:rPr>
        <w:fldChar w:fldCharType="separate"/>
      </w:r>
      <w:r>
        <w:rPr>
          <w:rFonts w:hint="eastAsia" w:ascii="宋体" w:hAnsi="宋体"/>
          <w:b/>
          <w:bCs/>
          <w:color w:val="auto"/>
          <w:sz w:val="28"/>
          <w:szCs w:val="28"/>
          <w:highlight w:val="none"/>
        </w:rPr>
        <w:t>第一部分  采购公告</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_Toc17296 \h </w:instrText>
      </w:r>
      <w:r>
        <w:rPr>
          <w:b/>
          <w:bCs/>
          <w:color w:val="auto"/>
          <w:sz w:val="28"/>
          <w:szCs w:val="28"/>
          <w:highlight w:val="none"/>
        </w:rPr>
        <w:fldChar w:fldCharType="separate"/>
      </w:r>
      <w:r>
        <w:rPr>
          <w:b/>
          <w:bCs/>
          <w:color w:val="auto"/>
          <w:sz w:val="28"/>
          <w:szCs w:val="28"/>
          <w:highlight w:val="none"/>
        </w:rPr>
        <w:t>1</w:t>
      </w:r>
      <w:r>
        <w:rPr>
          <w:b/>
          <w:bCs/>
          <w:color w:val="auto"/>
          <w:sz w:val="28"/>
          <w:szCs w:val="28"/>
          <w:highlight w:val="none"/>
        </w:rPr>
        <w:fldChar w:fldCharType="end"/>
      </w:r>
      <w:r>
        <w:rPr>
          <w:b/>
          <w:bCs/>
          <w:color w:val="auto"/>
          <w:sz w:val="28"/>
          <w:szCs w:val="28"/>
          <w:highlight w:val="none"/>
        </w:rPr>
        <w:fldChar w:fldCharType="end"/>
      </w:r>
    </w:p>
    <w:p>
      <w:pPr>
        <w:pStyle w:val="25"/>
        <w:tabs>
          <w:tab w:val="right" w:leader="dot" w:pos="8930"/>
        </w:tabs>
        <w:rPr>
          <w:b/>
          <w:bCs/>
          <w:color w:val="auto"/>
          <w:sz w:val="28"/>
          <w:szCs w:val="28"/>
          <w:highlight w:val="none"/>
        </w:rPr>
      </w:pPr>
      <w:r>
        <w:rPr>
          <w:color w:val="auto"/>
          <w:highlight w:val="none"/>
        </w:rPr>
        <w:fldChar w:fldCharType="begin"/>
      </w:r>
      <w:r>
        <w:rPr>
          <w:color w:val="auto"/>
          <w:highlight w:val="none"/>
        </w:rPr>
        <w:instrText xml:space="preserve"> HYPERLINK \l "_Toc6697" </w:instrText>
      </w:r>
      <w:r>
        <w:rPr>
          <w:color w:val="auto"/>
          <w:highlight w:val="none"/>
        </w:rPr>
        <w:fldChar w:fldCharType="separate"/>
      </w:r>
      <w:r>
        <w:rPr>
          <w:rFonts w:hint="eastAsia" w:ascii="宋体" w:hAnsi="宋体"/>
          <w:b/>
          <w:bCs/>
          <w:color w:val="auto"/>
          <w:sz w:val="28"/>
          <w:szCs w:val="28"/>
          <w:highlight w:val="none"/>
        </w:rPr>
        <w:t>第二部分  招标项目需求</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_Toc6697 \h </w:instrText>
      </w:r>
      <w:r>
        <w:rPr>
          <w:b/>
          <w:bCs/>
          <w:color w:val="auto"/>
          <w:sz w:val="28"/>
          <w:szCs w:val="28"/>
          <w:highlight w:val="none"/>
        </w:rPr>
        <w:fldChar w:fldCharType="separate"/>
      </w:r>
      <w:r>
        <w:rPr>
          <w:b/>
          <w:bCs/>
          <w:color w:val="auto"/>
          <w:sz w:val="28"/>
          <w:szCs w:val="28"/>
          <w:highlight w:val="none"/>
        </w:rPr>
        <w:t>5</w:t>
      </w:r>
      <w:r>
        <w:rPr>
          <w:b/>
          <w:bCs/>
          <w:color w:val="auto"/>
          <w:sz w:val="28"/>
          <w:szCs w:val="28"/>
          <w:highlight w:val="none"/>
        </w:rPr>
        <w:fldChar w:fldCharType="end"/>
      </w:r>
      <w:r>
        <w:rPr>
          <w:b/>
          <w:bCs/>
          <w:color w:val="auto"/>
          <w:sz w:val="28"/>
          <w:szCs w:val="28"/>
          <w:highlight w:val="none"/>
        </w:rPr>
        <w:fldChar w:fldCharType="end"/>
      </w:r>
    </w:p>
    <w:p>
      <w:pPr>
        <w:pStyle w:val="25"/>
        <w:tabs>
          <w:tab w:val="right" w:leader="dot" w:pos="8930"/>
        </w:tabs>
        <w:rPr>
          <w:b/>
          <w:bCs/>
          <w:color w:val="auto"/>
          <w:sz w:val="28"/>
          <w:szCs w:val="28"/>
          <w:highlight w:val="none"/>
        </w:rPr>
      </w:pPr>
      <w:r>
        <w:rPr>
          <w:color w:val="auto"/>
          <w:highlight w:val="none"/>
        </w:rPr>
        <w:fldChar w:fldCharType="begin"/>
      </w:r>
      <w:r>
        <w:rPr>
          <w:color w:val="auto"/>
          <w:highlight w:val="none"/>
        </w:rPr>
        <w:instrText xml:space="preserve"> HYPERLINK \l "_Toc14705" </w:instrText>
      </w:r>
      <w:r>
        <w:rPr>
          <w:color w:val="auto"/>
          <w:highlight w:val="none"/>
        </w:rPr>
        <w:fldChar w:fldCharType="separate"/>
      </w:r>
      <w:r>
        <w:rPr>
          <w:rFonts w:hint="eastAsia" w:ascii="宋体" w:hAnsi="宋体"/>
          <w:b/>
          <w:bCs/>
          <w:color w:val="auto"/>
          <w:sz w:val="28"/>
          <w:szCs w:val="28"/>
          <w:highlight w:val="none"/>
        </w:rPr>
        <w:t>第三部分  投标资料表</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_Toc14705 \h </w:instrText>
      </w:r>
      <w:r>
        <w:rPr>
          <w:b/>
          <w:bCs/>
          <w:color w:val="auto"/>
          <w:sz w:val="28"/>
          <w:szCs w:val="28"/>
          <w:highlight w:val="none"/>
        </w:rPr>
        <w:fldChar w:fldCharType="separate"/>
      </w:r>
      <w:r>
        <w:rPr>
          <w:b/>
          <w:bCs/>
          <w:color w:val="auto"/>
          <w:sz w:val="28"/>
          <w:szCs w:val="28"/>
          <w:highlight w:val="none"/>
        </w:rPr>
        <w:t>15</w:t>
      </w:r>
      <w:r>
        <w:rPr>
          <w:b/>
          <w:bCs/>
          <w:color w:val="auto"/>
          <w:sz w:val="28"/>
          <w:szCs w:val="28"/>
          <w:highlight w:val="none"/>
        </w:rPr>
        <w:fldChar w:fldCharType="end"/>
      </w:r>
      <w:r>
        <w:rPr>
          <w:b/>
          <w:bCs/>
          <w:color w:val="auto"/>
          <w:sz w:val="28"/>
          <w:szCs w:val="28"/>
          <w:highlight w:val="none"/>
        </w:rPr>
        <w:fldChar w:fldCharType="end"/>
      </w:r>
    </w:p>
    <w:p>
      <w:pPr>
        <w:pStyle w:val="25"/>
        <w:tabs>
          <w:tab w:val="right" w:leader="dot" w:pos="8930"/>
        </w:tabs>
        <w:rPr>
          <w:b/>
          <w:bCs/>
          <w:color w:val="auto"/>
          <w:sz w:val="28"/>
          <w:szCs w:val="28"/>
          <w:highlight w:val="none"/>
        </w:rPr>
      </w:pPr>
      <w:r>
        <w:rPr>
          <w:color w:val="auto"/>
          <w:highlight w:val="none"/>
        </w:rPr>
        <w:fldChar w:fldCharType="begin"/>
      </w:r>
      <w:r>
        <w:rPr>
          <w:color w:val="auto"/>
          <w:highlight w:val="none"/>
        </w:rPr>
        <w:instrText xml:space="preserve"> HYPERLINK \l "_Toc22855" </w:instrText>
      </w:r>
      <w:r>
        <w:rPr>
          <w:color w:val="auto"/>
          <w:highlight w:val="none"/>
        </w:rPr>
        <w:fldChar w:fldCharType="separate"/>
      </w:r>
      <w:r>
        <w:rPr>
          <w:rFonts w:hint="eastAsia"/>
          <w:b/>
          <w:bCs/>
          <w:color w:val="auto"/>
          <w:sz w:val="28"/>
          <w:szCs w:val="28"/>
          <w:highlight w:val="none"/>
        </w:rPr>
        <w:t>第四部分  投标人须知</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_Toc22855 \h </w:instrText>
      </w:r>
      <w:r>
        <w:rPr>
          <w:b/>
          <w:bCs/>
          <w:color w:val="auto"/>
          <w:sz w:val="28"/>
          <w:szCs w:val="28"/>
          <w:highlight w:val="none"/>
        </w:rPr>
        <w:fldChar w:fldCharType="separate"/>
      </w:r>
      <w:r>
        <w:rPr>
          <w:b/>
          <w:bCs/>
          <w:color w:val="auto"/>
          <w:sz w:val="28"/>
          <w:szCs w:val="28"/>
          <w:highlight w:val="none"/>
        </w:rPr>
        <w:t>18</w:t>
      </w:r>
      <w:r>
        <w:rPr>
          <w:b/>
          <w:bCs/>
          <w:color w:val="auto"/>
          <w:sz w:val="28"/>
          <w:szCs w:val="28"/>
          <w:highlight w:val="none"/>
        </w:rPr>
        <w:fldChar w:fldCharType="end"/>
      </w:r>
      <w:r>
        <w:rPr>
          <w:b/>
          <w:bCs/>
          <w:color w:val="auto"/>
          <w:sz w:val="28"/>
          <w:szCs w:val="28"/>
          <w:highlight w:val="none"/>
        </w:rPr>
        <w:fldChar w:fldCharType="end"/>
      </w:r>
    </w:p>
    <w:p>
      <w:pPr>
        <w:pStyle w:val="25"/>
        <w:tabs>
          <w:tab w:val="right" w:leader="dot" w:pos="8930"/>
        </w:tabs>
        <w:rPr>
          <w:b/>
          <w:bCs/>
          <w:color w:val="auto"/>
          <w:sz w:val="28"/>
          <w:szCs w:val="28"/>
          <w:highlight w:val="none"/>
        </w:rPr>
      </w:pPr>
      <w:r>
        <w:rPr>
          <w:color w:val="auto"/>
          <w:highlight w:val="none"/>
        </w:rPr>
        <w:fldChar w:fldCharType="begin"/>
      </w:r>
      <w:r>
        <w:rPr>
          <w:color w:val="auto"/>
          <w:highlight w:val="none"/>
        </w:rPr>
        <w:instrText xml:space="preserve"> HYPERLINK \l "_Toc26275" </w:instrText>
      </w:r>
      <w:r>
        <w:rPr>
          <w:color w:val="auto"/>
          <w:highlight w:val="none"/>
        </w:rPr>
        <w:fldChar w:fldCharType="separate"/>
      </w:r>
      <w:r>
        <w:rPr>
          <w:rFonts w:hint="eastAsia" w:ascii="宋体" w:hAnsi="宋体"/>
          <w:b/>
          <w:bCs/>
          <w:color w:val="auto"/>
          <w:sz w:val="28"/>
          <w:szCs w:val="28"/>
          <w:highlight w:val="none"/>
        </w:rPr>
        <w:t>第五部分  评标办法</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_Toc26275 \h </w:instrText>
      </w:r>
      <w:r>
        <w:rPr>
          <w:b/>
          <w:bCs/>
          <w:color w:val="auto"/>
          <w:sz w:val="28"/>
          <w:szCs w:val="28"/>
          <w:highlight w:val="none"/>
        </w:rPr>
        <w:fldChar w:fldCharType="separate"/>
      </w:r>
      <w:r>
        <w:rPr>
          <w:b/>
          <w:bCs/>
          <w:color w:val="auto"/>
          <w:sz w:val="28"/>
          <w:szCs w:val="28"/>
          <w:highlight w:val="none"/>
        </w:rPr>
        <w:t>33</w:t>
      </w:r>
      <w:r>
        <w:rPr>
          <w:b/>
          <w:bCs/>
          <w:color w:val="auto"/>
          <w:sz w:val="28"/>
          <w:szCs w:val="28"/>
          <w:highlight w:val="none"/>
        </w:rPr>
        <w:fldChar w:fldCharType="end"/>
      </w:r>
      <w:r>
        <w:rPr>
          <w:b/>
          <w:bCs/>
          <w:color w:val="auto"/>
          <w:sz w:val="28"/>
          <w:szCs w:val="28"/>
          <w:highlight w:val="none"/>
        </w:rPr>
        <w:fldChar w:fldCharType="end"/>
      </w:r>
    </w:p>
    <w:p>
      <w:pPr>
        <w:pStyle w:val="25"/>
        <w:tabs>
          <w:tab w:val="right" w:leader="dot" w:pos="8930"/>
        </w:tabs>
        <w:rPr>
          <w:b/>
          <w:bCs/>
          <w:color w:val="auto"/>
          <w:sz w:val="28"/>
          <w:szCs w:val="28"/>
          <w:highlight w:val="none"/>
        </w:rPr>
      </w:pPr>
      <w:r>
        <w:rPr>
          <w:color w:val="auto"/>
          <w:highlight w:val="none"/>
        </w:rPr>
        <w:fldChar w:fldCharType="begin"/>
      </w:r>
      <w:r>
        <w:rPr>
          <w:color w:val="auto"/>
          <w:highlight w:val="none"/>
        </w:rPr>
        <w:instrText xml:space="preserve"> HYPERLINK \l "_Toc21993" </w:instrText>
      </w:r>
      <w:r>
        <w:rPr>
          <w:color w:val="auto"/>
          <w:highlight w:val="none"/>
        </w:rPr>
        <w:fldChar w:fldCharType="separate"/>
      </w:r>
      <w:r>
        <w:rPr>
          <w:rFonts w:hint="eastAsia" w:ascii="宋体" w:hAnsi="宋体"/>
          <w:b/>
          <w:bCs/>
          <w:color w:val="auto"/>
          <w:sz w:val="28"/>
          <w:szCs w:val="28"/>
          <w:highlight w:val="none"/>
        </w:rPr>
        <w:t>第六部分  合同格式</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_Toc21993 \h </w:instrText>
      </w:r>
      <w:r>
        <w:rPr>
          <w:b/>
          <w:bCs/>
          <w:color w:val="auto"/>
          <w:sz w:val="28"/>
          <w:szCs w:val="28"/>
          <w:highlight w:val="none"/>
        </w:rPr>
        <w:fldChar w:fldCharType="separate"/>
      </w:r>
      <w:r>
        <w:rPr>
          <w:b/>
          <w:bCs/>
          <w:color w:val="auto"/>
          <w:sz w:val="28"/>
          <w:szCs w:val="28"/>
          <w:highlight w:val="none"/>
        </w:rPr>
        <w:t>40</w:t>
      </w:r>
      <w:r>
        <w:rPr>
          <w:b/>
          <w:bCs/>
          <w:color w:val="auto"/>
          <w:sz w:val="28"/>
          <w:szCs w:val="28"/>
          <w:highlight w:val="none"/>
        </w:rPr>
        <w:fldChar w:fldCharType="end"/>
      </w:r>
      <w:r>
        <w:rPr>
          <w:b/>
          <w:bCs/>
          <w:color w:val="auto"/>
          <w:sz w:val="28"/>
          <w:szCs w:val="28"/>
          <w:highlight w:val="none"/>
        </w:rPr>
        <w:fldChar w:fldCharType="end"/>
      </w:r>
    </w:p>
    <w:p>
      <w:pPr>
        <w:pStyle w:val="25"/>
        <w:tabs>
          <w:tab w:val="right" w:leader="dot" w:pos="8930"/>
        </w:tabs>
        <w:rPr>
          <w:b/>
          <w:bCs/>
          <w:color w:val="auto"/>
          <w:sz w:val="28"/>
          <w:szCs w:val="28"/>
          <w:highlight w:val="none"/>
        </w:rPr>
      </w:pPr>
      <w:r>
        <w:rPr>
          <w:color w:val="auto"/>
          <w:highlight w:val="none"/>
        </w:rPr>
        <w:fldChar w:fldCharType="begin"/>
      </w:r>
      <w:r>
        <w:rPr>
          <w:color w:val="auto"/>
          <w:highlight w:val="none"/>
        </w:rPr>
        <w:instrText xml:space="preserve"> HYPERLINK \l "_Toc12950" </w:instrText>
      </w:r>
      <w:r>
        <w:rPr>
          <w:color w:val="auto"/>
          <w:highlight w:val="none"/>
        </w:rPr>
        <w:fldChar w:fldCharType="separate"/>
      </w:r>
      <w:r>
        <w:rPr>
          <w:rFonts w:hint="eastAsia" w:ascii="宋体" w:hAnsi="宋体"/>
          <w:b/>
          <w:bCs/>
          <w:color w:val="auto"/>
          <w:sz w:val="28"/>
          <w:szCs w:val="28"/>
          <w:highlight w:val="none"/>
        </w:rPr>
        <w:t>第七部分  投标文件格式</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_Toc12950 \h </w:instrText>
      </w:r>
      <w:r>
        <w:rPr>
          <w:b/>
          <w:bCs/>
          <w:color w:val="auto"/>
          <w:sz w:val="28"/>
          <w:szCs w:val="28"/>
          <w:highlight w:val="none"/>
        </w:rPr>
        <w:fldChar w:fldCharType="separate"/>
      </w:r>
      <w:r>
        <w:rPr>
          <w:b/>
          <w:bCs/>
          <w:color w:val="auto"/>
          <w:sz w:val="28"/>
          <w:szCs w:val="28"/>
          <w:highlight w:val="none"/>
        </w:rPr>
        <w:t>42</w:t>
      </w:r>
      <w:r>
        <w:rPr>
          <w:b/>
          <w:bCs/>
          <w:color w:val="auto"/>
          <w:sz w:val="28"/>
          <w:szCs w:val="28"/>
          <w:highlight w:val="none"/>
        </w:rPr>
        <w:fldChar w:fldCharType="end"/>
      </w:r>
      <w:r>
        <w:rPr>
          <w:b/>
          <w:bCs/>
          <w:color w:val="auto"/>
          <w:sz w:val="28"/>
          <w:szCs w:val="28"/>
          <w:highlight w:val="none"/>
        </w:rPr>
        <w:fldChar w:fldCharType="end"/>
      </w:r>
    </w:p>
    <w:p>
      <w:pPr>
        <w:pStyle w:val="27"/>
        <w:tabs>
          <w:tab w:val="right" w:leader="dot" w:pos="8930"/>
        </w:tabs>
        <w:rPr>
          <w:color w:val="auto"/>
          <w:highlight w:val="none"/>
        </w:rPr>
      </w:pPr>
    </w:p>
    <w:p>
      <w:pPr>
        <w:spacing w:line="360" w:lineRule="auto"/>
        <w:rPr>
          <w:rFonts w:ascii="宋体" w:hAnsi="宋体"/>
          <w:b/>
          <w:color w:val="auto"/>
          <w:sz w:val="36"/>
          <w:highlight w:val="none"/>
        </w:rPr>
        <w:sectPr>
          <w:headerReference r:id="rId5" w:type="first"/>
          <w:headerReference r:id="rId3" w:type="default"/>
          <w:footerReference r:id="rId6" w:type="default"/>
          <w:headerReference r:id="rId4" w:type="even"/>
          <w:pgSz w:w="11907" w:h="16840"/>
          <w:pgMar w:top="1276" w:right="1417" w:bottom="1276" w:left="1560" w:header="720" w:footer="720" w:gutter="0"/>
          <w:pgNumType w:fmt="decimal" w:start="1"/>
          <w:cols w:space="720" w:num="1"/>
          <w:docGrid w:type="linesAndChars" w:linePitch="285" w:charSpace="0"/>
        </w:sectPr>
      </w:pPr>
      <w:r>
        <w:rPr>
          <w:rFonts w:ascii="宋体" w:hAnsi="宋体"/>
          <w:color w:val="auto"/>
          <w:highlight w:val="none"/>
        </w:rPr>
        <w:fldChar w:fldCharType="end"/>
      </w:r>
    </w:p>
    <w:p>
      <w:pPr>
        <w:spacing w:line="360" w:lineRule="auto"/>
        <w:jc w:val="center"/>
        <w:rPr>
          <w:rFonts w:ascii="宋体" w:hAnsi="宋体"/>
          <w:b/>
          <w:color w:val="auto"/>
          <w:sz w:val="36"/>
          <w:highlight w:val="none"/>
        </w:rPr>
      </w:pPr>
    </w:p>
    <w:p>
      <w:pPr>
        <w:pStyle w:val="3"/>
        <w:spacing w:beforeLines="0" w:afterLines="0" w:line="360" w:lineRule="auto"/>
        <w:rPr>
          <w:rFonts w:ascii="宋体" w:hAnsi="宋体"/>
          <w:color w:val="auto"/>
          <w:sz w:val="32"/>
          <w:szCs w:val="32"/>
          <w:highlight w:val="none"/>
        </w:rPr>
      </w:pPr>
      <w:bookmarkStart w:id="1" w:name="_Toc298230957"/>
      <w:r>
        <w:rPr>
          <w:rFonts w:ascii="宋体" w:hAnsi="宋体"/>
          <w:color w:val="auto"/>
          <w:sz w:val="32"/>
          <w:szCs w:val="32"/>
          <w:highlight w:val="none"/>
        </w:rPr>
        <w:br w:type="page"/>
      </w:r>
    </w:p>
    <w:p>
      <w:pPr>
        <w:pStyle w:val="3"/>
        <w:spacing w:beforeLines="0" w:afterLines="0" w:line="360" w:lineRule="auto"/>
        <w:rPr>
          <w:rFonts w:ascii="宋体" w:hAnsi="宋体"/>
          <w:color w:val="auto"/>
          <w:sz w:val="32"/>
          <w:szCs w:val="32"/>
          <w:highlight w:val="none"/>
        </w:rPr>
      </w:pPr>
      <w:bookmarkStart w:id="2" w:name="_Toc17296"/>
      <w:r>
        <w:rPr>
          <w:rFonts w:hint="eastAsia" w:ascii="宋体" w:hAnsi="宋体"/>
          <w:color w:val="auto"/>
          <w:sz w:val="32"/>
          <w:szCs w:val="32"/>
          <w:highlight w:val="none"/>
        </w:rPr>
        <w:t>第一部分</w:t>
      </w:r>
      <w:bookmarkEnd w:id="1"/>
      <w:r>
        <w:rPr>
          <w:rFonts w:hint="eastAsia" w:ascii="宋体" w:hAnsi="宋体"/>
          <w:color w:val="auto"/>
          <w:sz w:val="32"/>
          <w:szCs w:val="32"/>
          <w:highlight w:val="none"/>
        </w:rPr>
        <w:t xml:space="preserve">  采购公告</w:t>
      </w:r>
      <w:bookmarkEnd w:id="2"/>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highlight w:val="none"/>
        </w:rPr>
      </w:pPr>
      <w:r>
        <w:rPr>
          <w:rFonts w:hint="eastAsia" w:ascii="宋体" w:hAnsi="宋体"/>
          <w:color w:val="auto"/>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highlight w:val="none"/>
        </w:rPr>
      </w:pPr>
      <w:bookmarkStart w:id="3" w:name="OLE_LINK56"/>
      <w:r>
        <w:rPr>
          <w:rFonts w:hint="eastAsia" w:ascii="宋体" w:hAnsi="宋体"/>
          <w:color w:val="auto"/>
          <w:highlight w:val="none"/>
          <w:u w:val="single"/>
        </w:rPr>
        <w:t>宁波市公安局交通警察局2025年市</w:t>
      </w:r>
      <w:bookmarkStart w:id="4" w:name="OLE_LINK5"/>
      <w:r>
        <w:rPr>
          <w:rFonts w:hint="eastAsia" w:ascii="宋体" w:hAnsi="宋体"/>
          <w:color w:val="auto"/>
          <w:highlight w:val="none"/>
          <w:u w:val="single"/>
        </w:rPr>
        <w:t>三区重大活动交通安全及方案咨询</w:t>
      </w:r>
      <w:bookmarkEnd w:id="4"/>
      <w:r>
        <w:rPr>
          <w:rFonts w:hint="eastAsia" w:ascii="宋体" w:hAnsi="宋体"/>
          <w:color w:val="auto"/>
          <w:highlight w:val="none"/>
          <w:u w:val="single"/>
        </w:rPr>
        <w:t>项目</w:t>
      </w:r>
      <w:bookmarkEnd w:id="3"/>
      <w:r>
        <w:rPr>
          <w:rFonts w:hint="eastAsia" w:ascii="宋体" w:hAnsi="宋体"/>
          <w:color w:val="auto"/>
          <w:highlight w:val="none"/>
        </w:rPr>
        <w:t>招标项目的潜在投标人应在</w:t>
      </w:r>
      <w:r>
        <w:rPr>
          <w:rFonts w:hint="eastAsia" w:ascii="宋体" w:hAnsi="宋体"/>
          <w:color w:val="auto"/>
          <w:highlight w:val="none"/>
          <w:u w:val="single"/>
        </w:rPr>
        <w:t>政府采购云平台（</w:t>
      </w:r>
      <w:r>
        <w:rPr>
          <w:color w:val="auto"/>
          <w:highlight w:val="none"/>
        </w:rPr>
        <w:fldChar w:fldCharType="begin"/>
      </w:r>
      <w:r>
        <w:rPr>
          <w:color w:val="auto"/>
          <w:highlight w:val="none"/>
        </w:rPr>
        <w:instrText xml:space="preserve"> HYPERLINK "http://www.zcygov.cn）获取（下载）招标文件，并于2020年" </w:instrText>
      </w:r>
      <w:r>
        <w:rPr>
          <w:color w:val="auto"/>
          <w:highlight w:val="none"/>
        </w:rPr>
        <w:fldChar w:fldCharType="separate"/>
      </w:r>
      <w:r>
        <w:rPr>
          <w:rStyle w:val="42"/>
          <w:rFonts w:hint="eastAsia" w:ascii="宋体" w:hAnsi="宋体"/>
          <w:color w:val="auto"/>
          <w:highlight w:val="none"/>
        </w:rPr>
        <w:t>www.zcygov.cn）获取（下载）招标文件，并于2025</w:t>
      </w:r>
      <w:r>
        <w:rPr>
          <w:rStyle w:val="42"/>
          <w:rFonts w:hint="eastAsia" w:ascii="宋体" w:hAnsi="宋体"/>
          <w:bCs/>
          <w:color w:val="auto"/>
          <w:highlight w:val="none"/>
        </w:rPr>
        <w:t>年</w:t>
      </w:r>
      <w:r>
        <w:rPr>
          <w:rStyle w:val="42"/>
          <w:rFonts w:hint="eastAsia" w:ascii="宋体" w:hAnsi="宋体"/>
          <w:bCs/>
          <w:color w:val="auto"/>
          <w:highlight w:val="none"/>
        </w:rPr>
        <w:fldChar w:fldCharType="end"/>
      </w:r>
      <w:r>
        <w:rPr>
          <w:rStyle w:val="42"/>
          <w:rFonts w:hint="eastAsia" w:ascii="宋体" w:hAnsi="宋体"/>
          <w:bCs/>
          <w:color w:val="auto"/>
          <w:highlight w:val="none"/>
          <w:lang w:val="en-US" w:eastAsia="zh-CN"/>
        </w:rPr>
        <w:t>5</w:t>
      </w:r>
      <w:r>
        <w:rPr>
          <w:rFonts w:hint="eastAsia" w:ascii="宋体" w:hAnsi="宋体"/>
          <w:bCs/>
          <w:color w:val="auto"/>
          <w:highlight w:val="none"/>
          <w:u w:val="single"/>
        </w:rPr>
        <w:t>月</w:t>
      </w:r>
      <w:r>
        <w:rPr>
          <w:rFonts w:hint="eastAsia" w:ascii="宋体" w:hAnsi="宋体"/>
          <w:bCs/>
          <w:color w:val="auto"/>
          <w:highlight w:val="none"/>
          <w:u w:val="single"/>
          <w:lang w:val="en-US" w:eastAsia="zh-CN"/>
        </w:rPr>
        <w:t>6</w:t>
      </w:r>
      <w:r>
        <w:rPr>
          <w:rFonts w:hint="eastAsia" w:ascii="宋体" w:hAnsi="宋体"/>
          <w:bCs/>
          <w:color w:val="auto"/>
          <w:highlight w:val="none"/>
          <w:u w:val="single"/>
        </w:rPr>
        <w:t>日14点</w:t>
      </w:r>
      <w:r>
        <w:rPr>
          <w:rFonts w:hint="eastAsia" w:ascii="宋体" w:hAnsi="宋体"/>
          <w:bCs/>
          <w:color w:val="auto"/>
          <w:highlight w:val="none"/>
          <w:u w:val="single"/>
          <w:lang w:val="en-US" w:eastAsia="zh-CN"/>
        </w:rPr>
        <w:t>30</w:t>
      </w:r>
      <w:r>
        <w:rPr>
          <w:rFonts w:hint="eastAsia" w:ascii="宋体" w:hAnsi="宋体"/>
          <w:bCs/>
          <w:color w:val="auto"/>
          <w:highlight w:val="none"/>
          <w:u w:val="single"/>
        </w:rPr>
        <w:t>分（</w:t>
      </w:r>
      <w:r>
        <w:rPr>
          <w:rFonts w:hint="eastAsia" w:ascii="宋体" w:hAnsi="宋体"/>
          <w:bCs/>
          <w:color w:val="auto"/>
          <w:highlight w:val="none"/>
        </w:rPr>
        <w:t>北京时间）前递交投标文件</w:t>
      </w:r>
      <w:r>
        <w:rPr>
          <w:rFonts w:hint="eastAsia" w:ascii="宋体" w:hAnsi="宋体"/>
          <w:color w:val="auto"/>
          <w:highlight w:val="none"/>
        </w:rPr>
        <w:t>。</w:t>
      </w:r>
    </w:p>
    <w:p>
      <w:pPr>
        <w:ind w:firstLine="200"/>
        <w:rPr>
          <w:rFonts w:ascii="宋体" w:hAnsi="宋体"/>
          <w:color w:val="auto"/>
          <w:highlight w:val="none"/>
        </w:rPr>
      </w:pPr>
    </w:p>
    <w:p>
      <w:pPr>
        <w:pStyle w:val="4"/>
        <w:spacing w:line="360" w:lineRule="auto"/>
        <w:jc w:val="both"/>
        <w:rPr>
          <w:rFonts w:ascii="宋体" w:hAnsi="宋体" w:cs="宋体"/>
          <w:color w:val="auto"/>
          <w:sz w:val="21"/>
          <w:szCs w:val="21"/>
          <w:highlight w:val="none"/>
        </w:rPr>
      </w:pPr>
      <w:bookmarkStart w:id="5" w:name="_Toc28359002"/>
      <w:bookmarkStart w:id="6" w:name="_Toc136017621"/>
      <w:bookmarkStart w:id="7" w:name="_Toc136345083"/>
      <w:bookmarkStart w:id="8" w:name="_Toc28359079"/>
      <w:bookmarkStart w:id="9" w:name="_Toc35393790"/>
      <w:bookmarkStart w:id="10" w:name="_Toc15838"/>
      <w:bookmarkStart w:id="11" w:name="_Toc35393621"/>
      <w:bookmarkStart w:id="12" w:name="_Hlk24379207"/>
      <w:r>
        <w:rPr>
          <w:rFonts w:hint="eastAsia" w:ascii="宋体" w:hAnsi="宋体" w:cs="宋体"/>
          <w:color w:val="auto"/>
          <w:sz w:val="21"/>
          <w:szCs w:val="21"/>
          <w:highlight w:val="none"/>
        </w:rPr>
        <w:t>一、项目基本情况</w:t>
      </w:r>
      <w:bookmarkEnd w:id="5"/>
      <w:bookmarkEnd w:id="6"/>
      <w:bookmarkEnd w:id="7"/>
      <w:bookmarkEnd w:id="8"/>
      <w:bookmarkEnd w:id="9"/>
      <w:bookmarkEnd w:id="10"/>
      <w:bookmarkEnd w:id="11"/>
    </w:p>
    <w:bookmarkEnd w:id="12"/>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项目编号：NBGODOZB225003-7G</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项目名称：宁波市公安局交通警察局2025年市三区重大活动交通安全及方案咨询项目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预算金额（元）：1800000元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最高限价（元）：1800000元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采购需求：</w:t>
      </w:r>
    </w:p>
    <w:p>
      <w:pPr>
        <w:pStyle w:val="2"/>
        <w:rPr>
          <w:color w:val="auto"/>
          <w:sz w:val="21"/>
          <w:szCs w:val="21"/>
          <w:highlight w:val="none"/>
        </w:rPr>
      </w:pPr>
    </w:p>
    <w:p>
      <w:pPr>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标项名称：宁波市公安局交通警察局2025年市三区重大活动交通安全及方案咨询项目</w:t>
      </w:r>
    </w:p>
    <w:p>
      <w:pPr>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数量：1项</w:t>
      </w:r>
    </w:p>
    <w:p>
      <w:pPr>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 xml:space="preserve">预算金额（元）：1800000.00  </w:t>
      </w:r>
    </w:p>
    <w:p>
      <w:pPr>
        <w:spacing w:line="360" w:lineRule="auto"/>
        <w:ind w:firstLine="630" w:firstLineChars="300"/>
        <w:rPr>
          <w:rFonts w:ascii="宋体" w:hAnsi="宋体" w:cs="仿宋_GB2312"/>
          <w:color w:val="auto"/>
          <w:szCs w:val="21"/>
          <w:highlight w:val="none"/>
        </w:rPr>
      </w:pPr>
      <w:r>
        <w:rPr>
          <w:rFonts w:hint="eastAsia" w:ascii="宋体" w:hAnsi="宋体"/>
          <w:color w:val="auto"/>
          <w:szCs w:val="21"/>
          <w:highlight w:val="none"/>
        </w:rPr>
        <w:t>简要规格描述或项目基本概况介绍、用途：</w:t>
      </w:r>
      <w:r>
        <w:rPr>
          <w:rFonts w:hint="eastAsia" w:ascii="宋体" w:hAnsi="宋体" w:cs="宋体"/>
          <w:color w:val="auto"/>
          <w:szCs w:val="21"/>
          <w:highlight w:val="none"/>
        </w:rPr>
        <w:t>交通组织优化、堵点乱点治理、道路交通安全隐患排查与治理、道路交通信号控制优化、电警设备采集申报等技术或方案咨询服务，具体内容详见招标文件“第二部分  招标项目需求”。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备注：</w:t>
      </w:r>
    </w:p>
    <w:p>
      <w:pPr>
        <w:pStyle w:val="2"/>
        <w:rPr>
          <w:rFonts w:ascii="宋体" w:hAnsi="宋体"/>
          <w:color w:val="auto"/>
          <w:sz w:val="21"/>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合同履行期限：标项1，合同生效之日起至2026年4月30日止；合同期满后若经招标人考核合格并报采购管理部门备案，合同可续签一年，最多合计可续签2次。</w:t>
      </w:r>
    </w:p>
    <w:p>
      <w:pPr>
        <w:spacing w:line="360" w:lineRule="auto"/>
        <w:ind w:firstLine="420" w:firstLineChars="200"/>
        <w:rPr>
          <w:rFonts w:ascii="宋体" w:hAnsi="宋体"/>
          <w:color w:val="auto"/>
          <w:szCs w:val="21"/>
          <w:highlight w:val="none"/>
        </w:rPr>
      </w:pPr>
      <w:bookmarkStart w:id="13" w:name="_Toc35393622"/>
      <w:bookmarkStart w:id="14" w:name="_Toc28359003"/>
      <w:bookmarkStart w:id="15" w:name="_Toc28359080"/>
      <w:bookmarkStart w:id="16" w:name="_Toc35393791"/>
      <w:r>
        <w:rPr>
          <w:rFonts w:hint="eastAsia" w:ascii="宋体" w:hAnsi="宋体"/>
          <w:color w:val="auto"/>
          <w:szCs w:val="21"/>
          <w:highlight w:val="none"/>
        </w:rPr>
        <w:t>本项目不接受联合体投标。</w:t>
      </w:r>
    </w:p>
    <w:p>
      <w:pPr>
        <w:pStyle w:val="4"/>
        <w:spacing w:line="360" w:lineRule="auto"/>
        <w:jc w:val="both"/>
        <w:rPr>
          <w:rFonts w:ascii="宋体" w:hAnsi="宋体" w:cs="宋体"/>
          <w:color w:val="auto"/>
          <w:sz w:val="21"/>
          <w:szCs w:val="21"/>
          <w:highlight w:val="none"/>
        </w:rPr>
      </w:pPr>
      <w:bookmarkStart w:id="17" w:name="_Toc24273"/>
      <w:bookmarkStart w:id="18" w:name="_Toc136345084"/>
      <w:bookmarkStart w:id="19" w:name="_Toc136017622"/>
      <w:r>
        <w:rPr>
          <w:rFonts w:hint="eastAsia" w:ascii="宋体" w:hAnsi="宋体" w:cs="宋体"/>
          <w:color w:val="auto"/>
          <w:sz w:val="21"/>
          <w:szCs w:val="21"/>
          <w:highlight w:val="none"/>
        </w:rPr>
        <w:t>二、申请人的资格要求：</w:t>
      </w:r>
      <w:bookmarkEnd w:id="13"/>
      <w:bookmarkEnd w:id="14"/>
      <w:bookmarkEnd w:id="15"/>
      <w:bookmarkEnd w:id="16"/>
      <w:bookmarkEnd w:id="17"/>
      <w:bookmarkEnd w:id="18"/>
      <w:bookmarkEnd w:id="19"/>
    </w:p>
    <w:p>
      <w:pPr>
        <w:spacing w:line="360" w:lineRule="auto"/>
        <w:ind w:firstLine="420" w:firstLineChars="200"/>
        <w:rPr>
          <w:rFonts w:ascii="宋体" w:hAnsi="宋体"/>
          <w:color w:val="auto"/>
          <w:highlight w:val="none"/>
        </w:rPr>
      </w:pPr>
      <w:bookmarkStart w:id="20" w:name="_Toc28359081"/>
      <w:bookmarkStart w:id="21" w:name="_Toc28359004"/>
      <w:r>
        <w:rPr>
          <w:rFonts w:hint="eastAsia" w:ascii="宋体" w:hAnsi="宋体"/>
          <w:color w:val="auto"/>
          <w:highlight w:val="none"/>
        </w:rPr>
        <w:t>1.满足《中华人民共和国政府采购法》第二十二条规定；未被“信用中国”（</w:t>
      </w:r>
      <w:bookmarkStart w:id="22" w:name="OLE_LINK1"/>
      <w:r>
        <w:rPr>
          <w:rFonts w:hint="eastAsia" w:ascii="宋体" w:hAnsi="宋体"/>
          <w:color w:val="auto"/>
          <w:highlight w:val="none"/>
        </w:rPr>
        <w:t>www.creditchina.gov.cn</w:t>
      </w:r>
      <w:bookmarkEnd w:id="22"/>
      <w:r>
        <w:rPr>
          <w:rFonts w:hint="eastAsia" w:ascii="宋体" w:hAnsi="宋体"/>
          <w:color w:val="auto"/>
          <w:highlight w:val="none"/>
        </w:rPr>
        <w:t>)、中国政府采购网（www.ccgp.gov.cn）列入失信被执行人、</w:t>
      </w:r>
      <w:r>
        <w:rPr>
          <w:rFonts w:hint="eastAsia" w:ascii="宋体" w:hAnsi="宋体" w:cs="宋体"/>
          <w:color w:val="auto"/>
          <w:szCs w:val="21"/>
          <w:highlight w:val="none"/>
        </w:rPr>
        <w:t>重大税收违法失信主体</w:t>
      </w:r>
      <w:r>
        <w:rPr>
          <w:rFonts w:hint="eastAsia" w:ascii="宋体" w:hAnsi="宋体"/>
          <w:color w:val="auto"/>
          <w:highlight w:val="none"/>
        </w:rPr>
        <w:t>、政府采购严重违法失信行为记录名单。</w:t>
      </w:r>
    </w:p>
    <w:p>
      <w:pPr>
        <w:spacing w:line="360" w:lineRule="auto"/>
        <w:ind w:firstLine="420" w:firstLineChars="200"/>
        <w:rPr>
          <w:rFonts w:ascii="宋体" w:hAnsi="宋体"/>
          <w:color w:val="auto"/>
          <w:highlight w:val="none"/>
        </w:rPr>
      </w:pPr>
      <w:r>
        <w:rPr>
          <w:rFonts w:hint="eastAsia" w:ascii="宋体" w:hAnsi="宋体"/>
          <w:color w:val="auto"/>
          <w:highlight w:val="none"/>
        </w:rPr>
        <w:t>2.落实政府采购政策需满足的资格要求：本项目属于专门面向中小企业采购的项目，服务全部由符合政策要求的中小企业承接，提供中小企业声明函。</w:t>
      </w:r>
    </w:p>
    <w:p>
      <w:pPr>
        <w:spacing w:line="360" w:lineRule="auto"/>
        <w:ind w:firstLine="420" w:firstLineChars="200"/>
        <w:rPr>
          <w:rFonts w:ascii="宋体" w:hAnsi="宋体"/>
          <w:color w:val="auto"/>
          <w:highlight w:val="none"/>
        </w:rPr>
      </w:pPr>
      <w:r>
        <w:rPr>
          <w:rFonts w:hint="eastAsia" w:ascii="宋体" w:hAnsi="宋体"/>
          <w:color w:val="auto"/>
          <w:highlight w:val="none"/>
        </w:rPr>
        <w:t>3.本项目的特定资格要求：</w:t>
      </w:r>
      <w:r>
        <w:rPr>
          <w:rFonts w:hint="eastAsia" w:ascii="宋体" w:hAnsi="宋体" w:cs="宋体"/>
          <w:color w:val="auto"/>
          <w:szCs w:val="21"/>
          <w:highlight w:val="none"/>
        </w:rPr>
        <w:t>无</w:t>
      </w:r>
      <w:r>
        <w:rPr>
          <w:rFonts w:hint="eastAsia" w:ascii="宋体" w:hAnsi="宋体"/>
          <w:color w:val="auto"/>
          <w:highlight w:val="none"/>
        </w:rPr>
        <w:t>。</w:t>
      </w:r>
    </w:p>
    <w:p>
      <w:pPr>
        <w:pStyle w:val="4"/>
        <w:spacing w:line="360" w:lineRule="auto"/>
        <w:jc w:val="both"/>
        <w:rPr>
          <w:rFonts w:ascii="宋体" w:hAnsi="宋体" w:cs="宋体"/>
          <w:color w:val="auto"/>
          <w:sz w:val="21"/>
          <w:szCs w:val="21"/>
          <w:highlight w:val="none"/>
        </w:rPr>
      </w:pPr>
      <w:bookmarkStart w:id="23" w:name="_Toc10828"/>
      <w:bookmarkStart w:id="24" w:name="_Toc35393623"/>
      <w:bookmarkStart w:id="25" w:name="_Toc136345085"/>
      <w:bookmarkStart w:id="26" w:name="_Toc35393792"/>
      <w:bookmarkStart w:id="27" w:name="_Toc136017623"/>
      <w:r>
        <w:rPr>
          <w:rFonts w:hint="eastAsia" w:ascii="宋体" w:hAnsi="宋体" w:cs="宋体"/>
          <w:color w:val="auto"/>
          <w:sz w:val="21"/>
          <w:szCs w:val="21"/>
          <w:highlight w:val="none"/>
        </w:rPr>
        <w:t>三、获取招标文件</w:t>
      </w:r>
      <w:bookmarkEnd w:id="20"/>
      <w:bookmarkEnd w:id="21"/>
      <w:bookmarkEnd w:id="23"/>
      <w:bookmarkEnd w:id="24"/>
      <w:bookmarkEnd w:id="25"/>
      <w:bookmarkEnd w:id="26"/>
      <w:bookmarkEnd w:id="27"/>
    </w:p>
    <w:p>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时间：</w:t>
      </w:r>
      <w:r>
        <w:rPr>
          <w:rFonts w:hint="eastAsia" w:ascii="宋体" w:hAnsi="宋体"/>
          <w:color w:val="auto"/>
          <w:highlight w:val="none"/>
          <w:u w:val="single"/>
        </w:rPr>
        <w:t>2025</w:t>
      </w:r>
      <w:r>
        <w:rPr>
          <w:rFonts w:hint="eastAsia" w:ascii="宋体" w:hAnsi="宋体"/>
          <w:bCs/>
          <w:color w:val="auto"/>
          <w:highlight w:val="none"/>
          <w:u w:val="single"/>
        </w:rPr>
        <w:t>年</w:t>
      </w:r>
      <w:r>
        <w:rPr>
          <w:rFonts w:hint="eastAsia" w:ascii="宋体" w:hAnsi="宋体"/>
          <w:bCs/>
          <w:color w:val="auto"/>
          <w:highlight w:val="none"/>
          <w:u w:val="single"/>
          <w:lang w:val="en-US" w:eastAsia="zh-CN"/>
        </w:rPr>
        <w:t>4</w:t>
      </w:r>
      <w:r>
        <w:rPr>
          <w:rFonts w:hint="eastAsia" w:ascii="宋体" w:hAnsi="宋体"/>
          <w:bCs/>
          <w:color w:val="auto"/>
          <w:highlight w:val="none"/>
          <w:u w:val="single"/>
        </w:rPr>
        <w:t>月</w:t>
      </w:r>
      <w:r>
        <w:rPr>
          <w:rFonts w:hint="eastAsia" w:ascii="宋体" w:hAnsi="宋体"/>
          <w:bCs/>
          <w:color w:val="auto"/>
          <w:highlight w:val="none"/>
          <w:u w:val="single"/>
          <w:lang w:val="en-US" w:eastAsia="zh-CN"/>
        </w:rPr>
        <w:t>11</w:t>
      </w:r>
      <w:r>
        <w:rPr>
          <w:rFonts w:hint="eastAsia" w:ascii="宋体" w:hAnsi="宋体"/>
          <w:bCs/>
          <w:color w:val="auto"/>
          <w:highlight w:val="none"/>
          <w:u w:val="single"/>
        </w:rPr>
        <w:t>日</w:t>
      </w:r>
      <w:r>
        <w:rPr>
          <w:rFonts w:hint="eastAsia" w:ascii="宋体" w:hAnsi="宋体"/>
          <w:color w:val="auto"/>
          <w:highlight w:val="none"/>
        </w:rPr>
        <w:t>至</w:t>
      </w:r>
      <w:r>
        <w:rPr>
          <w:rFonts w:hint="eastAsia" w:ascii="宋体" w:hAnsi="宋体"/>
          <w:color w:val="auto"/>
          <w:highlight w:val="none"/>
          <w:u w:val="single"/>
        </w:rPr>
        <w:t>2025</w:t>
      </w:r>
      <w:r>
        <w:rPr>
          <w:rFonts w:hint="eastAsia" w:ascii="宋体" w:hAnsi="宋体"/>
          <w:bCs/>
          <w:color w:val="auto"/>
          <w:highlight w:val="none"/>
          <w:u w:val="single"/>
        </w:rPr>
        <w:t>年</w:t>
      </w:r>
      <w:r>
        <w:rPr>
          <w:rFonts w:hint="eastAsia" w:ascii="宋体" w:hAnsi="宋体"/>
          <w:bCs/>
          <w:color w:val="auto"/>
          <w:highlight w:val="none"/>
          <w:u w:val="single"/>
          <w:lang w:val="en-US" w:eastAsia="zh-CN"/>
        </w:rPr>
        <w:t>4</w:t>
      </w:r>
      <w:r>
        <w:rPr>
          <w:rFonts w:hint="eastAsia" w:ascii="宋体" w:hAnsi="宋体"/>
          <w:bCs/>
          <w:color w:val="auto"/>
          <w:highlight w:val="none"/>
          <w:u w:val="single"/>
        </w:rPr>
        <w:t>月</w:t>
      </w:r>
      <w:r>
        <w:rPr>
          <w:rFonts w:hint="eastAsia" w:ascii="宋体" w:hAnsi="宋体"/>
          <w:bCs/>
          <w:color w:val="auto"/>
          <w:highlight w:val="none"/>
          <w:u w:val="single"/>
          <w:lang w:val="en-US" w:eastAsia="zh-CN"/>
        </w:rPr>
        <w:t>18</w:t>
      </w:r>
      <w:r>
        <w:rPr>
          <w:rFonts w:hint="eastAsia" w:ascii="宋体" w:hAnsi="宋体"/>
          <w:bCs/>
          <w:color w:val="auto"/>
          <w:highlight w:val="none"/>
          <w:u w:val="single"/>
        </w:rPr>
        <w:t>日</w:t>
      </w:r>
      <w:r>
        <w:rPr>
          <w:rFonts w:hint="eastAsia" w:ascii="宋体" w:hAnsi="宋体" w:cs="宋体"/>
          <w:color w:val="auto"/>
          <w:highlight w:val="none"/>
        </w:rPr>
        <w:t>，每天上午</w:t>
      </w:r>
      <w:r>
        <w:rPr>
          <w:rFonts w:hint="eastAsia" w:ascii="宋体" w:hAnsi="宋体" w:cs="宋体"/>
          <w:color w:val="auto"/>
          <w:highlight w:val="none"/>
          <w:u w:val="single"/>
        </w:rPr>
        <w:t>00:00</w:t>
      </w:r>
      <w:r>
        <w:rPr>
          <w:rFonts w:hint="eastAsia" w:ascii="宋体" w:hAnsi="宋体" w:cs="宋体"/>
          <w:color w:val="auto"/>
          <w:highlight w:val="none"/>
        </w:rPr>
        <w:t>至</w:t>
      </w:r>
      <w:r>
        <w:rPr>
          <w:rFonts w:hint="eastAsia" w:ascii="宋体" w:hAnsi="宋体" w:cs="宋体"/>
          <w:color w:val="auto"/>
          <w:highlight w:val="none"/>
          <w:u w:val="single"/>
        </w:rPr>
        <w:t>12:00</w:t>
      </w:r>
      <w:r>
        <w:rPr>
          <w:rFonts w:hint="eastAsia" w:ascii="宋体" w:hAnsi="宋体" w:cs="宋体"/>
          <w:color w:val="auto"/>
          <w:highlight w:val="none"/>
        </w:rPr>
        <w:t>，下午</w:t>
      </w:r>
      <w:r>
        <w:rPr>
          <w:rFonts w:hint="eastAsia" w:ascii="宋体" w:hAnsi="宋体" w:cs="宋体"/>
          <w:color w:val="auto"/>
          <w:highlight w:val="none"/>
          <w:u w:val="single"/>
        </w:rPr>
        <w:t>12:00</w:t>
      </w:r>
      <w:r>
        <w:rPr>
          <w:rFonts w:hint="eastAsia" w:ascii="宋体" w:hAnsi="宋体" w:cs="宋体"/>
          <w:color w:val="auto"/>
          <w:highlight w:val="none"/>
        </w:rPr>
        <w:t>至</w:t>
      </w:r>
      <w:r>
        <w:rPr>
          <w:rFonts w:hint="eastAsia" w:ascii="宋体" w:hAnsi="宋体" w:cs="宋体"/>
          <w:color w:val="auto"/>
          <w:highlight w:val="none"/>
          <w:u w:val="single"/>
        </w:rPr>
        <w:t>23:59</w:t>
      </w:r>
      <w:r>
        <w:rPr>
          <w:rFonts w:hint="eastAsia" w:ascii="宋体" w:hAnsi="宋体" w:cs="宋体"/>
          <w:color w:val="auto"/>
          <w:highlight w:val="none"/>
        </w:rPr>
        <w:t>（北京时间，线上获取法定节假日均可，线下获取文件法定节假日除外）</w:t>
      </w:r>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地点（网址）：</w:t>
      </w:r>
      <w:bookmarkStart w:id="28" w:name="OLE_LINK69"/>
      <w:r>
        <w:rPr>
          <w:rFonts w:hint="eastAsia" w:ascii="宋体" w:hAnsi="宋体"/>
          <w:color w:val="auto"/>
          <w:highlight w:val="none"/>
        </w:rPr>
        <w:t>政府采购云平台（http://www.zcygov.cn/）</w:t>
      </w:r>
      <w:bookmarkEnd w:id="28"/>
      <w:r>
        <w:rPr>
          <w:rFonts w:hint="eastAsia" w:ascii="宋体" w:hAnsi="宋体"/>
          <w:color w:val="auto"/>
          <w:highlight w:val="none"/>
        </w:rPr>
        <w:t>。</w:t>
      </w:r>
    </w:p>
    <w:p>
      <w:pPr>
        <w:snapToGrid w:val="0"/>
        <w:spacing w:line="400" w:lineRule="exact"/>
        <w:ind w:firstLine="411" w:firstLineChars="196"/>
        <w:rPr>
          <w:rFonts w:ascii="宋体" w:hAnsi="宋体" w:cs="宋体"/>
          <w:color w:val="auto"/>
          <w:highlight w:val="none"/>
        </w:rPr>
      </w:pPr>
      <w:r>
        <w:rPr>
          <w:rFonts w:hint="eastAsia" w:ascii="宋体" w:hAnsi="宋体" w:cs="宋体"/>
          <w:color w:val="auto"/>
          <w:highlight w:val="none"/>
        </w:rPr>
        <w:t>方式：</w:t>
      </w:r>
      <w:bookmarkStart w:id="29" w:name="OLE_LINK70"/>
      <w:r>
        <w:rPr>
          <w:rFonts w:hint="eastAsia" w:ascii="宋体" w:hAnsi="宋体" w:cs="宋体"/>
          <w:color w:val="auto"/>
          <w:highlight w:val="none"/>
        </w:rPr>
        <w:t xml:space="preserve">（1）本项目招标文件实行“政府采购云平台”在线获取，不提供招标文件纸质版。投标人获取招标文件前应先完成“政府采购云平台”的账号注册； </w:t>
      </w:r>
    </w:p>
    <w:p>
      <w:pPr>
        <w:snapToGrid w:val="0"/>
        <w:spacing w:line="400" w:lineRule="exact"/>
        <w:ind w:firstLine="411" w:firstLineChars="196"/>
        <w:rPr>
          <w:rFonts w:ascii="宋体" w:hAnsi="宋体" w:cs="宋体"/>
          <w:color w:val="auto"/>
          <w:highlight w:val="none"/>
        </w:rPr>
      </w:pPr>
      <w:r>
        <w:rPr>
          <w:rFonts w:hint="eastAsia" w:ascii="宋体" w:hAnsi="宋体" w:cs="宋体"/>
          <w:color w:val="auto"/>
          <w:highlight w:val="none"/>
        </w:rPr>
        <w:t xml:space="preserve">（2）潜在供应商登陆政采云平台，在线申请获取招标文件（进入“项目采购”应用，在获取招标文件菜单中选择项目，申请获取招标文件；仅需浏览招标文件的投标人可点击“游客，浏览招标文件”直接下载招标文件浏览）； </w:t>
      </w:r>
    </w:p>
    <w:p>
      <w:pPr>
        <w:snapToGrid w:val="0"/>
        <w:spacing w:line="400" w:lineRule="exact"/>
        <w:ind w:firstLine="411" w:firstLineChars="196"/>
        <w:rPr>
          <w:rFonts w:ascii="宋体" w:hAnsi="宋体" w:cs="宋体"/>
          <w:color w:val="auto"/>
          <w:highlight w:val="none"/>
        </w:rPr>
      </w:pPr>
      <w:r>
        <w:rPr>
          <w:rFonts w:hint="eastAsia" w:ascii="宋体" w:hAnsi="宋体" w:cs="宋体"/>
          <w:color w:val="auto"/>
          <w:highlight w:val="none"/>
        </w:rPr>
        <w:t>（3）招标公告附件内的招标文件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r>
        <w:rPr>
          <w:rFonts w:hint="eastAsia" w:ascii="宋体" w:hAnsi="宋体" w:cs="Arial"/>
          <w:color w:val="auto"/>
          <w:szCs w:val="21"/>
          <w:highlight w:val="none"/>
        </w:rPr>
        <w:t>未按照招标文件规定程序依法获取招标文件的潜在投标人，对招标文件提起质疑的，按照无效质疑处理。采购代理机构拒绝接收未依法获取本项目招标</w:t>
      </w:r>
      <w:r>
        <w:rPr>
          <w:rFonts w:ascii="宋体" w:hAnsi="宋体" w:cs="Arial"/>
          <w:color w:val="auto"/>
          <w:szCs w:val="21"/>
          <w:highlight w:val="none"/>
        </w:rPr>
        <w:t>文件</w:t>
      </w:r>
      <w:r>
        <w:rPr>
          <w:rFonts w:hint="eastAsia" w:ascii="宋体" w:hAnsi="宋体" w:cs="Arial"/>
          <w:color w:val="auto"/>
          <w:szCs w:val="21"/>
          <w:highlight w:val="none"/>
        </w:rPr>
        <w:t>的投标人提交的投标文件。</w:t>
      </w:r>
    </w:p>
    <w:p>
      <w:pPr>
        <w:snapToGrid w:val="0"/>
        <w:spacing w:line="400" w:lineRule="exact"/>
        <w:ind w:firstLine="411" w:firstLineChars="196"/>
        <w:rPr>
          <w:rFonts w:ascii="宋体" w:hAnsi="宋体" w:cs="宋体"/>
          <w:color w:val="auto"/>
          <w:highlight w:val="none"/>
        </w:rPr>
      </w:pPr>
      <w:r>
        <w:rPr>
          <w:rFonts w:hint="eastAsia" w:ascii="宋体" w:hAnsi="宋体" w:cs="宋体"/>
          <w:color w:val="auto"/>
          <w:highlight w:val="none"/>
        </w:rPr>
        <w:t xml:space="preserve">注：请投标人按上述要求获取招标文件，如未在“政采云”系统内完成相关流程，引起的投标无效责任自负。  </w:t>
      </w:r>
    </w:p>
    <w:bookmarkEnd w:id="29"/>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售价：0元。</w:t>
      </w:r>
    </w:p>
    <w:p>
      <w:pPr>
        <w:spacing w:line="360" w:lineRule="auto"/>
        <w:ind w:firstLine="420" w:firstLineChars="200"/>
        <w:rPr>
          <w:rFonts w:ascii="宋体" w:hAnsi="宋体" w:cs="宋体"/>
          <w:color w:val="auto"/>
          <w:highlight w:val="none"/>
        </w:rPr>
      </w:pPr>
    </w:p>
    <w:p>
      <w:pPr>
        <w:pStyle w:val="4"/>
        <w:spacing w:line="360" w:lineRule="auto"/>
        <w:jc w:val="both"/>
        <w:rPr>
          <w:rFonts w:ascii="宋体" w:hAnsi="宋体" w:cs="宋体"/>
          <w:color w:val="auto"/>
          <w:sz w:val="21"/>
          <w:szCs w:val="21"/>
          <w:highlight w:val="none"/>
        </w:rPr>
      </w:pPr>
      <w:bookmarkStart w:id="30" w:name="_Toc28359082"/>
      <w:bookmarkStart w:id="31" w:name="_Toc28359005"/>
      <w:bookmarkStart w:id="32" w:name="_Toc35393793"/>
      <w:bookmarkStart w:id="33" w:name="_Toc136345086"/>
      <w:bookmarkStart w:id="34" w:name="_Toc136017624"/>
      <w:bookmarkStart w:id="35" w:name="_Toc25361"/>
      <w:bookmarkStart w:id="36" w:name="_Toc35393624"/>
      <w:r>
        <w:rPr>
          <w:rFonts w:hint="eastAsia" w:ascii="宋体" w:hAnsi="宋体" w:cs="宋体"/>
          <w:color w:val="auto"/>
          <w:sz w:val="21"/>
          <w:szCs w:val="21"/>
          <w:highlight w:val="none"/>
        </w:rPr>
        <w:t>四、提交投标文件</w:t>
      </w:r>
      <w:bookmarkEnd w:id="30"/>
      <w:bookmarkEnd w:id="31"/>
      <w:r>
        <w:rPr>
          <w:rFonts w:hint="eastAsia" w:ascii="宋体" w:hAnsi="宋体" w:cs="宋体"/>
          <w:color w:val="auto"/>
          <w:sz w:val="21"/>
          <w:szCs w:val="21"/>
          <w:highlight w:val="none"/>
        </w:rPr>
        <w:t>截止时间、开标时间和地点</w:t>
      </w:r>
      <w:bookmarkEnd w:id="32"/>
      <w:bookmarkEnd w:id="33"/>
      <w:bookmarkEnd w:id="34"/>
      <w:bookmarkEnd w:id="35"/>
      <w:bookmarkEnd w:id="36"/>
    </w:p>
    <w:p>
      <w:pPr>
        <w:spacing w:line="360" w:lineRule="auto"/>
        <w:ind w:firstLine="420" w:firstLineChars="200"/>
        <w:rPr>
          <w:rFonts w:ascii="宋体" w:hAnsi="宋体"/>
          <w:bCs/>
          <w:color w:val="auto"/>
          <w:szCs w:val="21"/>
          <w:highlight w:val="none"/>
        </w:rPr>
      </w:pPr>
      <w:r>
        <w:rPr>
          <w:rFonts w:hint="eastAsia" w:ascii="宋体" w:hAnsi="宋体" w:cs="宋体"/>
          <w:color w:val="auto"/>
          <w:highlight w:val="none"/>
        </w:rPr>
        <w:t>提交投标文件截止时间：</w:t>
      </w:r>
      <w:r>
        <w:rPr>
          <w:rFonts w:hint="eastAsia" w:ascii="宋体" w:hAnsi="宋体"/>
          <w:color w:val="auto"/>
          <w:highlight w:val="none"/>
          <w:u w:val="single"/>
        </w:rPr>
        <w:t>2025</w:t>
      </w:r>
      <w:r>
        <w:rPr>
          <w:rFonts w:hint="eastAsia" w:ascii="宋体" w:hAnsi="宋体"/>
          <w:bCs/>
          <w:color w:val="auto"/>
          <w:highlight w:val="none"/>
          <w:u w:val="single"/>
        </w:rPr>
        <w:t>年</w:t>
      </w:r>
      <w:r>
        <w:rPr>
          <w:rFonts w:hint="eastAsia" w:ascii="宋体" w:hAnsi="宋体"/>
          <w:bCs/>
          <w:color w:val="auto"/>
          <w:highlight w:val="none"/>
          <w:u w:val="single"/>
          <w:lang w:val="en-US" w:eastAsia="zh-CN"/>
        </w:rPr>
        <w:t>5</w:t>
      </w:r>
      <w:r>
        <w:rPr>
          <w:rFonts w:hint="eastAsia" w:ascii="宋体" w:hAnsi="宋体"/>
          <w:bCs/>
          <w:color w:val="auto"/>
          <w:highlight w:val="none"/>
          <w:u w:val="single"/>
        </w:rPr>
        <w:t>月</w:t>
      </w:r>
      <w:r>
        <w:rPr>
          <w:rFonts w:hint="eastAsia" w:ascii="宋体" w:hAnsi="宋体"/>
          <w:bCs/>
          <w:color w:val="auto"/>
          <w:highlight w:val="none"/>
          <w:u w:val="single"/>
          <w:lang w:val="en-US" w:eastAsia="zh-CN"/>
        </w:rPr>
        <w:t>6</w:t>
      </w:r>
      <w:r>
        <w:rPr>
          <w:rFonts w:hint="eastAsia" w:ascii="宋体" w:hAnsi="宋体"/>
          <w:bCs/>
          <w:color w:val="auto"/>
          <w:highlight w:val="none"/>
          <w:u w:val="single"/>
        </w:rPr>
        <w:t>日14点</w:t>
      </w:r>
      <w:r>
        <w:rPr>
          <w:rFonts w:hint="eastAsia" w:ascii="宋体" w:hAnsi="宋体"/>
          <w:bCs/>
          <w:color w:val="auto"/>
          <w:highlight w:val="none"/>
          <w:u w:val="single"/>
          <w:lang w:val="en-US" w:eastAsia="zh-CN"/>
        </w:rPr>
        <w:t>3</w:t>
      </w:r>
      <w:r>
        <w:rPr>
          <w:rFonts w:hint="eastAsia" w:ascii="宋体" w:hAnsi="宋体"/>
          <w:bCs/>
          <w:color w:val="auto"/>
          <w:highlight w:val="none"/>
          <w:u w:val="single"/>
        </w:rPr>
        <w:t>0分</w:t>
      </w:r>
      <w:r>
        <w:rPr>
          <w:rFonts w:hint="eastAsia" w:ascii="宋体" w:hAnsi="宋体"/>
          <w:bCs/>
          <w:color w:val="auto"/>
          <w:highlight w:val="none"/>
        </w:rPr>
        <w:t>（北京时间）。</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投标地点（网址）：</w:t>
      </w:r>
      <w:r>
        <w:rPr>
          <w:rFonts w:hint="eastAsia" w:ascii="宋体" w:hAnsi="宋体" w:cs="Arial"/>
          <w:color w:val="auto"/>
          <w:szCs w:val="21"/>
          <w:highlight w:val="none"/>
          <w:u w:val="single"/>
        </w:rPr>
        <w:t>政采云平台（www.zcygov.cn）（线上）</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开标时间：</w:t>
      </w:r>
      <w:r>
        <w:rPr>
          <w:rFonts w:hint="eastAsia" w:ascii="宋体" w:hAnsi="宋体" w:cs="Arial"/>
          <w:color w:val="auto"/>
          <w:szCs w:val="21"/>
          <w:highlight w:val="none"/>
          <w:u w:val="single"/>
        </w:rPr>
        <w:t>2025年</w:t>
      </w:r>
      <w:r>
        <w:rPr>
          <w:rFonts w:hint="eastAsia" w:ascii="宋体" w:hAnsi="宋体" w:cs="Arial"/>
          <w:color w:val="auto"/>
          <w:szCs w:val="21"/>
          <w:highlight w:val="none"/>
          <w:u w:val="single"/>
          <w:lang w:val="en-US" w:eastAsia="zh-CN"/>
        </w:rPr>
        <w:t>5</w:t>
      </w:r>
      <w:r>
        <w:rPr>
          <w:rFonts w:hint="eastAsia" w:ascii="宋体" w:hAnsi="宋体" w:cs="Arial"/>
          <w:color w:val="auto"/>
          <w:szCs w:val="21"/>
          <w:highlight w:val="none"/>
          <w:u w:val="single"/>
        </w:rPr>
        <w:t>月</w:t>
      </w:r>
      <w:r>
        <w:rPr>
          <w:rFonts w:hint="eastAsia" w:ascii="宋体" w:hAnsi="宋体" w:cs="Arial"/>
          <w:color w:val="auto"/>
          <w:szCs w:val="21"/>
          <w:highlight w:val="none"/>
          <w:u w:val="single"/>
          <w:lang w:val="en-US" w:eastAsia="zh-CN"/>
        </w:rPr>
        <w:t>6</w:t>
      </w:r>
      <w:r>
        <w:rPr>
          <w:rFonts w:hint="eastAsia" w:ascii="宋体" w:hAnsi="宋体" w:cs="Arial"/>
          <w:color w:val="auto"/>
          <w:szCs w:val="21"/>
          <w:highlight w:val="none"/>
          <w:u w:val="single"/>
        </w:rPr>
        <w:t>日</w:t>
      </w:r>
      <w:r>
        <w:rPr>
          <w:rFonts w:hint="eastAsia" w:ascii="宋体" w:hAnsi="宋体"/>
          <w:bCs/>
          <w:color w:val="auto"/>
          <w:highlight w:val="none"/>
          <w:u w:val="single"/>
        </w:rPr>
        <w:t>14点</w:t>
      </w:r>
      <w:r>
        <w:rPr>
          <w:rFonts w:hint="eastAsia" w:ascii="宋体" w:hAnsi="宋体"/>
          <w:bCs/>
          <w:color w:val="auto"/>
          <w:highlight w:val="none"/>
          <w:u w:val="single"/>
          <w:lang w:val="en-US" w:eastAsia="zh-CN"/>
        </w:rPr>
        <w:t>3</w:t>
      </w:r>
      <w:r>
        <w:rPr>
          <w:rFonts w:hint="eastAsia" w:ascii="宋体" w:hAnsi="宋体"/>
          <w:bCs/>
          <w:color w:val="auto"/>
          <w:highlight w:val="none"/>
          <w:u w:val="single"/>
        </w:rPr>
        <w:t>0分</w:t>
      </w:r>
      <w:r>
        <w:rPr>
          <w:rFonts w:hint="eastAsia" w:ascii="宋体" w:hAnsi="宋体" w:cs="Arial"/>
          <w:color w:val="auto"/>
          <w:szCs w:val="21"/>
          <w:highlight w:val="none"/>
        </w:rPr>
        <w:t>（北京时间）</w:t>
      </w:r>
    </w:p>
    <w:p>
      <w:pPr>
        <w:spacing w:line="360" w:lineRule="auto"/>
        <w:ind w:firstLine="420" w:firstLineChars="200"/>
        <w:rPr>
          <w:rFonts w:ascii="宋体" w:hAnsi="宋体"/>
          <w:color w:val="auto"/>
          <w:highlight w:val="none"/>
        </w:rPr>
      </w:pPr>
      <w:r>
        <w:rPr>
          <w:rFonts w:hint="eastAsia" w:ascii="宋体" w:hAnsi="宋体" w:cs="Arial"/>
          <w:color w:val="auto"/>
          <w:szCs w:val="21"/>
          <w:highlight w:val="none"/>
        </w:rPr>
        <w:t>开标地点（网址）：</w:t>
      </w:r>
      <w:bookmarkStart w:id="37" w:name="OLE_LINK71"/>
      <w:r>
        <w:rPr>
          <w:rFonts w:hint="eastAsia" w:ascii="宋体" w:hAnsi="宋体" w:cs="Arial"/>
          <w:color w:val="auto"/>
          <w:szCs w:val="21"/>
          <w:highlight w:val="none"/>
          <w:u w:val="single"/>
        </w:rPr>
        <w:t>政采云平台（www.zcygov.cn）（线上）</w:t>
      </w:r>
      <w:bookmarkEnd w:id="37"/>
    </w:p>
    <w:p>
      <w:pPr>
        <w:spacing w:line="360" w:lineRule="auto"/>
        <w:ind w:firstLine="420" w:firstLineChars="200"/>
        <w:rPr>
          <w:rFonts w:ascii="宋体" w:hAnsi="宋体"/>
          <w:bCs/>
          <w:color w:val="auto"/>
          <w:highlight w:val="none"/>
          <w:u w:val="single"/>
        </w:rPr>
      </w:pPr>
    </w:p>
    <w:p>
      <w:pPr>
        <w:pStyle w:val="4"/>
        <w:spacing w:line="360" w:lineRule="auto"/>
        <w:jc w:val="both"/>
        <w:rPr>
          <w:rFonts w:ascii="宋体" w:hAnsi="宋体" w:cs="宋体"/>
          <w:color w:val="auto"/>
          <w:sz w:val="21"/>
          <w:szCs w:val="21"/>
          <w:highlight w:val="none"/>
        </w:rPr>
      </w:pPr>
      <w:bookmarkStart w:id="38" w:name="_Toc28359084"/>
      <w:bookmarkStart w:id="39" w:name="_Toc28359007"/>
      <w:bookmarkStart w:id="40" w:name="_Toc35393794"/>
      <w:bookmarkStart w:id="41" w:name="_Toc136345087"/>
      <w:bookmarkStart w:id="42" w:name="_Toc35393625"/>
      <w:bookmarkStart w:id="43" w:name="_Toc136017625"/>
      <w:bookmarkStart w:id="44" w:name="_Toc13461"/>
      <w:r>
        <w:rPr>
          <w:rFonts w:hint="eastAsia" w:ascii="宋体" w:hAnsi="宋体" w:cs="宋体"/>
          <w:color w:val="auto"/>
          <w:sz w:val="21"/>
          <w:szCs w:val="21"/>
          <w:highlight w:val="none"/>
        </w:rPr>
        <w:t>五、公告期限</w:t>
      </w:r>
      <w:bookmarkEnd w:id="38"/>
      <w:bookmarkEnd w:id="39"/>
      <w:bookmarkEnd w:id="40"/>
      <w:bookmarkEnd w:id="41"/>
      <w:bookmarkEnd w:id="42"/>
      <w:bookmarkEnd w:id="43"/>
      <w:bookmarkEnd w:id="44"/>
    </w:p>
    <w:p>
      <w:pP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自本公告发布之日起5个工作日。</w:t>
      </w:r>
    </w:p>
    <w:p>
      <w:pPr>
        <w:spacing w:line="360" w:lineRule="auto"/>
        <w:ind w:firstLine="420" w:firstLineChars="200"/>
        <w:rPr>
          <w:rFonts w:ascii="宋体" w:hAnsi="宋体" w:cs="宋体"/>
          <w:color w:val="auto"/>
          <w:kern w:val="0"/>
          <w:szCs w:val="21"/>
          <w:highlight w:val="none"/>
        </w:rPr>
      </w:pPr>
    </w:p>
    <w:p>
      <w:pPr>
        <w:pStyle w:val="4"/>
        <w:spacing w:line="360" w:lineRule="auto"/>
        <w:jc w:val="both"/>
        <w:rPr>
          <w:rFonts w:ascii="宋体" w:hAnsi="宋体" w:cs="宋体"/>
          <w:color w:val="auto"/>
          <w:sz w:val="21"/>
          <w:szCs w:val="21"/>
          <w:highlight w:val="none"/>
        </w:rPr>
      </w:pPr>
      <w:bookmarkStart w:id="45" w:name="_Toc136345088"/>
      <w:bookmarkStart w:id="46" w:name="_Toc35393626"/>
      <w:bookmarkStart w:id="47" w:name="_Toc136017626"/>
      <w:bookmarkStart w:id="48" w:name="_Toc35393795"/>
      <w:bookmarkStart w:id="49" w:name="_Toc9281"/>
      <w:r>
        <w:rPr>
          <w:rFonts w:hint="eastAsia" w:ascii="宋体" w:hAnsi="宋体" w:cs="宋体"/>
          <w:color w:val="auto"/>
          <w:sz w:val="21"/>
          <w:szCs w:val="21"/>
          <w:highlight w:val="none"/>
        </w:rPr>
        <w:t>六、其他补充事宜</w:t>
      </w:r>
      <w:bookmarkEnd w:id="45"/>
      <w:bookmarkEnd w:id="46"/>
      <w:bookmarkEnd w:id="47"/>
      <w:bookmarkEnd w:id="48"/>
      <w:bookmarkEnd w:id="49"/>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highlight w:val="none"/>
          <w:lang w:eastAsia="zh-CN"/>
        </w:rPr>
        <w:t>：</w:t>
      </w:r>
      <w:r>
        <w:rPr>
          <w:rFonts w:hint="eastAsia" w:ascii="宋体" w:hAnsi="宋体" w:cs="宋体"/>
          <w:color w:val="auto"/>
          <w:highlight w:val="none"/>
        </w:rPr>
        <w:t>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认为招标文件使自己的权益受到损害的，可以自获取招标文件之日或者招标文件公告期限届满之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4.其他事项：</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4.1落实政策：</w:t>
      </w:r>
      <w:r>
        <w:rPr>
          <w:rFonts w:hint="eastAsia" w:hAnsi="宋体" w:cs="宋体"/>
          <w:color w:val="auto"/>
          <w:highlight w:val="none"/>
        </w:rPr>
        <w:t>政府采购促进中小企业发展；政府采购支持监狱企业发展；政府采购促进残疾人就业。</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①单位负责人为同一人或者存在直接控股、管理关系的不同供应商，不得同时参加同一合同项下的政府采购活动；②为采购项目提供整体设计、规范编制或者项目管理、监理、检测等服务后不得再参加该采购项目的其他采购活动；③公益一类事业单位、使用事业编制且由财政拨款保障的群团组织不属于政府购买服务的承接主体，不得参与承接购买服务。</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4.3各投标人应在开标前确保成为浙江省政府采购网正式注册入库投标人，并完成CA数字证书办理。因未注册入库、未办理CA数字证书等原因造成无法投标或投标失败等后果由投标人自行承担。（具体操作详见投标人CA申领操作指南https://helpcenter.zcygov.cn/document/#/document/dashboard?siteCode=beijing）。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4.4本次政府采购活动有关信息在“浙江政府采购网（http://zfcg.czt.zj.gov.cn/）”、“宁波市政府采购网（www.nbzfcg.cn）”网站上公布，公布信息视同送达所有潜在投标人。</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4.5特别提醒事项（投标人提交电子备份投标文件方式）：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4.5.1采用邮寄方式提交电子备份投标文件，需按以下要求递交：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投标人须在开标日期前一天</w:t>
      </w:r>
      <w:r>
        <w:rPr>
          <w:rFonts w:ascii="宋体" w:hAnsi="宋体" w:cs="宋体"/>
          <w:color w:val="auto"/>
          <w:szCs w:val="21"/>
          <w:highlight w:val="none"/>
        </w:rPr>
        <w:t>17</w:t>
      </w:r>
      <w:r>
        <w:rPr>
          <w:rFonts w:hint="eastAsia" w:ascii="宋体" w:hAnsi="宋体" w:cs="宋体"/>
          <w:color w:val="auto"/>
          <w:szCs w:val="21"/>
          <w:highlight w:val="none"/>
        </w:rPr>
        <w:t>:00（北京时间）前将电子备份投标文件邮寄至规定地点，由采购代理机构工作人员进行签收。各投标人自行考虑邮寄在途时间，邮寄过程中无论何种因素导致电子备份投标文件未按时递交的后果，均由投标人自行负责。电子备份投标文件递交时间以招标代理实际收到电子备份投标文件的时间为准。迟到的电子备份投标文件将被拒收。请各投标人确保密封包装在邮寄过程密封包装完好，并在邮寄包裹上注明项目名称，因邮寄过程的密封破损造成不符合开标要求的，本招标代理及采购人概不负责。</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4.5.2采用现场递交方式递交电子备份投标文件：递交人员需在投标截止时间前递交至规定地点。若投标人因未按上述要求办理而导致无法准时进入开标现场的，由投标人自行负责。</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电子备份投标文件邮寄/现场递交地址为：宁波市鄞州区世纪大道北段555号名汇东方19楼1921室</w:t>
      </w:r>
    </w:p>
    <w:p>
      <w:pPr>
        <w:snapToGrid w:val="0"/>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收件人：</w:t>
      </w:r>
      <w:r>
        <w:rPr>
          <w:rFonts w:hint="eastAsia" w:ascii="宋体" w:hAnsi="宋体" w:cs="宋体"/>
          <w:color w:val="auto"/>
          <w:szCs w:val="21"/>
          <w:highlight w:val="none"/>
          <w:lang w:val="en-US" w:eastAsia="zh-CN"/>
        </w:rPr>
        <w:t>史梦铅</w:t>
      </w:r>
      <w:r>
        <w:rPr>
          <w:rFonts w:hint="eastAsia" w:ascii="宋体" w:hAnsi="宋体" w:cs="宋体"/>
          <w:color w:val="auto"/>
          <w:szCs w:val="21"/>
          <w:highlight w:val="none"/>
        </w:rPr>
        <w:t xml:space="preserve">  联系方式：0574-87298907</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4.6中标通知书领取方式：根据投标人要求采用邮寄或采购代理机构现场领取。</w:t>
      </w:r>
    </w:p>
    <w:p>
      <w:pPr>
        <w:pStyle w:val="4"/>
        <w:spacing w:line="360" w:lineRule="auto"/>
        <w:jc w:val="both"/>
        <w:rPr>
          <w:rFonts w:ascii="宋体" w:hAnsi="宋体" w:cs="宋体"/>
          <w:color w:val="auto"/>
          <w:sz w:val="21"/>
          <w:szCs w:val="21"/>
          <w:highlight w:val="none"/>
        </w:rPr>
      </w:pPr>
      <w:bookmarkStart w:id="50" w:name="_Toc35393796"/>
      <w:bookmarkStart w:id="51" w:name="_Toc28359085"/>
      <w:bookmarkStart w:id="52" w:name="_Toc35393627"/>
      <w:bookmarkStart w:id="53" w:name="_Toc28359008"/>
      <w:bookmarkStart w:id="54" w:name="_Toc24960"/>
      <w:bookmarkStart w:id="55" w:name="_Toc136017627"/>
      <w:bookmarkStart w:id="56" w:name="_Toc136345089"/>
      <w:r>
        <w:rPr>
          <w:rFonts w:hint="eastAsia" w:ascii="宋体" w:hAnsi="宋体" w:cs="宋体"/>
          <w:color w:val="auto"/>
          <w:sz w:val="21"/>
          <w:szCs w:val="21"/>
          <w:highlight w:val="none"/>
        </w:rPr>
        <w:t>七、</w:t>
      </w:r>
      <w:bookmarkEnd w:id="50"/>
      <w:bookmarkEnd w:id="51"/>
      <w:bookmarkEnd w:id="52"/>
      <w:bookmarkEnd w:id="53"/>
      <w:r>
        <w:rPr>
          <w:rFonts w:hint="eastAsia" w:ascii="宋体" w:hAnsi="宋体" w:cs="宋体"/>
          <w:color w:val="auto"/>
          <w:sz w:val="21"/>
          <w:szCs w:val="21"/>
          <w:highlight w:val="none"/>
        </w:rPr>
        <w:t>对本次招标提出询问、质疑、投诉，请按以下方式联系。</w:t>
      </w:r>
      <w:bookmarkEnd w:id="54"/>
      <w:bookmarkEnd w:id="55"/>
      <w:bookmarkEnd w:id="56"/>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highlight w:val="none"/>
        </w:rPr>
        <w:t>1.采购人信息</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名    称：宁波市公安局交通警察局</w:t>
      </w:r>
    </w:p>
    <w:p>
      <w:pPr>
        <w:widowControl/>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rPr>
        <w:t>地    址：</w:t>
      </w:r>
      <w:r>
        <w:rPr>
          <w:rFonts w:hint="eastAsia" w:ascii="宋体" w:hAnsi="宋体" w:cs="宋体"/>
          <w:color w:val="auto"/>
          <w:kern w:val="0"/>
          <w:szCs w:val="21"/>
          <w:highlight w:val="none"/>
          <w:lang w:eastAsia="zh-CN"/>
        </w:rPr>
        <w:t>王隘路28号</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项目联系人（询问）：</w:t>
      </w:r>
      <w:bookmarkStart w:id="57" w:name="OLE_LINK38"/>
      <w:r>
        <w:rPr>
          <w:rFonts w:hint="eastAsia" w:ascii="宋体" w:hAnsi="宋体" w:cs="宋体"/>
          <w:color w:val="auto"/>
          <w:highlight w:val="none"/>
        </w:rPr>
        <w:t>方老师</w:t>
      </w:r>
      <w:r>
        <w:rPr>
          <w:rFonts w:hint="eastAsia" w:ascii="宋体" w:hAnsi="宋体" w:cs="宋体"/>
          <w:color w:val="auto"/>
          <w:highlight w:val="none"/>
          <w:lang w:eastAsia="zh-CN"/>
        </w:rPr>
        <w:t>、</w:t>
      </w:r>
      <w:r>
        <w:rPr>
          <w:rFonts w:hint="eastAsia" w:ascii="宋体" w:hAnsi="宋体" w:cs="宋体"/>
          <w:color w:val="auto"/>
          <w:highlight w:val="none"/>
        </w:rPr>
        <w:t>朱老师、何老师</w:t>
      </w:r>
      <w:bookmarkEnd w:id="57"/>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项目联系方式（询问）：</w:t>
      </w:r>
      <w:bookmarkStart w:id="58" w:name="OLE_LINK58"/>
      <w:r>
        <w:rPr>
          <w:rFonts w:hint="eastAsia" w:ascii="宋体" w:hAnsi="宋体" w:cs="宋体"/>
          <w:color w:val="auto"/>
          <w:kern w:val="0"/>
          <w:szCs w:val="21"/>
          <w:highlight w:val="none"/>
        </w:rPr>
        <w:t>0574-</w:t>
      </w:r>
      <w:bookmarkStart w:id="59" w:name="OLE_LINK37"/>
      <w:r>
        <w:rPr>
          <w:rFonts w:hint="eastAsia" w:ascii="宋体" w:hAnsi="宋体" w:cs="宋体"/>
          <w:color w:val="auto"/>
          <w:kern w:val="0"/>
          <w:szCs w:val="21"/>
          <w:highlight w:val="none"/>
        </w:rPr>
        <w:t>81981206</w:t>
      </w:r>
      <w:bookmarkEnd w:id="58"/>
      <w:bookmarkEnd w:id="59"/>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质疑联系人：任老师</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质疑联系方式：0574-81981116</w:t>
      </w:r>
    </w:p>
    <w:p>
      <w:pPr>
        <w:widowControl/>
        <w:spacing w:line="360" w:lineRule="auto"/>
        <w:ind w:firstLine="420" w:firstLineChars="200"/>
        <w:jc w:val="left"/>
        <w:rPr>
          <w:rFonts w:ascii="宋体" w:hAnsi="宋体" w:cs="宋体"/>
          <w:color w:val="auto"/>
          <w:highlight w:val="none"/>
        </w:rPr>
      </w:pP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2.采购代理机构信息</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名    称：  宁波国际投资咨询有限公司</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地    址：  </w:t>
      </w:r>
      <w:bookmarkStart w:id="60" w:name="OLE_LINK72"/>
      <w:r>
        <w:rPr>
          <w:rFonts w:hint="eastAsia" w:ascii="宋体" w:hAnsi="宋体" w:cs="Arial"/>
          <w:color w:val="auto"/>
          <w:szCs w:val="21"/>
          <w:highlight w:val="none"/>
        </w:rPr>
        <w:t>宁波市世纪大道北段555号名汇东方大厦19楼1920室</w:t>
      </w:r>
      <w:bookmarkEnd w:id="60"/>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项目联系人（询问）：</w:t>
      </w:r>
      <w:bookmarkStart w:id="61" w:name="OLE_LINK59"/>
      <w:r>
        <w:rPr>
          <w:rFonts w:hint="eastAsia" w:ascii="宋体" w:hAnsi="宋体" w:cs="宋体"/>
          <w:color w:val="auto"/>
          <w:highlight w:val="none"/>
        </w:rPr>
        <w:t>史梦铅、邱晔、沈鑫侃、马森</w:t>
      </w:r>
      <w:bookmarkEnd w:id="61"/>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项目联系方式（询问）：</w:t>
      </w:r>
      <w:r>
        <w:rPr>
          <w:rFonts w:ascii="宋体" w:hAnsi="宋体" w:cs="宋体"/>
          <w:color w:val="auto"/>
          <w:highlight w:val="none"/>
        </w:rPr>
        <w:t>0574-</w:t>
      </w:r>
      <w:r>
        <w:rPr>
          <w:rFonts w:hint="eastAsia" w:ascii="宋体" w:hAnsi="宋体" w:cs="宋体"/>
          <w:color w:val="auto"/>
          <w:highlight w:val="none"/>
        </w:rPr>
        <w:t>87298907</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质疑联系人：忻秉明</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质疑联系方式：0574-55717419</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电子邮箱：563313963@qq.com</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监管部门：宁波市财政局政府采购监管处</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地址：宁波市海曙区中山西路19号</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联系人：李老师</w:t>
      </w:r>
    </w:p>
    <w:p>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联系电话：0574-89388042</w:t>
      </w:r>
    </w:p>
    <w:p>
      <w:pPr>
        <w:widowControl/>
        <w:spacing w:line="360" w:lineRule="auto"/>
        <w:ind w:firstLine="420" w:firstLineChars="200"/>
        <w:jc w:val="left"/>
        <w:rPr>
          <w:rFonts w:ascii="宋体" w:hAnsi="宋体" w:cs="宋体"/>
          <w:color w:val="auto"/>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20" w:firstLineChars="200"/>
        <w:rPr>
          <w:rFonts w:ascii="宋体" w:hAnsi="宋体"/>
          <w:color w:val="auto"/>
          <w:szCs w:val="21"/>
          <w:highlight w:val="none"/>
        </w:rPr>
        <w:sectPr>
          <w:headerReference r:id="rId7" w:type="default"/>
          <w:footerReference r:id="rId8" w:type="default"/>
          <w:type w:val="continuous"/>
          <w:pgSz w:w="11907" w:h="16840"/>
          <w:pgMar w:top="1276" w:right="1701" w:bottom="1276" w:left="1701" w:header="720" w:footer="720" w:gutter="0"/>
          <w:pgNumType w:fmt="decimal" w:start="0"/>
          <w:cols w:space="720" w:num="1"/>
          <w:docGrid w:type="linesAndChars" w:linePitch="285" w:charSpace="0"/>
        </w:sectPr>
      </w:pPr>
      <w:r>
        <w:rPr>
          <w:rFonts w:hint="eastAsia" w:ascii="宋体" w:hAnsi="宋体"/>
          <w:color w:val="auto"/>
          <w:szCs w:val="21"/>
          <w:highlight w:val="none"/>
        </w:rPr>
        <w:t>CA问题联系电话（人工）：汇信CA 400-888-4636；天谷CA 400-087-8198。</w:t>
      </w:r>
    </w:p>
    <w:p>
      <w:pPr>
        <w:pStyle w:val="3"/>
        <w:spacing w:beforeLines="0" w:afterLines="0" w:line="360" w:lineRule="auto"/>
        <w:rPr>
          <w:rFonts w:ascii="宋体" w:hAnsi="宋体"/>
          <w:color w:val="auto"/>
          <w:sz w:val="32"/>
          <w:szCs w:val="32"/>
          <w:highlight w:val="none"/>
        </w:rPr>
      </w:pPr>
      <w:bookmarkStart w:id="62" w:name="_Toc6697"/>
      <w:r>
        <w:rPr>
          <w:rFonts w:hint="eastAsia" w:ascii="宋体" w:hAnsi="宋体"/>
          <w:color w:val="auto"/>
          <w:sz w:val="32"/>
          <w:szCs w:val="32"/>
          <w:highlight w:val="none"/>
        </w:rPr>
        <w:t>第二部分 招标项目需求</w:t>
      </w:r>
      <w:bookmarkEnd w:id="62"/>
    </w:p>
    <w:p>
      <w:pPr>
        <w:jc w:val="center"/>
        <w:rPr>
          <w:color w:val="auto"/>
          <w:sz w:val="28"/>
          <w:szCs w:val="28"/>
          <w:highlight w:val="none"/>
        </w:rPr>
      </w:pPr>
      <w:r>
        <w:rPr>
          <w:rFonts w:hint="eastAsia"/>
          <w:color w:val="auto"/>
          <w:sz w:val="28"/>
          <w:szCs w:val="28"/>
          <w:highlight w:val="none"/>
        </w:rPr>
        <w:t>项目需求前附表</w:t>
      </w:r>
    </w:p>
    <w:tbl>
      <w:tblPr>
        <w:tblStyle w:val="34"/>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82"/>
        <w:gridCol w:w="5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382"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w:t>
            </w:r>
          </w:p>
        </w:tc>
        <w:tc>
          <w:tcPr>
            <w:tcW w:w="5332"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382"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采购内容</w:t>
            </w:r>
          </w:p>
        </w:tc>
        <w:tc>
          <w:tcPr>
            <w:tcW w:w="5332"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详见第一部分《采购公告》及本部分“技术要求表”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382"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单位及数量</w:t>
            </w:r>
          </w:p>
        </w:tc>
        <w:tc>
          <w:tcPr>
            <w:tcW w:w="5332"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详见第一部分《采购公告》及本部分“技术要求表”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2382" w:type="dxa"/>
            <w:vAlign w:val="center"/>
          </w:tcPr>
          <w:p>
            <w:pPr>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交付或者实施的时间和地点</w:t>
            </w:r>
          </w:p>
        </w:tc>
        <w:tc>
          <w:tcPr>
            <w:tcW w:w="5332"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2382" w:type="dxa"/>
            <w:vAlign w:val="center"/>
          </w:tcPr>
          <w:p>
            <w:pPr>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需实现的功能或者目标</w:t>
            </w:r>
          </w:p>
        </w:tc>
        <w:tc>
          <w:tcPr>
            <w:tcW w:w="5332"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2382" w:type="dxa"/>
            <w:vAlign w:val="center"/>
          </w:tcPr>
          <w:p>
            <w:pPr>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采购标的需执行的标准</w:t>
            </w:r>
          </w:p>
        </w:tc>
        <w:tc>
          <w:tcPr>
            <w:tcW w:w="5332"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执行国家、地方、有关机构所有相关的技术规范与标准，且确保所采用的技术规范、标准必须是国家或有关机构发布的最新版本，无论此版本在此有无提及。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2382"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技术规格要求</w:t>
            </w:r>
          </w:p>
        </w:tc>
        <w:tc>
          <w:tcPr>
            <w:tcW w:w="5332" w:type="dxa"/>
            <w:vAlign w:val="center"/>
          </w:tcPr>
          <w:p>
            <w:pPr>
              <w:spacing w:line="360" w:lineRule="auto"/>
              <w:rPr>
                <w:rFonts w:ascii="宋体" w:hAnsi="宋体" w:cs="宋体"/>
                <w:color w:val="auto"/>
                <w:highlight w:val="none"/>
              </w:rPr>
            </w:pP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2382"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物理特性要求</w:t>
            </w:r>
          </w:p>
        </w:tc>
        <w:tc>
          <w:tcPr>
            <w:tcW w:w="5332" w:type="dxa"/>
            <w:vAlign w:val="center"/>
          </w:tcPr>
          <w:p>
            <w:pPr>
              <w:spacing w:line="360" w:lineRule="auto"/>
              <w:rPr>
                <w:rFonts w:ascii="宋体" w:hAnsi="宋体" w:cs="宋体"/>
                <w:color w:val="auto"/>
                <w:highlight w:val="none"/>
              </w:rPr>
            </w:pP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2382"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质量、安全要求</w:t>
            </w:r>
          </w:p>
        </w:tc>
        <w:tc>
          <w:tcPr>
            <w:tcW w:w="5332" w:type="dxa"/>
            <w:vAlign w:val="center"/>
          </w:tcPr>
          <w:p>
            <w:pPr>
              <w:autoSpaceDE w:val="0"/>
              <w:autoSpaceDN w:val="0"/>
              <w:snapToGrid w:val="0"/>
              <w:spacing w:line="360" w:lineRule="auto"/>
              <w:rPr>
                <w:b/>
                <w:bCs/>
                <w:color w:val="auto"/>
                <w:highlight w:val="none"/>
              </w:rPr>
            </w:pPr>
            <w:r>
              <w:rPr>
                <w:rFonts w:hint="eastAsia"/>
                <w:b/>
                <w:bCs/>
                <w:color w:val="auto"/>
                <w:highlight w:val="none"/>
              </w:rPr>
              <w:t>1、质量要求：</w:t>
            </w:r>
          </w:p>
          <w:p>
            <w:pPr>
              <w:autoSpaceDE w:val="0"/>
              <w:autoSpaceDN w:val="0"/>
              <w:snapToGrid w:val="0"/>
              <w:spacing w:line="360" w:lineRule="auto"/>
              <w:jc w:val="left"/>
              <w:rPr>
                <w:color w:val="auto"/>
                <w:highlight w:val="none"/>
              </w:rPr>
            </w:pPr>
            <w:bookmarkStart w:id="63" w:name="OLE_LINK4"/>
            <w:r>
              <w:rPr>
                <w:rFonts w:hint="eastAsia"/>
                <w:color w:val="auto"/>
                <w:highlight w:val="none"/>
              </w:rPr>
              <w:t>（1）</w:t>
            </w:r>
            <w:bookmarkEnd w:id="63"/>
            <w:r>
              <w:rPr>
                <w:rFonts w:hint="eastAsia"/>
                <w:color w:val="auto"/>
                <w:highlight w:val="none"/>
              </w:rPr>
              <w:t>提供方案咨询成果需符合国家、省、市和交警部门相关文件和标准要求。</w:t>
            </w:r>
          </w:p>
          <w:p>
            <w:pPr>
              <w:autoSpaceDE w:val="0"/>
              <w:autoSpaceDN w:val="0"/>
              <w:snapToGrid w:val="0"/>
              <w:spacing w:line="360" w:lineRule="auto"/>
              <w:jc w:val="left"/>
              <w:rPr>
                <w:color w:val="auto"/>
                <w:highlight w:val="none"/>
              </w:rPr>
            </w:pPr>
            <w:r>
              <w:rPr>
                <w:rFonts w:hint="eastAsia"/>
                <w:color w:val="auto"/>
                <w:highlight w:val="none"/>
              </w:rPr>
              <w:t>（2）保证所提供的方案咨询成果涉及到的知识产权是合法取得，并享有完整的知识产权，不会因为需方的使用而被责令停止使用、追偿或要求赔偿损失，如出现此情况，一切经济和法律责任均由供方承担。</w:t>
            </w:r>
          </w:p>
          <w:p>
            <w:pPr>
              <w:autoSpaceDE w:val="0"/>
              <w:autoSpaceDN w:val="0"/>
              <w:snapToGrid w:val="0"/>
              <w:spacing w:line="360" w:lineRule="auto"/>
              <w:jc w:val="left"/>
              <w:rPr>
                <w:color w:val="auto"/>
                <w:highlight w:val="none"/>
              </w:rPr>
            </w:pPr>
            <w:r>
              <w:rPr>
                <w:rFonts w:hint="eastAsia"/>
                <w:color w:val="auto"/>
                <w:highlight w:val="none"/>
              </w:rPr>
              <w:t>（3）提供方案咨询和指导服务有利于推进我市交通组织和设施管理水平的提升。</w:t>
            </w:r>
          </w:p>
          <w:p>
            <w:pPr>
              <w:autoSpaceDE w:val="0"/>
              <w:autoSpaceDN w:val="0"/>
              <w:snapToGrid w:val="0"/>
              <w:spacing w:line="360" w:lineRule="auto"/>
              <w:jc w:val="left"/>
              <w:rPr>
                <w:color w:val="auto"/>
                <w:highlight w:val="none"/>
              </w:rPr>
            </w:pPr>
            <w:r>
              <w:rPr>
                <w:rFonts w:hint="eastAsia"/>
                <w:color w:val="auto"/>
                <w:highlight w:val="none"/>
              </w:rPr>
              <w:t>（4）中标人团队应具有较高的科研、学术和生产技术服务水平，团队核心成员应充分了解国内外交通领域的前沿科技和发展趋势，具有较高的专业能力和技术水平。</w:t>
            </w:r>
          </w:p>
          <w:p>
            <w:pPr>
              <w:autoSpaceDE w:val="0"/>
              <w:autoSpaceDN w:val="0"/>
              <w:snapToGrid w:val="0"/>
              <w:spacing w:line="360" w:lineRule="auto"/>
              <w:jc w:val="left"/>
              <w:rPr>
                <w:b/>
                <w:bCs/>
                <w:color w:val="auto"/>
                <w:highlight w:val="none"/>
              </w:rPr>
            </w:pPr>
            <w:r>
              <w:rPr>
                <w:rFonts w:hint="eastAsia"/>
                <w:b/>
                <w:bCs/>
                <w:color w:val="auto"/>
                <w:highlight w:val="none"/>
              </w:rPr>
              <w:t>2、安全要求：</w:t>
            </w:r>
          </w:p>
          <w:p>
            <w:pPr>
              <w:autoSpaceDE w:val="0"/>
              <w:autoSpaceDN w:val="0"/>
              <w:snapToGrid w:val="0"/>
              <w:spacing w:line="360" w:lineRule="auto"/>
              <w:jc w:val="left"/>
              <w:rPr>
                <w:color w:val="auto"/>
                <w:highlight w:val="none"/>
              </w:rPr>
            </w:pPr>
            <w:r>
              <w:rPr>
                <w:rFonts w:hint="eastAsia"/>
                <w:color w:val="auto"/>
                <w:highlight w:val="none"/>
              </w:rPr>
              <w:t>（1）中标人常驻人员在驻点服务期间，应严格遵守国家法律法规及驻点单位各项规章制度，服从驻点单位责任民警的工作安排。</w:t>
            </w:r>
          </w:p>
          <w:p>
            <w:pPr>
              <w:autoSpaceDE w:val="0"/>
              <w:autoSpaceDN w:val="0"/>
              <w:snapToGrid w:val="0"/>
              <w:spacing w:line="360" w:lineRule="auto"/>
              <w:jc w:val="left"/>
              <w:rPr>
                <w:color w:val="auto"/>
                <w:highlight w:val="none"/>
              </w:rPr>
            </w:pPr>
            <w:r>
              <w:rPr>
                <w:rFonts w:hint="eastAsia"/>
                <w:color w:val="auto"/>
                <w:highlight w:val="none"/>
              </w:rPr>
              <w:t>（2）采购人向中标人提供的全部资料及中标人生产的全部成果资料（包括中间资料）其版权归采购人所有，中标人不得以任何方式转让或提供给第三方使用；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2382"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服务标准、期限、效率(培训等）</w:t>
            </w:r>
          </w:p>
        </w:tc>
        <w:tc>
          <w:tcPr>
            <w:tcW w:w="5332"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详见本部分内容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2382"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验收标准</w:t>
            </w:r>
          </w:p>
        </w:tc>
        <w:tc>
          <w:tcPr>
            <w:tcW w:w="5332"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2382"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现场踏勘</w:t>
            </w:r>
          </w:p>
        </w:tc>
        <w:tc>
          <w:tcPr>
            <w:tcW w:w="5332"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本项目不统一组织现场勘察，投标人可自行对本项目现场和周围环境进行勘察。勘察现场所发生的费用由投标人自己承担。不论何种原因所造成，在勘察过程中，投标人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2382"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演示时间及地点</w:t>
            </w:r>
          </w:p>
        </w:tc>
        <w:tc>
          <w:tcPr>
            <w:tcW w:w="5332"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无</w:t>
            </w:r>
          </w:p>
        </w:tc>
      </w:tr>
    </w:tbl>
    <w:p>
      <w:pPr>
        <w:spacing w:line="360" w:lineRule="auto"/>
        <w:rPr>
          <w:rFonts w:ascii="宋体" w:hAnsi="宋体" w:cs="宋体"/>
          <w:color w:val="auto"/>
          <w:sz w:val="24"/>
          <w:szCs w:val="24"/>
          <w:highlight w:val="none"/>
        </w:rPr>
      </w:pPr>
    </w:p>
    <w:p>
      <w:pPr>
        <w:widowControl/>
        <w:jc w:val="left"/>
        <w:rPr>
          <w:rFonts w:ascii="宋体" w:hAnsi="宋体" w:cs="宋体"/>
          <w:color w:val="auto"/>
          <w:sz w:val="24"/>
          <w:szCs w:val="24"/>
          <w:highlight w:val="none"/>
        </w:rPr>
      </w:pPr>
      <w:r>
        <w:rPr>
          <w:rFonts w:ascii="宋体" w:hAnsi="宋体" w:cs="宋体"/>
          <w:color w:val="auto"/>
          <w:sz w:val="24"/>
          <w:szCs w:val="24"/>
          <w:highlight w:val="none"/>
        </w:rPr>
        <w:br w:type="page"/>
      </w:r>
    </w:p>
    <w:p>
      <w:pPr>
        <w:jc w:val="center"/>
        <w:rPr>
          <w:color w:val="auto"/>
          <w:sz w:val="28"/>
          <w:szCs w:val="28"/>
          <w:highlight w:val="none"/>
        </w:rPr>
      </w:pPr>
      <w:r>
        <w:rPr>
          <w:rFonts w:hint="eastAsia"/>
          <w:color w:val="auto"/>
          <w:sz w:val="28"/>
          <w:szCs w:val="28"/>
          <w:highlight w:val="none"/>
        </w:rPr>
        <w:t>商务要求表</w:t>
      </w:r>
    </w:p>
    <w:tbl>
      <w:tblPr>
        <w:tblStyle w:val="34"/>
        <w:tblW w:w="85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1"/>
        <w:gridCol w:w="65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1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6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jc w:val="center"/>
        </w:trPr>
        <w:tc>
          <w:tcPr>
            <w:tcW w:w="1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★1、合同履约期</w:t>
            </w:r>
          </w:p>
        </w:tc>
        <w:tc>
          <w:tcPr>
            <w:tcW w:w="6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auto"/>
                <w:szCs w:val="21"/>
                <w:highlight w:val="none"/>
              </w:rPr>
            </w:pPr>
            <w:bookmarkStart w:id="64" w:name="OLE_LINK9"/>
            <w:r>
              <w:rPr>
                <w:rFonts w:hint="eastAsia" w:ascii="宋体" w:hAnsi="宋体" w:cs="宋体"/>
                <w:color w:val="auto"/>
                <w:szCs w:val="21"/>
                <w:highlight w:val="none"/>
              </w:rPr>
              <w:t>合同生效之日起至2026年4月30日止；合同期满后若经采购人考核合格并报采购管理部门备案，合同可续签一年，最多合计可续签2次</w:t>
            </w:r>
            <w:r>
              <w:rPr>
                <w:rFonts w:hint="eastAsia" w:ascii="宋体" w:hAnsi="宋体"/>
                <w:b/>
                <w:bCs/>
                <w:color w:val="auto"/>
                <w:szCs w:val="21"/>
                <w:highlight w:val="none"/>
              </w:rPr>
              <w:t>。</w:t>
            </w:r>
            <w:bookmarkEnd w:id="6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1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2、服务地点</w:t>
            </w:r>
          </w:p>
        </w:tc>
        <w:tc>
          <w:tcPr>
            <w:tcW w:w="6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9" w:hRule="atLeast"/>
          <w:jc w:val="center"/>
        </w:trPr>
        <w:tc>
          <w:tcPr>
            <w:tcW w:w="1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★3、付款条件</w:t>
            </w:r>
          </w:p>
        </w:tc>
        <w:tc>
          <w:tcPr>
            <w:tcW w:w="6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cs="宋体" w:asciiTheme="minorEastAsia" w:hAnsiTheme="minorEastAsia" w:eastAsiaTheme="minorEastAsia"/>
                <w:color w:val="auto"/>
                <w:szCs w:val="21"/>
                <w:highlight w:val="none"/>
              </w:rPr>
            </w:pPr>
            <w:bookmarkStart w:id="65" w:name="OLE_LINK47"/>
            <w:r>
              <w:rPr>
                <w:rFonts w:hint="eastAsia" w:cs="宋体" w:asciiTheme="minorEastAsia" w:hAnsiTheme="minorEastAsia" w:eastAsiaTheme="minorEastAsia"/>
                <w:color w:val="auto"/>
                <w:szCs w:val="21"/>
                <w:highlight w:val="none"/>
              </w:rPr>
              <w:t>1、合同生效以及具备实施条件后7个工作日内向</w:t>
            </w:r>
            <w:r>
              <w:rPr>
                <w:rFonts w:hint="eastAsia" w:cs="宋体" w:asciiTheme="minorEastAsia" w:hAnsiTheme="minorEastAsia" w:eastAsiaTheme="minorEastAsia"/>
                <w:color w:val="auto"/>
                <w:szCs w:val="21"/>
                <w:highlight w:val="none"/>
                <w:lang w:val="en-US" w:eastAsia="zh-CN"/>
              </w:rPr>
              <w:t>中标人</w:t>
            </w:r>
            <w:r>
              <w:rPr>
                <w:rFonts w:hint="eastAsia" w:cs="宋体" w:asciiTheme="minorEastAsia" w:hAnsiTheme="minorEastAsia" w:eastAsiaTheme="minorEastAsia"/>
                <w:color w:val="auto"/>
                <w:szCs w:val="21"/>
                <w:highlight w:val="none"/>
              </w:rPr>
              <w:t>预付合同金额的40%，</w:t>
            </w:r>
            <w:r>
              <w:rPr>
                <w:rFonts w:hint="eastAsia" w:cs="宋体" w:asciiTheme="minorEastAsia" w:hAnsiTheme="minorEastAsia" w:eastAsiaTheme="minorEastAsia"/>
                <w:color w:val="auto"/>
                <w:szCs w:val="21"/>
                <w:highlight w:val="none"/>
                <w:lang w:val="en-US" w:eastAsia="zh-CN"/>
              </w:rPr>
              <w:t>中标人</w:t>
            </w:r>
            <w:r>
              <w:rPr>
                <w:rFonts w:hint="eastAsia" w:cs="宋体" w:asciiTheme="minorEastAsia" w:hAnsiTheme="minorEastAsia" w:eastAsiaTheme="minorEastAsia"/>
                <w:color w:val="auto"/>
                <w:szCs w:val="21"/>
                <w:highlight w:val="none"/>
              </w:rPr>
              <w:t>于合同签订前书面承诺放弃预付款或降低预付款支付比例的，可不适用本条款。</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2、合同签订三个月后7个工作日</w:t>
            </w:r>
            <w:r>
              <w:rPr>
                <w:rFonts w:hint="eastAsia" w:cs="宋体" w:asciiTheme="minorEastAsia" w:hAnsiTheme="minorEastAsia" w:eastAsiaTheme="minorEastAsia"/>
                <w:color w:val="auto"/>
                <w:szCs w:val="21"/>
                <w:highlight w:val="none"/>
                <w:lang w:val="en-US" w:eastAsia="zh-CN"/>
              </w:rPr>
              <w:t>内</w:t>
            </w:r>
            <w:bookmarkStart w:id="66" w:name="OLE_LINK2"/>
            <w:r>
              <w:rPr>
                <w:rFonts w:hint="eastAsia" w:cs="宋体" w:asciiTheme="minorEastAsia" w:hAnsiTheme="minorEastAsia" w:eastAsiaTheme="minorEastAsia"/>
                <w:color w:val="auto"/>
                <w:szCs w:val="21"/>
                <w:highlight w:val="none"/>
                <w:lang w:val="en-US" w:eastAsia="zh-CN"/>
              </w:rPr>
              <w:t>向中标人</w:t>
            </w:r>
            <w:bookmarkEnd w:id="66"/>
            <w:r>
              <w:rPr>
                <w:rFonts w:hint="eastAsia" w:cs="宋体" w:asciiTheme="minorEastAsia" w:hAnsiTheme="minorEastAsia" w:eastAsiaTheme="minorEastAsia"/>
                <w:color w:val="auto"/>
                <w:szCs w:val="21"/>
                <w:highlight w:val="none"/>
              </w:rPr>
              <w:t>支付至合同金额的85%。</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3、2026年财政资金到位，根据考核情况进行扣减结算后，7个工作日</w:t>
            </w:r>
            <w:r>
              <w:rPr>
                <w:rFonts w:hint="eastAsia" w:cs="宋体" w:asciiTheme="minorEastAsia" w:hAnsiTheme="minorEastAsia" w:eastAsiaTheme="minorEastAsia"/>
                <w:color w:val="auto"/>
                <w:szCs w:val="21"/>
                <w:highlight w:val="none"/>
                <w:lang w:val="en-US" w:eastAsia="zh-CN"/>
              </w:rPr>
              <w:t>内向中标人</w:t>
            </w:r>
            <w:r>
              <w:rPr>
                <w:rFonts w:hint="eastAsia" w:cs="宋体" w:asciiTheme="minorEastAsia" w:hAnsiTheme="minorEastAsia" w:eastAsiaTheme="minorEastAsia"/>
                <w:color w:val="auto"/>
                <w:szCs w:val="21"/>
                <w:highlight w:val="none"/>
              </w:rPr>
              <w:t>支付合同剩余金额。</w:t>
            </w:r>
            <w:bookmarkEnd w:id="6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1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4、履约保证金</w:t>
            </w:r>
          </w:p>
        </w:tc>
        <w:tc>
          <w:tcPr>
            <w:tcW w:w="6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auto"/>
                <w:szCs w:val="21"/>
                <w:highlight w:val="none"/>
              </w:rPr>
            </w:pPr>
            <w:r>
              <w:rPr>
                <w:rFonts w:hint="eastAsia" w:ascii="宋体" w:hAnsi="宋体" w:cs="宋体"/>
                <w:color w:val="auto"/>
                <w:highlight w:val="none"/>
              </w:rPr>
              <w:t>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19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5、售后服务</w:t>
            </w:r>
          </w:p>
        </w:tc>
        <w:tc>
          <w:tcPr>
            <w:tcW w:w="65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在质保期内，如发生系统运行故障，或出现瑕疵与缺陷，由供应商按照下列方式提供技术支持和维护服务：系统在使用过程中，出现问题需要现场支持的，供应商应在2小时内达到现场，功能上的修补和完善，24小时内提出解决方案，5日内解决问题；系统个别服务不正常，12小时内提出解决方案，24小时内解决问题；系统严重故障，导致系统瘫痪，2小时内提出解决方案，6小时内解决问题。</w:t>
            </w:r>
          </w:p>
        </w:tc>
      </w:tr>
    </w:tbl>
    <w:p>
      <w:pPr>
        <w:snapToGrid w:val="0"/>
        <w:spacing w:line="360" w:lineRule="auto"/>
        <w:ind w:right="-333" w:rightChars="-159"/>
        <w:rPr>
          <w:color w:val="auto"/>
          <w:sz w:val="22"/>
          <w:highlight w:val="none"/>
        </w:rPr>
      </w:pPr>
    </w:p>
    <w:p>
      <w:pPr>
        <w:widowControl/>
        <w:rPr>
          <w:rFonts w:ascii="宋体" w:hAnsi="宋体" w:cs="仿宋"/>
          <w:color w:val="auto"/>
          <w:sz w:val="24"/>
          <w:szCs w:val="28"/>
          <w:highlight w:val="none"/>
        </w:rPr>
      </w:pPr>
    </w:p>
    <w:p>
      <w:pPr>
        <w:numPr>
          <w:ilvl w:val="0"/>
          <w:numId w:val="3"/>
        </w:numPr>
        <w:spacing w:line="360" w:lineRule="auto"/>
        <w:jc w:val="left"/>
        <w:outlineLvl w:val="2"/>
        <w:rPr>
          <w:rFonts w:ascii="宋体" w:hAnsi="宋体" w:cs="仿宋"/>
          <w:color w:val="auto"/>
          <w:sz w:val="24"/>
          <w:szCs w:val="28"/>
          <w:highlight w:val="none"/>
        </w:rPr>
        <w:sectPr>
          <w:headerReference r:id="rId9" w:type="default"/>
          <w:footerReference r:id="rId11" w:type="default"/>
          <w:headerReference r:id="rId10" w:type="even"/>
          <w:pgSz w:w="11907" w:h="16840"/>
          <w:pgMar w:top="1276" w:right="1701" w:bottom="1560" w:left="1701" w:header="720" w:footer="720" w:gutter="0"/>
          <w:pgNumType w:fmt="decimal"/>
          <w:cols w:space="720" w:num="1"/>
          <w:docGrid w:type="linesAndChars" w:linePitch="286" w:charSpace="0"/>
        </w:sectPr>
      </w:pPr>
      <w:bookmarkStart w:id="67" w:name="_Toc136017643"/>
      <w:bookmarkStart w:id="68" w:name="_Toc8046"/>
      <w:bookmarkStart w:id="69" w:name="_Toc136345091"/>
    </w:p>
    <w:p>
      <w:pPr>
        <w:jc w:val="center"/>
        <w:rPr>
          <w:color w:val="auto"/>
          <w:sz w:val="28"/>
          <w:szCs w:val="28"/>
          <w:highlight w:val="none"/>
        </w:rPr>
      </w:pPr>
      <w:r>
        <w:rPr>
          <w:rFonts w:hint="eastAsia"/>
          <w:color w:val="auto"/>
          <w:sz w:val="28"/>
          <w:szCs w:val="28"/>
          <w:highlight w:val="none"/>
        </w:rPr>
        <w:t>技术要求</w:t>
      </w:r>
      <w:bookmarkEnd w:id="67"/>
      <w:bookmarkEnd w:id="68"/>
      <w:bookmarkEnd w:id="69"/>
    </w:p>
    <w:p>
      <w:pPr>
        <w:pStyle w:val="2"/>
        <w:rPr>
          <w:rFonts w:ascii="宋体" w:hAnsi="宋体"/>
          <w:b/>
          <w:color w:val="auto"/>
          <w:szCs w:val="21"/>
          <w:highlight w:val="none"/>
        </w:rPr>
      </w:pPr>
      <w:bookmarkStart w:id="70" w:name="_Toc183778380"/>
      <w:bookmarkStart w:id="71" w:name="_Toc136017644"/>
      <w:bookmarkStart w:id="72" w:name="_Toc136345092"/>
      <w:bookmarkStart w:id="73" w:name="_Toc16528"/>
      <w:r>
        <w:rPr>
          <w:rFonts w:hint="eastAsia" w:ascii="宋体" w:hAnsi="宋体"/>
          <w:b/>
          <w:color w:val="auto"/>
          <w:szCs w:val="21"/>
          <w:highlight w:val="none"/>
        </w:rPr>
        <w:t>一、服务内容和范围</w:t>
      </w:r>
      <w:bookmarkEnd w:id="70"/>
    </w:p>
    <w:tbl>
      <w:tblPr>
        <w:tblStyle w:val="34"/>
        <w:tblW w:w="9278"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949"/>
        <w:gridCol w:w="2842"/>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92" w:type="dxa"/>
            <w:tcBorders>
              <w:top w:val="single" w:color="auto" w:sz="4" w:space="0"/>
              <w:left w:val="single" w:color="auto" w:sz="4" w:space="0"/>
              <w:bottom w:val="single" w:color="auto" w:sz="4" w:space="0"/>
              <w:right w:val="single" w:color="auto" w:sz="4" w:space="0"/>
            </w:tcBorders>
            <w:vAlign w:val="center"/>
          </w:tcPr>
          <w:p>
            <w:pPr>
              <w:pStyle w:val="2"/>
              <w:jc w:val="center"/>
              <w:rPr>
                <w:rFonts w:ascii="宋体" w:hAnsi="宋体"/>
                <w:b/>
                <w:bCs/>
                <w:color w:val="auto"/>
                <w:szCs w:val="21"/>
                <w:highlight w:val="none"/>
              </w:rPr>
            </w:pPr>
            <w:r>
              <w:rPr>
                <w:rFonts w:hint="eastAsia" w:ascii="宋体" w:hAnsi="宋体"/>
                <w:b/>
                <w:bCs/>
                <w:color w:val="auto"/>
                <w:szCs w:val="21"/>
                <w:highlight w:val="none"/>
              </w:rPr>
              <w:t>标项</w:t>
            </w:r>
          </w:p>
        </w:tc>
        <w:tc>
          <w:tcPr>
            <w:tcW w:w="2949" w:type="dxa"/>
            <w:tcBorders>
              <w:top w:val="single" w:color="auto" w:sz="4" w:space="0"/>
              <w:left w:val="single" w:color="auto" w:sz="4" w:space="0"/>
              <w:bottom w:val="single" w:color="auto" w:sz="4" w:space="0"/>
              <w:right w:val="single" w:color="auto" w:sz="4" w:space="0"/>
            </w:tcBorders>
            <w:vAlign w:val="center"/>
          </w:tcPr>
          <w:p>
            <w:pPr>
              <w:pStyle w:val="2"/>
              <w:jc w:val="center"/>
              <w:rPr>
                <w:rFonts w:ascii="宋体" w:hAnsi="宋体"/>
                <w:b/>
                <w:bCs/>
                <w:color w:val="auto"/>
                <w:szCs w:val="21"/>
                <w:highlight w:val="none"/>
              </w:rPr>
            </w:pPr>
            <w:r>
              <w:rPr>
                <w:rFonts w:hint="eastAsia" w:ascii="宋体" w:hAnsi="宋体"/>
                <w:b/>
                <w:bCs/>
                <w:color w:val="auto"/>
                <w:szCs w:val="21"/>
                <w:highlight w:val="none"/>
              </w:rPr>
              <w:t>采购内容</w:t>
            </w:r>
          </w:p>
        </w:tc>
        <w:tc>
          <w:tcPr>
            <w:tcW w:w="2842" w:type="dxa"/>
            <w:tcBorders>
              <w:top w:val="single" w:color="auto" w:sz="4" w:space="0"/>
              <w:left w:val="single" w:color="auto" w:sz="4" w:space="0"/>
              <w:bottom w:val="single" w:color="auto" w:sz="4" w:space="0"/>
              <w:right w:val="single" w:color="auto" w:sz="4" w:space="0"/>
            </w:tcBorders>
            <w:vAlign w:val="center"/>
          </w:tcPr>
          <w:p>
            <w:pPr>
              <w:pStyle w:val="2"/>
              <w:jc w:val="center"/>
              <w:rPr>
                <w:rFonts w:ascii="宋体" w:hAnsi="宋体"/>
                <w:b/>
                <w:bCs/>
                <w:color w:val="auto"/>
                <w:szCs w:val="21"/>
                <w:highlight w:val="none"/>
              </w:rPr>
            </w:pPr>
            <w:r>
              <w:rPr>
                <w:rFonts w:hint="eastAsia" w:ascii="宋体" w:hAnsi="宋体"/>
                <w:b/>
                <w:color w:val="auto"/>
                <w:szCs w:val="21"/>
                <w:highlight w:val="none"/>
              </w:rPr>
              <w:t>服务范围</w:t>
            </w:r>
          </w:p>
        </w:tc>
        <w:tc>
          <w:tcPr>
            <w:tcW w:w="2495" w:type="dxa"/>
            <w:tcBorders>
              <w:top w:val="single" w:color="auto" w:sz="4" w:space="0"/>
              <w:left w:val="single" w:color="auto" w:sz="4" w:space="0"/>
              <w:bottom w:val="single" w:color="auto" w:sz="4" w:space="0"/>
              <w:right w:val="single" w:color="auto" w:sz="4" w:space="0"/>
            </w:tcBorders>
            <w:vAlign w:val="center"/>
          </w:tcPr>
          <w:p>
            <w:pPr>
              <w:pStyle w:val="2"/>
              <w:jc w:val="center"/>
              <w:rPr>
                <w:rFonts w:ascii="宋体" w:hAnsi="宋体"/>
                <w:b/>
                <w:bCs/>
                <w:color w:val="auto"/>
                <w:szCs w:val="21"/>
                <w:highlight w:val="none"/>
              </w:rPr>
            </w:pPr>
            <w:r>
              <w:rPr>
                <w:rFonts w:hint="eastAsia" w:ascii="宋体" w:hAnsi="宋体"/>
                <w:b/>
                <w:color w:val="auto"/>
                <w:szCs w:val="21"/>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992" w:type="dxa"/>
            <w:tcBorders>
              <w:top w:val="single" w:color="auto" w:sz="4" w:space="0"/>
              <w:left w:val="single" w:color="auto" w:sz="4" w:space="0"/>
              <w:bottom w:val="single" w:color="auto" w:sz="4" w:space="0"/>
              <w:right w:val="single" w:color="auto" w:sz="4" w:space="0"/>
            </w:tcBorders>
            <w:vAlign w:val="center"/>
          </w:tcPr>
          <w:p>
            <w:pPr>
              <w:pStyle w:val="2"/>
              <w:jc w:val="center"/>
              <w:rPr>
                <w:rFonts w:ascii="宋体" w:hAnsi="宋体"/>
                <w:bCs/>
                <w:color w:val="auto"/>
                <w:szCs w:val="21"/>
                <w:highlight w:val="none"/>
              </w:rPr>
            </w:pPr>
            <w:r>
              <w:rPr>
                <w:rFonts w:hint="eastAsia" w:ascii="宋体" w:hAnsi="宋体"/>
                <w:bCs/>
                <w:color w:val="auto"/>
                <w:szCs w:val="21"/>
                <w:highlight w:val="none"/>
              </w:rPr>
              <w:t>一</w:t>
            </w:r>
          </w:p>
        </w:tc>
        <w:tc>
          <w:tcPr>
            <w:tcW w:w="2949" w:type="dxa"/>
            <w:tcBorders>
              <w:top w:val="single" w:color="auto" w:sz="4" w:space="0"/>
              <w:left w:val="single" w:color="auto" w:sz="4" w:space="0"/>
              <w:bottom w:val="single" w:color="auto" w:sz="4" w:space="0"/>
              <w:right w:val="single" w:color="auto" w:sz="4" w:space="0"/>
            </w:tcBorders>
            <w:vAlign w:val="center"/>
          </w:tcPr>
          <w:p>
            <w:pPr>
              <w:pStyle w:val="2"/>
              <w:jc w:val="center"/>
              <w:rPr>
                <w:rFonts w:ascii="宋体" w:hAnsi="宋体"/>
                <w:bCs/>
                <w:color w:val="auto"/>
                <w:szCs w:val="21"/>
                <w:highlight w:val="none"/>
              </w:rPr>
            </w:pPr>
            <w:bookmarkStart w:id="74" w:name="OLE_LINK8"/>
            <w:r>
              <w:rPr>
                <w:rFonts w:hint="eastAsia" w:ascii="宋体" w:hAnsi="宋体"/>
                <w:bCs/>
                <w:color w:val="auto"/>
                <w:szCs w:val="21"/>
                <w:highlight w:val="none"/>
              </w:rPr>
              <w:t>交通组织优化、堵点乱点治理、道路交通安全隐患排查与治理、道路交通信号控制优化、电警设备采集申报等技术或方案咨询服务</w:t>
            </w:r>
            <w:bookmarkEnd w:id="74"/>
          </w:p>
        </w:tc>
        <w:tc>
          <w:tcPr>
            <w:tcW w:w="2842" w:type="dxa"/>
            <w:tcBorders>
              <w:top w:val="single" w:color="auto" w:sz="4" w:space="0"/>
              <w:left w:val="single" w:color="auto" w:sz="4" w:space="0"/>
              <w:bottom w:val="single" w:color="auto" w:sz="4" w:space="0"/>
              <w:right w:val="single" w:color="auto" w:sz="4" w:space="0"/>
            </w:tcBorders>
            <w:vAlign w:val="center"/>
          </w:tcPr>
          <w:p>
            <w:pPr>
              <w:pStyle w:val="2"/>
              <w:jc w:val="center"/>
              <w:rPr>
                <w:rFonts w:ascii="宋体" w:hAnsi="宋体"/>
                <w:bCs/>
                <w:color w:val="auto"/>
                <w:szCs w:val="21"/>
                <w:highlight w:val="none"/>
              </w:rPr>
            </w:pPr>
            <w:r>
              <w:rPr>
                <w:rFonts w:hint="eastAsia" w:ascii="宋体" w:hAnsi="宋体"/>
                <w:bCs/>
                <w:color w:val="auto"/>
                <w:szCs w:val="21"/>
                <w:highlight w:val="none"/>
              </w:rPr>
              <w:t>主要服务范围为宁波市三区内（海曙、江北、鄞州），并根据招标人需要对宁波其他区县市交通组织相关业务进行技术指导</w:t>
            </w:r>
          </w:p>
        </w:tc>
        <w:tc>
          <w:tcPr>
            <w:tcW w:w="2495" w:type="dxa"/>
            <w:tcBorders>
              <w:top w:val="single" w:color="auto" w:sz="4" w:space="0"/>
              <w:left w:val="single" w:color="auto" w:sz="4" w:space="0"/>
              <w:bottom w:val="single" w:color="auto" w:sz="4" w:space="0"/>
              <w:right w:val="single" w:color="auto" w:sz="4" w:space="0"/>
            </w:tcBorders>
            <w:vAlign w:val="center"/>
          </w:tcPr>
          <w:p>
            <w:pPr>
              <w:pStyle w:val="2"/>
              <w:jc w:val="center"/>
              <w:rPr>
                <w:rFonts w:ascii="宋体" w:hAnsi="宋体"/>
                <w:bCs/>
                <w:color w:val="auto"/>
                <w:szCs w:val="21"/>
                <w:highlight w:val="none"/>
              </w:rPr>
            </w:pPr>
            <w:r>
              <w:rPr>
                <w:rFonts w:hint="eastAsia" w:ascii="宋体" w:hAnsi="宋体"/>
                <w:bCs/>
                <w:color w:val="auto"/>
                <w:szCs w:val="21"/>
                <w:highlight w:val="none"/>
              </w:rPr>
              <w:t>合同生效之日起至2026年4月30日止；合同期满后若经采购人考核合格并报采购管理部门备案，合同可续签一年，最多合计可续签2次。</w:t>
            </w:r>
          </w:p>
        </w:tc>
      </w:tr>
    </w:tbl>
    <w:p>
      <w:pPr>
        <w:pStyle w:val="2"/>
        <w:rPr>
          <w:rFonts w:ascii="宋体" w:hAnsi="宋体"/>
          <w:b/>
          <w:color w:val="auto"/>
          <w:szCs w:val="21"/>
          <w:highlight w:val="none"/>
        </w:rPr>
      </w:pPr>
    </w:p>
    <w:p>
      <w:pPr>
        <w:pStyle w:val="2"/>
        <w:rPr>
          <w:rFonts w:ascii="宋体" w:hAnsi="宋体" w:cs="宋体"/>
          <w:b/>
          <w:color w:val="auto"/>
          <w:sz w:val="21"/>
          <w:szCs w:val="21"/>
          <w:highlight w:val="none"/>
        </w:rPr>
      </w:pPr>
      <w:r>
        <w:rPr>
          <w:rFonts w:hint="eastAsia" w:ascii="宋体" w:hAnsi="宋体" w:cs="宋体"/>
          <w:b/>
          <w:color w:val="auto"/>
          <w:sz w:val="21"/>
          <w:szCs w:val="21"/>
          <w:highlight w:val="none"/>
        </w:rPr>
        <w:t>二、服务需求</w:t>
      </w:r>
    </w:p>
    <w:p>
      <w:pPr>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（一）主要规范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01、《城市道路交通工程项目规范》（GB 55011-2021）</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02、《城市道路工程设计规范(2016年版)》（CJJ37-2012）</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03、《城市道路交叉口设计规程》（CJJ152-2010）</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04、《城市快速路设计规程》（CJJ129-2009）</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05、《道路交通标志和标线》（GB5768.1-7）</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06、《城市道路路线设计规范》（CJJ 193-2012）</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07、《浙江省城市道路机动车道宽度设计规范》（DB33 1057-2008）</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08、《城市道路交通设施设计规范（2019版）》（GB 50688-2011）</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09、《城市道路交通标志和标线设置规范》（GB 51038-2015）</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10、《道路交通信号灯设置与安装规范》（GB 14886—2016）</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11、《公路交通安全设施设计规范》（JTG D81-2017）</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12、《公路交通安全设施施工技术规范》（JTG F71-2006）</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13、《公路交通安全设施设计细则》（JTG/T D81-2017）</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14、《公路工程技术标准》（JTG B01-2014）</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15、《视频安防监控系统工程设计规范》（GB 50395-2007）</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16、《闯红灯自动记录系统通用技术条件》（GA/T496-2014）</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17、《中华人民共和国工程建设标准强制性条文（城镇建设、城乡规划部分）》（2013年版）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18、《国家建筑标准设计图集》及其它国家及行业设计规范、标准及强制性条文</w:t>
      </w:r>
    </w:p>
    <w:p>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19</w:t>
      </w:r>
      <w:r>
        <w:rPr>
          <w:rFonts w:hint="eastAsia" w:ascii="宋体" w:hAnsi="宋体" w:cs="宋体"/>
          <w:color w:val="auto"/>
          <w:szCs w:val="21"/>
          <w:highlight w:val="none"/>
          <w:lang w:val="zh-CN"/>
        </w:rPr>
        <w:t>、《城市道路交通标志和标线设置规范》（DB33/T 818—2024）；</w:t>
      </w:r>
    </w:p>
    <w:p>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20、《宁波市城市道路交通安全工程技术指南（试行）》；</w:t>
      </w:r>
    </w:p>
    <w:p>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21、《宁波市普通公路交通安全防护设计规范》（DB 3302/T 1144-2023）等。</w:t>
      </w:r>
    </w:p>
    <w:p>
      <w:pPr>
        <w:pStyle w:val="2"/>
        <w:rPr>
          <w:rFonts w:ascii="宋体" w:hAnsi="宋体" w:cs="宋体"/>
          <w:color w:val="auto"/>
          <w:sz w:val="21"/>
          <w:szCs w:val="21"/>
          <w:highlight w:val="none"/>
        </w:rPr>
      </w:pPr>
    </w:p>
    <w:p>
      <w:pPr>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（二）咨询服务内容</w:t>
      </w:r>
    </w:p>
    <w:p>
      <w:pPr>
        <w:pStyle w:val="2"/>
        <w:ind w:firstLine="420" w:firstLineChars="200"/>
        <w:rPr>
          <w:rFonts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一）交通组织优化咨询服务</w:t>
      </w:r>
    </w:p>
    <w:p>
      <w:pPr>
        <w:pStyle w:val="2"/>
        <w:spacing w:line="360" w:lineRule="auto"/>
        <w:ind w:firstLine="420" w:firstLineChars="200"/>
        <w:rPr>
          <w:rFonts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1、服务期限：</w:t>
      </w:r>
      <w:r>
        <w:rPr>
          <w:rFonts w:hint="eastAsia" w:ascii="宋体" w:hAnsi="宋体" w:cs="宋体"/>
          <w:color w:val="auto"/>
          <w:sz w:val="21"/>
          <w:szCs w:val="21"/>
          <w:highlight w:val="none"/>
          <w:lang w:val="zh-CN"/>
        </w:rPr>
        <w:t>自合同签订之日起至2026年4月30日止。</w:t>
      </w:r>
    </w:p>
    <w:p>
      <w:pPr>
        <w:pStyle w:val="2"/>
        <w:spacing w:line="360" w:lineRule="auto"/>
        <w:ind w:firstLine="420" w:firstLineChars="200"/>
        <w:rPr>
          <w:rFonts w:ascii="宋体" w:hAnsi="宋体" w:cs="宋体"/>
          <w:color w:val="auto"/>
          <w:sz w:val="21"/>
          <w:szCs w:val="21"/>
          <w:highlight w:val="none"/>
          <w:lang w:val="zh-CN"/>
        </w:rPr>
      </w:pPr>
      <w:r>
        <w:rPr>
          <w:rFonts w:hint="eastAsia" w:ascii="宋体" w:hAnsi="宋体" w:cs="宋体"/>
          <w:b/>
          <w:bCs/>
          <w:color w:val="auto"/>
          <w:sz w:val="21"/>
          <w:szCs w:val="21"/>
          <w:highlight w:val="none"/>
          <w:lang w:val="zh-CN"/>
        </w:rPr>
        <w:t>2、驻点人员要求：</w:t>
      </w:r>
      <w:r>
        <w:rPr>
          <w:rFonts w:hint="eastAsia" w:ascii="宋体" w:hAnsi="宋体" w:cs="宋体"/>
          <w:color w:val="auto"/>
          <w:sz w:val="21"/>
          <w:szCs w:val="21"/>
          <w:highlight w:val="none"/>
          <w:lang w:val="zh-CN"/>
        </w:rPr>
        <w:t>服务期限内需派驻不少于5名专业技术人员。</w:t>
      </w:r>
    </w:p>
    <w:p>
      <w:pPr>
        <w:pStyle w:val="2"/>
        <w:spacing w:line="360" w:lineRule="auto"/>
        <w:ind w:firstLine="420" w:firstLineChars="200"/>
        <w:rPr>
          <w:rFonts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3、服务内容要求：</w:t>
      </w:r>
    </w:p>
    <w:p>
      <w:pPr>
        <w:autoSpaceDE w:val="0"/>
        <w:autoSpaceDN w:val="0"/>
        <w:snapToGrid w:val="0"/>
        <w:spacing w:line="360" w:lineRule="auto"/>
        <w:ind w:firstLine="420" w:firstLineChars="200"/>
        <w:rPr>
          <w:rFonts w:ascii="宋体" w:hAnsi="宋体" w:cs="宋体"/>
          <w:b/>
          <w:color w:val="auto"/>
          <w:szCs w:val="21"/>
          <w:highlight w:val="none"/>
        </w:rPr>
      </w:pPr>
      <w:bookmarkStart w:id="75" w:name="OLE_LINK53"/>
      <w:r>
        <w:rPr>
          <w:rFonts w:hint="eastAsia" w:ascii="宋体" w:hAnsi="宋体" w:cs="宋体"/>
          <w:b/>
          <w:color w:val="auto"/>
          <w:szCs w:val="21"/>
          <w:highlight w:val="none"/>
        </w:rPr>
        <w:t>1）交通堵点、乱点组织优化及治理方案技术咨询服务</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根据招标人需求或自行现场排摸调研城区道路交叉口、路段、学校、医院、商圈等交通堵点、乱点，排查内容含道路交通流量、交通设施布置情况、交通组织情况等，同时根据调研情况，研究分析交通组织优化调整措施、编制配套设施与组织调整方案。</w:t>
      </w:r>
      <w:r>
        <w:rPr>
          <w:rFonts w:hint="eastAsia" w:ascii="宋体" w:hAnsi="宋体" w:cs="宋体"/>
          <w:b/>
          <w:color w:val="auto"/>
          <w:szCs w:val="21"/>
          <w:highlight w:val="none"/>
        </w:rPr>
        <w:t>中标人服务期内每月需提供不少于12处路口、路段或区域的交通优化治理方案，按月度汇总优化咨询服务方案，内容可包括交通流量情况、现状交通组织情况、交通组织优化技术方案、交通设施优化改善方案等。</w:t>
      </w:r>
    </w:p>
    <w:p>
      <w:pPr>
        <w:autoSpaceDE w:val="0"/>
        <w:autoSpaceDN w:val="0"/>
        <w:snapToGrid w:val="0"/>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2）重大节假日、活动或应急管制期间交通组织或管控方案技术咨询服务</w:t>
      </w:r>
    </w:p>
    <w:p>
      <w:pPr>
        <w:autoSpaceDE w:val="0"/>
        <w:autoSpaceDN w:val="0"/>
        <w:snapToGrid w:val="0"/>
        <w:spacing w:line="360" w:lineRule="auto"/>
        <w:ind w:firstLine="420" w:firstLineChars="200"/>
        <w:rPr>
          <w:rFonts w:ascii="宋体" w:hAnsi="宋体" w:cs="宋体"/>
          <w:b/>
          <w:color w:val="auto"/>
          <w:szCs w:val="21"/>
          <w:highlight w:val="none"/>
        </w:rPr>
      </w:pPr>
      <w:r>
        <w:rPr>
          <w:rFonts w:hint="eastAsia" w:ascii="宋体" w:hAnsi="宋体" w:cs="宋体"/>
          <w:bCs/>
          <w:color w:val="auto"/>
          <w:szCs w:val="21"/>
          <w:highlight w:val="none"/>
        </w:rPr>
        <w:t>对服务期限内涉及的重大节假日（如清明、国庆等）、重要活动（如两会等）及其它应急时段（如台风等）期间的交通组织或管控方案进行咨询服务，并编制配套设施设置方案，</w:t>
      </w:r>
      <w:r>
        <w:rPr>
          <w:rFonts w:hint="eastAsia" w:ascii="宋体" w:hAnsi="宋体" w:cs="宋体"/>
          <w:b/>
          <w:color w:val="auto"/>
          <w:szCs w:val="21"/>
          <w:highlight w:val="none"/>
        </w:rPr>
        <w:t>中标人需自行汇总交通流量情况、现状交通组织情况、交通管控方案、交通设施设置方案等，在服务期完成后汇总形成台账资料1册。</w:t>
      </w:r>
    </w:p>
    <w:p>
      <w:pPr>
        <w:autoSpaceDE w:val="0"/>
        <w:autoSpaceDN w:val="0"/>
        <w:snapToGrid w:val="0"/>
        <w:spacing w:line="360" w:lineRule="auto"/>
        <w:ind w:firstLine="420" w:firstLineChars="200"/>
        <w:rPr>
          <w:rFonts w:ascii="宋体" w:hAnsi="宋体" w:cs="宋体"/>
          <w:b/>
          <w:bCs/>
          <w:color w:val="auto"/>
          <w:szCs w:val="21"/>
          <w:highlight w:val="none"/>
        </w:rPr>
      </w:pPr>
      <w:r>
        <w:rPr>
          <w:rFonts w:hint="eastAsia" w:ascii="宋体" w:hAnsi="宋体" w:cs="宋体"/>
          <w:b/>
          <w:color w:val="auto"/>
          <w:szCs w:val="21"/>
          <w:highlight w:val="none"/>
        </w:rPr>
        <w:t>3)交通组织</w:t>
      </w:r>
      <w:r>
        <w:rPr>
          <w:rFonts w:hint="eastAsia" w:ascii="宋体" w:hAnsi="宋体" w:cs="宋体"/>
          <w:b/>
          <w:bCs/>
          <w:color w:val="auto"/>
          <w:szCs w:val="21"/>
          <w:highlight w:val="none"/>
        </w:rPr>
        <w:t>优化案例编制</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根据招标人需求，从交通堵点、乱点治理方案中选取典型案例，或根据招标人要求的其它交通改善与治理方案，编制交通组织优化报告案例集，报告内容包括但不限于案例简介、现状问题、治理思路、治理措施、治理效果等，</w:t>
      </w:r>
      <w:r>
        <w:rPr>
          <w:rFonts w:hint="eastAsia" w:ascii="宋体" w:hAnsi="宋体" w:cs="宋体"/>
          <w:b/>
          <w:color w:val="auto"/>
          <w:szCs w:val="21"/>
          <w:highlight w:val="none"/>
        </w:rPr>
        <w:t>服务期限内每月不少于4篇，并按照月度汇总形成月度案例集</w:t>
      </w:r>
      <w:r>
        <w:rPr>
          <w:rFonts w:hint="eastAsia" w:ascii="宋体" w:hAnsi="宋体" w:cs="宋体"/>
          <w:bCs/>
          <w:color w:val="auto"/>
          <w:szCs w:val="21"/>
          <w:highlight w:val="none"/>
        </w:rPr>
        <w:t>。</w:t>
      </w:r>
    </w:p>
    <w:p>
      <w:pPr>
        <w:autoSpaceDE w:val="0"/>
        <w:autoSpaceDN w:val="0"/>
        <w:snapToGrid w:val="0"/>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4）其它交通组织相关咨询与配合服务</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根据招标人要求开展的其它交通交通组织与设施改善、交通管理与管控、舆情处理等配套的技术咨询服务，工作内容包括相关图纸的绘制、现场实施指导、相关材料收集或制订等，</w:t>
      </w:r>
      <w:r>
        <w:rPr>
          <w:rFonts w:hint="eastAsia" w:ascii="宋体" w:hAnsi="宋体" w:cs="宋体"/>
          <w:b/>
          <w:color w:val="auto"/>
          <w:szCs w:val="21"/>
          <w:highlight w:val="none"/>
        </w:rPr>
        <w:t>中标人需自行汇总相关图纸和技术方案等，在服务期完成后汇总形成台账资料1册。</w:t>
      </w:r>
    </w:p>
    <w:bookmarkEnd w:id="75"/>
    <w:p>
      <w:pPr>
        <w:autoSpaceDE w:val="0"/>
        <w:autoSpaceDN w:val="0"/>
        <w:snapToGrid w:val="0"/>
        <w:spacing w:line="360" w:lineRule="auto"/>
        <w:ind w:firstLine="420" w:firstLineChars="200"/>
        <w:rPr>
          <w:rFonts w:ascii="宋体" w:hAnsi="宋体" w:cs="宋体"/>
          <w:b/>
          <w:color w:val="auto"/>
          <w:szCs w:val="21"/>
          <w:highlight w:val="none"/>
        </w:rPr>
      </w:pPr>
    </w:p>
    <w:p>
      <w:pPr>
        <w:autoSpaceDE w:val="0"/>
        <w:autoSpaceDN w:val="0"/>
        <w:snapToGrid w:val="0"/>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二）交通信号控制优化咨询服务</w:t>
      </w:r>
    </w:p>
    <w:p>
      <w:pPr>
        <w:pStyle w:val="2"/>
        <w:spacing w:line="360" w:lineRule="auto"/>
        <w:ind w:firstLine="420" w:firstLineChars="200"/>
        <w:rPr>
          <w:rFonts w:ascii="宋体" w:hAnsi="宋体" w:cs="宋体"/>
          <w:b/>
          <w:bCs/>
          <w:color w:val="auto"/>
          <w:sz w:val="21"/>
          <w:szCs w:val="21"/>
          <w:highlight w:val="none"/>
          <w:lang w:val="zh-CN"/>
        </w:rPr>
      </w:pPr>
      <w:r>
        <w:rPr>
          <w:rFonts w:hint="eastAsia" w:ascii="宋体" w:hAnsi="宋体" w:cs="宋体"/>
          <w:b/>
          <w:bCs/>
          <w:color w:val="auto"/>
          <w:sz w:val="21"/>
          <w:szCs w:val="21"/>
          <w:highlight w:val="none"/>
        </w:rPr>
        <w:t>1、</w:t>
      </w:r>
      <w:r>
        <w:rPr>
          <w:rFonts w:hint="eastAsia" w:ascii="宋体" w:hAnsi="宋体" w:cs="宋体"/>
          <w:b/>
          <w:bCs/>
          <w:color w:val="auto"/>
          <w:sz w:val="21"/>
          <w:szCs w:val="21"/>
          <w:highlight w:val="none"/>
          <w:lang w:val="zh-CN"/>
        </w:rPr>
        <w:t>服务周期：</w:t>
      </w:r>
      <w:r>
        <w:rPr>
          <w:rFonts w:hint="eastAsia" w:ascii="宋体" w:hAnsi="宋体" w:cs="宋体"/>
          <w:color w:val="auto"/>
          <w:sz w:val="21"/>
          <w:szCs w:val="21"/>
          <w:highlight w:val="none"/>
          <w:lang w:val="zh-CN"/>
        </w:rPr>
        <w:t>自2025年5月1日起至2026年4月30日止</w:t>
      </w:r>
    </w:p>
    <w:p>
      <w:pPr>
        <w:pStyle w:val="2"/>
        <w:spacing w:line="360" w:lineRule="auto"/>
        <w:ind w:firstLine="420" w:firstLineChars="200"/>
        <w:rPr>
          <w:rFonts w:ascii="宋体" w:hAnsi="宋体" w:cs="宋体"/>
          <w:color w:val="auto"/>
          <w:sz w:val="21"/>
          <w:szCs w:val="21"/>
          <w:highlight w:val="none"/>
          <w:lang w:val="zh-CN"/>
        </w:rPr>
      </w:pPr>
      <w:r>
        <w:rPr>
          <w:rFonts w:hint="eastAsia" w:ascii="宋体" w:hAnsi="宋体" w:cs="宋体"/>
          <w:b/>
          <w:bCs/>
          <w:color w:val="auto"/>
          <w:sz w:val="21"/>
          <w:szCs w:val="21"/>
          <w:highlight w:val="none"/>
          <w:lang w:val="zh-CN"/>
        </w:rPr>
        <w:t>2、驻点人员要求：</w:t>
      </w:r>
      <w:r>
        <w:rPr>
          <w:rFonts w:hint="eastAsia" w:ascii="宋体" w:hAnsi="宋体" w:cs="宋体"/>
          <w:color w:val="auto"/>
          <w:sz w:val="21"/>
          <w:szCs w:val="21"/>
          <w:highlight w:val="none"/>
          <w:lang w:val="zh-CN"/>
        </w:rPr>
        <w:t>服务期限内需派驻不少于4名专业技术人员</w:t>
      </w:r>
    </w:p>
    <w:p>
      <w:pPr>
        <w:pStyle w:val="2"/>
        <w:spacing w:line="360" w:lineRule="auto"/>
        <w:ind w:firstLine="420" w:firstLineChars="200"/>
        <w:rPr>
          <w:rFonts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3、服务内容要求：</w:t>
      </w:r>
    </w:p>
    <w:p>
      <w:pPr>
        <w:autoSpaceDE w:val="0"/>
        <w:autoSpaceDN w:val="0"/>
        <w:snapToGrid w:val="0"/>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1）灯控路口单点优化服务</w:t>
      </w:r>
    </w:p>
    <w:p>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对已经接入招标人信号控制平台的1907个路口，以及服务周期内新接入的联网灯控路口，跟踪交通流量和交通组织变化，对路口系统基础参数、配时进行持续滚动优化，主要工作为现状分析、分析优化并实施，同时对实施方案进行跟踪和修正，</w:t>
      </w:r>
      <w:r>
        <w:rPr>
          <w:rFonts w:hint="eastAsia" w:ascii="宋体" w:hAnsi="宋体" w:cs="宋体"/>
          <w:b/>
          <w:bCs/>
          <w:color w:val="auto"/>
          <w:szCs w:val="21"/>
          <w:highlight w:val="none"/>
        </w:rPr>
        <w:t>中标人每周优化路口数量不少于10个，记录优化时间、整理优化方案，</w:t>
      </w:r>
      <w:r>
        <w:rPr>
          <w:rFonts w:hint="eastAsia" w:ascii="宋体" w:hAnsi="宋体" w:cs="宋体"/>
          <w:color w:val="auto"/>
          <w:szCs w:val="21"/>
          <w:highlight w:val="none"/>
        </w:rPr>
        <w:t>并汇总路口相位方案、信号配时基础参数(如全红时间、最小周期、最小行人过街时间等)、信号配时基础方案(包括早高峰、晚高峰、平峰、夜间等典型时段)等要素资料，以图表形式按路口进行电子归档，</w:t>
      </w:r>
      <w:r>
        <w:rPr>
          <w:rFonts w:hint="eastAsia" w:ascii="宋体" w:hAnsi="宋体" w:cs="宋体"/>
          <w:b/>
          <w:bCs/>
          <w:color w:val="auto"/>
          <w:szCs w:val="21"/>
          <w:highlight w:val="none"/>
        </w:rPr>
        <w:t>并在服务期完成后按区域形成三区汇总台账各1册。</w:t>
      </w:r>
    </w:p>
    <w:p>
      <w:pPr>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2）干线道路信号协调控制优化服务</w:t>
      </w:r>
    </w:p>
    <w:p>
      <w:pPr>
        <w:spacing w:line="360" w:lineRule="auto"/>
        <w:ind w:firstLine="420" w:firstLineChars="200"/>
        <w:rPr>
          <w:rFonts w:ascii="宋体" w:hAnsi="宋体" w:cs="宋体"/>
          <w:color w:val="auto"/>
          <w:szCs w:val="21"/>
          <w:highlight w:val="none"/>
        </w:rPr>
      </w:pPr>
      <w:r>
        <w:rPr>
          <w:rFonts w:hint="eastAsia" w:ascii="宋体" w:hAnsi="宋体" w:cs="宋体"/>
          <w:b/>
          <w:bCs/>
          <w:color w:val="auto"/>
          <w:szCs w:val="21"/>
          <w:highlight w:val="none"/>
        </w:rPr>
        <w:t>①现有绿波协调控制道路的跟踪优化服务：</w:t>
      </w:r>
      <w:r>
        <w:rPr>
          <w:rFonts w:hint="eastAsia" w:ascii="宋体" w:hAnsi="宋体" w:cs="宋体"/>
          <w:color w:val="auto"/>
          <w:szCs w:val="21"/>
          <w:highlight w:val="none"/>
        </w:rPr>
        <w:t>对市三区现有共计约280km已设绿波协调控制（包括单向和双向）的干线道路沿线灯控路口的交通信号协调方案进行梳理、滚动巡检及优化，对于实际运行效果不佳的绿波带及时进行优化调整，保障协调方案运行效果。同时根据招标人需求，指导其他县市区开展绿波带控制方案的编制与运行。</w:t>
      </w:r>
      <w:r>
        <w:rPr>
          <w:rFonts w:hint="eastAsia" w:ascii="宋体" w:hAnsi="宋体" w:cs="宋体"/>
          <w:b/>
          <w:bCs/>
          <w:color w:val="auto"/>
          <w:szCs w:val="21"/>
          <w:highlight w:val="none"/>
        </w:rPr>
        <w:t>中标人每两周通过视频或软件巡查现有全部的绿波带道路，每月通过现场巡查现有绿波带道路不少于100km，同时对效果不完善或有必要调整的绿波带进行优化，记录巡查或优化时间、整理优化方案，并汇总绿波道路基础数据、绿波时局图、绿波沿线路口照片等，按月度形成优化台账12册。</w:t>
      </w:r>
    </w:p>
    <w:p>
      <w:pPr>
        <w:spacing w:line="360" w:lineRule="auto"/>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②新增干线道路绿波控制咨询服务：</w:t>
      </w:r>
      <w:r>
        <w:rPr>
          <w:rFonts w:hint="eastAsia" w:ascii="宋体" w:hAnsi="宋体" w:cs="宋体"/>
          <w:color w:val="auto"/>
          <w:szCs w:val="21"/>
          <w:highlight w:val="none"/>
        </w:rPr>
        <w:t>根据招标人需求，对未设绿波控制的道路，排查道路实际运行情况，在保障行人和非机动车交通安全前提下，开展绿波协调方案的编制、实施，并进行持续跟踪优化等工作。</w:t>
      </w:r>
      <w:r>
        <w:rPr>
          <w:rFonts w:hint="eastAsia" w:ascii="宋体" w:hAnsi="宋体" w:cs="宋体"/>
          <w:b/>
          <w:bCs/>
          <w:color w:val="auto"/>
          <w:szCs w:val="21"/>
          <w:highlight w:val="none"/>
        </w:rPr>
        <w:t>服务周期内总计新增的绿波道路不少于30km，记录绿波新增时间、巡查优化时间、整理新增或优化方案，并按月度形成台账汇总至上述12册台账内。</w:t>
      </w:r>
    </w:p>
    <w:p>
      <w:pPr>
        <w:spacing w:line="360" w:lineRule="auto"/>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3)信号设施故障排查服务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对市三区道路交通信号灯灯具及组合情况进行排查摸底，排查内容包括灯组形式、灯具故障等，排查完成后建立整改台账。</w:t>
      </w:r>
      <w:r>
        <w:rPr>
          <w:rFonts w:hint="eastAsia" w:ascii="宋体" w:hAnsi="宋体" w:cs="宋体"/>
          <w:b/>
          <w:bCs/>
          <w:color w:val="auto"/>
          <w:szCs w:val="21"/>
          <w:highlight w:val="none"/>
        </w:rPr>
        <w:t>服务周期内总计完成灯组排查的路口数量不少于600个,同时协助招标人制定整改方案，并跟踪整改情况，形成排查与整改台账1册。</w:t>
      </w:r>
    </w:p>
    <w:p>
      <w:pPr>
        <w:spacing w:line="360" w:lineRule="auto"/>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4）信号优化案例编制</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研究、分析服务期内优化或新增的单点信号控制路口、干线绿波协调控制路口的典型方案，编制相关信号优化控制案例报告，报告内容包括但不限于路口或道路概况、现状交通运行情况、信号优化思路、信号优化方案、实施效果等内容，</w:t>
      </w:r>
      <w:r>
        <w:rPr>
          <w:rFonts w:hint="eastAsia" w:ascii="宋体" w:hAnsi="宋体" w:cs="宋体"/>
          <w:b/>
          <w:color w:val="auto"/>
          <w:szCs w:val="21"/>
          <w:highlight w:val="none"/>
        </w:rPr>
        <w:t>服务期限内每月不少于4篇，并按照季度汇总形成季度案例集4册</w:t>
      </w:r>
      <w:r>
        <w:rPr>
          <w:rFonts w:hint="eastAsia" w:ascii="宋体" w:hAnsi="宋体" w:cs="宋体"/>
          <w:bCs/>
          <w:color w:val="auto"/>
          <w:szCs w:val="21"/>
          <w:highlight w:val="none"/>
        </w:rPr>
        <w:t>。</w:t>
      </w:r>
    </w:p>
    <w:p>
      <w:pPr>
        <w:autoSpaceDE w:val="0"/>
        <w:autoSpaceDN w:val="0"/>
        <w:snapToGrid w:val="0"/>
        <w:spacing w:line="360" w:lineRule="auto"/>
        <w:ind w:firstLine="420" w:firstLineChars="200"/>
        <w:rPr>
          <w:rFonts w:ascii="宋体" w:hAnsi="宋体" w:cs="宋体"/>
          <w:b/>
          <w:color w:val="auto"/>
          <w:szCs w:val="21"/>
          <w:highlight w:val="none"/>
        </w:rPr>
      </w:pPr>
    </w:p>
    <w:p>
      <w:pPr>
        <w:autoSpaceDE w:val="0"/>
        <w:autoSpaceDN w:val="0"/>
        <w:snapToGrid w:val="0"/>
        <w:spacing w:line="360" w:lineRule="auto"/>
        <w:ind w:firstLine="420" w:firstLineChars="200"/>
        <w:rPr>
          <w:rFonts w:ascii="宋体" w:hAnsi="宋体" w:cs="宋体"/>
          <w:b/>
          <w:color w:val="auto"/>
          <w:szCs w:val="21"/>
          <w:highlight w:val="none"/>
        </w:rPr>
      </w:pPr>
      <w:bookmarkStart w:id="76" w:name="OLE_LINK6"/>
      <w:r>
        <w:rPr>
          <w:rFonts w:hint="eastAsia" w:ascii="宋体" w:hAnsi="宋体" w:cs="宋体"/>
          <w:b/>
          <w:color w:val="auto"/>
          <w:szCs w:val="21"/>
          <w:highlight w:val="none"/>
        </w:rPr>
        <w:t>（三）道路交通安全综合治理咨询服务</w:t>
      </w:r>
    </w:p>
    <w:bookmarkEnd w:id="76"/>
    <w:p>
      <w:pPr>
        <w:pStyle w:val="2"/>
        <w:spacing w:line="360" w:lineRule="auto"/>
        <w:ind w:firstLine="420" w:firstLineChars="200"/>
        <w:rPr>
          <w:rFonts w:ascii="宋体" w:hAnsi="宋体" w:cs="宋体"/>
          <w:b/>
          <w:bCs/>
          <w:color w:val="auto"/>
          <w:sz w:val="21"/>
          <w:szCs w:val="21"/>
          <w:highlight w:val="none"/>
          <w:lang w:val="zh-CN"/>
        </w:rPr>
      </w:pPr>
      <w:r>
        <w:rPr>
          <w:rFonts w:hint="eastAsia" w:ascii="宋体" w:hAnsi="宋体" w:cs="宋体"/>
          <w:b/>
          <w:bCs/>
          <w:color w:val="auto"/>
          <w:sz w:val="21"/>
          <w:szCs w:val="21"/>
          <w:highlight w:val="none"/>
        </w:rPr>
        <w:t>1、</w:t>
      </w:r>
      <w:r>
        <w:rPr>
          <w:rFonts w:hint="eastAsia" w:ascii="宋体" w:hAnsi="宋体" w:cs="宋体"/>
          <w:b/>
          <w:bCs/>
          <w:color w:val="auto"/>
          <w:sz w:val="21"/>
          <w:szCs w:val="21"/>
          <w:highlight w:val="none"/>
          <w:lang w:val="zh-CN"/>
        </w:rPr>
        <w:t>服务周期：</w:t>
      </w:r>
      <w:r>
        <w:rPr>
          <w:rFonts w:hint="eastAsia" w:ascii="宋体" w:hAnsi="宋体" w:cs="宋体"/>
          <w:color w:val="auto"/>
          <w:sz w:val="21"/>
          <w:szCs w:val="21"/>
          <w:highlight w:val="none"/>
          <w:lang w:val="zh-CN"/>
        </w:rPr>
        <w:t>自2025年11月1日起至2026年4月30日止</w:t>
      </w:r>
    </w:p>
    <w:p>
      <w:pPr>
        <w:pStyle w:val="2"/>
        <w:spacing w:line="360" w:lineRule="auto"/>
        <w:ind w:firstLine="420" w:firstLineChars="200"/>
        <w:rPr>
          <w:rFonts w:ascii="宋体" w:hAnsi="宋体" w:cs="宋体"/>
          <w:color w:val="auto"/>
          <w:sz w:val="21"/>
          <w:szCs w:val="21"/>
          <w:highlight w:val="none"/>
          <w:lang w:val="zh-CN"/>
        </w:rPr>
      </w:pPr>
      <w:r>
        <w:rPr>
          <w:rFonts w:hint="eastAsia" w:ascii="宋体" w:hAnsi="宋体" w:cs="宋体"/>
          <w:b/>
          <w:bCs/>
          <w:color w:val="auto"/>
          <w:sz w:val="21"/>
          <w:szCs w:val="21"/>
          <w:highlight w:val="none"/>
          <w:lang w:val="zh-CN"/>
        </w:rPr>
        <w:t>2、驻点人员要求：</w:t>
      </w:r>
      <w:r>
        <w:rPr>
          <w:rFonts w:hint="eastAsia" w:ascii="宋体" w:hAnsi="宋体" w:cs="宋体"/>
          <w:color w:val="auto"/>
          <w:sz w:val="21"/>
          <w:szCs w:val="21"/>
          <w:highlight w:val="none"/>
          <w:lang w:val="zh-CN"/>
        </w:rPr>
        <w:t>服务期限内需派驻2名专业技术人员完成以下服务内容的1）-3），1名专业技术人员完成以下服务内容的4）</w:t>
      </w:r>
    </w:p>
    <w:p>
      <w:pPr>
        <w:pStyle w:val="2"/>
        <w:spacing w:line="360" w:lineRule="auto"/>
        <w:ind w:firstLine="420" w:firstLineChars="200"/>
        <w:rPr>
          <w:rFonts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3、服务内容要求：</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1）配合招标人对以下道路交通安全隐患治理项目进行全流程跟踪技术指导，工作内容包括台账资料样本方案编制、现场踏勘、提出方案优化建议、协助审查和验收等：</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①全市部、省、市级事故多发点段治理项目；</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②全市安全提升（样板路）建设项目。</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2）招标人指定的其他道路交通安全隐患治理项目技术咨询工作，</w:t>
      </w:r>
      <w:r>
        <w:rPr>
          <w:rFonts w:hint="eastAsia" w:ascii="宋体" w:hAnsi="宋体" w:cs="宋体"/>
          <w:b/>
          <w:color w:val="auto"/>
          <w:szCs w:val="21"/>
          <w:highlight w:val="none"/>
        </w:rPr>
        <w:t>中标人每月需完成不少于6处事故多发点段的隐患分析与治理方案编制工作</w:t>
      </w:r>
      <w:r>
        <w:rPr>
          <w:rFonts w:hint="eastAsia" w:ascii="宋体" w:hAnsi="宋体" w:cs="宋体"/>
          <w:bCs/>
          <w:color w:val="auto"/>
          <w:szCs w:val="21"/>
          <w:highlight w:val="none"/>
        </w:rPr>
        <w:t>，工作内容包括但不限于以下内容：</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①对隐患点段、事故多发点段的现状道路交通基础情况进行调查与分析；</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②对隐患点段、事故多发点段的道路交通事故情况进行调查与分析；</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③结合道路情况、流量情况、事故情况分析交通事故成因，提出治理措施建议；</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④根据治理措施建议编制隐患点段、事故多发点段的治理方案；</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⑤跟踪治理方案措施执行情况并进行现场指导；</w:t>
      </w:r>
    </w:p>
    <w:p>
      <w:pPr>
        <w:autoSpaceDE w:val="0"/>
        <w:autoSpaceDN w:val="0"/>
        <w:snapToGrid w:val="0"/>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3）根据每月完成的事故多发点段的治理方案，每月选取2处及以上的典型治理方案，编制隐患点段、事故多发点段的治理案例，案例内容包括道路交通基础情况、交通事故情况、事故多发成因、治理措施方案等内容，并按季度汇总形成隐患治理典型案例汇编。</w:t>
      </w:r>
    </w:p>
    <w:p>
      <w:pPr>
        <w:autoSpaceDE w:val="0"/>
        <w:autoSpaceDN w:val="0"/>
        <w:snapToGrid w:val="0"/>
        <w:spacing w:line="360" w:lineRule="auto"/>
        <w:ind w:firstLine="420" w:firstLineChars="200"/>
        <w:rPr>
          <w:rFonts w:ascii="宋体" w:hAnsi="宋体" w:cs="宋体"/>
          <w:b/>
          <w:color w:val="auto"/>
          <w:szCs w:val="21"/>
          <w:highlight w:val="none"/>
        </w:rPr>
      </w:pPr>
      <w:r>
        <w:rPr>
          <w:rFonts w:hint="eastAsia" w:ascii="宋体" w:hAnsi="宋体" w:cs="宋体"/>
          <w:b/>
          <w:color w:val="auto"/>
          <w:szCs w:val="21"/>
          <w:highlight w:val="none"/>
        </w:rPr>
        <w:t>4）市三区范围内未启用或停用的电子警察、卡口、监控等违法采集设备配套的相关设施的合理、合规性现场调研，并形成备案申报资料，服务期内每月完成申报材料总量不少于50份，主要工作内容如下：</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1）整理并分类三区排查点位。</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2）校对排查材料，对于不符合备案要求的现场照片安排相应人员重新排查。</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3）对于申报设备的现场标志标线不符合申报要求的提供整改方案。</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4）绘制概览图，并整理成完整的备案资料（含概览图，设备图，现场标志图）报送交警部门。</w:t>
      </w:r>
    </w:p>
    <w:p>
      <w:pPr>
        <w:spacing w:line="360" w:lineRule="auto"/>
        <w:rPr>
          <w:rFonts w:ascii="宋体" w:hAnsi="宋体" w:cs="宋体"/>
          <w:color w:val="auto"/>
          <w:szCs w:val="21"/>
          <w:highlight w:val="none"/>
        </w:rPr>
      </w:pPr>
    </w:p>
    <w:p>
      <w:pPr>
        <w:pStyle w:val="2"/>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三、驻点人员与办公设施设备要求</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1、所有驻点人员应和中标人签订正式的劳动合同，驻点服务期间遵守国家法律、法规及有关规定。</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2、在驻点部门办公期间，需遵守公安机关相关纪律规定，按驻点部门要求的办公时间上下班，包括但不限于早晚高峰执勤班、常规办公时间等，中标人应综合考虑并统筹安排人员配合招标人需求。</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3、服务期间中标人需指定一位驻点人员作为驻点负责人，常驻市交警局，统一管理所有驻点人员的工作，包括人员考勤、人员管理、技术方案审核等。</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4、在驻点部门办公期间，需常驻一辆工作车辆，同时电脑等办公设备和就餐等，相应费用中标人需自行解决。</w:t>
      </w:r>
    </w:p>
    <w:p>
      <w:pPr>
        <w:pStyle w:val="2"/>
        <w:rPr>
          <w:rFonts w:ascii="宋体" w:hAnsi="宋体" w:cs="宋体"/>
          <w:color w:val="auto"/>
          <w:sz w:val="21"/>
          <w:szCs w:val="21"/>
          <w:highlight w:val="none"/>
        </w:rPr>
      </w:pPr>
    </w:p>
    <w:p>
      <w:pPr>
        <w:pStyle w:val="2"/>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四、质量与安全要求</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1、质量要求</w:t>
      </w:r>
    </w:p>
    <w:p>
      <w:pPr>
        <w:autoSpaceDE w:val="0"/>
        <w:autoSpaceDN w:val="0"/>
        <w:snapToGrid w:val="0"/>
        <w:spacing w:line="360" w:lineRule="auto"/>
        <w:ind w:firstLine="420" w:firstLineChars="200"/>
        <w:rPr>
          <w:rFonts w:ascii="宋体" w:hAnsi="宋体" w:cs="宋体"/>
          <w:bCs/>
          <w:color w:val="auto"/>
          <w:szCs w:val="21"/>
          <w:highlight w:val="none"/>
        </w:rPr>
      </w:pPr>
      <w:bookmarkStart w:id="77" w:name="OLE_LINK10"/>
      <w:r>
        <w:rPr>
          <w:rFonts w:hint="eastAsia" w:ascii="宋体" w:hAnsi="宋体" w:cs="宋体"/>
          <w:bCs/>
          <w:color w:val="auto"/>
          <w:szCs w:val="21"/>
          <w:highlight w:val="none"/>
        </w:rPr>
        <w:t>1）提供方案咨询成果需符合国家、省、市和交警部门相关文件和标准要求。</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2）保证所提供的方案咨询成果涉及到的知识产权是合法取得，并享有完整的知识产权，不会因为需方的使用而被责令停止使用、追偿或要求赔偿损失，如出现此情况，一切经济和法律责任均由供方承担。</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3）提供方案咨询和指导服务有利于推进我市交通组织和设施管理水平的提升。</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4）中标人团队应具有较高的科研、学术和生产技术服务水平，团队核心成员应充分了解国内外交通领域的前沿科技和发展趋势，具有较高的专业能力和技术水平。</w:t>
      </w:r>
    </w:p>
    <w:bookmarkEnd w:id="77"/>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2、安全要求</w:t>
      </w:r>
    </w:p>
    <w:p>
      <w:pPr>
        <w:autoSpaceDE w:val="0"/>
        <w:autoSpaceDN w:val="0"/>
        <w:snapToGrid w:val="0"/>
        <w:spacing w:line="360" w:lineRule="auto"/>
        <w:ind w:firstLine="420" w:firstLineChars="200"/>
        <w:rPr>
          <w:rFonts w:ascii="宋体" w:hAnsi="宋体" w:cs="宋体"/>
          <w:bCs/>
          <w:color w:val="auto"/>
          <w:szCs w:val="21"/>
          <w:highlight w:val="none"/>
        </w:rPr>
      </w:pPr>
      <w:bookmarkStart w:id="78" w:name="OLE_LINK11"/>
      <w:r>
        <w:rPr>
          <w:rFonts w:hint="eastAsia" w:ascii="宋体" w:hAnsi="宋体" w:cs="宋体"/>
          <w:bCs/>
          <w:color w:val="auto"/>
          <w:szCs w:val="21"/>
          <w:highlight w:val="none"/>
        </w:rPr>
        <w:t>1）中标人常驻人员在驻点服务期间，应严格遵守国家法律法规及驻点单位各项规章制度，服从驻点单位责任民警的工作安排。</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2）采购人向中标人提供的全部资料及中标人生产的全部成果资料（包括中间资料）其版权归采购人所有，中标人不得以任何方式转让或提供给第三方使用；</w:t>
      </w:r>
    </w:p>
    <w:bookmarkEnd w:id="78"/>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3）中标人</w:t>
      </w:r>
      <w:bookmarkStart w:id="79" w:name="OLE_LINK12"/>
      <w:r>
        <w:rPr>
          <w:rFonts w:hint="eastAsia" w:ascii="宋体" w:hAnsi="宋体" w:cs="宋体"/>
          <w:bCs/>
          <w:color w:val="auto"/>
          <w:szCs w:val="21"/>
          <w:highlight w:val="none"/>
        </w:rPr>
        <w:t>不得转包、分包、若经采购人发现，采购人可终止合同。</w:t>
      </w:r>
      <w:bookmarkEnd w:id="79"/>
    </w:p>
    <w:p>
      <w:pPr>
        <w:pStyle w:val="2"/>
        <w:spacing w:line="360" w:lineRule="auto"/>
        <w:rPr>
          <w:rFonts w:ascii="宋体" w:hAnsi="宋体" w:cs="宋体"/>
          <w:color w:val="auto"/>
          <w:sz w:val="21"/>
          <w:szCs w:val="21"/>
          <w:highlight w:val="none"/>
        </w:rPr>
      </w:pPr>
    </w:p>
    <w:p>
      <w:pPr>
        <w:pStyle w:val="2"/>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五、考核及扣款条件</w:t>
      </w:r>
    </w:p>
    <w:p>
      <w:pPr>
        <w:autoSpaceDE w:val="0"/>
        <w:autoSpaceDN w:val="0"/>
        <w:snapToGrid w:val="0"/>
        <w:spacing w:line="360" w:lineRule="auto"/>
        <w:ind w:firstLine="420" w:firstLineChars="200"/>
        <w:rPr>
          <w:rFonts w:ascii="宋体" w:hAnsi="宋体" w:cs="宋体"/>
          <w:bCs/>
          <w:color w:val="auto"/>
          <w:szCs w:val="21"/>
          <w:highlight w:val="none"/>
        </w:rPr>
      </w:pPr>
      <w:bookmarkStart w:id="80" w:name="OLE_LINK52"/>
      <w:r>
        <w:rPr>
          <w:rFonts w:hint="eastAsia" w:ascii="宋体" w:hAnsi="宋体" w:cs="宋体"/>
          <w:bCs/>
          <w:color w:val="auto"/>
          <w:szCs w:val="21"/>
          <w:highlight w:val="none"/>
        </w:rPr>
        <w:t>为提高驻点服务工作的管理效能，提升驻点服务人员的个人意识,促进驻点服务人员技术水平的全面发展，招标人将根据项目情况组织驻点咨询工作考核，考核内容包括人员考勤，以及技术咨询服务方案的工作任务完成率、质量水等内容，对不满足招标人需求的服务项目要求24小时内进行整改，并根据实际情况予以扣款：</w:t>
      </w:r>
    </w:p>
    <w:p>
      <w:pPr>
        <w:pStyle w:val="2"/>
        <w:spacing w:line="360" w:lineRule="auto"/>
        <w:rPr>
          <w:rFonts w:ascii="宋体" w:hAnsi="宋体" w:cs="宋体"/>
          <w:color w:val="auto"/>
          <w:sz w:val="21"/>
          <w:szCs w:val="21"/>
          <w:highlight w:val="none"/>
        </w:rPr>
      </w:pPr>
      <w:bookmarkStart w:id="81" w:name="OLE_LINK49"/>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考勤不合格扣款条件</w:t>
      </w:r>
    </w:p>
    <w:p>
      <w:pPr>
        <w:autoSpaceDE w:val="0"/>
        <w:autoSpaceDN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根据招标文件要求自行组织驻点人员考勤工作，招标人将不定期开展考勤监督，一旦发现人员缺勤、迟到、早退等未经考勤不合格的，每有一次扣款500元，累计超过3次后，每次扣款1000元。</w:t>
      </w:r>
    </w:p>
    <w:p>
      <w:pPr>
        <w:pStyle w:val="2"/>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工作未完成扣款条件</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根据招标文件要求提供的工作任务或招标人指派的其它工作，因中标人原因导致工作任务未完成的，每有一次扣款2000元，累计超过5次后，每次扣款5000元。</w:t>
      </w:r>
    </w:p>
    <w:p>
      <w:pPr>
        <w:pStyle w:val="2"/>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工作质量不合格扣款条件</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工作完成不达标扣款标准：服务期限内每有一次工作不达标，包括单个优化咨询服务方案项目未完成、案例报告未完成、编制文件失误的，每有一次扣款2000元。</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工作质量不达标扣款标准：服务期限内每有一次工作质量不符合招标人要求，并造成方案延误或相关分管部门或业务领导不满意的，每有一次扣款5000元。</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工作整改不及时扣款标准：服务期限内每有一次工作整改不及时的，扣款7000元。</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任一驻点人员在服务期内出现三次及以上任务未完成或任务质量不达标的，招标人有权要求中标人更换符合驻点岗位要求的人员，并扣款10000元/次。</w:t>
      </w:r>
    </w:p>
    <w:bookmarkEnd w:id="80"/>
    <w:bookmarkEnd w:id="81"/>
    <w:p>
      <w:pPr>
        <w:pStyle w:val="2"/>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六、各项费用报价说明</w:t>
      </w:r>
    </w:p>
    <w:p>
      <w:pPr>
        <w:autoSpaceDE w:val="0"/>
        <w:autoSpaceDN w:val="0"/>
        <w:snapToGrid w:val="0"/>
        <w:spacing w:line="360" w:lineRule="auto"/>
        <w:ind w:firstLine="562"/>
        <w:rPr>
          <w:rFonts w:ascii="宋体" w:hAnsi="宋体" w:cs="宋体"/>
          <w:bCs/>
          <w:color w:val="auto"/>
          <w:szCs w:val="21"/>
          <w:highlight w:val="none"/>
        </w:rPr>
      </w:pPr>
      <w:r>
        <w:rPr>
          <w:rFonts w:hint="eastAsia" w:ascii="宋体" w:hAnsi="宋体" w:cs="宋体"/>
          <w:bCs/>
          <w:color w:val="auto"/>
          <w:szCs w:val="21"/>
          <w:highlight w:val="none"/>
        </w:rPr>
        <w:t>1）报价按年度费用综合测算报价。</w:t>
      </w:r>
    </w:p>
    <w:p>
      <w:pPr>
        <w:autoSpaceDE w:val="0"/>
        <w:autoSpaceDN w:val="0"/>
        <w:snapToGrid w:val="0"/>
        <w:spacing w:line="360" w:lineRule="auto"/>
        <w:ind w:firstLine="562"/>
        <w:rPr>
          <w:rFonts w:ascii="宋体" w:hAnsi="宋体" w:cs="宋体"/>
          <w:bCs/>
          <w:color w:val="auto"/>
          <w:szCs w:val="21"/>
          <w:highlight w:val="none"/>
        </w:rPr>
      </w:pPr>
      <w:r>
        <w:rPr>
          <w:rFonts w:hint="eastAsia" w:ascii="宋体" w:hAnsi="宋体" w:cs="宋体"/>
          <w:bCs/>
          <w:color w:val="auto"/>
          <w:szCs w:val="21"/>
          <w:highlight w:val="none"/>
        </w:rPr>
        <w:t>2）投入的驻点负责人需为中级及以上职称，且不得自行更换。</w:t>
      </w:r>
    </w:p>
    <w:p>
      <w:pPr>
        <w:autoSpaceDE w:val="0"/>
        <w:autoSpaceDN w:val="0"/>
        <w:snapToGrid w:val="0"/>
        <w:spacing w:line="360" w:lineRule="auto"/>
        <w:ind w:firstLine="562"/>
        <w:rPr>
          <w:rFonts w:ascii="宋体" w:hAnsi="宋体" w:cs="宋体"/>
          <w:bCs/>
          <w:color w:val="auto"/>
          <w:szCs w:val="21"/>
          <w:highlight w:val="none"/>
        </w:rPr>
      </w:pPr>
      <w:r>
        <w:rPr>
          <w:rFonts w:hint="eastAsia" w:ascii="宋体" w:hAnsi="宋体" w:cs="宋体"/>
          <w:bCs/>
          <w:color w:val="auto"/>
          <w:szCs w:val="21"/>
          <w:highlight w:val="none"/>
        </w:rPr>
        <w:t>3）供应商应承担其参加本招标活动自身所发生的费用。</w:t>
      </w:r>
    </w:p>
    <w:p>
      <w:pPr>
        <w:autoSpaceDE w:val="0"/>
        <w:autoSpaceDN w:val="0"/>
        <w:snapToGrid w:val="0"/>
        <w:spacing w:line="360" w:lineRule="auto"/>
        <w:ind w:firstLine="562"/>
        <w:rPr>
          <w:rFonts w:ascii="宋体" w:hAnsi="宋体" w:cs="宋体"/>
          <w:bCs/>
          <w:color w:val="auto"/>
          <w:szCs w:val="21"/>
          <w:highlight w:val="none"/>
        </w:rPr>
      </w:pPr>
      <w:r>
        <w:rPr>
          <w:rFonts w:hint="eastAsia" w:ascii="宋体" w:hAnsi="宋体" w:cs="宋体"/>
          <w:bCs/>
          <w:color w:val="auto"/>
          <w:szCs w:val="21"/>
          <w:highlight w:val="none"/>
        </w:rPr>
        <w:t>4）本次招标最高限价：180万元。超出最高限价的投标和不符合劳动法规（《</w:t>
      </w:r>
      <w:bookmarkStart w:id="82" w:name="OLE_LINK7"/>
      <w:r>
        <w:rPr>
          <w:rFonts w:hint="eastAsia" w:ascii="宋体" w:hAnsi="宋体" w:cs="宋体"/>
          <w:bCs/>
          <w:color w:val="auto"/>
          <w:szCs w:val="21"/>
          <w:highlight w:val="none"/>
        </w:rPr>
        <w:t>中华人民共和国劳动合同法</w:t>
      </w:r>
      <w:bookmarkEnd w:id="82"/>
      <w:r>
        <w:rPr>
          <w:rFonts w:hint="eastAsia" w:ascii="宋体" w:hAnsi="宋体" w:cs="宋体"/>
          <w:bCs/>
          <w:color w:val="auto"/>
          <w:szCs w:val="21"/>
          <w:highlight w:val="none"/>
        </w:rPr>
        <w:t>》、甬人社发[2014]85号文件、宁波市最低工资标准等）的投标将作无效投标处理。</w:t>
      </w:r>
    </w:p>
    <w:p>
      <w:pPr>
        <w:autoSpaceDE w:val="0"/>
        <w:autoSpaceDN w:val="0"/>
        <w:snapToGrid w:val="0"/>
        <w:spacing w:line="360" w:lineRule="auto"/>
        <w:ind w:firstLine="562"/>
        <w:rPr>
          <w:rFonts w:ascii="宋体" w:hAnsi="宋体" w:cs="宋体"/>
          <w:bCs/>
          <w:color w:val="auto"/>
          <w:szCs w:val="21"/>
          <w:highlight w:val="none"/>
        </w:rPr>
      </w:pPr>
      <w:r>
        <w:rPr>
          <w:rFonts w:hint="eastAsia" w:ascii="宋体" w:hAnsi="宋体" w:cs="宋体"/>
          <w:bCs/>
          <w:color w:val="auto"/>
          <w:szCs w:val="21"/>
          <w:highlight w:val="none"/>
        </w:rPr>
        <w:t>5）合同期满，经招标人考核合格并报采购管理部门备案后，合同可按中标金额续签一年，最多合计可续签2次。</w:t>
      </w:r>
    </w:p>
    <w:p>
      <w:pPr>
        <w:pStyle w:val="2"/>
        <w:spacing w:line="360" w:lineRule="auto"/>
        <w:rPr>
          <w:rFonts w:ascii="宋体" w:hAnsi="宋体" w:cs="宋体"/>
          <w:color w:val="auto"/>
          <w:sz w:val="21"/>
          <w:szCs w:val="21"/>
          <w:highlight w:val="none"/>
        </w:rPr>
      </w:pPr>
    </w:p>
    <w:p>
      <w:pPr>
        <w:pStyle w:val="2"/>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七、其他要求</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中标人制订的用工计划和用工管理，必须符合劳动法等法律法规的要求，与员工签订正规的劳动合同，负责支付上岗人员的工资、津贴、社会保险及根据国家规定应支付的各项费用。承担体检、培训费用，并负责办理上岗人员的暂住证、计划生育证明等有关证件。</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所有驻点人员的劳动关系、工作安排、工伤事故和一切意外伤害都与采购人无涉。</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中标人应承担其参加本招标活动自身所发生的费用,本次招标最高限价：180万元。超出最高限价的投标和不符合劳动法规（《中华人民共和国劳动合同法》、甬人社发[2014]85号文件、宁波市最低工资标准等）的投标将作无效投标处理。</w:t>
      </w:r>
    </w:p>
    <w:p>
      <w:pPr>
        <w:autoSpaceDE w:val="0"/>
        <w:autoSpaceDN w:val="0"/>
        <w:snapToGrid w:val="0"/>
        <w:spacing w:line="360" w:lineRule="auto"/>
        <w:ind w:firstLine="420" w:firstLineChars="200"/>
        <w:rPr>
          <w:rFonts w:hint="eastAsia" w:ascii="宋体" w:hAnsi="宋体" w:cs="宋体"/>
          <w:b/>
          <w:bCs w:val="0"/>
          <w:color w:val="auto"/>
          <w:szCs w:val="21"/>
          <w:highlight w:val="none"/>
          <w:lang w:val="en-US" w:eastAsia="zh-CN"/>
        </w:rPr>
      </w:pPr>
      <w:r>
        <w:rPr>
          <w:rFonts w:hint="eastAsia" w:ascii="宋体" w:hAnsi="宋体" w:cs="宋体"/>
          <w:b/>
          <w:bCs w:val="0"/>
          <w:color w:val="auto"/>
          <w:szCs w:val="21"/>
          <w:highlight w:val="none"/>
        </w:rPr>
        <w:t>4、某路口或路段交通拥堵或事故隐患治理方案</w:t>
      </w:r>
      <w:r>
        <w:rPr>
          <w:rFonts w:hint="eastAsia" w:ascii="宋体" w:hAnsi="宋体" w:cs="宋体"/>
          <w:b/>
          <w:bCs w:val="0"/>
          <w:color w:val="auto"/>
          <w:szCs w:val="21"/>
          <w:highlight w:val="none"/>
          <w:lang w:val="en-US" w:eastAsia="zh-CN"/>
        </w:rPr>
        <w:t>具体要求：</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自行排查某区域道路拥堵或事故隐患（任选其一）路口或路段，并编制拥堵治理或事故隐患治理</w:t>
      </w:r>
      <w:r>
        <w:rPr>
          <w:rFonts w:hint="eastAsia" w:ascii="宋体" w:hAnsi="宋体" w:cs="宋体"/>
          <w:bCs/>
          <w:color w:val="auto"/>
          <w:szCs w:val="21"/>
          <w:highlight w:val="none"/>
          <w:lang w:val="en-US" w:eastAsia="zh-CN"/>
        </w:rPr>
        <w:t>方案</w:t>
      </w:r>
      <w:r>
        <w:rPr>
          <w:rFonts w:hint="eastAsia" w:ascii="宋体" w:hAnsi="宋体" w:cs="宋体"/>
          <w:bCs/>
          <w:color w:val="auto"/>
          <w:szCs w:val="21"/>
          <w:highlight w:val="none"/>
        </w:rPr>
        <w:t>，提供</w:t>
      </w:r>
      <w:r>
        <w:rPr>
          <w:rFonts w:hint="eastAsia" w:ascii="宋体" w:hAnsi="宋体" w:cs="宋体"/>
          <w:bCs/>
          <w:color w:val="auto"/>
          <w:szCs w:val="21"/>
          <w:highlight w:val="none"/>
          <w:lang w:val="en-US" w:eastAsia="zh-CN"/>
        </w:rPr>
        <w:t>方案</w:t>
      </w:r>
      <w:r>
        <w:rPr>
          <w:rFonts w:hint="eastAsia" w:ascii="宋体" w:hAnsi="宋体" w:cs="宋体"/>
          <w:bCs/>
          <w:color w:val="auto"/>
          <w:szCs w:val="21"/>
          <w:highlight w:val="none"/>
        </w:rPr>
        <w:t>含大纲、文本初稿，其中</w:t>
      </w:r>
      <w:r>
        <w:rPr>
          <w:rFonts w:hint="eastAsia" w:ascii="宋体" w:hAnsi="宋体" w:cs="宋体"/>
          <w:bCs/>
          <w:color w:val="auto"/>
          <w:szCs w:val="21"/>
          <w:highlight w:val="none"/>
          <w:lang w:val="en-US" w:eastAsia="zh-CN"/>
        </w:rPr>
        <w:t>方案</w:t>
      </w:r>
      <w:r>
        <w:rPr>
          <w:rFonts w:hint="eastAsia" w:ascii="宋体" w:hAnsi="宋体" w:cs="宋体"/>
          <w:bCs/>
          <w:color w:val="auto"/>
          <w:szCs w:val="21"/>
          <w:highlight w:val="none"/>
        </w:rPr>
        <w:t>大纲为必须提供材料，内容自拟；投标人可自行某区域内某一个拥堵或事故隐患路段或路口，并撰写文本初稿，初稿内容包括但不限于节点交通概况、现状问题分析、交通治理原则、具体治理措施等，初稿中的治理措施应当符合我市交通环境特点，并结合现状问题分析，逐一提出针对性的整改、治理方案。</w:t>
      </w:r>
    </w:p>
    <w:p>
      <w:pPr>
        <w:numPr>
          <w:ilvl w:val="-1"/>
          <w:numId w:val="0"/>
        </w:numPr>
        <w:autoSpaceDE w:val="0"/>
        <w:autoSpaceDN w:val="0"/>
        <w:snapToGrid w:val="0"/>
        <w:spacing w:line="360" w:lineRule="auto"/>
        <w:ind w:firstLine="420" w:firstLineChars="200"/>
        <w:rPr>
          <w:rFonts w:hint="eastAsia" w:ascii="宋体" w:hAnsi="宋体" w:cs="宋体"/>
          <w:b/>
          <w:bCs w:val="0"/>
          <w:color w:val="auto"/>
          <w:szCs w:val="21"/>
          <w:highlight w:val="none"/>
        </w:rPr>
      </w:pPr>
      <w:bookmarkStart w:id="83" w:name="OLE_LINK65"/>
      <w:r>
        <w:rPr>
          <w:rFonts w:hint="eastAsia" w:ascii="宋体" w:hAnsi="宋体" w:cs="宋体"/>
          <w:b/>
          <w:bCs w:val="0"/>
          <w:color w:val="auto"/>
          <w:szCs w:val="21"/>
          <w:highlight w:val="none"/>
          <w:lang w:val="en-US" w:eastAsia="zh-CN"/>
        </w:rPr>
        <w:t>5、</w:t>
      </w:r>
      <w:r>
        <w:rPr>
          <w:rFonts w:hint="eastAsia" w:ascii="宋体" w:hAnsi="宋体" w:cs="宋体"/>
          <w:b/>
          <w:bCs w:val="0"/>
          <w:color w:val="auto"/>
          <w:szCs w:val="21"/>
          <w:highlight w:val="none"/>
        </w:rPr>
        <w:t>某非</w:t>
      </w:r>
      <w:bookmarkStart w:id="84" w:name="OLE_LINK42"/>
      <w:r>
        <w:rPr>
          <w:rFonts w:hint="eastAsia" w:ascii="宋体" w:hAnsi="宋体" w:cs="宋体"/>
          <w:b/>
          <w:bCs w:val="0"/>
          <w:color w:val="auto"/>
          <w:szCs w:val="21"/>
          <w:highlight w:val="none"/>
        </w:rPr>
        <w:t>现场处罚设备违法备案</w:t>
      </w:r>
      <w:bookmarkEnd w:id="84"/>
      <w:r>
        <w:rPr>
          <w:rFonts w:hint="eastAsia" w:ascii="宋体" w:hAnsi="宋体" w:cs="宋体"/>
          <w:b/>
          <w:bCs w:val="0"/>
          <w:color w:val="auto"/>
          <w:szCs w:val="21"/>
          <w:highlight w:val="none"/>
          <w:lang w:val="en-US" w:eastAsia="zh-CN"/>
        </w:rPr>
        <w:t>方案具体要求：</w:t>
      </w:r>
      <w:bookmarkEnd w:id="83"/>
    </w:p>
    <w:p>
      <w:pPr>
        <w:numPr>
          <w:ilvl w:val="-1"/>
          <w:numId w:val="0"/>
        </w:numPr>
        <w:autoSpaceDE w:val="0"/>
        <w:autoSpaceDN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自行选择某区域内任一路口的电子警察设备一套，制作相应的电子警察设备对于违法备案所需要的现场图</w:t>
      </w:r>
      <w:r>
        <w:rPr>
          <w:rFonts w:hint="eastAsia" w:ascii="宋体" w:hAnsi="宋体" w:cs="宋体"/>
          <w:bCs/>
          <w:color w:val="auto"/>
          <w:szCs w:val="21"/>
          <w:highlight w:val="none"/>
          <w:lang w:val="en-US" w:eastAsia="zh-CN"/>
        </w:rPr>
        <w:t>方案</w:t>
      </w:r>
      <w:r>
        <w:rPr>
          <w:rFonts w:hint="eastAsia" w:ascii="宋体" w:hAnsi="宋体" w:cs="宋体"/>
          <w:bCs/>
          <w:color w:val="auto"/>
          <w:szCs w:val="21"/>
          <w:highlight w:val="none"/>
        </w:rPr>
        <w:t>与概览图</w:t>
      </w:r>
      <w:r>
        <w:rPr>
          <w:rFonts w:hint="eastAsia" w:ascii="宋体" w:hAnsi="宋体" w:cs="宋体"/>
          <w:bCs/>
          <w:color w:val="auto"/>
          <w:szCs w:val="21"/>
          <w:highlight w:val="none"/>
          <w:lang w:val="en-US" w:eastAsia="zh-CN"/>
        </w:rPr>
        <w:t>方案</w:t>
      </w:r>
      <w:r>
        <w:rPr>
          <w:rFonts w:hint="eastAsia" w:ascii="宋体" w:hAnsi="宋体" w:cs="宋体"/>
          <w:bCs/>
          <w:color w:val="auto"/>
          <w:szCs w:val="21"/>
          <w:highlight w:val="none"/>
        </w:rPr>
        <w:t>。现场图中需具备设备图及交通标志与标线图，概览图需具备设备名称、设备点位、交通标志与标线等要素。</w:t>
      </w:r>
    </w:p>
    <w:bookmarkEnd w:id="71"/>
    <w:bookmarkEnd w:id="72"/>
    <w:bookmarkEnd w:id="73"/>
    <w:p>
      <w:pPr>
        <w:pStyle w:val="3"/>
        <w:spacing w:beforeLines="0" w:afterLines="0" w:line="360" w:lineRule="auto"/>
        <w:jc w:val="both"/>
        <w:rPr>
          <w:rFonts w:hint="eastAsia" w:ascii="宋体" w:hAnsi="宋体"/>
          <w:color w:val="auto"/>
          <w:sz w:val="32"/>
          <w:szCs w:val="32"/>
          <w:highlight w:val="none"/>
        </w:rPr>
      </w:pPr>
      <w:bookmarkStart w:id="85" w:name="_Toc298230958"/>
      <w:bookmarkStart w:id="86" w:name="_Toc14705"/>
    </w:p>
    <w:p>
      <w:pPr>
        <w:pStyle w:val="3"/>
        <w:spacing w:beforeLines="0" w:afterLines="0" w:line="360" w:lineRule="auto"/>
        <w:rPr>
          <w:rFonts w:ascii="宋体" w:hAnsi="宋体"/>
          <w:color w:val="auto"/>
          <w:sz w:val="32"/>
          <w:szCs w:val="32"/>
          <w:highlight w:val="none"/>
        </w:rPr>
      </w:pPr>
      <w:r>
        <w:rPr>
          <w:rFonts w:hint="eastAsia" w:ascii="宋体" w:hAnsi="宋体"/>
          <w:color w:val="auto"/>
          <w:sz w:val="32"/>
          <w:szCs w:val="32"/>
          <w:highlight w:val="none"/>
        </w:rPr>
        <w:br w:type="column"/>
      </w:r>
      <w:r>
        <w:rPr>
          <w:rFonts w:hint="eastAsia" w:ascii="宋体" w:hAnsi="宋体"/>
          <w:color w:val="auto"/>
          <w:sz w:val="32"/>
          <w:szCs w:val="32"/>
          <w:highlight w:val="none"/>
        </w:rPr>
        <w:t>第三部分  投标资料表</w:t>
      </w:r>
      <w:bookmarkEnd w:id="85"/>
      <w:bookmarkEnd w:id="86"/>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本部分关于本次招标项目的具体要求是对 “投标人须知</w:t>
      </w:r>
      <w:r>
        <w:rPr>
          <w:rFonts w:ascii="宋体" w:hAnsi="宋体"/>
          <w:color w:val="auto"/>
          <w:szCs w:val="21"/>
          <w:highlight w:val="none"/>
        </w:rPr>
        <w:t>”</w:t>
      </w:r>
      <w:r>
        <w:rPr>
          <w:rFonts w:hint="eastAsia" w:ascii="宋体" w:hAnsi="宋体"/>
          <w:color w:val="auto"/>
          <w:szCs w:val="21"/>
          <w:highlight w:val="none"/>
        </w:rPr>
        <w:t>和</w:t>
      </w:r>
      <w:r>
        <w:rPr>
          <w:rFonts w:ascii="宋体" w:hAnsi="宋体"/>
          <w:color w:val="auto"/>
          <w:szCs w:val="21"/>
          <w:highlight w:val="none"/>
        </w:rPr>
        <w:t>“</w:t>
      </w:r>
      <w:r>
        <w:rPr>
          <w:rFonts w:hint="eastAsia" w:ascii="宋体" w:hAnsi="宋体"/>
          <w:color w:val="auto"/>
          <w:szCs w:val="21"/>
          <w:highlight w:val="none"/>
        </w:rPr>
        <w:t>合同格式</w:t>
      </w:r>
      <w:r>
        <w:rPr>
          <w:rFonts w:ascii="宋体" w:hAnsi="宋体"/>
          <w:color w:val="auto"/>
          <w:szCs w:val="21"/>
          <w:highlight w:val="none"/>
        </w:rPr>
        <w:t>”</w:t>
      </w:r>
      <w:r>
        <w:rPr>
          <w:rFonts w:hint="eastAsia" w:ascii="宋体" w:hAnsi="宋体"/>
          <w:color w:val="auto"/>
          <w:szCs w:val="21"/>
          <w:highlight w:val="none"/>
        </w:rPr>
        <w:t>的相关条款的补充和修改，如有矛盾，应以此为准。</w:t>
      </w:r>
    </w:p>
    <w:tbl>
      <w:tblPr>
        <w:tblStyle w:val="34"/>
        <w:tblW w:w="8613" w:type="dxa"/>
        <w:tblInd w:w="0" w:type="dxa"/>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7512"/>
      </w:tblGrid>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0" w:hRule="atLeast"/>
          <w:tblHeader/>
        </w:trPr>
        <w:tc>
          <w:tcPr>
            <w:tcW w:w="1101"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7512" w:type="dxa"/>
            <w:vAlign w:val="center"/>
          </w:tcPr>
          <w:p>
            <w:pPr>
              <w:spacing w:line="380" w:lineRule="exact"/>
              <w:jc w:val="center"/>
              <w:rPr>
                <w:rFonts w:ascii="宋体" w:hAnsi="宋体" w:cs="宋体"/>
                <w:b/>
                <w:color w:val="auto"/>
                <w:szCs w:val="21"/>
                <w:highlight w:val="none"/>
              </w:rPr>
            </w:pPr>
            <w:r>
              <w:rPr>
                <w:rFonts w:hint="eastAsia" w:ascii="宋体" w:hAnsi="宋体" w:cs="宋体"/>
                <w:b/>
                <w:color w:val="auto"/>
                <w:szCs w:val="21"/>
                <w:highlight w:val="none"/>
              </w:rPr>
              <w:t>条款内容</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Merge w:val="restart"/>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7512" w:type="dxa"/>
            <w:vAlign w:val="center"/>
          </w:tcPr>
          <w:p>
            <w:pPr>
              <w:spacing w:line="380" w:lineRule="exact"/>
              <w:rPr>
                <w:rFonts w:ascii="宋体" w:hAnsi="宋体" w:cs="宋体"/>
                <w:color w:val="auto"/>
                <w:highlight w:val="none"/>
              </w:rPr>
            </w:pPr>
            <w:r>
              <w:rPr>
                <w:rFonts w:hint="eastAsia" w:ascii="宋体" w:hAnsi="宋体"/>
                <w:color w:val="auto"/>
                <w:highlight w:val="none"/>
              </w:rPr>
              <w:t>采购人：</w:t>
            </w:r>
            <w:r>
              <w:rPr>
                <w:rFonts w:hint="eastAsia" w:ascii="宋体" w:hAnsi="宋体" w:cs="宋体"/>
                <w:color w:val="auto"/>
                <w:highlight w:val="none"/>
              </w:rPr>
              <w:t>宁波市公安局交通警察局</w:t>
            </w:r>
          </w:p>
          <w:p>
            <w:pPr>
              <w:spacing w:line="380" w:lineRule="exact"/>
              <w:rPr>
                <w:rFonts w:hint="eastAsia" w:ascii="宋体" w:hAnsi="宋体" w:eastAsia="宋体"/>
                <w:color w:val="auto"/>
                <w:highlight w:val="none"/>
                <w:lang w:eastAsia="zh-CN"/>
              </w:rPr>
            </w:pPr>
            <w:r>
              <w:rPr>
                <w:rFonts w:hint="eastAsia" w:ascii="宋体" w:hAnsi="宋体"/>
                <w:color w:val="auto"/>
                <w:highlight w:val="none"/>
              </w:rPr>
              <w:t>地  址：</w:t>
            </w:r>
            <w:r>
              <w:rPr>
                <w:rFonts w:hint="eastAsia" w:ascii="宋体" w:hAnsi="宋体" w:cs="宋体"/>
                <w:color w:val="auto"/>
                <w:kern w:val="0"/>
                <w:szCs w:val="21"/>
                <w:highlight w:val="none"/>
                <w:lang w:eastAsia="zh-CN"/>
              </w:rPr>
              <w:t>王隘路28号</w:t>
            </w:r>
          </w:p>
          <w:p>
            <w:pPr>
              <w:spacing w:line="380" w:lineRule="exact"/>
              <w:rPr>
                <w:rFonts w:ascii="宋体" w:hAnsi="宋体" w:cs="Arial"/>
                <w:color w:val="auto"/>
                <w:szCs w:val="21"/>
                <w:highlight w:val="none"/>
              </w:rPr>
            </w:pPr>
            <w:r>
              <w:rPr>
                <w:rFonts w:hint="eastAsia" w:ascii="宋体" w:hAnsi="宋体"/>
                <w:color w:val="auto"/>
                <w:highlight w:val="none"/>
              </w:rPr>
              <w:t>电</w:t>
            </w:r>
            <w:r>
              <w:rPr>
                <w:rFonts w:hint="eastAsia" w:ascii="宋体" w:hAnsi="宋体" w:cs="Arial"/>
                <w:color w:val="auto"/>
                <w:szCs w:val="21"/>
                <w:highlight w:val="none"/>
              </w:rPr>
              <w:t xml:space="preserve">  话：</w:t>
            </w:r>
            <w:r>
              <w:rPr>
                <w:rFonts w:ascii="宋体" w:hAnsi="宋体" w:cs="宋体"/>
                <w:color w:val="auto"/>
                <w:kern w:val="0"/>
                <w:szCs w:val="21"/>
                <w:highlight w:val="none"/>
              </w:rPr>
              <w:t>0574-</w:t>
            </w:r>
            <w:r>
              <w:rPr>
                <w:rFonts w:hint="eastAsia" w:ascii="宋体" w:hAnsi="宋体" w:cs="宋体"/>
                <w:color w:val="auto"/>
                <w:kern w:val="0"/>
                <w:szCs w:val="21"/>
                <w:highlight w:val="none"/>
              </w:rPr>
              <w:t>81981206</w:t>
            </w:r>
          </w:p>
          <w:p>
            <w:pPr>
              <w:spacing w:line="380" w:lineRule="exact"/>
              <w:rPr>
                <w:rFonts w:ascii="宋体" w:hAnsi="宋体" w:cs="Arial"/>
                <w:color w:val="auto"/>
                <w:szCs w:val="21"/>
                <w:highlight w:val="none"/>
              </w:rPr>
            </w:pPr>
            <w:r>
              <w:rPr>
                <w:rFonts w:hint="eastAsia" w:ascii="宋体" w:hAnsi="宋体" w:cs="Arial"/>
                <w:color w:val="auto"/>
                <w:szCs w:val="21"/>
                <w:highlight w:val="none"/>
              </w:rPr>
              <w:t>联系人：方老师、朱老师、何老师</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37" w:hRule="atLeast"/>
        </w:trPr>
        <w:tc>
          <w:tcPr>
            <w:tcW w:w="1101" w:type="dxa"/>
            <w:vMerge w:val="continue"/>
            <w:vAlign w:val="center"/>
          </w:tcPr>
          <w:p>
            <w:pPr>
              <w:spacing w:line="380" w:lineRule="exact"/>
              <w:jc w:val="center"/>
              <w:rPr>
                <w:rFonts w:ascii="宋体" w:hAnsi="宋体" w:cs="宋体"/>
                <w:color w:val="auto"/>
                <w:szCs w:val="21"/>
                <w:highlight w:val="none"/>
              </w:rPr>
            </w:pPr>
          </w:p>
        </w:tc>
        <w:tc>
          <w:tcPr>
            <w:tcW w:w="7512" w:type="dxa"/>
            <w:vAlign w:val="center"/>
          </w:tcPr>
          <w:p>
            <w:pPr>
              <w:spacing w:line="380" w:lineRule="exact"/>
              <w:rPr>
                <w:rFonts w:ascii="宋体" w:hAnsi="宋体"/>
                <w:color w:val="auto"/>
                <w:highlight w:val="none"/>
                <w:u w:val="single"/>
              </w:rPr>
            </w:pPr>
            <w:r>
              <w:rPr>
                <w:rFonts w:hint="eastAsia" w:ascii="宋体" w:hAnsi="宋体"/>
                <w:color w:val="auto"/>
                <w:highlight w:val="none"/>
              </w:rPr>
              <w:t>采购代理机构名称：宁波国际投资咨询有限公司</w:t>
            </w:r>
          </w:p>
          <w:p>
            <w:pPr>
              <w:spacing w:line="380" w:lineRule="exact"/>
              <w:rPr>
                <w:rFonts w:ascii="宋体" w:hAnsi="宋体" w:cs="宋体"/>
                <w:bCs/>
                <w:color w:val="auto"/>
                <w:highlight w:val="none"/>
              </w:rPr>
            </w:pPr>
            <w:r>
              <w:rPr>
                <w:rFonts w:hint="eastAsia" w:ascii="宋体" w:hAnsi="宋体"/>
                <w:color w:val="auto"/>
                <w:szCs w:val="21"/>
                <w:highlight w:val="none"/>
              </w:rPr>
              <w:t>地    址：</w:t>
            </w:r>
            <w:r>
              <w:rPr>
                <w:rFonts w:hint="eastAsia" w:ascii="宋体" w:hAnsi="宋体" w:cs="Arial"/>
                <w:color w:val="auto"/>
                <w:szCs w:val="21"/>
                <w:highlight w:val="none"/>
              </w:rPr>
              <w:t>宁波市世纪大道北段555号名汇东方大厦19楼1920室</w:t>
            </w:r>
          </w:p>
          <w:p>
            <w:pPr>
              <w:spacing w:line="380" w:lineRule="exact"/>
              <w:rPr>
                <w:rFonts w:ascii="宋体" w:hAnsi="宋体"/>
                <w:color w:val="auto"/>
                <w:szCs w:val="21"/>
                <w:highlight w:val="none"/>
              </w:rPr>
            </w:pPr>
            <w:r>
              <w:rPr>
                <w:rFonts w:hint="eastAsia" w:ascii="宋体" w:hAnsi="宋体"/>
                <w:color w:val="auto"/>
                <w:szCs w:val="21"/>
                <w:highlight w:val="none"/>
              </w:rPr>
              <w:t>邮    编：315040</w:t>
            </w:r>
          </w:p>
          <w:p>
            <w:pPr>
              <w:spacing w:line="380" w:lineRule="exact"/>
              <w:rPr>
                <w:rFonts w:ascii="宋体" w:hAnsi="宋体"/>
                <w:color w:val="auto"/>
                <w:szCs w:val="21"/>
                <w:highlight w:val="none"/>
              </w:rPr>
            </w:pPr>
            <w:r>
              <w:rPr>
                <w:rFonts w:hint="eastAsia" w:ascii="宋体" w:hAnsi="宋体"/>
                <w:color w:val="auto"/>
                <w:szCs w:val="21"/>
                <w:highlight w:val="none"/>
              </w:rPr>
              <w:t>电    话：</w:t>
            </w:r>
            <w:r>
              <w:rPr>
                <w:rFonts w:hint="eastAsia" w:ascii="宋体" w:hAnsi="宋体" w:cs="宋体"/>
                <w:color w:val="auto"/>
                <w:szCs w:val="21"/>
                <w:highlight w:val="none"/>
              </w:rPr>
              <w:t>0574－87298907</w:t>
            </w:r>
          </w:p>
          <w:p>
            <w:pPr>
              <w:spacing w:line="380" w:lineRule="exact"/>
              <w:rPr>
                <w:rFonts w:ascii="宋体" w:hAnsi="宋体"/>
                <w:color w:val="auto"/>
                <w:szCs w:val="21"/>
                <w:highlight w:val="none"/>
              </w:rPr>
            </w:pPr>
            <w:r>
              <w:rPr>
                <w:rFonts w:hint="eastAsia" w:ascii="宋体" w:hAnsi="宋体"/>
                <w:color w:val="auto"/>
                <w:szCs w:val="21"/>
                <w:highlight w:val="none"/>
              </w:rPr>
              <w:t>电子邮件：</w:t>
            </w:r>
            <w:r>
              <w:rPr>
                <w:rFonts w:hint="eastAsia" w:ascii="宋体" w:hAnsi="宋体" w:cs="宋体"/>
                <w:color w:val="auto"/>
                <w:highlight w:val="none"/>
              </w:rPr>
              <w:t>563313963@qq.com</w:t>
            </w:r>
          </w:p>
          <w:p>
            <w:pPr>
              <w:spacing w:line="380" w:lineRule="exact"/>
              <w:rPr>
                <w:rFonts w:ascii="宋体" w:hAnsi="宋体" w:cs="宋体"/>
                <w:color w:val="auto"/>
                <w:szCs w:val="21"/>
                <w:highlight w:val="none"/>
              </w:rPr>
            </w:pPr>
            <w:r>
              <w:rPr>
                <w:rFonts w:hint="eastAsia" w:ascii="宋体" w:hAnsi="宋体"/>
                <w:color w:val="auto"/>
                <w:szCs w:val="21"/>
                <w:highlight w:val="none"/>
              </w:rPr>
              <w:t>联 系 人：</w:t>
            </w:r>
            <w:bookmarkStart w:id="87" w:name="OLE_LINK39"/>
            <w:r>
              <w:rPr>
                <w:rFonts w:hint="eastAsia" w:ascii="宋体" w:hAnsi="宋体" w:cs="宋体"/>
                <w:color w:val="auto"/>
                <w:highlight w:val="none"/>
              </w:rPr>
              <w:t>史梦铅、邱晔、沈鑫侃、马森</w:t>
            </w:r>
            <w:bookmarkEnd w:id="87"/>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6" w:hRule="atLeast"/>
        </w:trPr>
        <w:tc>
          <w:tcPr>
            <w:tcW w:w="1101" w:type="dxa"/>
            <w:vMerge w:val="continue"/>
            <w:vAlign w:val="center"/>
          </w:tcPr>
          <w:p>
            <w:pPr>
              <w:spacing w:line="380" w:lineRule="exact"/>
              <w:jc w:val="center"/>
              <w:rPr>
                <w:rFonts w:ascii="宋体" w:hAnsi="宋体" w:cs="宋体"/>
                <w:color w:val="auto"/>
                <w:szCs w:val="21"/>
                <w:highlight w:val="none"/>
              </w:rPr>
            </w:pPr>
          </w:p>
        </w:tc>
        <w:tc>
          <w:tcPr>
            <w:tcW w:w="7512" w:type="dxa"/>
            <w:vAlign w:val="center"/>
          </w:tcPr>
          <w:p>
            <w:pPr>
              <w:adjustRightInd w:val="0"/>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项目名称：宁波市公安局交通警察局2025年市三区重大活动交通安全及方案咨询项目</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3.1</w:t>
            </w:r>
          </w:p>
        </w:tc>
        <w:tc>
          <w:tcPr>
            <w:tcW w:w="7512" w:type="dxa"/>
            <w:vAlign w:val="center"/>
          </w:tcPr>
          <w:p>
            <w:pPr>
              <w:spacing w:line="380" w:lineRule="exact"/>
              <w:jc w:val="left"/>
              <w:rPr>
                <w:rFonts w:ascii="宋体" w:hAnsi="宋体"/>
                <w:color w:val="auto"/>
                <w:szCs w:val="21"/>
                <w:highlight w:val="none"/>
              </w:rPr>
            </w:pPr>
            <w:r>
              <w:rPr>
                <w:rFonts w:hint="eastAsia" w:ascii="宋体" w:hAnsi="宋体"/>
                <w:color w:val="auto"/>
                <w:szCs w:val="21"/>
                <w:highlight w:val="none"/>
              </w:rPr>
              <w:t>招标范围：详见招标文件第二部分“招标项目需求”。</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line="380" w:lineRule="exact"/>
              <w:jc w:val="center"/>
              <w:rPr>
                <w:rFonts w:ascii="宋体" w:hAnsi="宋体" w:cs="宋体"/>
                <w:color w:val="auto"/>
                <w:szCs w:val="21"/>
                <w:highlight w:val="none"/>
              </w:rPr>
            </w:pPr>
            <w:r>
              <w:rPr>
                <w:rFonts w:ascii="宋体" w:hAnsi="宋体"/>
                <w:b/>
                <w:color w:val="auto"/>
                <w:highlight w:val="none"/>
              </w:rPr>
              <w:t>★</w:t>
            </w:r>
            <w:r>
              <w:rPr>
                <w:rFonts w:hint="eastAsia" w:ascii="宋体" w:hAnsi="宋体" w:cs="宋体"/>
                <w:color w:val="auto"/>
                <w:szCs w:val="21"/>
                <w:highlight w:val="none"/>
              </w:rPr>
              <w:t>3.2</w:t>
            </w:r>
          </w:p>
        </w:tc>
        <w:tc>
          <w:tcPr>
            <w:tcW w:w="7512" w:type="dxa"/>
            <w:vAlign w:val="center"/>
          </w:tcPr>
          <w:p>
            <w:pPr>
              <w:spacing w:line="380" w:lineRule="exact"/>
              <w:jc w:val="left"/>
              <w:rPr>
                <w:rFonts w:ascii="宋体" w:hAnsi="宋体"/>
                <w:color w:val="auto"/>
                <w:szCs w:val="21"/>
                <w:highlight w:val="none"/>
              </w:rPr>
            </w:pPr>
            <w:r>
              <w:rPr>
                <w:rFonts w:ascii="宋体" w:hAnsi="宋体"/>
                <w:color w:val="auto"/>
                <w:szCs w:val="21"/>
                <w:highlight w:val="none"/>
              </w:rPr>
              <w:t>本项目不允许转包</w:t>
            </w:r>
            <w:r>
              <w:rPr>
                <w:rFonts w:hint="eastAsia" w:ascii="宋体" w:hAnsi="宋体"/>
                <w:color w:val="auto"/>
                <w:szCs w:val="21"/>
                <w:highlight w:val="none"/>
              </w:rPr>
              <w:t>，未经采购人同意，不允许分包；</w:t>
            </w:r>
            <w:r>
              <w:rPr>
                <w:rFonts w:hint="eastAsia" w:ascii="宋体" w:hAnsi="宋体" w:cs="宋体"/>
                <w:bCs/>
                <w:color w:val="auto"/>
                <w:szCs w:val="21"/>
                <w:highlight w:val="none"/>
              </w:rPr>
              <w:t>若经采购人发现，采购人可终止合同。</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line="380" w:lineRule="exact"/>
              <w:jc w:val="center"/>
              <w:rPr>
                <w:rFonts w:ascii="宋体" w:hAnsi="宋体" w:cs="宋体"/>
                <w:color w:val="auto"/>
                <w:szCs w:val="21"/>
                <w:highlight w:val="none"/>
              </w:rPr>
            </w:pPr>
            <w:bookmarkStart w:id="88" w:name="OLE_LINK41"/>
            <w:r>
              <w:rPr>
                <w:rFonts w:ascii="宋体" w:hAnsi="宋体"/>
                <w:b/>
                <w:color w:val="auto"/>
                <w:highlight w:val="none"/>
              </w:rPr>
              <w:t>★</w:t>
            </w:r>
            <w:bookmarkEnd w:id="88"/>
            <w:r>
              <w:rPr>
                <w:rFonts w:hint="eastAsia" w:ascii="宋体" w:hAnsi="宋体" w:cs="宋体"/>
                <w:color w:val="auto"/>
                <w:szCs w:val="21"/>
                <w:highlight w:val="none"/>
              </w:rPr>
              <w:t>4.1</w:t>
            </w:r>
          </w:p>
        </w:tc>
        <w:tc>
          <w:tcPr>
            <w:tcW w:w="7512" w:type="dxa"/>
            <w:vAlign w:val="center"/>
          </w:tcPr>
          <w:p>
            <w:pPr>
              <w:spacing w:line="380" w:lineRule="exact"/>
              <w:rPr>
                <w:rFonts w:ascii="宋体" w:hAnsi="宋体"/>
                <w:color w:val="auto"/>
                <w:highlight w:val="none"/>
              </w:rPr>
            </w:pPr>
            <w:r>
              <w:rPr>
                <w:rFonts w:hint="eastAsia" w:ascii="宋体" w:hAnsi="宋体"/>
                <w:color w:val="auto"/>
                <w:highlight w:val="none"/>
              </w:rPr>
              <w:t xml:space="preserve">合格投标人的资格要求（本项目采用资格后审）：详见采购公告“二、申请人的资格要求”                   </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PrEx>
        <w:trPr>
          <w:trHeight w:val="600" w:hRule="atLeast"/>
        </w:trPr>
        <w:tc>
          <w:tcPr>
            <w:tcW w:w="1101"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8.1</w:t>
            </w:r>
          </w:p>
        </w:tc>
        <w:tc>
          <w:tcPr>
            <w:tcW w:w="7512" w:type="dxa"/>
            <w:vAlign w:val="center"/>
          </w:tcPr>
          <w:p>
            <w:pPr>
              <w:spacing w:line="380" w:lineRule="exact"/>
              <w:jc w:val="left"/>
              <w:rPr>
                <w:rFonts w:ascii="宋体" w:hAnsi="宋体"/>
                <w:color w:val="auto"/>
                <w:szCs w:val="21"/>
                <w:highlight w:val="none"/>
              </w:rPr>
            </w:pPr>
            <w:r>
              <w:rPr>
                <w:rFonts w:hint="eastAsia" w:ascii="宋体" w:hAnsi="宋体"/>
                <w:color w:val="auto"/>
                <w:szCs w:val="21"/>
                <w:highlight w:val="none"/>
              </w:rPr>
              <w:t>现场考察：不组织</w:t>
            </w:r>
          </w:p>
          <w:p>
            <w:pPr>
              <w:spacing w:line="380" w:lineRule="exact"/>
              <w:jc w:val="left"/>
              <w:rPr>
                <w:rFonts w:ascii="宋体" w:hAnsi="宋体"/>
                <w:color w:val="auto"/>
                <w:szCs w:val="21"/>
                <w:highlight w:val="none"/>
              </w:rPr>
            </w:pPr>
            <w:r>
              <w:rPr>
                <w:rFonts w:hint="eastAsia" w:ascii="宋体" w:hAnsi="宋体"/>
                <w:color w:val="auto"/>
                <w:szCs w:val="21"/>
                <w:highlight w:val="none"/>
              </w:rPr>
              <w:t>答疑会：</w:t>
            </w:r>
            <w:r>
              <w:rPr>
                <w:rFonts w:hint="eastAsia" w:ascii="宋体" w:hAnsi="宋体" w:cs="宋体"/>
                <w:color w:val="auto"/>
                <w:szCs w:val="21"/>
                <w:highlight w:val="none"/>
              </w:rPr>
              <w:t>不组织</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line="380" w:lineRule="exact"/>
              <w:jc w:val="center"/>
              <w:rPr>
                <w:rFonts w:ascii="宋体" w:hAnsi="宋体" w:cs="宋体"/>
                <w:color w:val="auto"/>
                <w:szCs w:val="21"/>
                <w:highlight w:val="none"/>
              </w:rPr>
            </w:pPr>
            <w:r>
              <w:rPr>
                <w:rFonts w:ascii="宋体" w:hAnsi="宋体"/>
                <w:b/>
                <w:color w:val="auto"/>
                <w:highlight w:val="none"/>
              </w:rPr>
              <w:t>★</w:t>
            </w:r>
            <w:r>
              <w:rPr>
                <w:rFonts w:hint="eastAsia" w:ascii="宋体" w:hAnsi="宋体" w:cs="宋体"/>
                <w:color w:val="auto"/>
                <w:szCs w:val="21"/>
                <w:highlight w:val="none"/>
              </w:rPr>
              <w:t>9.1</w:t>
            </w:r>
          </w:p>
        </w:tc>
        <w:tc>
          <w:tcPr>
            <w:tcW w:w="7512" w:type="dxa"/>
            <w:vAlign w:val="center"/>
          </w:tcPr>
          <w:p>
            <w:pPr>
              <w:widowControl/>
              <w:spacing w:line="380" w:lineRule="exact"/>
              <w:rPr>
                <w:rFonts w:ascii="宋体" w:hAnsi="宋体" w:cs="宋体"/>
                <w:color w:val="auto"/>
                <w:highlight w:val="none"/>
              </w:rPr>
            </w:pPr>
            <w:r>
              <w:rPr>
                <w:rFonts w:hint="eastAsia" w:ascii="宋体" w:hAnsi="宋体" w:cs="宋体"/>
                <w:color w:val="auto"/>
                <w:highlight w:val="none"/>
              </w:rPr>
              <w:t>投标文件组成：本项目实行网上投标，投标人应准备以下投标文件：</w:t>
            </w:r>
          </w:p>
          <w:p>
            <w:pPr>
              <w:widowControl/>
              <w:spacing w:line="380" w:lineRule="exact"/>
              <w:jc w:val="left"/>
              <w:rPr>
                <w:rFonts w:ascii="宋体" w:hAnsi="宋体" w:cs="宋体"/>
                <w:color w:val="auto"/>
                <w:highlight w:val="none"/>
              </w:rPr>
            </w:pPr>
            <w:r>
              <w:rPr>
                <w:rFonts w:hint="eastAsia" w:ascii="宋体" w:hAnsi="宋体" w:cs="宋体"/>
                <w:color w:val="auto"/>
                <w:highlight w:val="none"/>
              </w:rPr>
              <w:t>9.1.1.资格文件</w:t>
            </w:r>
          </w:p>
          <w:p>
            <w:pPr>
              <w:widowControl/>
              <w:spacing w:line="380" w:lineRule="exact"/>
              <w:ind w:firstLine="420" w:firstLineChars="200"/>
              <w:jc w:val="left"/>
              <w:rPr>
                <w:rFonts w:ascii="宋体" w:hAnsi="宋体" w:cs="宋体"/>
                <w:color w:val="auto"/>
                <w:highlight w:val="none"/>
              </w:rPr>
            </w:pPr>
            <w:r>
              <w:rPr>
                <w:rFonts w:hint="eastAsia" w:ascii="宋体" w:hAnsi="宋体" w:cs="宋体"/>
                <w:color w:val="auto"/>
                <w:highlight w:val="none"/>
              </w:rPr>
              <w:t>（1）符合参加政府采购活动应当具备的一般条件的承诺函；</w:t>
            </w:r>
          </w:p>
          <w:p>
            <w:pPr>
              <w:widowControl/>
              <w:spacing w:line="380" w:lineRule="exact"/>
              <w:ind w:firstLine="420" w:firstLineChars="200"/>
              <w:jc w:val="left"/>
              <w:rPr>
                <w:rFonts w:ascii="宋体" w:hAnsi="宋体" w:cs="宋体"/>
                <w:color w:val="auto"/>
                <w:highlight w:val="none"/>
              </w:rPr>
            </w:pPr>
            <w:r>
              <w:rPr>
                <w:rFonts w:hint="eastAsia" w:ascii="宋体" w:hAnsi="宋体" w:cs="宋体"/>
                <w:color w:val="auto"/>
                <w:highlight w:val="none"/>
              </w:rPr>
              <w:t>（2）有效的企业法人营业执照（或事业法人登记证）、其他组织（个体工商户的营业执照或者民办非企业单位登记证书复印件。投标人如果有名称变更的，应提供由行政主管部门出具的变更证明文件；</w:t>
            </w:r>
          </w:p>
          <w:p>
            <w:pPr>
              <w:widowControl/>
              <w:spacing w:line="380" w:lineRule="exact"/>
              <w:ind w:firstLine="420" w:firstLineChars="200"/>
              <w:jc w:val="left"/>
              <w:rPr>
                <w:rFonts w:ascii="宋体" w:hAnsi="宋体" w:cs="宋体"/>
                <w:color w:val="auto"/>
                <w:highlight w:val="none"/>
              </w:rPr>
            </w:pPr>
            <w:r>
              <w:rPr>
                <w:rFonts w:hint="eastAsia" w:ascii="宋体" w:hAnsi="宋体" w:cs="宋体"/>
                <w:color w:val="auto"/>
                <w:highlight w:val="none"/>
              </w:rPr>
              <w:t>（3）落实政府采购政策需满足的资格要求：</w:t>
            </w:r>
            <w:bookmarkStart w:id="89" w:name="OLE_LINK43"/>
            <w:r>
              <w:rPr>
                <w:rFonts w:hint="eastAsia"/>
                <w:color w:val="auto"/>
                <w:highlight w:val="none"/>
              </w:rPr>
              <w:t>中小企业声明函</w:t>
            </w:r>
            <w:bookmarkEnd w:id="89"/>
            <w:r>
              <w:rPr>
                <w:rFonts w:hint="eastAsia"/>
                <w:color w:val="auto"/>
                <w:highlight w:val="none"/>
              </w:rPr>
              <w:t>；</w:t>
            </w:r>
          </w:p>
          <w:p>
            <w:pPr>
              <w:widowControl/>
              <w:spacing w:line="380" w:lineRule="exact"/>
              <w:ind w:firstLine="420" w:firstLineChars="200"/>
              <w:jc w:val="left"/>
              <w:rPr>
                <w:rFonts w:ascii="宋体" w:hAnsi="宋体" w:cs="宋体"/>
                <w:color w:val="auto"/>
                <w:highlight w:val="none"/>
              </w:rPr>
            </w:pPr>
            <w:r>
              <w:rPr>
                <w:rFonts w:hint="eastAsia" w:ascii="宋体" w:hAnsi="宋体" w:cs="宋体"/>
                <w:color w:val="auto"/>
                <w:highlight w:val="none"/>
              </w:rPr>
              <w:t>（4）投标人的特定条件的证明文件：</w:t>
            </w:r>
            <w:r>
              <w:rPr>
                <w:rFonts w:hint="eastAsia" w:ascii="宋体" w:hAnsi="宋体" w:cs="宋体"/>
                <w:color w:val="auto"/>
                <w:szCs w:val="21"/>
                <w:highlight w:val="none"/>
              </w:rPr>
              <w:t>无；</w:t>
            </w:r>
          </w:p>
          <w:p>
            <w:pPr>
              <w:widowControl/>
              <w:spacing w:line="380" w:lineRule="exact"/>
              <w:jc w:val="left"/>
              <w:rPr>
                <w:rFonts w:ascii="宋体" w:hAnsi="宋体" w:cs="宋体"/>
                <w:color w:val="auto"/>
                <w:highlight w:val="none"/>
              </w:rPr>
            </w:pPr>
            <w:r>
              <w:rPr>
                <w:rFonts w:hint="eastAsia" w:ascii="宋体" w:hAnsi="宋体" w:cs="宋体"/>
                <w:color w:val="auto"/>
                <w:highlight w:val="none"/>
              </w:rPr>
              <w:t>9.1.2.商务技术文件</w:t>
            </w:r>
          </w:p>
          <w:p>
            <w:pPr>
              <w:widowControl/>
              <w:spacing w:line="380" w:lineRule="exact"/>
              <w:ind w:firstLine="420" w:firstLineChars="200"/>
              <w:jc w:val="left"/>
              <w:rPr>
                <w:rFonts w:ascii="宋体" w:hAnsi="宋体" w:cs="宋体"/>
                <w:color w:val="auto"/>
                <w:highlight w:val="none"/>
              </w:rPr>
            </w:pPr>
            <w:r>
              <w:rPr>
                <w:rFonts w:hint="eastAsia" w:ascii="宋体" w:hAnsi="宋体" w:cs="宋体"/>
                <w:color w:val="auto"/>
                <w:highlight w:val="none"/>
              </w:rPr>
              <w:t>（1）单位负责人的身份证明或单位负责人授权书（投标人的代表若不为单位负责人的，必须提交单位负责人授权书），并提供单位负责人和授权代表的身份证正反两面复印件；</w:t>
            </w:r>
          </w:p>
          <w:p>
            <w:pPr>
              <w:widowControl/>
              <w:spacing w:line="380" w:lineRule="exact"/>
              <w:ind w:firstLine="420" w:firstLineChars="200"/>
              <w:jc w:val="left"/>
              <w:rPr>
                <w:rFonts w:ascii="宋体" w:hAnsi="宋体" w:cs="宋体"/>
                <w:color w:val="auto"/>
                <w:highlight w:val="none"/>
              </w:rPr>
            </w:pPr>
            <w:r>
              <w:rPr>
                <w:rFonts w:hint="eastAsia" w:ascii="宋体" w:hAnsi="宋体" w:cs="宋体"/>
                <w:color w:val="auto"/>
                <w:highlight w:val="none"/>
              </w:rPr>
              <w:t>（2）投标人基本情况表；</w:t>
            </w:r>
          </w:p>
          <w:p>
            <w:pPr>
              <w:widowControl/>
              <w:spacing w:line="380" w:lineRule="exact"/>
              <w:ind w:firstLine="420" w:firstLineChars="200"/>
              <w:jc w:val="left"/>
              <w:rPr>
                <w:rFonts w:ascii="宋体" w:hAnsi="宋体" w:cs="宋体"/>
                <w:color w:val="auto"/>
                <w:highlight w:val="none"/>
              </w:rPr>
            </w:pPr>
            <w:r>
              <w:rPr>
                <w:rFonts w:hint="eastAsia" w:ascii="宋体" w:hAnsi="宋体" w:cs="宋体"/>
                <w:color w:val="auto"/>
                <w:highlight w:val="none"/>
              </w:rPr>
              <w:t>（3）联合协议（如有）；</w:t>
            </w:r>
          </w:p>
          <w:p>
            <w:pPr>
              <w:widowControl/>
              <w:spacing w:line="380" w:lineRule="exact"/>
              <w:ind w:firstLine="420" w:firstLineChars="200"/>
              <w:jc w:val="left"/>
              <w:rPr>
                <w:rFonts w:ascii="宋体" w:hAnsi="宋体" w:cs="宋体"/>
                <w:color w:val="auto"/>
                <w:highlight w:val="none"/>
              </w:rPr>
            </w:pPr>
            <w:r>
              <w:rPr>
                <w:rFonts w:hint="eastAsia" w:ascii="宋体" w:hAnsi="宋体" w:cs="宋体"/>
                <w:color w:val="auto"/>
                <w:highlight w:val="none"/>
              </w:rPr>
              <w:t>（4）分包意向协议（如有）；</w:t>
            </w:r>
          </w:p>
          <w:p>
            <w:pPr>
              <w:widowControl/>
              <w:spacing w:line="380" w:lineRule="exact"/>
              <w:ind w:firstLine="420" w:firstLineChars="200"/>
              <w:jc w:val="left"/>
              <w:rPr>
                <w:rFonts w:ascii="宋体" w:hAnsi="宋体" w:cs="宋体"/>
                <w:color w:val="auto"/>
                <w:highlight w:val="none"/>
              </w:rPr>
            </w:pPr>
            <w:r>
              <w:rPr>
                <w:rFonts w:hint="eastAsia" w:ascii="宋体" w:hAnsi="宋体" w:cs="宋体"/>
                <w:color w:val="auto"/>
                <w:highlight w:val="none"/>
              </w:rPr>
              <w:t>（5）技术条款偏离表；</w:t>
            </w:r>
          </w:p>
          <w:p>
            <w:pPr>
              <w:widowControl/>
              <w:spacing w:line="380" w:lineRule="exact"/>
              <w:ind w:firstLine="420" w:firstLineChars="200"/>
              <w:jc w:val="left"/>
              <w:rPr>
                <w:rFonts w:ascii="宋体" w:hAnsi="宋体" w:cs="宋体"/>
                <w:color w:val="auto"/>
                <w:highlight w:val="none"/>
              </w:rPr>
            </w:pPr>
            <w:r>
              <w:rPr>
                <w:rFonts w:hint="eastAsia" w:ascii="宋体" w:hAnsi="宋体" w:cs="宋体"/>
                <w:color w:val="auto"/>
                <w:highlight w:val="none"/>
              </w:rPr>
              <w:t>（6）商务条款偏离表；</w:t>
            </w:r>
          </w:p>
          <w:p>
            <w:pPr>
              <w:widowControl/>
              <w:spacing w:line="380" w:lineRule="exact"/>
              <w:ind w:firstLine="420" w:firstLineChars="200"/>
              <w:jc w:val="left"/>
              <w:rPr>
                <w:rFonts w:ascii="宋体" w:hAnsi="宋体" w:cs="宋体"/>
                <w:color w:val="auto"/>
                <w:highlight w:val="none"/>
              </w:rPr>
            </w:pPr>
            <w:r>
              <w:rPr>
                <w:rFonts w:hint="eastAsia" w:ascii="宋体" w:hAnsi="宋体" w:cs="宋体"/>
                <w:color w:val="auto"/>
                <w:highlight w:val="none"/>
              </w:rPr>
              <w:t>（7）第五部分“评标办法”中“评分标准”要求提供的资料（如有需提供）。</w:t>
            </w:r>
          </w:p>
          <w:p>
            <w:pPr>
              <w:widowControl/>
              <w:spacing w:line="380" w:lineRule="exact"/>
              <w:jc w:val="left"/>
              <w:rPr>
                <w:rFonts w:ascii="宋体" w:hAnsi="宋体" w:cs="宋体"/>
                <w:color w:val="auto"/>
                <w:highlight w:val="none"/>
              </w:rPr>
            </w:pPr>
            <w:r>
              <w:rPr>
                <w:rFonts w:hint="eastAsia" w:ascii="宋体" w:hAnsi="宋体" w:cs="宋体"/>
                <w:color w:val="auto"/>
                <w:highlight w:val="none"/>
              </w:rPr>
              <w:t>9.1.3.报价文件</w:t>
            </w:r>
          </w:p>
          <w:p>
            <w:pPr>
              <w:tabs>
                <w:tab w:val="left" w:pos="1418"/>
              </w:tabs>
              <w:spacing w:line="380" w:lineRule="exact"/>
              <w:ind w:firstLine="420" w:firstLineChars="200"/>
              <w:contextualSpacing/>
              <w:rPr>
                <w:rFonts w:ascii="宋体" w:hAnsi="宋体" w:cs="宋体"/>
                <w:color w:val="auto"/>
                <w:highlight w:val="none"/>
              </w:rPr>
            </w:pPr>
            <w:r>
              <w:rPr>
                <w:rFonts w:hint="eastAsia" w:ascii="宋体" w:hAnsi="宋体" w:cs="宋体"/>
                <w:color w:val="auto"/>
                <w:highlight w:val="none"/>
              </w:rPr>
              <w:t>（1）投标函；</w:t>
            </w:r>
          </w:p>
          <w:p>
            <w:pPr>
              <w:tabs>
                <w:tab w:val="left" w:pos="1418"/>
              </w:tabs>
              <w:spacing w:line="380" w:lineRule="exact"/>
              <w:ind w:firstLine="420" w:firstLineChars="200"/>
              <w:contextualSpacing/>
              <w:rPr>
                <w:rFonts w:ascii="宋体" w:hAnsi="宋体" w:cs="宋体"/>
                <w:color w:val="auto"/>
                <w:highlight w:val="none"/>
              </w:rPr>
            </w:pPr>
            <w:r>
              <w:rPr>
                <w:rFonts w:hint="eastAsia" w:ascii="宋体" w:hAnsi="宋体" w:cs="宋体"/>
                <w:color w:val="auto"/>
                <w:highlight w:val="none"/>
              </w:rPr>
              <w:t>（2）开标一览表；</w:t>
            </w:r>
          </w:p>
          <w:p>
            <w:pPr>
              <w:tabs>
                <w:tab w:val="left" w:pos="1418"/>
              </w:tabs>
              <w:spacing w:line="380" w:lineRule="exact"/>
              <w:ind w:firstLine="420" w:firstLineChars="200"/>
              <w:contextualSpacing/>
              <w:rPr>
                <w:rFonts w:ascii="宋体" w:hAnsi="宋体" w:cs="宋体"/>
                <w:color w:val="auto"/>
                <w:highlight w:val="none"/>
              </w:rPr>
            </w:pPr>
            <w:r>
              <w:rPr>
                <w:rFonts w:hint="eastAsia" w:ascii="宋体" w:hAnsi="宋体" w:cs="宋体"/>
                <w:color w:val="auto"/>
                <w:highlight w:val="none"/>
              </w:rPr>
              <w:t>（3）分项报价表；</w:t>
            </w:r>
          </w:p>
          <w:p>
            <w:pPr>
              <w:tabs>
                <w:tab w:val="left" w:pos="1418"/>
              </w:tabs>
              <w:spacing w:line="380" w:lineRule="exact"/>
              <w:ind w:firstLine="420" w:firstLineChars="200"/>
              <w:contextualSpacing/>
              <w:rPr>
                <w:rFonts w:ascii="宋体" w:hAnsi="宋体" w:cs="宋体"/>
                <w:color w:val="auto"/>
                <w:highlight w:val="none"/>
              </w:rPr>
            </w:pPr>
            <w:r>
              <w:rPr>
                <w:rFonts w:hint="eastAsia" w:ascii="宋体" w:hAnsi="宋体" w:cs="宋体"/>
                <w:color w:val="auto"/>
                <w:highlight w:val="none"/>
              </w:rPr>
              <w:t>（4）享受政府采购价格优惠政策需提供的证明资料（如有）。</w:t>
            </w:r>
          </w:p>
          <w:p>
            <w:pPr>
              <w:widowControl/>
              <w:spacing w:line="380" w:lineRule="exact"/>
              <w:jc w:val="left"/>
              <w:rPr>
                <w:rFonts w:ascii="宋体" w:hAnsi="宋体" w:cs="宋体"/>
                <w:color w:val="auto"/>
                <w:highlight w:val="none"/>
              </w:rPr>
            </w:pPr>
            <w:r>
              <w:rPr>
                <w:rFonts w:hint="eastAsia" w:ascii="宋体" w:hAnsi="宋体" w:cs="宋体"/>
                <w:color w:val="auto"/>
                <w:highlight w:val="none"/>
              </w:rPr>
              <w:t>附件1：中小企业声明函</w:t>
            </w:r>
          </w:p>
          <w:p>
            <w:pPr>
              <w:widowControl/>
              <w:spacing w:line="380" w:lineRule="exact"/>
              <w:jc w:val="left"/>
              <w:rPr>
                <w:rFonts w:ascii="宋体" w:hAnsi="宋体" w:cs="宋体"/>
                <w:color w:val="auto"/>
                <w:highlight w:val="none"/>
              </w:rPr>
            </w:pPr>
            <w:r>
              <w:rPr>
                <w:rFonts w:hint="eastAsia" w:ascii="宋体" w:hAnsi="宋体" w:cs="宋体"/>
                <w:color w:val="auto"/>
                <w:highlight w:val="none"/>
              </w:rPr>
              <w:t>附件2：残疾人福利性单位声明函</w:t>
            </w:r>
          </w:p>
          <w:p>
            <w:pPr>
              <w:widowControl/>
              <w:spacing w:line="380" w:lineRule="exact"/>
              <w:jc w:val="left"/>
              <w:rPr>
                <w:rFonts w:ascii="宋体" w:hAnsi="宋体" w:cs="宋体"/>
                <w:color w:val="auto"/>
                <w:highlight w:val="none"/>
              </w:rPr>
            </w:pPr>
            <w:r>
              <w:rPr>
                <w:rFonts w:hint="eastAsia" w:ascii="宋体" w:hAnsi="宋体" w:cs="宋体"/>
                <w:color w:val="auto"/>
                <w:highlight w:val="none"/>
              </w:rPr>
              <w:t>9.1.4.注意事项</w:t>
            </w:r>
          </w:p>
          <w:p>
            <w:pPr>
              <w:widowControl/>
              <w:spacing w:line="380" w:lineRule="exact"/>
              <w:jc w:val="left"/>
              <w:rPr>
                <w:rFonts w:ascii="宋体" w:hAnsi="宋体" w:cs="宋体"/>
                <w:color w:val="auto"/>
                <w:highlight w:val="none"/>
              </w:rPr>
            </w:pPr>
            <w:r>
              <w:rPr>
                <w:rFonts w:hint="eastAsia" w:ascii="宋体" w:hAnsi="宋体" w:cs="宋体"/>
                <w:color w:val="auto"/>
                <w:highlight w:val="none"/>
              </w:rPr>
              <w:t>★（1）电子投标文件中所须加盖公章部分均采用 CA 签章。</w:t>
            </w:r>
          </w:p>
          <w:p>
            <w:pPr>
              <w:numPr>
                <w:ilvl w:val="0"/>
                <w:numId w:val="4"/>
              </w:numPr>
              <w:spacing w:line="380" w:lineRule="exact"/>
              <w:rPr>
                <w:rFonts w:ascii="宋体" w:hAnsi="宋体" w:cs="宋体"/>
                <w:color w:val="auto"/>
                <w:highlight w:val="none"/>
              </w:rPr>
            </w:pPr>
            <w:r>
              <w:rPr>
                <w:rFonts w:hint="eastAsia" w:ascii="宋体" w:hAnsi="宋体" w:cs="宋体"/>
                <w:color w:val="auto"/>
                <w:highlight w:val="none"/>
              </w:rPr>
              <w:t>上述组成投标文件的各项资料中本招标文件的有规定格式的，应统一按本招标文件的规定格式填写。未有规定格式的资料，投标人应自行编制，但至少要包含以上要求的内容。</w:t>
            </w:r>
          </w:p>
          <w:p>
            <w:pPr>
              <w:numPr>
                <w:ilvl w:val="0"/>
                <w:numId w:val="4"/>
              </w:numPr>
              <w:spacing w:line="380" w:lineRule="exact"/>
              <w:rPr>
                <w:color w:val="auto"/>
                <w:highlight w:val="none"/>
              </w:rPr>
            </w:pPr>
            <w:r>
              <w:rPr>
                <w:rFonts w:hint="eastAsia" w:ascii="宋体" w:hAnsi="宋体" w:cs="宋体"/>
                <w:color w:val="auto"/>
                <w:highlight w:val="none"/>
              </w:rPr>
              <w:t>投标文件中由委托代理人签字的，投标文件应附法定代表人签署的授权委托书。联合体投标的，投标文件除联合体协议书及招标文件要求须联合体双方盖章外，其余招标文件要求投标人盖章处只需联合体的牵头人盖章。</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line="380" w:lineRule="exact"/>
              <w:jc w:val="center"/>
              <w:rPr>
                <w:rFonts w:ascii="宋体" w:hAnsi="宋体" w:cs="宋体"/>
                <w:color w:val="auto"/>
                <w:szCs w:val="21"/>
                <w:highlight w:val="none"/>
              </w:rPr>
            </w:pPr>
            <w:r>
              <w:rPr>
                <w:rFonts w:ascii="宋体" w:hAnsi="宋体"/>
                <w:b/>
                <w:color w:val="auto"/>
                <w:highlight w:val="none"/>
              </w:rPr>
              <w:t>★</w:t>
            </w:r>
            <w:r>
              <w:rPr>
                <w:rFonts w:hint="eastAsia" w:ascii="宋体" w:hAnsi="宋体" w:cs="宋体"/>
                <w:color w:val="auto"/>
                <w:szCs w:val="21"/>
                <w:highlight w:val="none"/>
              </w:rPr>
              <w:t>10.1</w:t>
            </w:r>
          </w:p>
        </w:tc>
        <w:tc>
          <w:tcPr>
            <w:tcW w:w="7512" w:type="dxa"/>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1、报价以人民币元为计算单位。</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2、按要求的格式内容填写报价。</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3、投标报价货币为人民币，投标报价包含人工、利润、税金、设计咨询费、售后服务、培训费等与本项目有关的全部费用。</w:t>
            </w:r>
          </w:p>
          <w:p>
            <w:pPr>
              <w:spacing w:line="380" w:lineRule="exact"/>
              <w:rPr>
                <w:rFonts w:ascii="宋体" w:hAnsi="宋体" w:cs="宋体"/>
                <w:color w:val="auto"/>
                <w:szCs w:val="21"/>
                <w:highlight w:val="none"/>
              </w:rPr>
            </w:pPr>
            <w:r>
              <w:rPr>
                <w:rFonts w:hint="eastAsia" w:ascii="宋体" w:hAnsi="宋体" w:cs="宋体"/>
                <w:color w:val="auto"/>
                <w:szCs w:val="21"/>
                <w:highlight w:val="none"/>
              </w:rPr>
              <w:t>4、供应商应详细列明各分项工作相关报价及依据，未列明的相关报价应视为已包含在已列明费用的报价中，采购人将不予单独支付。</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line="380" w:lineRule="exact"/>
              <w:jc w:val="center"/>
              <w:rPr>
                <w:rFonts w:ascii="宋体" w:hAnsi="宋体" w:cs="宋体"/>
                <w:color w:val="auto"/>
                <w:szCs w:val="21"/>
                <w:highlight w:val="none"/>
              </w:rPr>
            </w:pPr>
            <w:r>
              <w:rPr>
                <w:rFonts w:ascii="宋体" w:hAnsi="宋体"/>
                <w:b/>
                <w:color w:val="auto"/>
                <w:highlight w:val="none"/>
              </w:rPr>
              <w:t>★</w:t>
            </w:r>
            <w:r>
              <w:rPr>
                <w:rFonts w:hint="eastAsia" w:ascii="宋体" w:hAnsi="宋体" w:cs="宋体"/>
                <w:color w:val="auto"/>
                <w:szCs w:val="21"/>
                <w:highlight w:val="none"/>
              </w:rPr>
              <w:t>10.5</w:t>
            </w:r>
          </w:p>
        </w:tc>
        <w:tc>
          <w:tcPr>
            <w:tcW w:w="7512" w:type="dxa"/>
            <w:vAlign w:val="center"/>
          </w:tcPr>
          <w:p>
            <w:pPr>
              <w:spacing w:line="400" w:lineRule="exact"/>
              <w:rPr>
                <w:rFonts w:ascii="宋体" w:hAnsi="宋体"/>
                <w:b/>
                <w:color w:val="auto"/>
                <w:szCs w:val="21"/>
                <w:highlight w:val="none"/>
              </w:rPr>
            </w:pPr>
            <w:r>
              <w:rPr>
                <w:rFonts w:hint="eastAsia" w:ascii="宋体" w:hAnsi="宋体"/>
                <w:b/>
                <w:color w:val="auto"/>
                <w:szCs w:val="21"/>
                <w:highlight w:val="none"/>
              </w:rPr>
              <w:t>最高限价为：</w:t>
            </w:r>
            <w:r>
              <w:rPr>
                <w:rFonts w:hint="eastAsia" w:ascii="宋体" w:hAnsi="宋体"/>
                <w:b/>
                <w:color w:val="auto"/>
                <w:szCs w:val="21"/>
                <w:highlight w:val="none"/>
                <w:u w:val="single"/>
              </w:rPr>
              <w:t>1800000</w:t>
            </w:r>
            <w:r>
              <w:rPr>
                <w:rFonts w:hint="eastAsia" w:ascii="宋体" w:hAnsi="宋体"/>
                <w:b/>
                <w:color w:val="auto"/>
                <w:szCs w:val="21"/>
                <w:highlight w:val="none"/>
              </w:rPr>
              <w:t>元人民币</w:t>
            </w:r>
          </w:p>
          <w:p>
            <w:pPr>
              <w:spacing w:line="380" w:lineRule="exact"/>
              <w:rPr>
                <w:rFonts w:ascii="宋体" w:hAnsi="宋体" w:cs="宋体"/>
                <w:b/>
                <w:color w:val="auto"/>
                <w:szCs w:val="21"/>
                <w:highlight w:val="none"/>
              </w:rPr>
            </w:pPr>
            <w:r>
              <w:rPr>
                <w:rFonts w:hint="eastAsia" w:ascii="宋体" w:hAnsi="宋体"/>
                <w:b/>
                <w:color w:val="auto"/>
                <w:szCs w:val="21"/>
                <w:highlight w:val="none"/>
              </w:rPr>
              <w:t>注：不得超过最高限价，否则作无效标处理。</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11.3</w:t>
            </w:r>
          </w:p>
        </w:tc>
        <w:tc>
          <w:tcPr>
            <w:tcW w:w="7512" w:type="dxa"/>
            <w:vAlign w:val="center"/>
          </w:tcPr>
          <w:p>
            <w:pPr>
              <w:widowControl/>
              <w:spacing w:line="380" w:lineRule="exact"/>
              <w:rPr>
                <w:rFonts w:ascii="宋体" w:hAnsi="宋体" w:cs="宋体"/>
                <w:b/>
                <w:color w:val="auto"/>
                <w:szCs w:val="21"/>
                <w:highlight w:val="none"/>
              </w:rPr>
            </w:pPr>
            <w:r>
              <w:rPr>
                <w:rFonts w:hint="eastAsia" w:ascii="宋体" w:hAnsi="宋体" w:cs="宋体"/>
                <w:b/>
                <w:color w:val="auto"/>
                <w:szCs w:val="21"/>
                <w:highlight w:val="none"/>
              </w:rPr>
              <w:t>投标文件数量要求：</w:t>
            </w:r>
          </w:p>
          <w:p>
            <w:pPr>
              <w:widowControl/>
              <w:spacing w:line="380" w:lineRule="exact"/>
              <w:rPr>
                <w:rFonts w:ascii="宋体" w:hAnsi="宋体" w:cs="宋体"/>
                <w:color w:val="auto"/>
                <w:kern w:val="0"/>
                <w:sz w:val="24"/>
                <w:highlight w:val="none"/>
              </w:rPr>
            </w:pPr>
            <w:r>
              <w:rPr>
                <w:rFonts w:ascii="宋体" w:hAnsi="宋体"/>
                <w:b/>
                <w:color w:val="auto"/>
                <w:highlight w:val="none"/>
              </w:rPr>
              <w:t>★</w:t>
            </w:r>
            <w:r>
              <w:rPr>
                <w:rFonts w:hint="eastAsia" w:ascii="宋体" w:hAnsi="宋体" w:cs="宋体"/>
                <w:color w:val="auto"/>
                <w:kern w:val="0"/>
                <w:szCs w:val="21"/>
                <w:highlight w:val="none"/>
              </w:rPr>
              <w:t>1、上传到政府采购云平台的电子投标文件（含资格文件 1 份、商务技术文件 1 份、报价文件 1 份）。</w:t>
            </w:r>
          </w:p>
          <w:p>
            <w:pPr>
              <w:widowControl/>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2、以 U 盘形式存储的电子备份投标文件（含资格文件 1 份、商务技术文件 1 份、报价文件1 份）。</w:t>
            </w:r>
          </w:p>
          <w:p>
            <w:pPr>
              <w:widowControl/>
              <w:spacing w:line="380" w:lineRule="exact"/>
              <w:rPr>
                <w:rFonts w:ascii="宋体" w:hAnsi="宋体" w:cs="宋体"/>
                <w:color w:val="auto"/>
                <w:kern w:val="0"/>
                <w:szCs w:val="21"/>
                <w:highlight w:val="none"/>
              </w:rPr>
            </w:pPr>
            <w:r>
              <w:rPr>
                <w:rFonts w:hint="eastAsia" w:ascii="宋体" w:hAnsi="宋体" w:cs="宋体"/>
                <w:b/>
                <w:bCs/>
                <w:color w:val="auto"/>
                <w:kern w:val="0"/>
                <w:szCs w:val="21"/>
                <w:highlight w:val="none"/>
              </w:rPr>
              <w:t>注：（1）电子备份投标文件不作实质性要求，是否提交由投标人自行决定。</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line="380" w:lineRule="exact"/>
              <w:jc w:val="center"/>
              <w:rPr>
                <w:rFonts w:ascii="宋体" w:hAnsi="宋体" w:cs="宋体"/>
                <w:color w:val="auto"/>
                <w:szCs w:val="21"/>
                <w:highlight w:val="none"/>
              </w:rPr>
            </w:pPr>
            <w:r>
              <w:rPr>
                <w:rFonts w:ascii="宋体" w:hAnsi="宋体"/>
                <w:b/>
                <w:color w:val="auto"/>
                <w:highlight w:val="none"/>
              </w:rPr>
              <w:t>★</w:t>
            </w:r>
            <w:r>
              <w:rPr>
                <w:rFonts w:hint="eastAsia" w:ascii="宋体" w:hAnsi="宋体" w:cs="宋体"/>
                <w:color w:val="auto"/>
                <w:szCs w:val="21"/>
                <w:highlight w:val="none"/>
              </w:rPr>
              <w:t>12.1</w:t>
            </w:r>
          </w:p>
        </w:tc>
        <w:tc>
          <w:tcPr>
            <w:tcW w:w="7512" w:type="dxa"/>
            <w:vAlign w:val="center"/>
          </w:tcPr>
          <w:p>
            <w:pPr>
              <w:spacing w:line="380" w:lineRule="exact"/>
              <w:rPr>
                <w:rFonts w:ascii="宋体" w:hAnsi="宋体" w:cs="宋体"/>
                <w:color w:val="auto"/>
                <w:szCs w:val="21"/>
                <w:highlight w:val="none"/>
              </w:rPr>
            </w:pPr>
            <w:r>
              <w:rPr>
                <w:rFonts w:hint="eastAsia" w:ascii="宋体" w:hAnsi="宋体" w:cs="宋体"/>
                <w:b/>
                <w:color w:val="auto"/>
                <w:szCs w:val="21"/>
                <w:highlight w:val="none"/>
              </w:rPr>
              <w:t>投标有效期</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90 </w:t>
            </w:r>
            <w:r>
              <w:rPr>
                <w:rFonts w:hint="eastAsia" w:ascii="宋体" w:hAnsi="宋体" w:cs="宋体"/>
                <w:color w:val="auto"/>
                <w:szCs w:val="21"/>
                <w:highlight w:val="none"/>
              </w:rPr>
              <w:t>天</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7512" w:type="dxa"/>
            <w:vAlign w:val="center"/>
          </w:tcPr>
          <w:p>
            <w:pPr>
              <w:spacing w:line="380" w:lineRule="exact"/>
              <w:rPr>
                <w:rFonts w:ascii="宋体" w:hAnsi="宋体"/>
                <w:b/>
                <w:color w:val="auto"/>
                <w:highlight w:val="none"/>
              </w:rPr>
            </w:pPr>
            <w:r>
              <w:rPr>
                <w:rFonts w:hint="eastAsia" w:ascii="宋体" w:hAnsi="宋体"/>
                <w:b/>
                <w:color w:val="auto"/>
                <w:highlight w:val="none"/>
              </w:rPr>
              <w:t>投标保证金金额：无</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15.1</w:t>
            </w:r>
          </w:p>
        </w:tc>
        <w:tc>
          <w:tcPr>
            <w:tcW w:w="7512" w:type="dxa"/>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投标截止时间：</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rPr>
              <w:t>日</w:t>
            </w:r>
            <w:r>
              <w:rPr>
                <w:rFonts w:hint="eastAsia" w:ascii="宋体" w:hAnsi="宋体" w:cs="宋体"/>
                <w:color w:val="auto"/>
                <w:szCs w:val="21"/>
                <w:highlight w:val="none"/>
                <w:u w:val="single"/>
              </w:rPr>
              <w:t>14</w:t>
            </w:r>
            <w:r>
              <w:rPr>
                <w:rFonts w:hint="eastAsia" w:ascii="宋体" w:hAnsi="宋体" w:cs="宋体"/>
                <w:color w:val="auto"/>
                <w:szCs w:val="21"/>
                <w:highlight w:val="none"/>
              </w:rPr>
              <w:t>：</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0</w:t>
            </w:r>
            <w:r>
              <w:rPr>
                <w:rFonts w:hint="eastAsia" w:ascii="宋体" w:hAnsi="宋体" w:cs="宋体"/>
                <w:color w:val="auto"/>
                <w:szCs w:val="21"/>
                <w:highlight w:val="none"/>
              </w:rPr>
              <w:t>（北京时间）。</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28.1</w:t>
            </w:r>
          </w:p>
        </w:tc>
        <w:tc>
          <w:tcPr>
            <w:tcW w:w="7512" w:type="dxa"/>
            <w:vAlign w:val="center"/>
          </w:tcPr>
          <w:p>
            <w:pPr>
              <w:pStyle w:val="111"/>
              <w:numPr>
                <w:ilvl w:val="0"/>
                <w:numId w:val="0"/>
              </w:numPr>
              <w:tabs>
                <w:tab w:val="clear" w:pos="360"/>
              </w:tabs>
              <w:spacing w:line="400" w:lineRule="exact"/>
              <w:rPr>
                <w:rFonts w:ascii="宋体" w:hAnsi="宋体" w:cs="宋体"/>
                <w:color w:val="auto"/>
                <w:szCs w:val="21"/>
                <w:highlight w:val="none"/>
              </w:rPr>
            </w:pPr>
            <w:r>
              <w:rPr>
                <w:rFonts w:hint="eastAsia" w:ascii="宋体" w:hAnsi="宋体" w:cs="宋体"/>
                <w:color w:val="auto"/>
                <w:szCs w:val="21"/>
                <w:highlight w:val="none"/>
              </w:rPr>
              <w:t>1.招标代理服务费的收取标准：本项目服务费用参照宁波市招</w:t>
            </w:r>
            <w:bookmarkStart w:id="262" w:name="_GoBack"/>
            <w:bookmarkEnd w:id="262"/>
            <w:r>
              <w:rPr>
                <w:rFonts w:hint="eastAsia" w:ascii="宋体" w:hAnsi="宋体" w:cs="宋体"/>
                <w:color w:val="auto"/>
                <w:szCs w:val="21"/>
                <w:highlight w:val="none"/>
              </w:rPr>
              <w:t>标投标协会关于印发《宁波市招标（采购）代理服务收费指导意见》通知规定的服务标准（下表，按照累进制计算）下浮20%，</w:t>
            </w:r>
            <w:r>
              <w:rPr>
                <w:rFonts w:hint="eastAsia"/>
                <w:color w:val="auto"/>
                <w:szCs w:val="21"/>
                <w:highlight w:val="none"/>
              </w:rPr>
              <w:t>中标服务费金额以中标金额作为计算基数</w:t>
            </w:r>
            <w:r>
              <w:rPr>
                <w:rFonts w:hint="eastAsia" w:ascii="宋体" w:hAnsi="宋体" w:cs="宋体"/>
                <w:color w:val="auto"/>
                <w:szCs w:val="21"/>
                <w:highlight w:val="none"/>
              </w:rPr>
              <w:t>，核算中标服务费，中标服务费不足10000元的按10000元收取。</w:t>
            </w:r>
          </w:p>
          <w:p>
            <w:pPr>
              <w:spacing w:line="380" w:lineRule="exact"/>
              <w:jc w:val="left"/>
              <w:rPr>
                <w:rFonts w:hAnsi="宋体"/>
                <w:color w:val="auto"/>
                <w:highlight w:val="none"/>
              </w:rPr>
            </w:pPr>
            <w:r>
              <w:rPr>
                <w:rFonts w:hint="eastAsia" w:hAnsi="宋体"/>
                <w:color w:val="auto"/>
                <w:highlight w:val="none"/>
              </w:rPr>
              <w:t>2.中标人负责承担中标服务费，并应在采购代理机构发出中标通知书5个工作日内向采购代理机构支付中标服务费。</w:t>
            </w:r>
          </w:p>
          <w:p>
            <w:pPr>
              <w:spacing w:line="380" w:lineRule="exact"/>
              <w:jc w:val="left"/>
              <w:rPr>
                <w:color w:val="auto"/>
                <w:highlight w:val="none"/>
              </w:rPr>
            </w:pPr>
            <w:r>
              <w:rPr>
                <w:rFonts w:hint="eastAsia" w:hAnsi="宋体"/>
                <w:color w:val="auto"/>
                <w:highlight w:val="none"/>
              </w:rPr>
              <w:t>3.中标服务费只收现金、银行票汇款、电汇款。</w:t>
            </w:r>
            <w:r>
              <w:rPr>
                <w:rFonts w:ascii="宋体" w:hAnsi="宋体"/>
                <w:color w:val="auto"/>
                <w:szCs w:val="21"/>
                <w:highlight w:val="none"/>
              </w:rPr>
              <w:t>请按下述开户银行及账号汇款（汇款单上应注明汇款用途及招标编号</w:t>
            </w:r>
            <w:r>
              <w:rPr>
                <w:rFonts w:hint="eastAsia" w:ascii="宋体" w:hAnsi="宋体"/>
                <w:color w:val="auto"/>
                <w:szCs w:val="21"/>
                <w:highlight w:val="none"/>
              </w:rPr>
              <w:t>）：</w:t>
            </w:r>
          </w:p>
          <w:p>
            <w:pPr>
              <w:spacing w:line="380" w:lineRule="exact"/>
              <w:jc w:val="left"/>
              <w:rPr>
                <w:rFonts w:hAnsi="宋体"/>
                <w:b/>
                <w:bCs/>
                <w:color w:val="auto"/>
                <w:highlight w:val="none"/>
              </w:rPr>
            </w:pPr>
            <w:r>
              <w:rPr>
                <w:rFonts w:hint="eastAsia" w:hAnsi="宋体"/>
                <w:b/>
                <w:bCs/>
                <w:color w:val="auto"/>
                <w:highlight w:val="none"/>
              </w:rPr>
              <w:t>户名：宁波国际投资咨询有限公司</w:t>
            </w:r>
          </w:p>
          <w:p>
            <w:pPr>
              <w:spacing w:line="380" w:lineRule="exact"/>
              <w:jc w:val="left"/>
              <w:rPr>
                <w:rFonts w:hAnsi="宋体"/>
                <w:b/>
                <w:bCs/>
                <w:color w:val="auto"/>
                <w:highlight w:val="none"/>
              </w:rPr>
            </w:pPr>
            <w:r>
              <w:rPr>
                <w:rFonts w:hint="eastAsia" w:hAnsi="宋体"/>
                <w:b/>
                <w:bCs/>
                <w:color w:val="auto"/>
                <w:highlight w:val="none"/>
              </w:rPr>
              <w:t>开户银行：上海浦东发展银行宁波解放路支行</w:t>
            </w:r>
          </w:p>
          <w:p>
            <w:pPr>
              <w:spacing w:line="380" w:lineRule="exact"/>
              <w:jc w:val="left"/>
              <w:rPr>
                <w:rFonts w:hAnsi="宋体"/>
                <w:color w:val="auto"/>
                <w:highlight w:val="none"/>
              </w:rPr>
            </w:pPr>
            <w:r>
              <w:rPr>
                <w:rFonts w:hint="eastAsia" w:hAnsi="宋体"/>
                <w:b/>
                <w:bCs/>
                <w:color w:val="auto"/>
                <w:highlight w:val="none"/>
              </w:rPr>
              <w:t>账号：94150078801400000630</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29</w:t>
            </w:r>
          </w:p>
        </w:tc>
        <w:tc>
          <w:tcPr>
            <w:tcW w:w="7512" w:type="dxa"/>
            <w:vAlign w:val="center"/>
          </w:tcPr>
          <w:p>
            <w:pPr>
              <w:spacing w:line="380" w:lineRule="exact"/>
              <w:ind w:left="788" w:hanging="787" w:hangingChars="375"/>
              <w:rPr>
                <w:rFonts w:ascii="宋体" w:hAnsi="宋体" w:cs="宋体"/>
                <w:color w:val="auto"/>
                <w:szCs w:val="21"/>
                <w:highlight w:val="none"/>
              </w:rPr>
            </w:pPr>
            <w:r>
              <w:rPr>
                <w:rFonts w:hint="eastAsia" w:ascii="宋体" w:hAnsi="宋体" w:cs="宋体"/>
                <w:color w:val="auto"/>
                <w:szCs w:val="21"/>
                <w:highlight w:val="none"/>
              </w:rPr>
              <w:t>发布本项目招标公告、中标公示的媒体：</w:t>
            </w:r>
          </w:p>
          <w:p>
            <w:pPr>
              <w:spacing w:line="380" w:lineRule="exact"/>
              <w:ind w:left="788" w:hanging="787" w:hangingChars="375"/>
              <w:rPr>
                <w:rFonts w:ascii="宋体" w:hAnsi="宋体" w:cs="宋体"/>
                <w:color w:val="auto"/>
                <w:szCs w:val="21"/>
                <w:highlight w:val="none"/>
              </w:rPr>
            </w:pPr>
            <w:r>
              <w:rPr>
                <w:rFonts w:hint="eastAsia" w:ascii="宋体" w:hAnsi="宋体" w:cs="宋体"/>
                <w:color w:val="auto"/>
                <w:szCs w:val="21"/>
                <w:highlight w:val="none"/>
              </w:rPr>
              <w:t>浙江政府采购网</w:t>
            </w:r>
            <w:r>
              <w:rPr>
                <w:rFonts w:hint="eastAsia" w:ascii="宋体" w:hAnsi="宋体" w:cs="宋体"/>
                <w:color w:val="auto"/>
                <w:szCs w:val="21"/>
                <w:highlight w:val="none"/>
                <w:u w:val="single"/>
              </w:rPr>
              <w:t>https://zfcg.czt.zj.gov.cn/</w:t>
            </w:r>
          </w:p>
          <w:p>
            <w:pPr>
              <w:spacing w:line="380" w:lineRule="exact"/>
              <w:rPr>
                <w:color w:val="auto"/>
                <w:highlight w:val="none"/>
              </w:rPr>
            </w:pPr>
            <w:r>
              <w:rPr>
                <w:rFonts w:hint="eastAsia" w:ascii="宋体" w:hAnsi="宋体"/>
                <w:color w:val="auto"/>
                <w:szCs w:val="21"/>
                <w:highlight w:val="none"/>
              </w:rPr>
              <w:t>宁波政府采购网</w:t>
            </w:r>
            <w:r>
              <w:rPr>
                <w:rFonts w:hint="eastAsia" w:ascii="宋体" w:hAnsi="宋体" w:cs="宋体"/>
                <w:color w:val="auto"/>
                <w:szCs w:val="21"/>
                <w:highlight w:val="none"/>
                <w:u w:val="single"/>
              </w:rPr>
              <w:t>https://zfcg.czj.ningbo.gov.cn/</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tcBorders>
              <w:bottom w:val="single" w:color="auto" w:sz="12" w:space="0"/>
            </w:tcBorders>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31.1</w:t>
            </w:r>
          </w:p>
        </w:tc>
        <w:tc>
          <w:tcPr>
            <w:tcW w:w="7512" w:type="dxa"/>
            <w:tcBorders>
              <w:bottom w:val="single" w:color="auto" w:sz="12"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本项目对应的中小企业划分标准所属行业：</w:t>
            </w:r>
            <w:r>
              <w:rPr>
                <w:rFonts w:hint="eastAsia" w:ascii="宋体" w:hAnsi="宋体" w:cs="宋体"/>
                <w:b/>
                <w:bCs/>
                <w:color w:val="auto"/>
                <w:szCs w:val="21"/>
                <w:highlight w:val="none"/>
                <w:u w:val="single"/>
              </w:rPr>
              <w:t>其他未列明行业</w:t>
            </w:r>
          </w:p>
        </w:tc>
      </w:tr>
    </w:tbl>
    <w:p>
      <w:pPr>
        <w:widowControl/>
        <w:spacing w:line="360" w:lineRule="auto"/>
        <w:ind w:firstLine="420" w:firstLineChars="200"/>
        <w:jc w:val="left"/>
        <w:rPr>
          <w:rFonts w:ascii="宋体" w:hAnsi="宋体" w:cs="宋体"/>
          <w:color w:val="auto"/>
          <w:szCs w:val="21"/>
          <w:highlight w:val="none"/>
          <w:u w:val="single"/>
        </w:rPr>
        <w:sectPr>
          <w:headerReference r:id="rId12" w:type="default"/>
          <w:pgSz w:w="11907" w:h="16840"/>
          <w:pgMar w:top="1276" w:right="1701" w:bottom="1560" w:left="1701" w:header="720" w:footer="720" w:gutter="0"/>
          <w:pgNumType w:fmt="decimal"/>
          <w:cols w:space="720" w:num="1"/>
          <w:docGrid w:type="linesAndChars" w:linePitch="286" w:charSpace="0"/>
        </w:sectPr>
      </w:pPr>
    </w:p>
    <w:p>
      <w:pPr>
        <w:pStyle w:val="3"/>
        <w:spacing w:before="286" w:after="286"/>
        <w:rPr>
          <w:color w:val="auto"/>
          <w:sz w:val="32"/>
          <w:szCs w:val="32"/>
          <w:highlight w:val="none"/>
        </w:rPr>
        <w:sectPr>
          <w:headerReference r:id="rId13" w:type="default"/>
          <w:type w:val="continuous"/>
          <w:pgSz w:w="11907" w:h="16840"/>
          <w:pgMar w:top="1111" w:right="1701" w:bottom="1428" w:left="1701" w:header="720" w:footer="720" w:gutter="0"/>
          <w:pgNumType w:fmt="decimal"/>
          <w:cols w:space="720" w:num="1"/>
          <w:docGrid w:type="linesAndChars" w:linePitch="286" w:charSpace="0"/>
        </w:sectPr>
      </w:pPr>
      <w:bookmarkStart w:id="90" w:name="_Toc316649292"/>
    </w:p>
    <w:p>
      <w:pPr>
        <w:pStyle w:val="96"/>
        <w:rPr>
          <w:color w:val="auto"/>
          <w:highlight w:val="none"/>
        </w:rPr>
      </w:pPr>
    </w:p>
    <w:p>
      <w:pPr>
        <w:pStyle w:val="3"/>
        <w:spacing w:before="286" w:after="286"/>
        <w:rPr>
          <w:color w:val="auto"/>
          <w:sz w:val="32"/>
          <w:szCs w:val="32"/>
          <w:highlight w:val="none"/>
        </w:rPr>
      </w:pPr>
      <w:bookmarkStart w:id="91" w:name="_Toc22855"/>
      <w:r>
        <w:rPr>
          <w:rFonts w:hint="eastAsia"/>
          <w:color w:val="auto"/>
          <w:sz w:val="32"/>
          <w:szCs w:val="32"/>
          <w:highlight w:val="none"/>
        </w:rPr>
        <w:t>第四部分投标人须知</w:t>
      </w:r>
      <w:bookmarkEnd w:id="90"/>
      <w:bookmarkEnd w:id="91"/>
    </w:p>
    <w:p>
      <w:pPr>
        <w:jc w:val="center"/>
        <w:outlineLvl w:val="1"/>
        <w:rPr>
          <w:rFonts w:ascii="宋体" w:hAnsi="宋体" w:cs="宋体"/>
          <w:b/>
          <w:color w:val="auto"/>
          <w:sz w:val="28"/>
          <w:highlight w:val="none"/>
        </w:rPr>
      </w:pPr>
      <w:bookmarkStart w:id="92" w:name="_Toc513799071"/>
      <w:bookmarkStart w:id="93" w:name="_Toc513798900"/>
      <w:bookmarkStart w:id="94" w:name="_Toc520902394"/>
      <w:bookmarkStart w:id="95" w:name="_Toc440276561"/>
      <w:bookmarkStart w:id="96" w:name="_Toc31841"/>
      <w:bookmarkStart w:id="97" w:name="_Toc136345101"/>
      <w:bookmarkStart w:id="98" w:name="_Toc136017630"/>
      <w:bookmarkStart w:id="99" w:name="_Toc497935707"/>
      <w:bookmarkStart w:id="100" w:name="_Toc502819341"/>
      <w:bookmarkStart w:id="101" w:name="_Toc501721316"/>
      <w:bookmarkStart w:id="102" w:name="_Toc481153658"/>
      <w:bookmarkStart w:id="103" w:name="_Toc481153623"/>
      <w:bookmarkStart w:id="104" w:name="_Toc316649293"/>
      <w:bookmarkStart w:id="105" w:name="_Toc501721427"/>
      <w:bookmarkStart w:id="106" w:name="_Toc501721199"/>
      <w:r>
        <w:rPr>
          <w:rFonts w:hint="eastAsia" w:ascii="宋体" w:hAnsi="宋体" w:cs="宋体"/>
          <w:b/>
          <w:color w:val="auto"/>
          <w:sz w:val="28"/>
          <w:highlight w:val="none"/>
        </w:rPr>
        <w:t>A  总则</w:t>
      </w:r>
      <w:bookmarkEnd w:id="92"/>
      <w:bookmarkEnd w:id="93"/>
      <w:bookmarkEnd w:id="94"/>
      <w:bookmarkEnd w:id="95"/>
      <w:bookmarkEnd w:id="96"/>
      <w:bookmarkEnd w:id="97"/>
      <w:bookmarkEnd w:id="98"/>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1.   适用范围</w:t>
      </w:r>
    </w:p>
    <w:p>
      <w:pPr>
        <w:spacing w:line="360" w:lineRule="auto"/>
        <w:ind w:firstLine="420" w:firstLineChars="200"/>
        <w:rPr>
          <w:rFonts w:ascii="宋体" w:hAnsi="宋体"/>
          <w:color w:val="auto"/>
          <w:highlight w:val="none"/>
        </w:rPr>
      </w:pPr>
      <w:r>
        <w:rPr>
          <w:rFonts w:hint="eastAsia" w:ascii="宋体" w:hAnsi="宋体"/>
          <w:color w:val="auto"/>
          <w:highlight w:val="none"/>
        </w:rPr>
        <w:t>本招标文件适用于本项目的招标、投标、开标、资格审查及信用信息查询、评标、定标、合同、验收等行为（法律、法规另有规定的，从其规定）。</w:t>
      </w: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2.   定义</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2.1</w:t>
      </w:r>
      <w:r>
        <w:rPr>
          <w:rFonts w:hint="eastAsia" w:ascii="宋体" w:hAnsi="宋体" w:cs="宋体"/>
          <w:color w:val="auto"/>
          <w:szCs w:val="21"/>
          <w:highlight w:val="none"/>
        </w:rPr>
        <w:t xml:space="preserve">  “采购人”、“采购代理机构”和“项目名称”：</w:t>
      </w:r>
      <w:r>
        <w:rPr>
          <w:rFonts w:ascii="宋体" w:hAnsi="宋体" w:cs="宋体"/>
          <w:color w:val="auto"/>
          <w:szCs w:val="21"/>
          <w:highlight w:val="none"/>
        </w:rPr>
        <w:t>见</w:t>
      </w:r>
      <w:r>
        <w:rPr>
          <w:rFonts w:hint="eastAsia" w:ascii="宋体" w:hAnsi="宋体" w:cs="宋体"/>
          <w:color w:val="auto"/>
          <w:szCs w:val="21"/>
          <w:highlight w:val="none"/>
        </w:rPr>
        <w:t>“投标资料表”</w:t>
      </w:r>
      <w:r>
        <w:rPr>
          <w:rFonts w:ascii="宋体" w:hAnsi="宋体" w:cs="宋体"/>
          <w:color w:val="auto"/>
          <w:szCs w:val="21"/>
          <w:highlight w:val="none"/>
        </w:rPr>
        <w:t>。</w:t>
      </w:r>
    </w:p>
    <w:p>
      <w:pPr>
        <w:spacing w:line="360" w:lineRule="auto"/>
        <w:rPr>
          <w:rFonts w:ascii="宋体" w:hAnsi="宋体" w:cs="宋体"/>
          <w:bCs/>
          <w:color w:val="auto"/>
          <w:szCs w:val="21"/>
          <w:highlight w:val="none"/>
        </w:rPr>
      </w:pPr>
      <w:r>
        <w:rPr>
          <w:rFonts w:hint="eastAsia" w:ascii="宋体" w:hAnsi="宋体" w:cs="宋体"/>
          <w:b/>
          <w:color w:val="auto"/>
          <w:szCs w:val="21"/>
          <w:highlight w:val="none"/>
        </w:rPr>
        <w:t>2.2</w:t>
      </w:r>
      <w:r>
        <w:rPr>
          <w:rFonts w:hint="eastAsia" w:ascii="宋体" w:hAnsi="宋体" w:cs="宋体"/>
          <w:bCs/>
          <w:color w:val="auto"/>
          <w:szCs w:val="21"/>
          <w:highlight w:val="none"/>
        </w:rPr>
        <w:t xml:space="preserve">  “供应商”系指采购人发布招标公告后，所有对招标项目有意向、并有可能参加本项目投标的法人、其他组织或者自然人。</w:t>
      </w:r>
    </w:p>
    <w:p>
      <w:pPr>
        <w:spacing w:line="360" w:lineRule="auto"/>
        <w:rPr>
          <w:rFonts w:ascii="宋体" w:hAnsi="宋体" w:cs="宋体"/>
          <w:bCs/>
          <w:color w:val="auto"/>
          <w:szCs w:val="21"/>
          <w:highlight w:val="none"/>
        </w:rPr>
      </w:pPr>
      <w:r>
        <w:rPr>
          <w:rFonts w:hint="eastAsia" w:ascii="宋体" w:hAnsi="宋体" w:cs="宋体"/>
          <w:b/>
          <w:color w:val="auto"/>
          <w:szCs w:val="21"/>
          <w:highlight w:val="none"/>
        </w:rPr>
        <w:t>2.3</w:t>
      </w:r>
      <w:r>
        <w:rPr>
          <w:rFonts w:hint="eastAsia" w:ascii="宋体" w:hAnsi="宋体" w:cs="宋体"/>
          <w:bCs/>
          <w:color w:val="auto"/>
          <w:szCs w:val="21"/>
          <w:highlight w:val="none"/>
        </w:rPr>
        <w:t xml:space="preserve">  “投标人”系指响应招标、参加投标竞争的法人、其他组织或者自然人。</w:t>
      </w:r>
    </w:p>
    <w:p>
      <w:pPr>
        <w:spacing w:line="360" w:lineRule="auto"/>
        <w:rPr>
          <w:rFonts w:ascii="宋体" w:hAnsi="宋体" w:cs="宋体"/>
          <w:bCs/>
          <w:color w:val="auto"/>
          <w:szCs w:val="21"/>
          <w:highlight w:val="none"/>
        </w:rPr>
      </w:pPr>
      <w:r>
        <w:rPr>
          <w:rFonts w:hint="eastAsia" w:ascii="宋体" w:hAnsi="宋体" w:cs="宋体"/>
          <w:b/>
          <w:color w:val="auto"/>
          <w:szCs w:val="21"/>
          <w:highlight w:val="none"/>
        </w:rPr>
        <w:t xml:space="preserve">2.4  </w:t>
      </w:r>
      <w:r>
        <w:rPr>
          <w:rFonts w:hint="eastAsia" w:ascii="宋体" w:hAnsi="宋体" w:cs="宋体"/>
          <w:bCs/>
          <w:color w:val="auto"/>
          <w:szCs w:val="21"/>
          <w:highlight w:val="none"/>
        </w:rPr>
        <w:t>“负责人”系指法人企业的法定负责人，或其他组织为法律、行政法规规定代表单位行使职权的主要负责人，或自然人本人。</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2.5</w:t>
      </w:r>
      <w:r>
        <w:rPr>
          <w:rFonts w:hint="eastAsia" w:ascii="宋体" w:hAnsi="宋体" w:cs="宋体"/>
          <w:color w:val="auto"/>
          <w:szCs w:val="21"/>
          <w:highlight w:val="none"/>
        </w:rPr>
        <w:t xml:space="preserve">  “产品”系指投标人按招标文件规定，须向采购人提供的一切设备、保险、税金、备品备件、工具、手册及其它有关技术资料和材料。</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2.6</w:t>
      </w:r>
      <w:r>
        <w:rPr>
          <w:rFonts w:hint="eastAsia" w:ascii="宋体" w:hAnsi="宋体" w:cs="宋体"/>
          <w:color w:val="auto"/>
          <w:szCs w:val="21"/>
          <w:highlight w:val="none"/>
        </w:rPr>
        <w:t xml:space="preserve">  “服务”系指招标文件规定投标人须承担的安装、调试、技术协助、校准、培训、技术指导以及其它类似的义务。</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2.7</w:t>
      </w:r>
      <w:r>
        <w:rPr>
          <w:rFonts w:hint="eastAsia" w:ascii="宋体" w:hAnsi="宋体" w:cs="宋体"/>
          <w:color w:val="auto"/>
          <w:szCs w:val="21"/>
          <w:highlight w:val="none"/>
        </w:rPr>
        <w:t xml:space="preserve">  “项目”系指投标人按招标文件规定向采购人提供的货物或服务。</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2.8</w:t>
      </w:r>
      <w:r>
        <w:rPr>
          <w:rFonts w:hint="eastAsia" w:ascii="宋体" w:hAnsi="宋体" w:cs="宋体"/>
          <w:color w:val="auto"/>
          <w:szCs w:val="21"/>
          <w:highlight w:val="none"/>
        </w:rPr>
        <w:t xml:space="preserve">  “书面形式”包括信函、传真、邮件等。</w:t>
      </w:r>
    </w:p>
    <w:p>
      <w:pPr>
        <w:spacing w:line="360" w:lineRule="auto"/>
        <w:ind w:left="632" w:hanging="630" w:hangingChars="300"/>
        <w:rPr>
          <w:rFonts w:ascii="宋体" w:hAnsi="宋体" w:cs="宋体"/>
          <w:b/>
          <w:color w:val="auto"/>
          <w:szCs w:val="21"/>
          <w:highlight w:val="none"/>
        </w:rPr>
      </w:pPr>
      <w:r>
        <w:rPr>
          <w:rFonts w:hint="eastAsia" w:ascii="宋体" w:hAnsi="宋体" w:cs="宋体"/>
          <w:b/>
          <w:color w:val="auto"/>
          <w:szCs w:val="21"/>
          <w:highlight w:val="none"/>
        </w:rPr>
        <w:t>2.9</w:t>
      </w:r>
      <w:r>
        <w:rPr>
          <w:rFonts w:hint="eastAsia" w:ascii="宋体" w:hAnsi="宋体" w:cs="宋体"/>
          <w:color w:val="auto"/>
          <w:szCs w:val="21"/>
          <w:highlight w:val="none"/>
        </w:rPr>
        <w:t xml:space="preserve">  “★”系指实质性要求条款。投标文件对这些条款的任何负偏离将导致投标无效。  “</w:t>
      </w:r>
      <w:r>
        <w:rPr>
          <w:rFonts w:ascii="Wingdings" w:hAnsi="Wingdings" w:cs="Arial"/>
          <w:color w:val="auto"/>
          <w:kern w:val="0"/>
          <w:sz w:val="24"/>
          <w:szCs w:val="24"/>
          <w:highlight w:val="none"/>
        </w:rPr>
        <w:t></w:t>
      </w:r>
      <w:r>
        <w:rPr>
          <w:rFonts w:hint="eastAsia" w:ascii="宋体" w:hAnsi="宋体" w:cs="宋体"/>
          <w:color w:val="auto"/>
          <w:szCs w:val="21"/>
          <w:highlight w:val="none"/>
        </w:rPr>
        <w:t>” 系指适用本项目的要求，“☐” 系指不适用本项目的要求。</w:t>
      </w: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3.   招标范围</w:t>
      </w:r>
    </w:p>
    <w:p>
      <w:pPr>
        <w:spacing w:line="360" w:lineRule="auto"/>
        <w:rPr>
          <w:rFonts w:ascii="宋体" w:hAnsi="宋体"/>
          <w:color w:val="auto"/>
          <w:highlight w:val="none"/>
        </w:rPr>
      </w:pPr>
      <w:r>
        <w:rPr>
          <w:rFonts w:hint="eastAsia" w:ascii="宋体" w:hAnsi="宋体" w:cs="宋体"/>
          <w:b/>
          <w:color w:val="auto"/>
          <w:szCs w:val="21"/>
          <w:highlight w:val="none"/>
        </w:rPr>
        <w:t xml:space="preserve">3.1  </w:t>
      </w:r>
      <w:r>
        <w:rPr>
          <w:rFonts w:hint="eastAsia" w:ascii="宋体" w:hAnsi="宋体"/>
          <w:color w:val="auto"/>
          <w:highlight w:val="none"/>
        </w:rPr>
        <w:t>招标范围：</w:t>
      </w:r>
      <w:r>
        <w:rPr>
          <w:rFonts w:ascii="宋体" w:hAnsi="宋体"/>
          <w:color w:val="auto"/>
          <w:highlight w:val="none"/>
        </w:rPr>
        <w:t>见</w:t>
      </w:r>
      <w:r>
        <w:rPr>
          <w:rFonts w:hint="eastAsia" w:ascii="宋体" w:hAnsi="宋体"/>
          <w:color w:val="auto"/>
          <w:highlight w:val="none"/>
        </w:rPr>
        <w:t>“投标资料表”</w:t>
      </w:r>
      <w:r>
        <w:rPr>
          <w:rFonts w:ascii="宋体" w:hAnsi="宋体"/>
          <w:color w:val="auto"/>
          <w:highlight w:val="none"/>
        </w:rPr>
        <w:t>。</w:t>
      </w:r>
    </w:p>
    <w:p>
      <w:pPr>
        <w:spacing w:line="360" w:lineRule="auto"/>
        <w:rPr>
          <w:rFonts w:ascii="宋体" w:hAnsi="宋体"/>
          <w:color w:val="auto"/>
          <w:highlight w:val="none"/>
        </w:rPr>
      </w:pPr>
      <w:r>
        <w:rPr>
          <w:rFonts w:hint="eastAsia" w:ascii="宋体" w:hAnsi="宋体" w:cs="宋体"/>
          <w:b/>
          <w:color w:val="auto"/>
          <w:szCs w:val="21"/>
          <w:highlight w:val="none"/>
        </w:rPr>
        <w:t>3.2</w:t>
      </w:r>
      <w:r>
        <w:rPr>
          <w:rFonts w:hint="eastAsia" w:ascii="宋体" w:hAnsi="宋体"/>
          <w:color w:val="auto"/>
          <w:highlight w:val="none"/>
        </w:rPr>
        <w:t xml:space="preserve">  本项目转包、分包具体要求在招标文件“投标资料表”中做出规定。</w:t>
      </w:r>
    </w:p>
    <w:p>
      <w:pPr>
        <w:spacing w:line="360" w:lineRule="auto"/>
        <w:ind w:firstLine="210" w:firstLineChars="100"/>
        <w:rPr>
          <w:rFonts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4.   合格的投标人</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4.1  </w:t>
      </w:r>
      <w:r>
        <w:rPr>
          <w:rFonts w:hint="eastAsia" w:ascii="宋体" w:hAnsi="宋体" w:cs="宋体"/>
          <w:color w:val="auto"/>
          <w:szCs w:val="21"/>
          <w:highlight w:val="none"/>
        </w:rPr>
        <w:t>合格的投标人应该是：</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是指向采购人提供货物、工程或者服务的法人、其他组织或者自然人。除金融、保险、通讯、石油石化、电力等特定行业的全国性企业所设立的区域性分支机构允许投标外，其他法人的分支机构不允许参加投标。</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spacing w:line="440" w:lineRule="exact"/>
        <w:ind w:firstLine="420" w:firstLineChars="200"/>
        <w:rPr>
          <w:rFonts w:ascii="宋体" w:hAnsi="宋体"/>
          <w:b/>
          <w:color w:val="auto"/>
          <w:szCs w:val="21"/>
          <w:highlight w:val="none"/>
        </w:rPr>
      </w:pPr>
      <w:r>
        <w:rPr>
          <w:rFonts w:hint="eastAsia" w:ascii="宋体" w:hAnsi="宋体"/>
          <w:b/>
          <w:color w:val="auto"/>
          <w:szCs w:val="21"/>
          <w:highlight w:val="none"/>
        </w:rPr>
        <w:t>根据政府采购相关法律、法规、规章、文件规定并满足招标文件规定资格条件的区域性分支机构、个人独资企业、合伙企业参加本项目投标并由单位负责人签署的相关投标资料与本招标文件规定由法定代表人签署的文件材料具有同等效力。</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4.2</w:t>
      </w:r>
      <w:r>
        <w:rPr>
          <w:rFonts w:hint="eastAsia" w:ascii="宋体" w:hAnsi="宋体" w:cs="宋体"/>
          <w:color w:val="auto"/>
          <w:szCs w:val="21"/>
          <w:highlight w:val="none"/>
        </w:rPr>
        <w:t xml:space="preserve">  符合本招标文件载明的对上述</w:t>
      </w:r>
      <w:r>
        <w:rPr>
          <w:rFonts w:hint="eastAsia" w:ascii="宋体" w:hAnsi="宋体" w:cs="宋体"/>
          <w:b/>
          <w:color w:val="auto"/>
          <w:szCs w:val="21"/>
          <w:highlight w:val="none"/>
        </w:rPr>
        <w:t>4.1</w:t>
      </w:r>
      <w:r>
        <w:rPr>
          <w:rFonts w:hint="eastAsia" w:ascii="宋体" w:hAnsi="宋体" w:cs="宋体"/>
          <w:color w:val="auto"/>
          <w:szCs w:val="21"/>
          <w:highlight w:val="none"/>
        </w:rPr>
        <w:t>条的例外的规定或对投标人资格的其他补充要求：详见招标公告。</w:t>
      </w:r>
    </w:p>
    <w:p>
      <w:pPr>
        <w:spacing w:line="400" w:lineRule="exact"/>
        <w:rPr>
          <w:rFonts w:ascii="宋体" w:hAnsi="宋体" w:cs="宋体"/>
          <w:color w:val="auto"/>
          <w:szCs w:val="21"/>
          <w:highlight w:val="none"/>
        </w:rPr>
      </w:pP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5.投标人代表</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5.1</w:t>
      </w:r>
      <w:r>
        <w:rPr>
          <w:rFonts w:hint="eastAsia" w:ascii="宋体" w:hAnsi="宋体" w:cs="宋体"/>
          <w:color w:val="auto"/>
          <w:szCs w:val="21"/>
          <w:highlight w:val="none"/>
        </w:rPr>
        <w:t xml:space="preserve">  投标人代表须持有“单位负责人授权书”。单位负责人是指单位法定代表人或者法律、行政法规规定代表单位行使职权的主要负责人（下同）。</w:t>
      </w:r>
    </w:p>
    <w:p>
      <w:pPr>
        <w:spacing w:line="400" w:lineRule="exact"/>
        <w:rPr>
          <w:rFonts w:ascii="宋体" w:hAnsi="宋体" w:cs="宋体"/>
          <w:color w:val="auto"/>
          <w:szCs w:val="21"/>
          <w:highlight w:val="none"/>
          <w:shd w:val="pct10" w:color="auto" w:fill="FFFFFF"/>
        </w:rPr>
      </w:pPr>
      <w:r>
        <w:rPr>
          <w:rFonts w:hint="eastAsia" w:ascii="宋体" w:hAnsi="宋体" w:cs="宋体"/>
          <w:b/>
          <w:color w:val="auto"/>
          <w:szCs w:val="21"/>
          <w:highlight w:val="none"/>
        </w:rPr>
        <w:t xml:space="preserve">5.2  </w:t>
      </w:r>
      <w:r>
        <w:rPr>
          <w:rFonts w:hint="eastAsia" w:ascii="宋体" w:hAnsi="宋体" w:cs="宋体"/>
          <w:color w:val="auto"/>
          <w:szCs w:val="21"/>
          <w:highlight w:val="none"/>
        </w:rPr>
        <w:t>若投标人代表是单位负责人的，则须符合本须知第</w:t>
      </w:r>
      <w:r>
        <w:rPr>
          <w:rFonts w:hint="eastAsia" w:ascii="宋体" w:hAnsi="宋体" w:cs="宋体"/>
          <w:b/>
          <w:color w:val="auto"/>
          <w:szCs w:val="21"/>
          <w:highlight w:val="none"/>
        </w:rPr>
        <w:t>9.1</w:t>
      </w:r>
      <w:r>
        <w:rPr>
          <w:rFonts w:hint="eastAsia" w:ascii="宋体" w:hAnsi="宋体" w:cs="宋体"/>
          <w:color w:val="auto"/>
          <w:szCs w:val="21"/>
          <w:highlight w:val="none"/>
        </w:rPr>
        <w:t>条的要求。</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b/>
          <w:color w:val="auto"/>
          <w:szCs w:val="21"/>
          <w:highlight w:val="none"/>
        </w:rPr>
        <w:t>6.投标费用</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6.1</w:t>
      </w:r>
      <w:r>
        <w:rPr>
          <w:rFonts w:hint="eastAsia" w:ascii="宋体" w:hAnsi="宋体" w:cs="宋体"/>
          <w:color w:val="auto"/>
          <w:szCs w:val="21"/>
          <w:highlight w:val="none"/>
        </w:rPr>
        <w:t xml:space="preserve">  不论招标的结果如何，投标人自行承担其参加本次投标有关的全部费用。</w:t>
      </w:r>
    </w:p>
    <w:p>
      <w:pPr>
        <w:spacing w:line="400" w:lineRule="exact"/>
        <w:jc w:val="center"/>
        <w:rPr>
          <w:rFonts w:ascii="宋体" w:hAnsi="宋体" w:cs="宋体"/>
          <w:b/>
          <w:color w:val="auto"/>
          <w:sz w:val="28"/>
          <w:highlight w:val="none"/>
        </w:rPr>
      </w:pPr>
    </w:p>
    <w:p>
      <w:pPr>
        <w:jc w:val="center"/>
        <w:outlineLvl w:val="1"/>
        <w:rPr>
          <w:rFonts w:ascii="宋体" w:hAnsi="宋体" w:cs="宋体"/>
          <w:b/>
          <w:color w:val="auto"/>
          <w:sz w:val="28"/>
          <w:highlight w:val="none"/>
        </w:rPr>
      </w:pPr>
      <w:bookmarkStart w:id="107" w:name="_Toc3442"/>
      <w:bookmarkStart w:id="108" w:name="_Toc513798901"/>
      <w:bookmarkStart w:id="109" w:name="_Toc440276562"/>
      <w:bookmarkStart w:id="110" w:name="_Toc136017631"/>
      <w:bookmarkStart w:id="111" w:name="_Toc513799072"/>
      <w:bookmarkStart w:id="112" w:name="_Toc136345102"/>
      <w:bookmarkStart w:id="113" w:name="_Toc520902395"/>
      <w:r>
        <w:rPr>
          <w:rFonts w:hint="eastAsia" w:ascii="宋体" w:hAnsi="宋体" w:cs="宋体"/>
          <w:b/>
          <w:color w:val="auto"/>
          <w:sz w:val="28"/>
          <w:highlight w:val="none"/>
        </w:rPr>
        <w:t>B  招标文件</w:t>
      </w:r>
      <w:bookmarkEnd w:id="107"/>
      <w:bookmarkEnd w:id="108"/>
      <w:bookmarkEnd w:id="109"/>
      <w:bookmarkEnd w:id="110"/>
      <w:bookmarkEnd w:id="111"/>
      <w:bookmarkEnd w:id="112"/>
      <w:bookmarkEnd w:id="113"/>
    </w:p>
    <w:p>
      <w:pPr>
        <w:spacing w:line="400" w:lineRule="exact"/>
        <w:rPr>
          <w:rFonts w:ascii="宋体" w:hAnsi="宋体" w:cs="宋体"/>
          <w:color w:val="auto"/>
          <w:szCs w:val="21"/>
          <w:highlight w:val="none"/>
        </w:rPr>
      </w:pPr>
      <w:r>
        <w:rPr>
          <w:rFonts w:hint="eastAsia" w:ascii="宋体" w:hAnsi="宋体" w:cs="宋体"/>
          <w:b/>
          <w:color w:val="auto"/>
          <w:szCs w:val="21"/>
          <w:highlight w:val="none"/>
        </w:rPr>
        <w:t>7.招标文件的构成</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7.1</w:t>
      </w:r>
      <w:r>
        <w:rPr>
          <w:rFonts w:hint="eastAsia" w:ascii="宋体" w:hAnsi="宋体" w:cs="宋体"/>
          <w:color w:val="auto"/>
          <w:szCs w:val="21"/>
          <w:highlight w:val="none"/>
        </w:rPr>
        <w:t xml:space="preserve"> 招标文件共有七部分。内容如下：</w:t>
      </w:r>
    </w:p>
    <w:p>
      <w:pPr>
        <w:spacing w:line="400" w:lineRule="exact"/>
        <w:ind w:left="281" w:leftChars="134"/>
        <w:rPr>
          <w:rFonts w:ascii="宋体" w:hAnsi="宋体" w:cs="宋体"/>
          <w:color w:val="auto"/>
          <w:szCs w:val="21"/>
          <w:highlight w:val="none"/>
        </w:rPr>
      </w:pPr>
      <w:r>
        <w:rPr>
          <w:rFonts w:hint="eastAsia" w:ascii="宋体" w:hAnsi="宋体" w:cs="宋体"/>
          <w:color w:val="auto"/>
          <w:szCs w:val="21"/>
          <w:highlight w:val="none"/>
        </w:rPr>
        <w:t>第一部分 招标公告</w:t>
      </w:r>
    </w:p>
    <w:p>
      <w:pPr>
        <w:spacing w:line="400" w:lineRule="exact"/>
        <w:ind w:left="281" w:leftChars="134"/>
        <w:rPr>
          <w:rFonts w:ascii="宋体" w:hAnsi="宋体" w:cs="宋体"/>
          <w:color w:val="auto"/>
          <w:szCs w:val="21"/>
          <w:highlight w:val="none"/>
        </w:rPr>
      </w:pPr>
      <w:r>
        <w:rPr>
          <w:rFonts w:hint="eastAsia" w:ascii="宋体" w:hAnsi="宋体" w:cs="宋体"/>
          <w:color w:val="auto"/>
          <w:szCs w:val="21"/>
          <w:highlight w:val="none"/>
        </w:rPr>
        <w:t>第二部分 招标项目需求</w:t>
      </w:r>
    </w:p>
    <w:p>
      <w:pPr>
        <w:spacing w:line="400" w:lineRule="exact"/>
        <w:ind w:left="281" w:leftChars="134"/>
        <w:rPr>
          <w:rFonts w:ascii="宋体" w:hAnsi="宋体" w:cs="宋体"/>
          <w:color w:val="auto"/>
          <w:szCs w:val="21"/>
          <w:highlight w:val="none"/>
        </w:rPr>
      </w:pPr>
      <w:r>
        <w:rPr>
          <w:rFonts w:hint="eastAsia" w:ascii="宋体" w:hAnsi="宋体" w:cs="宋体"/>
          <w:color w:val="auto"/>
          <w:szCs w:val="21"/>
          <w:highlight w:val="none"/>
        </w:rPr>
        <w:t>第三部分 投标资料表</w:t>
      </w:r>
    </w:p>
    <w:p>
      <w:pPr>
        <w:spacing w:line="400" w:lineRule="exact"/>
        <w:ind w:left="281" w:leftChars="134"/>
        <w:rPr>
          <w:rFonts w:ascii="宋体" w:hAnsi="宋体" w:cs="宋体"/>
          <w:color w:val="auto"/>
          <w:szCs w:val="21"/>
          <w:highlight w:val="none"/>
        </w:rPr>
      </w:pPr>
      <w:r>
        <w:rPr>
          <w:rFonts w:hint="eastAsia" w:ascii="宋体" w:hAnsi="宋体" w:cs="宋体"/>
          <w:color w:val="auto"/>
          <w:szCs w:val="21"/>
          <w:highlight w:val="none"/>
        </w:rPr>
        <w:t>第四部分 投标人须知</w:t>
      </w:r>
    </w:p>
    <w:p>
      <w:pPr>
        <w:spacing w:line="400" w:lineRule="exact"/>
        <w:ind w:left="281" w:leftChars="134"/>
        <w:rPr>
          <w:rFonts w:ascii="宋体" w:hAnsi="宋体" w:cs="宋体"/>
          <w:color w:val="auto"/>
          <w:szCs w:val="21"/>
          <w:highlight w:val="none"/>
        </w:rPr>
      </w:pPr>
      <w:r>
        <w:rPr>
          <w:rFonts w:hint="eastAsia" w:ascii="宋体" w:hAnsi="宋体" w:cs="宋体"/>
          <w:color w:val="auto"/>
          <w:szCs w:val="21"/>
          <w:highlight w:val="none"/>
        </w:rPr>
        <w:t>第五部分 评标办法</w:t>
      </w:r>
    </w:p>
    <w:p>
      <w:pPr>
        <w:spacing w:line="400" w:lineRule="exact"/>
        <w:ind w:left="281" w:leftChars="134"/>
        <w:rPr>
          <w:rFonts w:ascii="宋体" w:hAnsi="宋体" w:cs="宋体"/>
          <w:color w:val="auto"/>
          <w:szCs w:val="21"/>
          <w:highlight w:val="none"/>
        </w:rPr>
      </w:pPr>
      <w:r>
        <w:rPr>
          <w:rFonts w:hint="eastAsia" w:ascii="宋体" w:hAnsi="宋体" w:cs="宋体"/>
          <w:color w:val="auto"/>
          <w:szCs w:val="21"/>
          <w:highlight w:val="none"/>
        </w:rPr>
        <w:t>第六部分 合同格式</w:t>
      </w:r>
    </w:p>
    <w:p>
      <w:pPr>
        <w:spacing w:line="400" w:lineRule="exact"/>
        <w:ind w:left="281" w:leftChars="134"/>
        <w:rPr>
          <w:rFonts w:ascii="宋体" w:hAnsi="宋体" w:cs="宋体"/>
          <w:color w:val="auto"/>
          <w:szCs w:val="21"/>
          <w:highlight w:val="none"/>
        </w:rPr>
      </w:pPr>
      <w:r>
        <w:rPr>
          <w:rFonts w:hint="eastAsia" w:ascii="宋体" w:hAnsi="宋体" w:cs="宋体"/>
          <w:color w:val="auto"/>
          <w:szCs w:val="21"/>
          <w:highlight w:val="none"/>
        </w:rPr>
        <w:t>第七部分 投标文件格式</w:t>
      </w:r>
    </w:p>
    <w:p>
      <w:pPr>
        <w:spacing w:line="400" w:lineRule="exact"/>
        <w:ind w:firstLine="420" w:firstLineChars="200"/>
        <w:rPr>
          <w:rFonts w:ascii="宋体" w:hAnsi="宋体" w:cs="宋体"/>
          <w:b/>
          <w:color w:val="auto"/>
          <w:szCs w:val="21"/>
          <w:highlight w:val="none"/>
        </w:rPr>
      </w:pPr>
      <w:r>
        <w:rPr>
          <w:rFonts w:hint="eastAsia" w:ascii="宋体" w:hAnsi="宋体" w:cs="宋体"/>
          <w:b/>
          <w:color w:val="auto"/>
          <w:szCs w:val="21"/>
          <w:highlight w:val="none"/>
        </w:rPr>
        <w:t>投标人应详细阅读招标文件的全部内容和要求，不按招标文件的要求提供投标文件和资料导致的风险由投标人承担。</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7.2 </w:t>
      </w:r>
      <w:r>
        <w:rPr>
          <w:rFonts w:hint="eastAsia" w:ascii="宋体" w:hAnsi="宋体" w:cs="宋体"/>
          <w:color w:val="auto"/>
          <w:szCs w:val="21"/>
          <w:highlight w:val="none"/>
        </w:rPr>
        <w:t>与本项目有关的澄清或者修改的内容为招标文件的组成部分。</w:t>
      </w:r>
    </w:p>
    <w:p>
      <w:pPr>
        <w:spacing w:line="400" w:lineRule="exact"/>
        <w:ind w:firstLine="210" w:firstLineChars="100"/>
        <w:rPr>
          <w:rFonts w:ascii="宋体" w:hAnsi="宋体" w:cs="宋体"/>
          <w:b/>
          <w:color w:val="auto"/>
          <w:szCs w:val="21"/>
          <w:highlight w:val="none"/>
        </w:rPr>
      </w:pP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8.招标文件的澄清和修改</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8.1</w:t>
      </w:r>
      <w:r>
        <w:rPr>
          <w:rFonts w:hint="eastAsia" w:ascii="宋体" w:hAnsi="宋体" w:cs="宋体"/>
          <w:color w:val="auto"/>
          <w:szCs w:val="21"/>
          <w:highlight w:val="none"/>
        </w:rPr>
        <w:t>采购人或者采购代理机构可以在招标文件提供期限截止后，组织已获取招标文件的潜在投标人现场考察或者召开开标前答疑会。组织现场考察或者召开答疑会的在招标文件“投标资料表”中载明。</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8.2  </w:t>
      </w:r>
      <w:r>
        <w:rPr>
          <w:rFonts w:hint="eastAsia" w:ascii="宋体" w:hAnsi="宋体" w:cs="宋体"/>
          <w:color w:val="auto"/>
          <w:szCs w:val="21"/>
          <w:highlight w:val="none"/>
        </w:rPr>
        <w:t>若潜在投标人对招标文件有疑点，要求采购人澄清的，应以书面形式通知采购代理机构，要求澄清的截止时间同有效质疑的截止时间。</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8.3</w:t>
      </w:r>
      <w:r>
        <w:rPr>
          <w:rFonts w:hint="eastAsia" w:ascii="宋体" w:hAnsi="宋体" w:cs="宋体"/>
          <w:color w:val="auto"/>
          <w:szCs w:val="21"/>
          <w:highlight w:val="none"/>
        </w:rPr>
        <w:t xml:space="preserve">  采购人或者采购代理机构可以对已发出的招标文件进行必要的澄清或者修改，但不得改变采购标的和资格条件。澄清或者修改在原公告发布媒体上发布更正公告。更正公告为招标文件的组成部分，一经在网站发布，视同已通知所有招标文件的收受人，不再采用其它方式传达相关信息，若因未能及时了解到上述网站上发布的相关信息而导致的一切后果由投标人自行承担。</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8.4</w:t>
      </w:r>
      <w:r>
        <w:rPr>
          <w:rFonts w:hint="eastAsia" w:ascii="宋体" w:hAnsi="宋体" w:cs="宋体"/>
          <w:color w:val="auto"/>
          <w:szCs w:val="21"/>
          <w:highlight w:val="none"/>
        </w:rPr>
        <w:t xml:space="preserve">  澄清或者修改的内容可能影响投标文件编制的，采购人或者采购代理机构在投标截止时间至少15日前，以书面形式（纸质、传真或电子邮件形式）通知所有获取招标文件的潜在投标人；不足15日的，采购人或者采购代理机构顺延提交投标文件的截止时间。</w:t>
      </w:r>
    </w:p>
    <w:p>
      <w:pPr>
        <w:spacing w:line="400" w:lineRule="exact"/>
        <w:rPr>
          <w:rFonts w:ascii="宋体" w:hAnsi="宋体" w:cs="宋体"/>
          <w:color w:val="auto"/>
          <w:szCs w:val="24"/>
          <w:highlight w:val="none"/>
          <w:u w:val="single"/>
        </w:rPr>
      </w:pPr>
    </w:p>
    <w:p>
      <w:pPr>
        <w:jc w:val="center"/>
        <w:outlineLvl w:val="1"/>
        <w:rPr>
          <w:rFonts w:ascii="宋体" w:hAnsi="宋体" w:cs="宋体"/>
          <w:b/>
          <w:color w:val="auto"/>
          <w:sz w:val="28"/>
          <w:highlight w:val="none"/>
        </w:rPr>
      </w:pPr>
      <w:bookmarkStart w:id="114" w:name="_Toc440276563"/>
      <w:bookmarkStart w:id="115" w:name="_Toc9362"/>
      <w:bookmarkStart w:id="116" w:name="_Toc136017632"/>
      <w:bookmarkStart w:id="117" w:name="_Toc520902396"/>
      <w:bookmarkStart w:id="118" w:name="_Toc136345103"/>
      <w:bookmarkStart w:id="119" w:name="_Toc513798902"/>
      <w:bookmarkStart w:id="120" w:name="_Toc513799073"/>
      <w:r>
        <w:rPr>
          <w:rFonts w:hint="eastAsia" w:ascii="宋体" w:hAnsi="宋体" w:cs="宋体"/>
          <w:b/>
          <w:color w:val="auto"/>
          <w:sz w:val="28"/>
          <w:highlight w:val="none"/>
        </w:rPr>
        <w:t>C  投标文件</w:t>
      </w:r>
      <w:bookmarkEnd w:id="114"/>
      <w:bookmarkEnd w:id="115"/>
      <w:bookmarkEnd w:id="116"/>
      <w:bookmarkEnd w:id="117"/>
      <w:bookmarkEnd w:id="118"/>
      <w:bookmarkEnd w:id="119"/>
      <w:bookmarkEnd w:id="120"/>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9. 投标文件的组成</w:t>
      </w:r>
    </w:p>
    <w:p>
      <w:pPr>
        <w:spacing w:line="400" w:lineRule="exact"/>
        <w:rPr>
          <w:rFonts w:ascii="宋体" w:hAnsi="宋体" w:cs="宋体"/>
          <w:color w:val="auto"/>
          <w:kern w:val="0"/>
          <w:sz w:val="24"/>
          <w:highlight w:val="none"/>
        </w:rPr>
      </w:pPr>
      <w:r>
        <w:rPr>
          <w:rFonts w:hint="eastAsia" w:ascii="宋体" w:hAnsi="宋体" w:cs="宋体"/>
          <w:b/>
          <w:color w:val="auto"/>
          <w:szCs w:val="21"/>
          <w:highlight w:val="none"/>
        </w:rPr>
        <w:t>9.1</w:t>
      </w:r>
      <w:r>
        <w:rPr>
          <w:rFonts w:hint="eastAsia" w:ascii="宋体" w:hAnsi="宋体" w:cs="宋体"/>
          <w:b/>
          <w:bCs/>
          <w:color w:val="auto"/>
          <w:kern w:val="0"/>
          <w:szCs w:val="21"/>
          <w:highlight w:val="none"/>
        </w:rPr>
        <w:t xml:space="preserve">投标文件的形式和效力 </w:t>
      </w:r>
    </w:p>
    <w:p>
      <w:pPr>
        <w:widowControl/>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（1）投标文件分为电子投标文件以及备份投标文件，备份投标文件为以 U 盘存储的电子备份投标文件。</w:t>
      </w:r>
    </w:p>
    <w:p>
      <w:pPr>
        <w:widowControl/>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 xml:space="preserve">（2）电子投标文件，按“政采云供应商项目采购-电子招投标操作指南”及本招标文件要求制作、加密并递交。 </w:t>
      </w:r>
    </w:p>
    <w:p>
      <w:pPr>
        <w:widowControl/>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（3）以 U 盘存储的电子备份投标文件，须按“政采云供应商项目采购-电子招投标操作指南”制作的备份文件（后缀格式为“.bfbs”）。因 U 盘损坏无法正常获取电子备份文件或 U 盘存储的电子备份投标文件格式原因未能成功上传政采云系统的均作无效标处理，一切责任由投标人自行负责。</w:t>
      </w:r>
    </w:p>
    <w:p>
      <w:pPr>
        <w:spacing w:line="400" w:lineRule="exact"/>
        <w:ind w:firstLine="420" w:firstLineChars="200"/>
        <w:rPr>
          <w:rFonts w:ascii="宋体" w:hAnsi="宋体" w:cs="宋体"/>
          <w:color w:val="auto"/>
          <w:szCs w:val="21"/>
          <w:highlight w:val="none"/>
        </w:rPr>
      </w:pPr>
      <w:r>
        <w:rPr>
          <w:rFonts w:hint="eastAsia" w:ascii="宋体" w:hAnsi="宋体" w:cs="宋体"/>
          <w:b/>
          <w:color w:val="auto"/>
          <w:kern w:val="0"/>
          <w:szCs w:val="21"/>
          <w:highlight w:val="none"/>
        </w:rPr>
        <w:t>（</w:t>
      </w:r>
      <w:r>
        <w:rPr>
          <w:rFonts w:hint="eastAsia" w:ascii="宋体" w:hAnsi="宋体" w:cs="宋体"/>
          <w:b/>
          <w:bCs/>
          <w:color w:val="auto"/>
          <w:kern w:val="0"/>
          <w:szCs w:val="21"/>
          <w:highlight w:val="none"/>
        </w:rPr>
        <w:t>4）投标文件的效力：投标文件的启用，按先后顺位分别为电子投标文件、以 U 盘存储的电子备份投标文件。在下一顺位的投标文件启用时，前一顺位的投标文件自动失效。电子投标文件未能按时解密，投标人提供了电子备份投标文件，以电子备份投标文件作为依据，否则视为投标文件撤回。电子投标文件已按时解密的，电子备份投标文件自动失效。</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9.2</w:t>
      </w:r>
      <w:r>
        <w:rPr>
          <w:rFonts w:hint="eastAsia" w:ascii="宋体" w:hAnsi="宋体" w:cs="宋体"/>
          <w:bCs/>
          <w:color w:val="auto"/>
          <w:kern w:val="0"/>
          <w:szCs w:val="21"/>
          <w:highlight w:val="none"/>
        </w:rPr>
        <w:t>投标文件由资格文件、商务技术文件和报价文件三部分组成，资格文件、商务技术文件、报价文件分别编制；电子投标文件中所须加盖公章部分均采用 CA 签章。</w:t>
      </w:r>
      <w:r>
        <w:rPr>
          <w:rFonts w:hint="eastAsia" w:ascii="宋体" w:hAnsi="宋体" w:cs="宋体"/>
          <w:color w:val="auto"/>
          <w:szCs w:val="21"/>
          <w:highlight w:val="none"/>
        </w:rPr>
        <w:t>具体组成内容在本招标文件“投标资料表”中做出规定。</w:t>
      </w:r>
    </w:p>
    <w:p>
      <w:pPr>
        <w:spacing w:line="440" w:lineRule="exact"/>
        <w:rPr>
          <w:rFonts w:ascii="宋体" w:hAnsi="宋体"/>
          <w:color w:val="auto"/>
          <w:szCs w:val="21"/>
          <w:highlight w:val="none"/>
        </w:rPr>
      </w:pPr>
      <w:r>
        <w:rPr>
          <w:rFonts w:hint="eastAsia" w:ascii="宋体" w:hAnsi="宋体"/>
          <w:b/>
          <w:color w:val="auto"/>
          <w:szCs w:val="21"/>
          <w:highlight w:val="none"/>
        </w:rPr>
        <w:t>9.3</w:t>
      </w:r>
      <w:r>
        <w:rPr>
          <w:rFonts w:hint="eastAsia" w:ascii="宋体" w:hAnsi="宋体"/>
          <w:color w:val="auto"/>
          <w:szCs w:val="21"/>
          <w:highlight w:val="none"/>
        </w:rPr>
        <w:t xml:space="preserve">  组成投标文件的各项资料中本招标书的有规定格式的，应统一按本招标书的规定格式填写。未有规定格式的资料，投标人应自行编制，但至少要包含组成投标文件要求的内容。</w:t>
      </w:r>
    </w:p>
    <w:p>
      <w:pPr>
        <w:spacing w:line="440" w:lineRule="exact"/>
        <w:rPr>
          <w:rFonts w:ascii="宋体" w:hAnsi="宋体"/>
          <w:color w:val="auto"/>
          <w:szCs w:val="21"/>
          <w:highlight w:val="none"/>
        </w:rPr>
      </w:pP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10.  投标报价</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10.1</w:t>
      </w:r>
      <w:r>
        <w:rPr>
          <w:rFonts w:hint="eastAsia" w:ascii="宋体" w:hAnsi="宋体" w:cs="宋体"/>
          <w:color w:val="auto"/>
          <w:szCs w:val="21"/>
          <w:highlight w:val="none"/>
        </w:rPr>
        <w:t xml:space="preserve">  本次招标对投标报价组成的具体要求在招标文件“投标资料表”中做出规定。</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10.2  </w:t>
      </w:r>
      <w:r>
        <w:rPr>
          <w:rFonts w:hint="eastAsia" w:ascii="宋体" w:hAnsi="宋体" w:cs="宋体"/>
          <w:color w:val="auto"/>
          <w:szCs w:val="21"/>
          <w:highlight w:val="none"/>
        </w:rPr>
        <w:t>投标人要按照招标文件中的“开标一览表”格式和内容完整填写投标总价及其他事项。</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10.3</w:t>
      </w:r>
      <w:r>
        <w:rPr>
          <w:rFonts w:hint="eastAsia" w:ascii="宋体" w:hAnsi="宋体" w:cs="宋体"/>
          <w:color w:val="auto"/>
          <w:szCs w:val="21"/>
          <w:highlight w:val="none"/>
        </w:rPr>
        <w:t xml:space="preserve">  除非招标文件另有备选投标方案的规定，投标应该只有一个投标报价。投标人若有投标声明，应载明在“开标一览表”中，供开标时唱出，未经唱出的声明在评标时不作考虑。</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10.4  </w:t>
      </w:r>
      <w:r>
        <w:rPr>
          <w:rFonts w:hint="eastAsia" w:ascii="宋体" w:hAnsi="宋体" w:cs="宋体"/>
          <w:color w:val="auto"/>
          <w:szCs w:val="21"/>
          <w:highlight w:val="none"/>
        </w:rPr>
        <w:t>开标后以及在评标及中标后的合同执行过程中，投标人不得以任何理由变更投标价格。</w:t>
      </w:r>
      <w:r>
        <w:rPr>
          <w:rFonts w:hint="eastAsia" w:ascii="宋体" w:hAnsi="宋体" w:cs="宋体"/>
          <w:b/>
          <w:color w:val="auto"/>
          <w:szCs w:val="21"/>
          <w:highlight w:val="none"/>
        </w:rPr>
        <w:t>若投标人在中标以后做出任何改变投标价格的决定，将被视作撤标而失去中标资格。</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10.5  本项目采用最高投标限价，超过最高限价的投标文件无效。</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10.6  </w:t>
      </w:r>
      <w:r>
        <w:rPr>
          <w:rFonts w:hint="eastAsia" w:ascii="宋体" w:hAnsi="宋体" w:cs="宋体"/>
          <w:color w:val="auto"/>
          <w:szCs w:val="21"/>
          <w:highlight w:val="none"/>
        </w:rPr>
        <w:t>本项目的投标货币为人民币。</w:t>
      </w:r>
    </w:p>
    <w:p>
      <w:pPr>
        <w:spacing w:line="400" w:lineRule="exact"/>
        <w:rPr>
          <w:rFonts w:ascii="宋体" w:hAnsi="宋体" w:cs="宋体"/>
          <w:b/>
          <w:color w:val="auto"/>
          <w:szCs w:val="21"/>
          <w:highlight w:val="none"/>
        </w:rPr>
      </w:pPr>
    </w:p>
    <w:p>
      <w:pPr>
        <w:spacing w:line="400" w:lineRule="exact"/>
        <w:rPr>
          <w:rFonts w:ascii="宋体" w:hAnsi="宋体" w:cs="宋体"/>
          <w:color w:val="auto"/>
          <w:szCs w:val="21"/>
          <w:highlight w:val="none"/>
        </w:rPr>
      </w:pPr>
      <w:r>
        <w:rPr>
          <w:rFonts w:hint="eastAsia" w:ascii="宋体" w:hAnsi="宋体" w:cs="宋体"/>
          <w:b/>
          <w:color w:val="auto"/>
          <w:szCs w:val="21"/>
          <w:highlight w:val="none"/>
        </w:rPr>
        <w:t>11.  投标文件的格式和编写</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11.1</w:t>
      </w:r>
      <w:r>
        <w:rPr>
          <w:rFonts w:hint="eastAsia" w:ascii="宋体" w:hAnsi="宋体" w:cs="宋体"/>
          <w:color w:val="auto"/>
          <w:szCs w:val="21"/>
          <w:highlight w:val="none"/>
        </w:rPr>
        <w:t xml:space="preserve">  投标文件须按“投标文件的有关格式”提供的统一格式填写、签署和加盖公章。</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11.2 </w:t>
      </w:r>
      <w:r>
        <w:rPr>
          <w:rFonts w:hint="eastAsia" w:ascii="宋体" w:hAnsi="宋体" w:cs="宋体"/>
          <w:color w:val="auto"/>
          <w:szCs w:val="21"/>
          <w:highlight w:val="none"/>
        </w:rPr>
        <w:t xml:space="preserve"> “开标一览表”应按照统一格式填写，不得自行增减内容。</w:t>
      </w:r>
    </w:p>
    <w:p>
      <w:pPr>
        <w:widowControl/>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11.3  </w:t>
      </w:r>
      <w:r>
        <w:rPr>
          <w:rFonts w:hint="eastAsia" w:ascii="宋体" w:hAnsi="宋体" w:cs="宋体"/>
          <w:bCs/>
          <w:color w:val="auto"/>
          <w:szCs w:val="21"/>
          <w:highlight w:val="none"/>
        </w:rPr>
        <w:t>投标书文件数量</w:t>
      </w:r>
      <w:r>
        <w:rPr>
          <w:rFonts w:hint="eastAsia" w:ascii="宋体" w:hAnsi="宋体" w:cs="宋体"/>
          <w:color w:val="auto"/>
          <w:szCs w:val="21"/>
          <w:highlight w:val="none"/>
        </w:rPr>
        <w:t>的具体要求在招标文件“投标资料表”中做出规定。</w:t>
      </w:r>
    </w:p>
    <w:p>
      <w:pPr>
        <w:widowControl/>
        <w:spacing w:line="360" w:lineRule="auto"/>
        <w:jc w:val="left"/>
        <w:rPr>
          <w:rFonts w:ascii="宋体" w:hAnsi="宋体" w:cs="宋体"/>
          <w:color w:val="auto"/>
          <w:kern w:val="0"/>
          <w:sz w:val="24"/>
          <w:highlight w:val="none"/>
        </w:rPr>
      </w:pPr>
      <w:r>
        <w:rPr>
          <w:rFonts w:hint="eastAsia" w:ascii="宋体" w:hAnsi="宋体" w:cs="宋体"/>
          <w:b/>
          <w:color w:val="auto"/>
          <w:szCs w:val="21"/>
          <w:highlight w:val="none"/>
        </w:rPr>
        <w:t xml:space="preserve">1.4  </w:t>
      </w:r>
      <w:r>
        <w:rPr>
          <w:rFonts w:hint="eastAsia" w:ascii="宋体" w:hAnsi="宋体" w:cs="宋体"/>
          <w:b/>
          <w:bCs/>
          <w:color w:val="auto"/>
          <w:kern w:val="0"/>
          <w:szCs w:val="21"/>
          <w:highlight w:val="none"/>
        </w:rPr>
        <w:t xml:space="preserve">电子投标文件部分：投标人应根据“政采云供应商项目采购-电子招投标操作指南”及本招标文件规定的格式和顺序编制电子投标文件并进行关联定位；电子投标文件中须加盖投标人公章部分均采用 CA 签章，签字部分可用 CA 锁法人章（如有），未申请法人章的将签名部分签好后以扫描件形式上传至投标文件（具体操作请咨询政采云 400-8817190）。 </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11.5 </w:t>
      </w:r>
      <w:r>
        <w:rPr>
          <w:rFonts w:hint="eastAsia" w:ascii="宋体" w:hAnsi="宋体" w:cs="宋体"/>
          <w:color w:val="auto"/>
          <w:szCs w:val="21"/>
          <w:highlight w:val="none"/>
        </w:rPr>
        <w:t>除招标文件有特殊要求外，投标文件中所使用的计量单位应采用国家法定计量单位。</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b/>
          <w:color w:val="auto"/>
          <w:szCs w:val="21"/>
          <w:highlight w:val="none"/>
        </w:rPr>
        <w:t>12. 投标有效期</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12.1 </w:t>
      </w:r>
      <w:r>
        <w:rPr>
          <w:rFonts w:hint="eastAsia" w:ascii="宋体" w:hAnsi="宋体" w:cs="宋体"/>
          <w:color w:val="auto"/>
          <w:szCs w:val="21"/>
          <w:highlight w:val="none"/>
        </w:rPr>
        <w:t xml:space="preserve"> 投标有效期在本招标文件“投标资料表”中做出规定。投标有效期从提交投标文件的截止之日起算。投标文件中承诺的投标有效期应当不少于招标文件中载明的投标有效期。投标有效期内投标人撤销投标文件的，采购人或者采购代理机构可以不退还投标保证金。</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12.2  </w:t>
      </w:r>
      <w:r>
        <w:rPr>
          <w:rFonts w:hint="eastAsia" w:ascii="宋体" w:hAnsi="宋体" w:cs="宋体"/>
          <w:color w:val="auto"/>
          <w:szCs w:val="21"/>
          <w:highlight w:val="none"/>
        </w:rPr>
        <w:t>在特殊情况下，在原投标有效期截止之前，应采购人要求，采购代理机构可要求投标人延长投标有效期，这种要求的提出和投标人的答复都应以书面（含传真）的形式进行。同意延长有效期的投标人不会被要求或允许修改其投标文件。</w:t>
      </w:r>
    </w:p>
    <w:p>
      <w:pPr>
        <w:spacing w:line="400" w:lineRule="exact"/>
        <w:rPr>
          <w:rFonts w:ascii="宋体" w:hAnsi="宋体" w:cs="宋体"/>
          <w:color w:val="auto"/>
          <w:szCs w:val="21"/>
          <w:highlight w:val="none"/>
        </w:rPr>
      </w:pPr>
    </w:p>
    <w:p>
      <w:pPr>
        <w:spacing w:line="400" w:lineRule="exact"/>
        <w:rPr>
          <w:rFonts w:ascii="宋体" w:hAnsi="宋体" w:cs="宋体"/>
          <w:b/>
          <w:color w:val="auto"/>
          <w:szCs w:val="21"/>
          <w:highlight w:val="none"/>
        </w:rPr>
      </w:pPr>
    </w:p>
    <w:p>
      <w:pPr>
        <w:spacing w:line="400" w:lineRule="exact"/>
        <w:rPr>
          <w:rFonts w:ascii="宋体" w:hAnsi="宋体" w:cs="宋体"/>
          <w:color w:val="auto"/>
          <w:szCs w:val="21"/>
          <w:highlight w:val="none"/>
        </w:rPr>
      </w:pPr>
      <w:r>
        <w:rPr>
          <w:rFonts w:hint="eastAsia" w:ascii="宋体" w:hAnsi="宋体" w:cs="宋体"/>
          <w:b/>
          <w:color w:val="auto"/>
          <w:szCs w:val="21"/>
          <w:highlight w:val="none"/>
        </w:rPr>
        <w:t>13</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投标保证金</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本项目无需缴纳投标保证金。</w:t>
      </w:r>
    </w:p>
    <w:p>
      <w:pPr>
        <w:spacing w:line="400" w:lineRule="exact"/>
        <w:rPr>
          <w:rFonts w:ascii="宋体" w:hAnsi="宋体" w:cs="宋体"/>
          <w:color w:val="auto"/>
          <w:sz w:val="24"/>
          <w:highlight w:val="none"/>
          <w:u w:val="single"/>
        </w:rPr>
      </w:pPr>
    </w:p>
    <w:p>
      <w:pPr>
        <w:jc w:val="center"/>
        <w:outlineLvl w:val="1"/>
        <w:rPr>
          <w:rFonts w:ascii="宋体" w:hAnsi="宋体" w:cs="宋体"/>
          <w:b/>
          <w:color w:val="auto"/>
          <w:sz w:val="28"/>
          <w:highlight w:val="none"/>
        </w:rPr>
      </w:pPr>
      <w:bookmarkStart w:id="121" w:name="_Toc513798903"/>
      <w:bookmarkStart w:id="122" w:name="_Toc136017633"/>
      <w:bookmarkStart w:id="123" w:name="_Toc5101"/>
      <w:bookmarkStart w:id="124" w:name="_Toc440276564"/>
      <w:bookmarkStart w:id="125" w:name="_Toc513799074"/>
      <w:bookmarkStart w:id="126" w:name="_Toc520902397"/>
      <w:bookmarkStart w:id="127" w:name="_Toc136345104"/>
      <w:r>
        <w:rPr>
          <w:rFonts w:hint="eastAsia" w:ascii="宋体" w:hAnsi="宋体" w:cs="宋体"/>
          <w:b/>
          <w:color w:val="auto"/>
          <w:sz w:val="28"/>
          <w:highlight w:val="none"/>
        </w:rPr>
        <w:t>D  投标文件的递交</w:t>
      </w:r>
      <w:bookmarkEnd w:id="121"/>
      <w:bookmarkEnd w:id="122"/>
      <w:bookmarkEnd w:id="123"/>
      <w:bookmarkEnd w:id="124"/>
      <w:bookmarkEnd w:id="125"/>
      <w:bookmarkEnd w:id="126"/>
      <w:bookmarkEnd w:id="127"/>
    </w:p>
    <w:p>
      <w:pPr>
        <w:spacing w:line="400" w:lineRule="exact"/>
        <w:rPr>
          <w:rFonts w:ascii="宋体" w:hAnsi="宋体" w:cs="宋体"/>
          <w:color w:val="auto"/>
          <w:szCs w:val="21"/>
          <w:highlight w:val="none"/>
        </w:rPr>
      </w:pPr>
      <w:r>
        <w:rPr>
          <w:rFonts w:hint="eastAsia" w:ascii="宋体" w:hAnsi="宋体" w:cs="宋体"/>
          <w:b/>
          <w:color w:val="auto"/>
          <w:szCs w:val="21"/>
          <w:highlight w:val="none"/>
        </w:rPr>
        <w:t>14.投标文件的装订、密封、标记和递送</w:t>
      </w:r>
    </w:p>
    <w:p>
      <w:pPr>
        <w:widowControl/>
        <w:spacing w:line="360" w:lineRule="auto"/>
        <w:jc w:val="left"/>
        <w:rPr>
          <w:rFonts w:ascii="宋体" w:hAnsi="宋体" w:cs="宋体"/>
          <w:color w:val="auto"/>
          <w:kern w:val="0"/>
          <w:sz w:val="24"/>
          <w:highlight w:val="none"/>
        </w:rPr>
      </w:pPr>
      <w:r>
        <w:rPr>
          <w:rFonts w:hint="eastAsia" w:ascii="宋体" w:hAnsi="宋体" w:cs="宋体"/>
          <w:b/>
          <w:color w:val="auto"/>
          <w:szCs w:val="21"/>
          <w:highlight w:val="none"/>
        </w:rPr>
        <w:t xml:space="preserve">14.1  </w:t>
      </w:r>
      <w:r>
        <w:rPr>
          <w:rFonts w:hint="eastAsia" w:ascii="宋体" w:hAnsi="宋体" w:cs="宋体"/>
          <w:color w:val="auto"/>
          <w:kern w:val="0"/>
          <w:szCs w:val="21"/>
          <w:highlight w:val="none"/>
        </w:rPr>
        <w:t xml:space="preserve">电子投标文件：投标人应根据“项目采购-电子招投标操作指南”及本招标文件规定的格式和顺序编制电子投标文件并进行关联定位。 </w:t>
      </w:r>
    </w:p>
    <w:p>
      <w:pPr>
        <w:widowControl/>
        <w:spacing w:line="360" w:lineRule="auto"/>
        <w:jc w:val="left"/>
        <w:rPr>
          <w:rFonts w:ascii="宋体" w:hAnsi="宋体" w:cs="宋体"/>
          <w:color w:val="auto"/>
          <w:kern w:val="0"/>
          <w:sz w:val="24"/>
          <w:highlight w:val="none"/>
        </w:rPr>
      </w:pPr>
      <w:r>
        <w:rPr>
          <w:rFonts w:hint="eastAsia" w:ascii="宋体" w:hAnsi="宋体" w:cs="宋体"/>
          <w:b/>
          <w:color w:val="auto"/>
          <w:szCs w:val="21"/>
          <w:highlight w:val="none"/>
        </w:rPr>
        <w:t>14.</w:t>
      </w:r>
      <w:r>
        <w:rPr>
          <w:rFonts w:hint="eastAsia" w:ascii="宋体" w:hAnsi="宋体" w:cs="宋体"/>
          <w:b/>
          <w:bCs/>
          <w:color w:val="auto"/>
          <w:kern w:val="0"/>
          <w:szCs w:val="21"/>
          <w:highlight w:val="none"/>
        </w:rPr>
        <w:t xml:space="preserve">2  电子备份投标文件：单独包封，外包装封面上应注明投标人名称、投标人地址、投标文件名称（电子投标文件的备份文件）、投标项目名称、项目编号及“开标时启封”字样，并加盖投标人公章。 </w:t>
      </w:r>
    </w:p>
    <w:p>
      <w:pPr>
        <w:widowControl/>
        <w:spacing w:line="360" w:lineRule="auto"/>
        <w:jc w:val="left"/>
        <w:rPr>
          <w:rFonts w:ascii="宋体" w:hAnsi="宋体" w:cs="宋体"/>
          <w:color w:val="auto"/>
          <w:kern w:val="0"/>
          <w:sz w:val="24"/>
          <w:highlight w:val="none"/>
        </w:rPr>
      </w:pPr>
      <w:r>
        <w:rPr>
          <w:rFonts w:hint="eastAsia" w:ascii="宋体" w:hAnsi="宋体" w:cs="宋体"/>
          <w:b/>
          <w:color w:val="auto"/>
          <w:szCs w:val="21"/>
          <w:highlight w:val="none"/>
        </w:rPr>
        <w:t>14.</w:t>
      </w:r>
      <w:r>
        <w:rPr>
          <w:rFonts w:hint="eastAsia" w:ascii="宋体" w:hAnsi="宋体" w:cs="宋体"/>
          <w:b/>
          <w:bCs/>
          <w:color w:val="auto"/>
          <w:kern w:val="0"/>
          <w:szCs w:val="21"/>
          <w:highlight w:val="none"/>
        </w:rPr>
        <w:t xml:space="preserve">3  未按规定密封或标记的电子备份投标文件，采购人有权拒绝接受其投标。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14.</w:t>
      </w:r>
      <w:r>
        <w:rPr>
          <w:rFonts w:hint="eastAsia" w:ascii="宋体" w:hAnsi="宋体" w:cs="宋体"/>
          <w:color w:val="auto"/>
          <w:kern w:val="0"/>
          <w:szCs w:val="21"/>
          <w:highlight w:val="none"/>
        </w:rPr>
        <w:t>4  如果投标人未按上述要求密封或标记而造成投标文件被误投或提前拆封的风险由投标人承担。</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b/>
          <w:color w:val="auto"/>
          <w:szCs w:val="21"/>
          <w:highlight w:val="none"/>
        </w:rPr>
        <w:t>15. 投标截止时间</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15.1 </w:t>
      </w:r>
      <w:r>
        <w:rPr>
          <w:rFonts w:hint="eastAsia" w:ascii="宋体" w:hAnsi="宋体" w:cs="宋体"/>
          <w:color w:val="auto"/>
          <w:szCs w:val="21"/>
          <w:highlight w:val="none"/>
        </w:rPr>
        <w:t xml:space="preserve"> 投标人应在招标文件要求提交（上传）投标文件的截止时间前，将投标文件上传至政府采购云平台。采购代理机构</w:t>
      </w:r>
      <w:r>
        <w:rPr>
          <w:rFonts w:hint="eastAsia" w:ascii="宋体" w:hAnsi="宋体" w:cs="宋体"/>
          <w:b/>
          <w:color w:val="auto"/>
          <w:szCs w:val="21"/>
          <w:highlight w:val="none"/>
        </w:rPr>
        <w:t>拒绝接收在投标截止时间以后提交（上传）的投标文件</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15.2</w:t>
      </w:r>
      <w:r>
        <w:rPr>
          <w:rFonts w:hint="eastAsia" w:ascii="宋体" w:hAnsi="宋体" w:cs="宋体"/>
          <w:color w:val="auto"/>
          <w:szCs w:val="21"/>
          <w:highlight w:val="none"/>
        </w:rPr>
        <w:t xml:space="preserve">  采购代理机构因故需推迟投标截止时间、开标时间时，应提前以公告或书面的形式通知购买招标文件的所有潜在投标人。潜在投标人在收到通知后应立即以书面形式回复采购代理机构。在这种情况下，采购代理机构和潜在投标人相应的权利和义务将受到新的截止期的约束。</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b/>
          <w:color w:val="auto"/>
          <w:szCs w:val="21"/>
          <w:highlight w:val="none"/>
        </w:rPr>
        <w:t>16.投标文件的修改和撤回</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16.1</w:t>
      </w:r>
      <w:r>
        <w:rPr>
          <w:rFonts w:hint="eastAsia" w:ascii="宋体" w:hAnsi="宋体" w:cs="宋体"/>
          <w:color w:val="auto"/>
          <w:szCs w:val="21"/>
          <w:highlight w:val="none"/>
        </w:rPr>
        <w:t xml:space="preserve">  投标人在投标截止时间前，可以对已经提交的投标文件进行补充、修改或者撤回。</w:t>
      </w:r>
    </w:p>
    <w:p>
      <w:pPr>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对已经完成传输递交的电子加密投标文件进行补充或者修改的，应当先行撤回原文件，补充、修改后重新传输递交。投标人在投标截止时间前未重新完成传输递交的，视为撤回投标文件。投标截止时间后递交的电子加密投标文件，电子交易平台将拒收。</w:t>
      </w:r>
    </w:p>
    <w:p>
      <w:pPr>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投标人在投标截止时间前递交了需要补充或修改的电子加密投标文件的备份投标文件，可以重新提交补充或修改后的备份投标文件。</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16.2</w:t>
      </w:r>
      <w:r>
        <w:rPr>
          <w:rFonts w:hint="eastAsia" w:ascii="宋体" w:hAnsi="宋体" w:cs="宋体"/>
          <w:color w:val="auto"/>
          <w:szCs w:val="21"/>
          <w:highlight w:val="none"/>
        </w:rPr>
        <w:t xml:space="preserve">  投标截止时间后，投标人不得对其投标文件进行补充、修改。</w:t>
      </w:r>
    </w:p>
    <w:p>
      <w:pPr>
        <w:spacing w:line="400" w:lineRule="exact"/>
        <w:rPr>
          <w:rFonts w:ascii="宋体" w:hAnsi="宋体" w:cs="宋体"/>
          <w:color w:val="auto"/>
          <w:szCs w:val="21"/>
          <w:highlight w:val="none"/>
        </w:rPr>
      </w:pPr>
    </w:p>
    <w:p>
      <w:pPr>
        <w:jc w:val="center"/>
        <w:outlineLvl w:val="1"/>
        <w:rPr>
          <w:rFonts w:ascii="宋体" w:hAnsi="宋体" w:cs="宋体"/>
          <w:b/>
          <w:color w:val="auto"/>
          <w:sz w:val="28"/>
          <w:highlight w:val="none"/>
        </w:rPr>
      </w:pPr>
      <w:bookmarkStart w:id="128" w:name="_Toc136345105"/>
      <w:bookmarkStart w:id="129" w:name="_Toc520902398"/>
      <w:bookmarkStart w:id="130" w:name="_Toc513799075"/>
      <w:bookmarkStart w:id="131" w:name="_Toc513798904"/>
      <w:bookmarkStart w:id="132" w:name="_Toc136017634"/>
      <w:bookmarkStart w:id="133" w:name="_Toc440276565"/>
      <w:bookmarkStart w:id="134" w:name="_Toc11416"/>
      <w:r>
        <w:rPr>
          <w:rFonts w:hint="eastAsia" w:ascii="宋体" w:hAnsi="宋体" w:cs="宋体"/>
          <w:b/>
          <w:color w:val="auto"/>
          <w:sz w:val="28"/>
          <w:highlight w:val="none"/>
        </w:rPr>
        <w:t>E  开标</w:t>
      </w:r>
      <w:bookmarkEnd w:id="128"/>
      <w:bookmarkEnd w:id="129"/>
      <w:bookmarkEnd w:id="130"/>
      <w:bookmarkEnd w:id="131"/>
      <w:bookmarkEnd w:id="132"/>
      <w:bookmarkEnd w:id="133"/>
      <w:bookmarkEnd w:id="134"/>
    </w:p>
    <w:p>
      <w:pPr>
        <w:spacing w:line="400" w:lineRule="exact"/>
        <w:rPr>
          <w:rFonts w:ascii="宋体" w:hAnsi="宋体" w:cs="宋体"/>
          <w:color w:val="auto"/>
          <w:szCs w:val="21"/>
          <w:highlight w:val="none"/>
        </w:rPr>
      </w:pPr>
      <w:r>
        <w:rPr>
          <w:rFonts w:hint="eastAsia" w:ascii="宋体" w:hAnsi="宋体" w:cs="宋体"/>
          <w:b/>
          <w:color w:val="auto"/>
          <w:szCs w:val="21"/>
          <w:highlight w:val="none"/>
        </w:rPr>
        <w:t>17</w:t>
      </w:r>
      <w:r>
        <w:rPr>
          <w:rFonts w:hint="eastAsia" w:ascii="宋体" w:hAnsi="宋体" w:cs="宋体"/>
          <w:color w:val="auto"/>
          <w:szCs w:val="21"/>
          <w:highlight w:val="none"/>
        </w:rPr>
        <w:t>.</w:t>
      </w:r>
      <w:r>
        <w:rPr>
          <w:rFonts w:hint="eastAsia" w:ascii="宋体" w:hAnsi="宋体" w:cs="宋体"/>
          <w:b/>
          <w:color w:val="auto"/>
          <w:szCs w:val="21"/>
          <w:highlight w:val="none"/>
        </w:rPr>
        <w:t>开标</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17.1  </w:t>
      </w:r>
      <w:r>
        <w:rPr>
          <w:rFonts w:hint="eastAsia" w:ascii="宋体" w:hAnsi="宋体" w:cs="宋体"/>
          <w:color w:val="auto"/>
          <w:szCs w:val="21"/>
          <w:highlight w:val="none"/>
        </w:rPr>
        <w:t>采购代理机构按招标文件规定的时间、地点主持公开开标。</w:t>
      </w:r>
    </w:p>
    <w:p>
      <w:pPr>
        <w:widowControl/>
        <w:spacing w:line="360" w:lineRule="auto"/>
        <w:jc w:val="left"/>
        <w:rPr>
          <w:rFonts w:ascii="宋体" w:hAnsi="宋体" w:cs="宋体"/>
          <w:b/>
          <w:bCs/>
          <w:color w:val="auto"/>
          <w:kern w:val="0"/>
          <w:szCs w:val="21"/>
          <w:highlight w:val="none"/>
        </w:rPr>
      </w:pPr>
      <w:r>
        <w:rPr>
          <w:rFonts w:hint="eastAsia" w:ascii="宋体" w:hAnsi="宋体" w:cs="宋体"/>
          <w:b/>
          <w:color w:val="auto"/>
          <w:szCs w:val="21"/>
          <w:highlight w:val="none"/>
        </w:rPr>
        <w:t xml:space="preserve">17.2  </w:t>
      </w:r>
      <w:r>
        <w:rPr>
          <w:rFonts w:hint="eastAsia" w:ascii="宋体" w:hAnsi="宋体" w:cs="宋体"/>
          <w:b/>
          <w:bCs/>
          <w:color w:val="auto"/>
          <w:kern w:val="0"/>
          <w:szCs w:val="21"/>
          <w:highlight w:val="none"/>
        </w:rPr>
        <w:t>电子投标开标及评审程序</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Cs w:val="21"/>
          <w:highlight w:val="none"/>
        </w:rPr>
        <w:t>（1）投标截止时间后，投标人登录政采云平台，用“项目采购-开标评标”功能对电子投标文件进行在线解密。在线解密电子投标文件时间为开标时间起</w:t>
      </w:r>
      <w:r>
        <w:rPr>
          <w:rFonts w:hint="eastAsia" w:ascii="宋体" w:hAnsi="宋体" w:cs="宋体"/>
          <w:b/>
          <w:color w:val="auto"/>
          <w:kern w:val="0"/>
          <w:szCs w:val="21"/>
          <w:highlight w:val="none"/>
          <w:u w:val="single"/>
        </w:rPr>
        <w:t>30分钟</w:t>
      </w:r>
      <w:r>
        <w:rPr>
          <w:rFonts w:hint="eastAsia" w:ascii="宋体" w:hAnsi="宋体" w:cs="宋体"/>
          <w:b/>
          <w:color w:val="auto"/>
          <w:kern w:val="0"/>
          <w:szCs w:val="21"/>
          <w:highlight w:val="none"/>
        </w:rPr>
        <w:t>内。</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Cs w:val="21"/>
          <w:highlight w:val="none"/>
        </w:rPr>
        <w:t xml:space="preserve">（2）采购人或代理机构对投标人的资格进行审查。 </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Cs w:val="21"/>
          <w:highlight w:val="none"/>
        </w:rPr>
        <w:t xml:space="preserve">（3）在系统上公开报价开标情况。 </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Cs w:val="21"/>
          <w:highlight w:val="none"/>
        </w:rPr>
        <w:t xml:space="preserve">（4）评标委员会对商务技术文件、报价文件进行评审。 </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Cs w:val="21"/>
          <w:highlight w:val="none"/>
        </w:rPr>
        <w:t xml:space="preserve">（5）在系统上公布评审结果。 </w:t>
      </w:r>
    </w:p>
    <w:p>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注：政采云公司如对电子化开标及评审程序有调整的，按调整后的程序操作。</w:t>
      </w:r>
    </w:p>
    <w:p>
      <w:pPr>
        <w:widowControl/>
        <w:spacing w:line="360" w:lineRule="auto"/>
        <w:jc w:val="left"/>
        <w:rPr>
          <w:rFonts w:ascii="宋体" w:hAnsi="宋体" w:cs="宋体"/>
          <w:color w:val="auto"/>
          <w:kern w:val="0"/>
          <w:sz w:val="24"/>
          <w:highlight w:val="none"/>
        </w:rPr>
      </w:pPr>
      <w:r>
        <w:rPr>
          <w:rFonts w:hint="eastAsia" w:ascii="宋体" w:hAnsi="宋体" w:cs="宋体"/>
          <w:b/>
          <w:color w:val="auto"/>
          <w:szCs w:val="21"/>
          <w:highlight w:val="none"/>
        </w:rPr>
        <w:t xml:space="preserve">17.4  </w:t>
      </w:r>
      <w:r>
        <w:rPr>
          <w:rFonts w:hint="eastAsia" w:ascii="宋体" w:hAnsi="宋体" w:cs="宋体"/>
          <w:b/>
          <w:bCs/>
          <w:color w:val="auto"/>
          <w:kern w:val="0"/>
          <w:szCs w:val="21"/>
          <w:highlight w:val="none"/>
        </w:rPr>
        <w:t xml:space="preserve">特别说明 </w:t>
      </w:r>
    </w:p>
    <w:p>
      <w:pPr>
        <w:widowControl/>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 xml:space="preserve">本项目采用政采云电子投标开标及评审程序，但有下情形之一的，按以下情况处理： </w:t>
      </w:r>
    </w:p>
    <w:p>
      <w:pPr>
        <w:widowControl/>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 xml:space="preserve">1.若投标人在规定时间内无法解密或解密失败，代理机构将开启所有投标人递交的以U 盘存储的电子备份投标文件，上传至政采云平台项目采购模块，以完成开标，电子投标文件自动失效。 </w:t>
      </w:r>
    </w:p>
    <w:p>
      <w:pPr>
        <w:widowControl/>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 xml:space="preserve">2.采购过程中出现以下情形，导致电子交易平台无法正常运行，或者无法保证电子交易的公平、公正和安全时，采购人（或代理机构）可中止电子交易活动： </w:t>
      </w:r>
    </w:p>
    <w:p>
      <w:pPr>
        <w:widowControl/>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 xml:space="preserve">（1）电子交易平台发生故障而无法登录访问的； </w:t>
      </w:r>
    </w:p>
    <w:p>
      <w:pPr>
        <w:widowControl/>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 xml:space="preserve">（2）电子交易平台应用或数据库出现错误，不能进行正常操作的； </w:t>
      </w:r>
    </w:p>
    <w:p>
      <w:pPr>
        <w:widowControl/>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 xml:space="preserve">（3）电子交易平台发现严重安全漏洞，有潜在泄密危险的； </w:t>
      </w:r>
    </w:p>
    <w:p>
      <w:pPr>
        <w:widowControl/>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 xml:space="preserve">（4）病毒发作导致不能进行正常操作的； </w:t>
      </w:r>
    </w:p>
    <w:p>
      <w:pPr>
        <w:widowControl/>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 xml:space="preserve">（5）其他无法保证电子交易的公平、公正和安全的情况。 </w:t>
      </w:r>
    </w:p>
    <w:p>
      <w:pPr>
        <w:widowControl/>
        <w:spacing w:line="360" w:lineRule="auto"/>
        <w:ind w:firstLine="420" w:firstLineChars="200"/>
        <w:jc w:val="left"/>
        <w:rPr>
          <w:rFonts w:ascii="宋体" w:hAnsi="宋体" w:cs="宋体"/>
          <w:color w:val="auto"/>
          <w:kern w:val="0"/>
          <w:sz w:val="24"/>
          <w:highlight w:val="none"/>
        </w:rPr>
      </w:pPr>
      <w:r>
        <w:rPr>
          <w:rFonts w:hint="eastAsia" w:ascii="宋体" w:hAnsi="宋体" w:cs="宋体"/>
          <w:b/>
          <w:bCs/>
          <w:color w:val="auto"/>
          <w:kern w:val="0"/>
          <w:szCs w:val="21"/>
          <w:highlight w:val="none"/>
        </w:rPr>
        <w:t xml:space="preserve">出现前款规定情形，不影响采购公平、公正性的，采购人（或代理机构）可以待上述情形消除后继续组织电子交易活动。 </w:t>
      </w:r>
    </w:p>
    <w:p>
      <w:pPr>
        <w:spacing w:line="400" w:lineRule="exact"/>
        <w:rPr>
          <w:rFonts w:ascii="宋体" w:hAnsi="宋体" w:cs="宋体"/>
          <w:color w:val="auto"/>
          <w:szCs w:val="21"/>
          <w:highlight w:val="none"/>
          <w:u w:val="single"/>
        </w:rPr>
      </w:pPr>
      <w:r>
        <w:rPr>
          <w:rFonts w:hint="eastAsia" w:ascii="宋体" w:hAnsi="宋体"/>
          <w:b/>
          <w:color w:val="auto"/>
          <w:szCs w:val="21"/>
          <w:highlight w:val="none"/>
        </w:rPr>
        <w:t xml:space="preserve">17.5  </w:t>
      </w:r>
      <w:r>
        <w:rPr>
          <w:rFonts w:hint="eastAsia" w:ascii="宋体" w:hAnsi="宋体"/>
          <w:color w:val="auto"/>
          <w:szCs w:val="21"/>
          <w:highlight w:val="none"/>
        </w:rPr>
        <w:t>投标截止时间止，投标人不足</w:t>
      </w:r>
      <w:r>
        <w:rPr>
          <w:rFonts w:hint="eastAsia" w:ascii="宋体" w:hAnsi="宋体"/>
          <w:b/>
          <w:bCs/>
          <w:color w:val="auto"/>
          <w:szCs w:val="21"/>
          <w:highlight w:val="none"/>
        </w:rPr>
        <w:t>3</w:t>
      </w:r>
      <w:r>
        <w:rPr>
          <w:rFonts w:hint="eastAsia" w:ascii="宋体" w:hAnsi="宋体"/>
          <w:color w:val="auto"/>
          <w:szCs w:val="21"/>
          <w:highlight w:val="none"/>
        </w:rPr>
        <w:t>家的，不开启投标文件，终止本次采购活动。</w:t>
      </w:r>
    </w:p>
    <w:p>
      <w:pPr>
        <w:spacing w:line="400" w:lineRule="exact"/>
        <w:rPr>
          <w:rFonts w:ascii="宋体" w:hAnsi="宋体" w:cs="宋体"/>
          <w:color w:val="auto"/>
          <w:sz w:val="24"/>
          <w:szCs w:val="24"/>
          <w:highlight w:val="none"/>
        </w:rPr>
      </w:pPr>
    </w:p>
    <w:p>
      <w:pPr>
        <w:spacing w:before="143" w:beforeLines="50" w:after="143" w:afterLines="50"/>
        <w:jc w:val="center"/>
        <w:outlineLvl w:val="1"/>
        <w:rPr>
          <w:rFonts w:ascii="宋体" w:hAnsi="宋体" w:cs="宋体"/>
          <w:b/>
          <w:color w:val="auto"/>
          <w:sz w:val="28"/>
          <w:highlight w:val="none"/>
        </w:rPr>
      </w:pPr>
      <w:bookmarkStart w:id="135" w:name="_Toc440276566"/>
      <w:bookmarkStart w:id="136" w:name="_Toc520902399"/>
      <w:bookmarkStart w:id="137" w:name="_Toc24471"/>
      <w:bookmarkStart w:id="138" w:name="_Toc136345106"/>
      <w:bookmarkStart w:id="139" w:name="_Toc513798905"/>
      <w:bookmarkStart w:id="140" w:name="_Toc136017635"/>
      <w:bookmarkStart w:id="141" w:name="_Toc513799076"/>
      <w:r>
        <w:rPr>
          <w:rFonts w:hint="eastAsia" w:ascii="宋体" w:hAnsi="宋体" w:cs="宋体"/>
          <w:b/>
          <w:color w:val="auto"/>
          <w:sz w:val="28"/>
          <w:highlight w:val="none"/>
        </w:rPr>
        <w:t>F  评标和定标</w:t>
      </w:r>
      <w:bookmarkEnd w:id="135"/>
      <w:bookmarkEnd w:id="136"/>
      <w:bookmarkEnd w:id="137"/>
      <w:bookmarkEnd w:id="138"/>
      <w:bookmarkEnd w:id="139"/>
      <w:bookmarkEnd w:id="140"/>
      <w:bookmarkEnd w:id="141"/>
    </w:p>
    <w:p>
      <w:pPr>
        <w:spacing w:line="400" w:lineRule="exact"/>
        <w:rPr>
          <w:rFonts w:ascii="宋体" w:hAnsi="宋体" w:cs="宋体"/>
          <w:color w:val="auto"/>
          <w:szCs w:val="21"/>
          <w:highlight w:val="none"/>
        </w:rPr>
      </w:pPr>
      <w:r>
        <w:rPr>
          <w:rFonts w:hint="eastAsia" w:ascii="宋体" w:hAnsi="宋体" w:cs="宋体"/>
          <w:b/>
          <w:color w:val="auto"/>
          <w:szCs w:val="21"/>
          <w:highlight w:val="none"/>
        </w:rPr>
        <w:t>18. 评标委员会及评标</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18.1</w:t>
      </w:r>
      <w:r>
        <w:rPr>
          <w:rFonts w:hint="eastAsia" w:ascii="宋体" w:hAnsi="宋体" w:cs="宋体"/>
          <w:color w:val="auto"/>
          <w:szCs w:val="21"/>
          <w:highlight w:val="none"/>
        </w:rPr>
        <w:t xml:space="preserve">  受采购人的委托，采购代理机构依据《中华人民共和国政府采购法》、《中华人民共和国政府采购实施条例》等有关规定组建评标委员会，并主持评标活动。评标委员会由采购人代表和技术、经济专家组成。</w:t>
      </w:r>
      <w:r>
        <w:rPr>
          <w:rFonts w:hint="eastAsia" w:ascii="宋体" w:hAnsi="宋体" w:cs="宋体"/>
          <w:b/>
          <w:color w:val="auto"/>
          <w:szCs w:val="21"/>
          <w:highlight w:val="none"/>
          <w:u w:val="single"/>
        </w:rPr>
        <w:t>评标委员会成员名单在招标结果确定之前依法保密</w:t>
      </w:r>
      <w:r>
        <w:rPr>
          <w:rFonts w:hint="eastAsia" w:ascii="宋体" w:hAnsi="宋体" w:cs="宋体"/>
          <w:color w:val="auto"/>
          <w:szCs w:val="21"/>
          <w:highlight w:val="none"/>
        </w:rPr>
        <w:t>。</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18.2 </w:t>
      </w:r>
      <w:r>
        <w:rPr>
          <w:rFonts w:hint="eastAsia" w:ascii="宋体" w:hAnsi="宋体" w:cs="宋体"/>
          <w:color w:val="auto"/>
          <w:szCs w:val="21"/>
          <w:highlight w:val="none"/>
        </w:rPr>
        <w:t xml:space="preserve"> 评标委员会将遵循公平、公正、科学、廉洁的原则和法定的程序进行评标，并且只依据招标文件要求和投标文件的响应情况进行评审，不依据任何来自开标后的补充声明、修正方案。</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b/>
          <w:color w:val="auto"/>
          <w:szCs w:val="21"/>
          <w:highlight w:val="none"/>
        </w:rPr>
        <w:t>19.投标的澄清</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19.1</w:t>
      </w:r>
      <w:r>
        <w:rPr>
          <w:rFonts w:hint="eastAsia" w:ascii="宋体" w:hAnsi="宋体" w:cs="宋体"/>
          <w:color w:val="auto"/>
          <w:szCs w:val="21"/>
          <w:highlight w:val="none"/>
        </w:rPr>
        <w:t xml:space="preserve">  对于投标文件中含义不明确、同类问题表述不一致或者有明显文字和计算错误的内容，评标委员会应当以书面形式要求投标人作出必要的澄清、说明或者补正。</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19.2</w:t>
      </w:r>
      <w:r>
        <w:rPr>
          <w:rFonts w:hint="eastAsia" w:ascii="宋体" w:hAnsi="宋体" w:cs="宋体"/>
          <w:color w:val="auto"/>
          <w:szCs w:val="21"/>
          <w:highlight w:val="none"/>
        </w:rPr>
        <w:t xml:space="preserve">  投标人的澄清、说明或者补正应当采用书面形式，并加盖公章，或者由法定代表人或其授权的代表签字。投标人的澄清、说明或者补正不得超出投标文件的范围或者改变投标文件的实质性内容。</w:t>
      </w:r>
    </w:p>
    <w:p>
      <w:pPr>
        <w:spacing w:line="400" w:lineRule="exact"/>
        <w:rPr>
          <w:rFonts w:ascii="宋体" w:hAnsi="宋体" w:cs="宋体"/>
          <w:color w:val="auto"/>
          <w:szCs w:val="21"/>
          <w:highlight w:val="none"/>
          <w:u w:val="single"/>
        </w:rPr>
      </w:pPr>
      <w:r>
        <w:rPr>
          <w:rFonts w:hint="eastAsia" w:ascii="宋体" w:hAnsi="宋体" w:cs="宋体"/>
          <w:b/>
          <w:color w:val="auto"/>
          <w:szCs w:val="21"/>
          <w:highlight w:val="none"/>
        </w:rPr>
        <w:t>19.3</w:t>
      </w:r>
      <w:r>
        <w:rPr>
          <w:rFonts w:hint="eastAsia" w:ascii="宋体" w:hAnsi="宋体" w:cs="宋体"/>
          <w:color w:val="auto"/>
          <w:szCs w:val="21"/>
          <w:highlight w:val="none"/>
        </w:rPr>
        <w:t xml:space="preserve">  采用</w:t>
      </w:r>
      <w:r>
        <w:rPr>
          <w:rFonts w:hint="eastAsia" w:ascii="宋体" w:hAnsi="宋体" w:cs="宋体"/>
          <w:color w:val="auto"/>
          <w:kern w:val="0"/>
          <w:szCs w:val="21"/>
          <w:highlight w:val="none"/>
        </w:rPr>
        <w:t>电子招投标的，澄清、说明或者补正通过电子交易平台提交电子版文件</w:t>
      </w:r>
      <w:r>
        <w:rPr>
          <w:rFonts w:hint="eastAsia" w:ascii="宋体" w:hAnsi="宋体" w:cs="宋体"/>
          <w:color w:val="auto"/>
          <w:szCs w:val="21"/>
          <w:highlight w:val="none"/>
        </w:rPr>
        <w:t>，并加盖公章，或者由法定代表人或其授权的代表签字</w:t>
      </w:r>
      <w:r>
        <w:rPr>
          <w:rFonts w:hint="eastAsia" w:ascii="宋体" w:hAnsi="宋体" w:cs="宋体"/>
          <w:color w:val="auto"/>
          <w:kern w:val="0"/>
          <w:szCs w:val="21"/>
          <w:highlight w:val="none"/>
        </w:rPr>
        <w:t>。投标人提交澄清说明或补正的时间为</w:t>
      </w:r>
      <w:r>
        <w:rPr>
          <w:rFonts w:hint="eastAsia" w:ascii="宋体" w:hAnsi="宋体" w:cs="宋体"/>
          <w:color w:val="auto"/>
          <w:kern w:val="0"/>
          <w:szCs w:val="21"/>
          <w:highlight w:val="none"/>
          <w:u w:val="single"/>
        </w:rPr>
        <w:t xml:space="preserve"> 30 </w:t>
      </w:r>
      <w:r>
        <w:rPr>
          <w:rFonts w:hint="eastAsia" w:ascii="宋体" w:hAnsi="宋体" w:cs="宋体"/>
          <w:color w:val="auto"/>
          <w:kern w:val="0"/>
          <w:szCs w:val="21"/>
          <w:highlight w:val="none"/>
        </w:rPr>
        <w:t>分钟。</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19.4</w:t>
      </w:r>
      <w:r>
        <w:rPr>
          <w:rFonts w:hint="eastAsia" w:ascii="宋体" w:hAnsi="宋体" w:cs="宋体"/>
          <w:b/>
          <w:color w:val="auto"/>
          <w:szCs w:val="21"/>
          <w:highlight w:val="none"/>
          <w:u w:val="single"/>
        </w:rPr>
        <w:t>若投标人未响应澄清安排的通知进行答疑和澄清，将被视作自动放弃。</w:t>
      </w:r>
      <w:r>
        <w:rPr>
          <w:rFonts w:hint="eastAsia" w:ascii="宋体" w:hAnsi="宋体" w:cs="宋体"/>
          <w:b/>
          <w:color w:val="auto"/>
          <w:szCs w:val="21"/>
          <w:highlight w:val="none"/>
        </w:rPr>
        <w:br w:type="textWrapping"/>
      </w:r>
    </w:p>
    <w:p>
      <w:pPr>
        <w:spacing w:line="400" w:lineRule="exact"/>
        <w:rPr>
          <w:rFonts w:ascii="宋体" w:hAnsi="宋体" w:cs="宋体"/>
          <w:color w:val="auto"/>
          <w:szCs w:val="21"/>
          <w:highlight w:val="none"/>
          <w:u w:val="single"/>
        </w:rPr>
      </w:pPr>
      <w:r>
        <w:rPr>
          <w:rFonts w:hint="eastAsia" w:ascii="宋体" w:hAnsi="宋体" w:cs="宋体"/>
          <w:b/>
          <w:color w:val="auto"/>
          <w:szCs w:val="21"/>
          <w:highlight w:val="none"/>
        </w:rPr>
        <w:t>20.  评标办法：</w:t>
      </w:r>
      <w:r>
        <w:rPr>
          <w:rFonts w:hint="eastAsia" w:ascii="宋体" w:hAnsi="宋体"/>
          <w:color w:val="auto"/>
          <w:szCs w:val="21"/>
          <w:highlight w:val="none"/>
        </w:rPr>
        <w:t>评标采用的方法有最低评标价法和综合评分法。</w:t>
      </w:r>
      <w:r>
        <w:rPr>
          <w:rFonts w:hint="eastAsia" w:ascii="宋体" w:hAnsi="宋体"/>
          <w:b/>
          <w:color w:val="auto"/>
          <w:szCs w:val="21"/>
          <w:highlight w:val="none"/>
        </w:rPr>
        <w:t>本项目招标采用的评标方法载明在招标文件第五部分“评标办法”中。</w:t>
      </w:r>
    </w:p>
    <w:p>
      <w:pPr>
        <w:spacing w:line="400" w:lineRule="exact"/>
        <w:ind w:left="153" w:leftChars="73" w:firstLine="315" w:firstLineChars="150"/>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b/>
          <w:color w:val="auto"/>
          <w:szCs w:val="21"/>
          <w:highlight w:val="none"/>
        </w:rPr>
        <w:t>21.  评标程序和原则</w:t>
      </w:r>
    </w:p>
    <w:p>
      <w:pPr>
        <w:spacing w:line="440" w:lineRule="exact"/>
        <w:rPr>
          <w:rFonts w:ascii="宋体" w:hAnsi="宋体"/>
          <w:color w:val="auto"/>
          <w:szCs w:val="21"/>
          <w:highlight w:val="none"/>
          <w:shd w:val="pct10" w:color="auto" w:fill="FFFFFF"/>
        </w:rPr>
      </w:pPr>
      <w:r>
        <w:rPr>
          <w:rFonts w:hint="eastAsia" w:ascii="宋体" w:hAnsi="宋体"/>
          <w:b/>
          <w:color w:val="auto"/>
          <w:szCs w:val="21"/>
          <w:highlight w:val="none"/>
        </w:rPr>
        <w:t>21.1</w:t>
      </w:r>
      <w:r>
        <w:rPr>
          <w:rFonts w:hint="eastAsia" w:ascii="宋体" w:hAnsi="宋体"/>
          <w:color w:val="auto"/>
          <w:szCs w:val="21"/>
          <w:highlight w:val="none"/>
          <w:u w:val="thick"/>
        </w:rPr>
        <w:t>评标程序</w:t>
      </w:r>
      <w:r>
        <w:rPr>
          <w:rFonts w:hint="eastAsia" w:ascii="宋体" w:hAnsi="宋体"/>
          <w:color w:val="auto"/>
          <w:szCs w:val="21"/>
          <w:highlight w:val="none"/>
        </w:rPr>
        <w:t>：遵循资格审查、符合性审查、澄清有关问题、比较与评价、推荐中标人（或中标候选人）的程序依次进行。</w:t>
      </w:r>
    </w:p>
    <w:p>
      <w:pPr>
        <w:spacing w:line="440" w:lineRule="exact"/>
        <w:rPr>
          <w:rFonts w:ascii="宋体" w:hAnsi="宋体"/>
          <w:color w:val="auto"/>
          <w:szCs w:val="21"/>
          <w:highlight w:val="none"/>
        </w:rPr>
      </w:pPr>
      <w:r>
        <w:rPr>
          <w:rFonts w:hint="eastAsia" w:ascii="宋体" w:hAnsi="宋体"/>
          <w:b/>
          <w:color w:val="auto"/>
          <w:szCs w:val="21"/>
          <w:highlight w:val="none"/>
        </w:rPr>
        <w:t>21.2</w:t>
      </w:r>
      <w:r>
        <w:rPr>
          <w:rFonts w:hint="eastAsia" w:ascii="宋体" w:hAnsi="宋体"/>
          <w:color w:val="auto"/>
          <w:szCs w:val="21"/>
          <w:highlight w:val="none"/>
          <w:u w:val="thick"/>
        </w:rPr>
        <w:t>资格审查</w:t>
      </w:r>
      <w:r>
        <w:rPr>
          <w:rFonts w:hint="eastAsia" w:ascii="宋体" w:hAnsi="宋体"/>
          <w:color w:val="auto"/>
          <w:szCs w:val="21"/>
          <w:highlight w:val="none"/>
        </w:rPr>
        <w:t>：公开招标采购项目开标结束后，采购人或者采购代理机构应当依法对投标人的资格进行审查。详见招标文件第五部分“评标办法”。</w:t>
      </w:r>
    </w:p>
    <w:p>
      <w:pPr>
        <w:spacing w:line="440" w:lineRule="exact"/>
        <w:rPr>
          <w:rFonts w:ascii="宋体" w:hAnsi="宋体"/>
          <w:color w:val="auto"/>
          <w:szCs w:val="21"/>
          <w:highlight w:val="none"/>
        </w:rPr>
      </w:pPr>
      <w:r>
        <w:rPr>
          <w:rFonts w:hint="eastAsia" w:ascii="宋体" w:hAnsi="宋体"/>
          <w:b/>
          <w:color w:val="auto"/>
          <w:szCs w:val="21"/>
          <w:highlight w:val="none"/>
        </w:rPr>
        <w:t>21.3</w:t>
      </w:r>
      <w:r>
        <w:rPr>
          <w:rFonts w:hint="eastAsia" w:ascii="宋体" w:hAnsi="宋体"/>
          <w:color w:val="auto"/>
          <w:szCs w:val="21"/>
          <w:highlight w:val="none"/>
          <w:u w:val="thick"/>
        </w:rPr>
        <w:t>符合性审查</w:t>
      </w:r>
      <w:r>
        <w:rPr>
          <w:rFonts w:hint="eastAsia" w:ascii="宋体" w:hAnsi="宋体"/>
          <w:color w:val="auto"/>
          <w:szCs w:val="21"/>
          <w:highlight w:val="none"/>
        </w:rPr>
        <w:t>：评标委员会应当对符合资格的投标人的投标文件进行符合性审查，以确定其是否满足招标文件的实质性要求。详见招标文件第五部分“评标办法”。</w:t>
      </w:r>
    </w:p>
    <w:p>
      <w:pPr>
        <w:spacing w:line="440" w:lineRule="exact"/>
        <w:rPr>
          <w:rFonts w:ascii="宋体" w:hAnsi="宋体"/>
          <w:color w:val="auto"/>
          <w:szCs w:val="21"/>
          <w:highlight w:val="none"/>
        </w:rPr>
      </w:pPr>
      <w:r>
        <w:rPr>
          <w:rFonts w:hint="eastAsia" w:ascii="宋体" w:hAnsi="宋体"/>
          <w:b/>
          <w:color w:val="auto"/>
          <w:szCs w:val="21"/>
          <w:highlight w:val="none"/>
        </w:rPr>
        <w:t xml:space="preserve">21.4 </w:t>
      </w:r>
      <w:r>
        <w:rPr>
          <w:rFonts w:hint="eastAsia" w:ascii="宋体" w:hAnsi="宋体"/>
          <w:color w:val="auto"/>
          <w:szCs w:val="21"/>
          <w:highlight w:val="none"/>
          <w:u w:val="thick"/>
        </w:rPr>
        <w:t>澄清有关问题</w:t>
      </w:r>
      <w:r>
        <w:rPr>
          <w:rFonts w:hint="eastAsia" w:ascii="宋体" w:hAnsi="宋体"/>
          <w:color w:val="auto"/>
          <w:szCs w:val="21"/>
          <w:highlight w:val="none"/>
        </w:rPr>
        <w:t>：按第</w:t>
      </w:r>
      <w:r>
        <w:rPr>
          <w:rFonts w:hint="eastAsia" w:ascii="宋体" w:hAnsi="宋体"/>
          <w:b/>
          <w:color w:val="auto"/>
          <w:szCs w:val="21"/>
          <w:highlight w:val="none"/>
        </w:rPr>
        <w:t>19</w:t>
      </w:r>
      <w:r>
        <w:rPr>
          <w:rFonts w:hint="eastAsia" w:ascii="宋体" w:hAnsi="宋体"/>
          <w:color w:val="auto"/>
          <w:szCs w:val="21"/>
          <w:highlight w:val="none"/>
        </w:rPr>
        <w:t xml:space="preserve">条规定进行。 </w:t>
      </w:r>
    </w:p>
    <w:p>
      <w:pPr>
        <w:spacing w:line="440" w:lineRule="exact"/>
        <w:rPr>
          <w:rFonts w:ascii="宋体" w:hAnsi="宋体"/>
          <w:color w:val="auto"/>
          <w:szCs w:val="21"/>
          <w:highlight w:val="none"/>
        </w:rPr>
      </w:pPr>
      <w:r>
        <w:rPr>
          <w:rFonts w:hint="eastAsia" w:ascii="宋体" w:hAnsi="宋体"/>
          <w:b/>
          <w:color w:val="auto"/>
          <w:szCs w:val="21"/>
          <w:highlight w:val="none"/>
        </w:rPr>
        <w:t>21.5</w:t>
      </w:r>
      <w:r>
        <w:rPr>
          <w:rFonts w:hint="eastAsia" w:ascii="宋体" w:hAnsi="宋体"/>
          <w:color w:val="auto"/>
          <w:szCs w:val="21"/>
          <w:highlight w:val="none"/>
          <w:u w:val="thick"/>
        </w:rPr>
        <w:t>综合比较与评价</w:t>
      </w:r>
      <w:r>
        <w:rPr>
          <w:rFonts w:hint="eastAsia" w:ascii="宋体" w:hAnsi="宋体"/>
          <w:color w:val="auto"/>
          <w:szCs w:val="21"/>
          <w:highlight w:val="none"/>
        </w:rPr>
        <w:t>：评标委员会应当按照招标文件中规定的评标方法和标准，对符合性审查合格的投标文件进行商务和技术评估，综合比较与评价。</w:t>
      </w:r>
    </w:p>
    <w:p>
      <w:pPr>
        <w:spacing w:line="440" w:lineRule="exact"/>
        <w:rPr>
          <w:rFonts w:ascii="宋体" w:hAnsi="宋体"/>
          <w:b/>
          <w:color w:val="auto"/>
          <w:szCs w:val="21"/>
          <w:highlight w:val="none"/>
        </w:rPr>
      </w:pPr>
      <w:r>
        <w:rPr>
          <w:rFonts w:hint="eastAsia" w:ascii="宋体" w:hAnsi="宋体"/>
          <w:b/>
          <w:color w:val="auto"/>
          <w:szCs w:val="21"/>
          <w:highlight w:val="none"/>
        </w:rPr>
        <w:t xml:space="preserve">21.5.1 </w:t>
      </w:r>
      <w:r>
        <w:rPr>
          <w:rFonts w:hint="eastAsia" w:ascii="宋体" w:hAnsi="宋体"/>
          <w:color w:val="auto"/>
          <w:szCs w:val="21"/>
          <w:highlight w:val="none"/>
          <w:u w:val="thick"/>
        </w:rPr>
        <w:t>商务评价</w:t>
      </w:r>
      <w:r>
        <w:rPr>
          <w:rFonts w:hint="eastAsia" w:ascii="宋体" w:hAnsi="宋体"/>
          <w:color w:val="auto"/>
          <w:szCs w:val="21"/>
          <w:highlight w:val="none"/>
        </w:rPr>
        <w:t>：按照招标文件的要求和“评标标准”对照投标文件的响应进行商务评价，并对其偏差计算相应的商务评分分值。</w:t>
      </w:r>
    </w:p>
    <w:p>
      <w:pPr>
        <w:spacing w:line="440" w:lineRule="exact"/>
        <w:rPr>
          <w:rFonts w:ascii="宋体" w:hAnsi="宋体"/>
          <w:color w:val="auto"/>
          <w:szCs w:val="21"/>
          <w:highlight w:val="none"/>
        </w:rPr>
      </w:pPr>
      <w:r>
        <w:rPr>
          <w:rFonts w:hint="eastAsia" w:ascii="宋体" w:hAnsi="宋体"/>
          <w:b/>
          <w:color w:val="auto"/>
          <w:szCs w:val="21"/>
          <w:highlight w:val="none"/>
        </w:rPr>
        <w:t>21.5.2</w:t>
      </w:r>
      <w:r>
        <w:rPr>
          <w:rFonts w:hint="eastAsia" w:ascii="宋体" w:hAnsi="宋体"/>
          <w:color w:val="auto"/>
          <w:szCs w:val="21"/>
          <w:highlight w:val="none"/>
          <w:u w:val="thick"/>
        </w:rPr>
        <w:t>技术评价</w:t>
      </w:r>
      <w:r>
        <w:rPr>
          <w:rFonts w:hint="eastAsia" w:ascii="宋体" w:hAnsi="宋体"/>
          <w:color w:val="auto"/>
          <w:szCs w:val="21"/>
          <w:highlight w:val="none"/>
        </w:rPr>
        <w:t>：按照招标文件的要求和“评标标准”对照投标文件的响应进行技术评价，评定其偏差程度，并计算其相应的技术评分分值。</w:t>
      </w:r>
    </w:p>
    <w:p>
      <w:pPr>
        <w:spacing w:line="440" w:lineRule="exact"/>
        <w:jc w:val="left"/>
        <w:rPr>
          <w:rFonts w:ascii="宋体" w:hAnsi="宋体"/>
          <w:color w:val="auto"/>
          <w:szCs w:val="21"/>
          <w:highlight w:val="none"/>
        </w:rPr>
      </w:pPr>
      <w:r>
        <w:rPr>
          <w:rFonts w:hint="eastAsia" w:ascii="宋体" w:hAnsi="宋体"/>
          <w:b/>
          <w:color w:val="auto"/>
          <w:szCs w:val="21"/>
          <w:highlight w:val="none"/>
        </w:rPr>
        <w:t>21.5.3</w:t>
      </w:r>
      <w:r>
        <w:rPr>
          <w:rFonts w:hint="eastAsia" w:ascii="宋体" w:hAnsi="宋体"/>
          <w:color w:val="auto"/>
          <w:szCs w:val="21"/>
          <w:highlight w:val="none"/>
          <w:u w:val="thick"/>
        </w:rPr>
        <w:t>综合评价</w:t>
      </w:r>
      <w:r>
        <w:rPr>
          <w:rFonts w:hint="eastAsia" w:ascii="宋体" w:hAnsi="宋体"/>
          <w:color w:val="auto"/>
          <w:szCs w:val="21"/>
          <w:highlight w:val="none"/>
        </w:rPr>
        <w:t>：对经过商务评价、技术评价的投标，按“评标标准”规定的评价办法进行综合评价，做出评标结果排序。</w:t>
      </w:r>
    </w:p>
    <w:p>
      <w:pPr>
        <w:spacing w:line="440" w:lineRule="exact"/>
        <w:jc w:val="left"/>
        <w:rPr>
          <w:rFonts w:ascii="宋体" w:hAnsi="宋体"/>
          <w:color w:val="auto"/>
          <w:szCs w:val="21"/>
          <w:highlight w:val="none"/>
        </w:rPr>
      </w:pPr>
    </w:p>
    <w:p>
      <w:pPr>
        <w:spacing w:line="440" w:lineRule="exact"/>
        <w:rPr>
          <w:rFonts w:ascii="宋体" w:hAnsi="宋体"/>
          <w:b/>
          <w:color w:val="auto"/>
          <w:szCs w:val="21"/>
          <w:highlight w:val="none"/>
        </w:rPr>
      </w:pPr>
      <w:r>
        <w:rPr>
          <w:rFonts w:hint="eastAsia" w:ascii="宋体" w:hAnsi="宋体"/>
          <w:b/>
          <w:color w:val="auto"/>
          <w:szCs w:val="21"/>
          <w:highlight w:val="none"/>
        </w:rPr>
        <w:t>21.6  评标过程处理原则</w:t>
      </w:r>
    </w:p>
    <w:p>
      <w:pPr>
        <w:spacing w:line="440" w:lineRule="exact"/>
        <w:rPr>
          <w:rFonts w:ascii="宋体" w:hAnsi="宋体"/>
          <w:color w:val="auto"/>
          <w:szCs w:val="21"/>
          <w:highlight w:val="none"/>
        </w:rPr>
      </w:pPr>
      <w:r>
        <w:rPr>
          <w:rFonts w:hint="eastAsia" w:ascii="宋体" w:hAnsi="宋体"/>
          <w:b/>
          <w:color w:val="auto"/>
          <w:szCs w:val="21"/>
          <w:highlight w:val="none"/>
        </w:rPr>
        <w:t>21.6.1</w:t>
      </w:r>
      <w:r>
        <w:rPr>
          <w:rFonts w:hint="eastAsia" w:ascii="宋体" w:hAnsi="宋体"/>
          <w:color w:val="auto"/>
          <w:szCs w:val="21"/>
          <w:highlight w:val="none"/>
        </w:rPr>
        <w:t xml:space="preserve">  通过资格审查或符合性审查的投标人不足</w:t>
      </w:r>
      <w:r>
        <w:rPr>
          <w:rFonts w:hint="eastAsia" w:ascii="宋体" w:hAnsi="宋体"/>
          <w:b/>
          <w:bCs/>
          <w:color w:val="auto"/>
          <w:szCs w:val="21"/>
          <w:highlight w:val="none"/>
        </w:rPr>
        <w:t>3家</w:t>
      </w:r>
      <w:r>
        <w:rPr>
          <w:rFonts w:hint="eastAsia" w:ascii="宋体" w:hAnsi="宋体"/>
          <w:color w:val="auto"/>
          <w:szCs w:val="21"/>
          <w:highlight w:val="none"/>
        </w:rPr>
        <w:t>的，评标终止。</w:t>
      </w:r>
    </w:p>
    <w:p>
      <w:pPr>
        <w:spacing w:line="440" w:lineRule="exact"/>
        <w:rPr>
          <w:rFonts w:ascii="宋体" w:hAnsi="宋体"/>
          <w:b/>
          <w:color w:val="auto"/>
          <w:szCs w:val="21"/>
          <w:highlight w:val="none"/>
        </w:rPr>
      </w:pPr>
      <w:r>
        <w:rPr>
          <w:rFonts w:hint="eastAsia" w:ascii="宋体" w:hAnsi="宋体"/>
          <w:b/>
          <w:color w:val="auto"/>
          <w:szCs w:val="21"/>
          <w:highlight w:val="none"/>
        </w:rPr>
        <w:t xml:space="preserve">21.6.2  </w:t>
      </w:r>
      <w:r>
        <w:rPr>
          <w:rFonts w:hint="eastAsia" w:ascii="宋体" w:hAnsi="宋体"/>
          <w:color w:val="auto"/>
          <w:szCs w:val="21"/>
          <w:highlight w:val="none"/>
        </w:rPr>
        <w:t>信用信息查询</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（1）信用信息查询渠道及截止时间：采购代理机构将通过“信用中国”网站(www.creditchina.gov.cn)、中国政府采购网(www.ccgp.gov.cn)渠道查询投标人投标截止时间当天的信用记录。</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（2）信用信息查询记录和证据留存的具体方式：现场查询的投标人的信用记录、查询结果经确认后将与招标文件一起存档。</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（3）信用信息的使用规则：经查询列入失信被执行人名单、重大税收违法案件当事人名单、政府采购严重违法失信行为记录名单的投标人将被拒绝参与政府采购活动。</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spacing w:line="440" w:lineRule="exact"/>
        <w:rPr>
          <w:rFonts w:ascii="宋体" w:hAnsi="宋体"/>
          <w:color w:val="auto"/>
          <w:szCs w:val="21"/>
          <w:highlight w:val="none"/>
        </w:rPr>
      </w:pPr>
      <w:r>
        <w:rPr>
          <w:rFonts w:hint="eastAsia" w:ascii="宋体" w:hAnsi="宋体"/>
          <w:b/>
          <w:color w:val="auto"/>
          <w:szCs w:val="21"/>
          <w:highlight w:val="none"/>
        </w:rPr>
        <w:t xml:space="preserve">21.6.3  </w:t>
      </w:r>
      <w:r>
        <w:rPr>
          <w:rFonts w:hint="eastAsia" w:ascii="宋体" w:hAnsi="宋体"/>
          <w:color w:val="auto"/>
          <w:szCs w:val="21"/>
          <w:highlight w:val="none"/>
        </w:rPr>
        <w:t>投标文件报价出现前后不一致的，除招标文件另有规定外，按照下列规定修正：</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（一）投标文件中开标一览表(报价表)内容与投标文件中相应内容不一致的，以开标一览表(报价表)为准；</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（二）大写金额和小写金额不一致的，以大写金额为准；</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（三）单价金额小数点或者百分比有明显错位的，以开标一览表的总价为准，并修改单价；</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（四）总价金额与按单价汇总金额不一致的，以单价金额计算结果为准。</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同时出现两种以上不一致的，按照前款规定的顺序修正。修正后的报价按照本须知19.2条的规定经投标人确认后产生约束力，投标人不确认的，其投标无效。</w:t>
      </w:r>
    </w:p>
    <w:p>
      <w:pPr>
        <w:spacing w:line="440" w:lineRule="exact"/>
        <w:rPr>
          <w:rFonts w:ascii="宋体" w:hAnsi="宋体"/>
          <w:color w:val="auto"/>
          <w:szCs w:val="21"/>
          <w:highlight w:val="none"/>
        </w:rPr>
      </w:pPr>
      <w:r>
        <w:rPr>
          <w:rFonts w:hint="eastAsia" w:ascii="宋体" w:hAnsi="宋体"/>
          <w:b/>
          <w:color w:val="auto"/>
          <w:szCs w:val="21"/>
          <w:highlight w:val="none"/>
        </w:rPr>
        <w:t>21.6.4</w:t>
      </w:r>
      <w:r>
        <w:rPr>
          <w:rFonts w:hint="eastAsia" w:ascii="宋体" w:hAnsi="宋体"/>
          <w:color w:val="auto"/>
          <w:szCs w:val="21"/>
          <w:highlight w:val="none"/>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rPr>
          <w:rFonts w:ascii="宋体" w:hAnsi="宋体"/>
          <w:color w:val="auto"/>
          <w:szCs w:val="21"/>
          <w:highlight w:val="none"/>
        </w:rPr>
      </w:pPr>
      <w:r>
        <w:rPr>
          <w:rFonts w:hint="eastAsia" w:ascii="宋体" w:hAnsi="宋体"/>
          <w:b/>
          <w:color w:val="auto"/>
          <w:szCs w:val="21"/>
          <w:highlight w:val="none"/>
        </w:rPr>
        <w:t>21.6.5</w:t>
      </w:r>
      <w:r>
        <w:rPr>
          <w:rFonts w:hint="eastAsia" w:ascii="宋体" w:hAnsi="宋体"/>
          <w:color w:val="auto"/>
          <w:szCs w:val="21"/>
          <w:highlight w:val="none"/>
        </w:rPr>
        <w:t xml:space="preserve">  评标委员会成员对需要共同认定的事项存在争议的，应当按照少数服从多数的原则作出结论。持不同意见的评标委员会成员应当在评标报告上签署不同意见及理由，否则视为同意评标报告。</w:t>
      </w:r>
    </w:p>
    <w:p>
      <w:pPr>
        <w:spacing w:line="440" w:lineRule="exact"/>
        <w:rPr>
          <w:rFonts w:ascii="宋体" w:hAnsi="宋体"/>
          <w:color w:val="auto"/>
          <w:szCs w:val="21"/>
          <w:highlight w:val="none"/>
        </w:rPr>
      </w:pPr>
      <w:r>
        <w:rPr>
          <w:rFonts w:hint="eastAsia" w:ascii="宋体" w:hAnsi="宋体"/>
          <w:b/>
          <w:color w:val="auto"/>
          <w:szCs w:val="21"/>
          <w:highlight w:val="none"/>
        </w:rPr>
        <w:t xml:space="preserve">21.6.6 </w:t>
      </w:r>
      <w:r>
        <w:rPr>
          <w:rFonts w:hint="eastAsia" w:ascii="宋体" w:hAnsi="宋体"/>
          <w:color w:val="auto"/>
          <w:szCs w:val="21"/>
          <w:highlight w:val="none"/>
        </w:rPr>
        <w:t xml:space="preserve"> 采用最低评标价法的采购项目，提供相同品牌产品的不同投标人参加同一标项投标的，以其中通过资格审查、符合性审查且报价最低的参加评标；报价相同的，由采购人或者采购人委托评标委员会采取随机抽取方式确定，其他投标无效。</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使用综合评分法的采购项目，提供相同品牌产品且通过资格审查、符合性审查的不同投标人参加同一标项项投标的，按一家投标人计算，评审后得分最高的同品牌投标人获得中标人推荐资格；评审得分相同的，由采购人或者采购人委托评标委员会采取随机抽取方式确定，其他同品牌投标人不作为中标候选人。</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非单一产品采购项目，招标文件中应载明核心产品，多家投标人提供的核心产品品牌相同的，按上述规定处理。</w:t>
      </w:r>
    </w:p>
    <w:p>
      <w:pPr>
        <w:spacing w:line="440" w:lineRule="exact"/>
        <w:rPr>
          <w:rFonts w:ascii="宋体" w:hAnsi="宋体"/>
          <w:color w:val="auto"/>
          <w:szCs w:val="21"/>
          <w:highlight w:val="none"/>
        </w:rPr>
      </w:pPr>
      <w:r>
        <w:rPr>
          <w:rFonts w:hint="eastAsia" w:ascii="宋体" w:hAnsi="宋体"/>
          <w:b/>
          <w:color w:val="auto"/>
          <w:szCs w:val="21"/>
          <w:highlight w:val="none"/>
        </w:rPr>
        <w:t>21.6.7</w:t>
      </w:r>
      <w:r>
        <w:rPr>
          <w:rFonts w:hint="eastAsia" w:ascii="宋体" w:hAnsi="宋体"/>
          <w:color w:val="auto"/>
          <w:szCs w:val="21"/>
          <w:highlight w:val="none"/>
        </w:rPr>
        <w:t xml:space="preserve">  有下列情形之一的，视为投标人串通投标，其投标无效：</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（一）不同投标人的投标文件由同一单位或者个人编制；</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（二）不同投标人委托同一单位或者个人办理投标事宜；</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（三）不同投标人的投标文件载明的项目管理成员或者联系人员为同一人；</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（四）不同投标人的投标文件异常一致或者投标报价呈规律性差异；</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（五）不同投标人的投标文件相互混装；</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（六）不同投标人的投标保证金从同一单位或者个人的账户转出。</w:t>
      </w:r>
    </w:p>
    <w:p>
      <w:pPr>
        <w:spacing w:line="440" w:lineRule="exact"/>
        <w:rPr>
          <w:rFonts w:ascii="宋体" w:hAnsi="宋体"/>
          <w:color w:val="auto"/>
          <w:szCs w:val="21"/>
          <w:highlight w:val="none"/>
        </w:rPr>
      </w:pPr>
      <w:r>
        <w:rPr>
          <w:rFonts w:hint="eastAsia" w:ascii="宋体" w:hAnsi="宋体"/>
          <w:b/>
          <w:color w:val="auto"/>
          <w:szCs w:val="21"/>
          <w:highlight w:val="none"/>
        </w:rPr>
        <w:t>21.6.8</w:t>
      </w:r>
      <w:r>
        <w:rPr>
          <w:rFonts w:hint="eastAsia" w:ascii="宋体" w:hAnsi="宋体"/>
          <w:color w:val="auto"/>
          <w:szCs w:val="21"/>
          <w:highlight w:val="none"/>
        </w:rPr>
        <w:t xml:space="preserve">  投标人存在下列情况之一的，投标无效：</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（一）未按照招标文件的规定提交投标保证金的；</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（二）投标文件未按招标文件要求签署、盖章的；</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（三）不具备招标文件中规定的资格要求的；</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（四）报价超过招标文件中规定的预算金额或者最高限价的；</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（五）未对招标文件的实质性条款作出响应的；</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（六）投标文件含有采购人不能接受的附加条件的；</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（七）不同投标人的投标文件出自同一终端设备或在相同Internet主机分配地址（相同IP地址）；</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（八）法律、法规和招标文件规定的其他无效情形。</w:t>
      </w:r>
    </w:p>
    <w:p>
      <w:pPr>
        <w:spacing w:line="440" w:lineRule="exact"/>
        <w:rPr>
          <w:rFonts w:ascii="宋体" w:hAnsi="宋体"/>
          <w:color w:val="auto"/>
          <w:szCs w:val="21"/>
          <w:highlight w:val="none"/>
        </w:rPr>
      </w:pPr>
      <w:r>
        <w:rPr>
          <w:rFonts w:hint="eastAsia" w:ascii="宋体" w:hAnsi="宋体"/>
          <w:b/>
          <w:color w:val="auto"/>
          <w:szCs w:val="21"/>
          <w:highlight w:val="none"/>
        </w:rPr>
        <w:t xml:space="preserve">21.6.9  </w:t>
      </w:r>
      <w:r>
        <w:rPr>
          <w:rFonts w:hint="eastAsia" w:ascii="宋体" w:hAnsi="宋体"/>
          <w:color w:val="auto"/>
          <w:szCs w:val="21"/>
          <w:highlight w:val="none"/>
        </w:rPr>
        <w:t>评标结果汇总完成后，除下列情形外，任何人不得修改评标结果：</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（一）分值汇总计算错误的；</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（二）分项评分超出评分标准范围的；</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（三）评标委员会成员对客观评审因素评分不一致的；</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（四）经评标委员会认定评分畸高、畸低的。</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40" w:lineRule="exact"/>
        <w:ind w:firstLine="449" w:firstLineChars="214"/>
        <w:rPr>
          <w:rFonts w:ascii="宋体" w:hAnsi="宋体"/>
          <w:color w:val="auto"/>
          <w:szCs w:val="21"/>
          <w:highlight w:val="none"/>
        </w:rPr>
      </w:pPr>
      <w:r>
        <w:rPr>
          <w:rFonts w:hint="eastAsia" w:ascii="宋体" w:hAnsi="宋体"/>
          <w:color w:val="auto"/>
          <w:szCs w:val="21"/>
          <w:highlight w:val="none"/>
        </w:rPr>
        <w:t>投标人对本条第一款情形提出质疑的，采购人或者采购代理机构可以组织原评标委员会进行重新评审，重新评审改变评标结果的，应当书面报告本级财政部门。</w:t>
      </w:r>
    </w:p>
    <w:p>
      <w:pPr>
        <w:spacing w:line="440" w:lineRule="exact"/>
        <w:rPr>
          <w:rFonts w:ascii="宋体" w:hAnsi="宋体"/>
          <w:color w:val="auto"/>
          <w:szCs w:val="21"/>
          <w:highlight w:val="none"/>
        </w:rPr>
      </w:pPr>
      <w:r>
        <w:rPr>
          <w:rFonts w:hint="eastAsia" w:ascii="宋体" w:hAnsi="宋体"/>
          <w:b/>
          <w:color w:val="auto"/>
          <w:szCs w:val="21"/>
          <w:highlight w:val="none"/>
        </w:rPr>
        <w:t xml:space="preserve">21.6.10  </w:t>
      </w:r>
      <w:r>
        <w:rPr>
          <w:rFonts w:hint="eastAsia" w:ascii="宋体" w:hAnsi="宋体"/>
          <w:color w:val="auto"/>
          <w:szCs w:val="21"/>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400" w:lineRule="exact"/>
        <w:rPr>
          <w:rFonts w:ascii="宋体" w:hAnsi="宋体" w:cs="宋体"/>
          <w:color w:val="auto"/>
          <w:kern w:val="0"/>
          <w:szCs w:val="21"/>
          <w:highlight w:val="none"/>
        </w:rPr>
      </w:pP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22.  推荐中标候选人</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22.1</w:t>
      </w:r>
      <w:r>
        <w:rPr>
          <w:rFonts w:hint="eastAsia" w:ascii="宋体" w:hAnsi="宋体" w:cs="宋体"/>
          <w:color w:val="auto"/>
          <w:kern w:val="0"/>
          <w:szCs w:val="21"/>
          <w:highlight w:val="none"/>
        </w:rPr>
        <w:t xml:space="preserve">  评标委员会按照招标文件第</w:t>
      </w:r>
      <w:r>
        <w:rPr>
          <w:rFonts w:hint="eastAsia" w:ascii="宋体" w:hAnsi="宋体"/>
          <w:color w:val="auto"/>
          <w:szCs w:val="21"/>
          <w:highlight w:val="none"/>
        </w:rPr>
        <w:t>五</w:t>
      </w:r>
      <w:r>
        <w:rPr>
          <w:rFonts w:hint="eastAsia" w:ascii="宋体" w:hAnsi="宋体" w:cs="宋体"/>
          <w:color w:val="auto"/>
          <w:kern w:val="0"/>
          <w:szCs w:val="21"/>
          <w:highlight w:val="none"/>
        </w:rPr>
        <w:t>部分“评标办法”推荐中标候选人。</w:t>
      </w:r>
    </w:p>
    <w:p>
      <w:pPr>
        <w:spacing w:line="400" w:lineRule="exact"/>
        <w:rPr>
          <w:rFonts w:ascii="宋体" w:hAnsi="宋体" w:cs="宋体"/>
          <w:color w:val="auto"/>
          <w:kern w:val="0"/>
          <w:szCs w:val="21"/>
          <w:highlight w:val="none"/>
        </w:rPr>
      </w:pP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23.  定标</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23.1  </w:t>
      </w:r>
      <w:r>
        <w:rPr>
          <w:rFonts w:hint="eastAsia" w:ascii="宋体" w:hAnsi="宋体" w:cs="宋体"/>
          <w:color w:val="auto"/>
          <w:szCs w:val="21"/>
          <w:highlight w:val="none"/>
        </w:rPr>
        <w:t>确定中标人。本项目由评标委员会推荐中标候选人，采购人不得在评标委员会推荐的中标候选人以外确定中标候选人。</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23.2</w:t>
      </w:r>
      <w:r>
        <w:rPr>
          <w:rFonts w:hint="eastAsia" w:ascii="宋体" w:hAnsi="宋体" w:cs="宋体"/>
          <w:color w:val="auto"/>
          <w:szCs w:val="21"/>
          <w:highlight w:val="none"/>
        </w:rPr>
        <w:t xml:space="preserve">  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23.3</w:t>
      </w:r>
      <w:r>
        <w:rPr>
          <w:rFonts w:hint="eastAsia" w:ascii="宋体" w:hAnsi="宋体" w:cs="宋体"/>
          <w:color w:val="auto"/>
          <w:szCs w:val="21"/>
          <w:highlight w:val="none"/>
        </w:rPr>
        <w:t xml:space="preserve">  采购代理机构自中标人确定之日起2个工作日内，在发布招标公告的网站上对中标结果进行公示，中标结果公告期限为1个工作日。</w:t>
      </w:r>
    </w:p>
    <w:p>
      <w:pPr>
        <w:spacing w:line="400" w:lineRule="exact"/>
        <w:rPr>
          <w:rFonts w:ascii="宋体" w:hAnsi="宋体" w:cs="宋体"/>
          <w:color w:val="auto"/>
          <w:kern w:val="0"/>
          <w:szCs w:val="21"/>
          <w:highlight w:val="none"/>
        </w:rPr>
      </w:pPr>
    </w:p>
    <w:p>
      <w:pPr>
        <w:jc w:val="center"/>
        <w:outlineLvl w:val="1"/>
        <w:rPr>
          <w:rFonts w:ascii="宋体" w:hAnsi="宋体" w:cs="宋体"/>
          <w:b/>
          <w:color w:val="auto"/>
          <w:sz w:val="28"/>
          <w:highlight w:val="none"/>
        </w:rPr>
      </w:pPr>
      <w:bookmarkStart w:id="142" w:name="_Toc136017636"/>
      <w:bookmarkStart w:id="143" w:name="_Toc31753"/>
      <w:bookmarkStart w:id="144" w:name="_Toc440276567"/>
      <w:bookmarkStart w:id="145" w:name="_Toc136345107"/>
      <w:r>
        <w:rPr>
          <w:rFonts w:hint="eastAsia" w:ascii="宋体" w:hAnsi="宋体" w:cs="宋体"/>
          <w:b/>
          <w:color w:val="auto"/>
          <w:sz w:val="28"/>
          <w:highlight w:val="none"/>
        </w:rPr>
        <w:t>G  授予合同</w:t>
      </w:r>
      <w:bookmarkEnd w:id="142"/>
      <w:bookmarkEnd w:id="143"/>
      <w:bookmarkEnd w:id="144"/>
      <w:bookmarkEnd w:id="145"/>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24.  中标通知</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 xml:space="preserve">24.1 </w:t>
      </w:r>
      <w:r>
        <w:rPr>
          <w:rFonts w:hint="eastAsia" w:ascii="宋体" w:hAnsi="宋体" w:cs="宋体"/>
          <w:color w:val="auto"/>
          <w:kern w:val="0"/>
          <w:szCs w:val="21"/>
          <w:highlight w:val="none"/>
        </w:rPr>
        <w:t xml:space="preserve"> 在公告中标结果的同时，采购代理机构应当向中标人发出中标通知书。</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24.2</w:t>
      </w:r>
      <w:r>
        <w:rPr>
          <w:rFonts w:hint="eastAsia" w:ascii="宋体" w:hAnsi="宋体" w:cs="宋体"/>
          <w:color w:val="auto"/>
          <w:kern w:val="0"/>
          <w:szCs w:val="21"/>
          <w:highlight w:val="none"/>
        </w:rPr>
        <w:t xml:space="preserve">  中标通知书发出后，采购人不得违法改变中标结果，中标人无正当理由不得放弃中标。</w:t>
      </w:r>
    </w:p>
    <w:p>
      <w:pPr>
        <w:spacing w:line="400" w:lineRule="exact"/>
        <w:ind w:firstLine="420" w:firstLineChars="200"/>
        <w:rPr>
          <w:rFonts w:ascii="宋体" w:hAnsi="宋体" w:cs="宋体"/>
          <w:color w:val="auto"/>
          <w:kern w:val="0"/>
          <w:szCs w:val="21"/>
          <w:highlight w:val="none"/>
        </w:rPr>
      </w:pP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25.  签订合同</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25.1</w:t>
      </w:r>
      <w:r>
        <w:rPr>
          <w:rFonts w:hint="eastAsia" w:ascii="宋体" w:hAnsi="宋体" w:cs="宋体"/>
          <w:color w:val="auto"/>
          <w:kern w:val="0"/>
          <w:szCs w:val="21"/>
          <w:highlight w:val="none"/>
        </w:rPr>
        <w:t xml:space="preserve">  中标人应在采购代理机构发出中标通知书的30日内，应与采购人签订合同。所签订的合同不得对招标文件确定的事项和中标人投标文件作实质性修改。</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25.2</w:t>
      </w:r>
      <w:r>
        <w:rPr>
          <w:rFonts w:hint="eastAsia" w:ascii="宋体" w:hAnsi="宋体" w:cs="宋体"/>
          <w:color w:val="auto"/>
          <w:kern w:val="0"/>
          <w:szCs w:val="21"/>
          <w:highlight w:val="none"/>
        </w:rPr>
        <w:t xml:space="preserve">  除中标通知书外，招标文件、中标人的投标文件及评标过程中有关的澄清文件也均应作为合同附件。</w:t>
      </w:r>
    </w:p>
    <w:p>
      <w:pPr>
        <w:spacing w:line="400" w:lineRule="exact"/>
        <w:rPr>
          <w:rFonts w:ascii="宋体" w:hAnsi="宋体" w:cs="宋体"/>
          <w:bCs/>
          <w:color w:val="auto"/>
          <w:szCs w:val="21"/>
          <w:highlight w:val="none"/>
        </w:rPr>
      </w:pPr>
      <w:r>
        <w:rPr>
          <w:rFonts w:hint="eastAsia" w:ascii="宋体" w:hAnsi="宋体" w:cs="宋体"/>
          <w:b/>
          <w:color w:val="auto"/>
          <w:szCs w:val="21"/>
          <w:highlight w:val="none"/>
        </w:rPr>
        <w:t xml:space="preserve">25.3  </w:t>
      </w:r>
      <w:r>
        <w:rPr>
          <w:rFonts w:hint="eastAsia" w:ascii="宋体" w:hAnsi="宋体" w:cs="宋体"/>
          <w:bCs/>
          <w:color w:val="auto"/>
          <w:szCs w:val="21"/>
          <w:highlight w:val="none"/>
        </w:rPr>
        <w:t>中标人按规定的日期、时间、地点，由法定代表人或其授权代表与采购人代表签订合同。如中标人为联合体，由联合体成员各方法定代表人或其授权代表与采购人代表签订合同。允许中标人在采购合同盖章后送达。</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25.4</w:t>
      </w:r>
      <w:r>
        <w:rPr>
          <w:rFonts w:hint="eastAsia" w:ascii="宋体" w:hAnsi="宋体" w:cs="宋体"/>
          <w:color w:val="auto"/>
          <w:kern w:val="0"/>
          <w:szCs w:val="21"/>
          <w:highlight w:val="none"/>
        </w:rPr>
        <w:t xml:space="preserve">  中标人拒绝与采购人签订合同的，采购人可以按照评标报告推荐的中标候选人名单排序，确定下一候选人为中标人，也可以重新开展政府采购活动。</w:t>
      </w:r>
    </w:p>
    <w:p>
      <w:pPr>
        <w:spacing w:line="400" w:lineRule="exact"/>
        <w:rPr>
          <w:rFonts w:ascii="宋体" w:hAnsi="宋体" w:cs="宋体"/>
          <w:color w:val="auto"/>
          <w:kern w:val="0"/>
          <w:szCs w:val="21"/>
          <w:highlight w:val="none"/>
        </w:rPr>
      </w:pP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26.  履约保证金</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26.1</w:t>
      </w:r>
      <w:r>
        <w:rPr>
          <w:rFonts w:hint="eastAsia" w:ascii="宋体" w:hAnsi="宋体" w:cs="宋体"/>
          <w:color w:val="auto"/>
          <w:kern w:val="0"/>
          <w:szCs w:val="21"/>
          <w:highlight w:val="none"/>
        </w:rPr>
        <w:t xml:space="preserve">  招标文件若有规定，在签订合同后，采购人按合同支付定金的同时，中标人应向采购人提供履约保证金。</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26.2</w:t>
      </w:r>
      <w:r>
        <w:rPr>
          <w:rFonts w:hint="eastAsia" w:ascii="宋体" w:hAnsi="宋体" w:cs="宋体"/>
          <w:color w:val="auto"/>
          <w:kern w:val="0"/>
          <w:szCs w:val="21"/>
          <w:highlight w:val="none"/>
        </w:rPr>
        <w:t xml:space="preserve">  若中标人不按上述第26.1条要求提供，采购代理机构和采购人有权按前述第13.6条规定处理并撤销其中标资格。在这种情况下，采购代理机构和采购人可按本须知第25.3条规定另选中标人。</w:t>
      </w:r>
    </w:p>
    <w:p>
      <w:pPr>
        <w:spacing w:line="400" w:lineRule="exact"/>
        <w:rPr>
          <w:rFonts w:ascii="宋体" w:hAnsi="宋体" w:cs="宋体"/>
          <w:color w:val="auto"/>
          <w:kern w:val="0"/>
          <w:szCs w:val="21"/>
          <w:highlight w:val="none"/>
        </w:rPr>
      </w:pP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27.  履约验收</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27.1</w:t>
      </w:r>
      <w:r>
        <w:rPr>
          <w:rFonts w:hint="eastAsia" w:ascii="宋体" w:hAnsi="宋体" w:cs="宋体"/>
          <w:color w:val="auto"/>
          <w:kern w:val="0"/>
          <w:szCs w:val="21"/>
          <w:highlight w:val="none"/>
        </w:rPr>
        <w:t xml:space="preserve">  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 xml:space="preserve">27.2 </w:t>
      </w:r>
      <w:r>
        <w:rPr>
          <w:rFonts w:hint="eastAsia" w:ascii="宋体" w:hAnsi="宋体" w:cs="宋体"/>
          <w:color w:val="auto"/>
          <w:kern w:val="0"/>
          <w:szCs w:val="21"/>
          <w:highlight w:val="none"/>
        </w:rPr>
        <w:t xml:space="preserve"> 采购人可以邀请参加本项目的其他投标人或者第三方机构参与验收。参与验收的投标人或者第三方机构的意见作为验收书的参考资料一并存档。</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27.3</w:t>
      </w:r>
      <w:r>
        <w:rPr>
          <w:rFonts w:hint="eastAsia" w:ascii="宋体" w:hAnsi="宋体" w:cs="宋体"/>
          <w:color w:val="auto"/>
          <w:kern w:val="0"/>
          <w:szCs w:val="21"/>
          <w:highlight w:val="none"/>
        </w:rPr>
        <w:t xml:space="preserve">  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27.4</w:t>
      </w:r>
      <w:r>
        <w:rPr>
          <w:rFonts w:hint="eastAsia" w:ascii="宋体" w:hAnsi="宋体" w:cs="宋体"/>
          <w:color w:val="auto"/>
          <w:kern w:val="0"/>
          <w:szCs w:val="21"/>
          <w:highlight w:val="none"/>
        </w:rPr>
        <w:t xml:space="preserve">  验收合格的项目，采购人将根据采购合同的约定及时向中标人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pPr>
        <w:pStyle w:val="96"/>
        <w:rPr>
          <w:color w:val="auto"/>
          <w:highlight w:val="none"/>
        </w:rPr>
      </w:pPr>
      <w:bookmarkStart w:id="146" w:name="_Toc440276568"/>
    </w:p>
    <w:p>
      <w:pPr>
        <w:jc w:val="center"/>
        <w:outlineLvl w:val="1"/>
        <w:rPr>
          <w:rFonts w:ascii="宋体" w:hAnsi="宋体" w:cs="宋体"/>
          <w:b/>
          <w:color w:val="auto"/>
          <w:sz w:val="28"/>
          <w:highlight w:val="none"/>
        </w:rPr>
      </w:pPr>
      <w:bookmarkStart w:id="147" w:name="_Toc16661"/>
      <w:bookmarkStart w:id="148" w:name="_Toc136345108"/>
      <w:bookmarkStart w:id="149" w:name="_Toc136017637"/>
      <w:r>
        <w:rPr>
          <w:rFonts w:hint="eastAsia" w:ascii="宋体" w:hAnsi="宋体" w:cs="宋体"/>
          <w:b/>
          <w:color w:val="auto"/>
          <w:sz w:val="28"/>
          <w:highlight w:val="none"/>
        </w:rPr>
        <w:t>H  采购代理机构服务费</w:t>
      </w:r>
      <w:bookmarkEnd w:id="146"/>
      <w:bookmarkEnd w:id="147"/>
      <w:bookmarkEnd w:id="148"/>
      <w:bookmarkEnd w:id="149"/>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28.  采购代理机构服务费</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28.1</w:t>
      </w:r>
      <w:r>
        <w:rPr>
          <w:rFonts w:hint="eastAsia" w:ascii="宋体" w:hAnsi="宋体" w:cs="宋体"/>
          <w:color w:val="auto"/>
          <w:kern w:val="0"/>
          <w:szCs w:val="21"/>
          <w:highlight w:val="none"/>
        </w:rPr>
        <w:t>中标人应在中标结果公示结束后向采购代理机构支付采购代理机构服务费。</w:t>
      </w:r>
    </w:p>
    <w:p>
      <w:pPr>
        <w:spacing w:line="400" w:lineRule="exact"/>
        <w:rPr>
          <w:rFonts w:ascii="宋体" w:hAnsi="宋体" w:cs="宋体"/>
          <w:color w:val="auto"/>
          <w:kern w:val="0"/>
          <w:szCs w:val="21"/>
          <w:highlight w:val="none"/>
        </w:rPr>
      </w:pPr>
    </w:p>
    <w:p>
      <w:pPr>
        <w:spacing w:line="400" w:lineRule="exact"/>
        <w:rPr>
          <w:rFonts w:ascii="宋体" w:hAnsi="宋体" w:cs="宋体"/>
          <w:color w:val="auto"/>
          <w:kern w:val="0"/>
          <w:szCs w:val="21"/>
          <w:highlight w:val="none"/>
        </w:rPr>
      </w:pPr>
    </w:p>
    <w:p>
      <w:pPr>
        <w:jc w:val="center"/>
        <w:outlineLvl w:val="1"/>
        <w:rPr>
          <w:rFonts w:ascii="宋体" w:hAnsi="宋体" w:cs="宋体"/>
          <w:b/>
          <w:color w:val="auto"/>
          <w:sz w:val="28"/>
          <w:highlight w:val="none"/>
        </w:rPr>
      </w:pPr>
      <w:bookmarkStart w:id="150" w:name="_Toc136017638"/>
      <w:bookmarkStart w:id="151" w:name="_Toc136345109"/>
      <w:bookmarkStart w:id="152" w:name="_Toc12983"/>
      <w:r>
        <w:rPr>
          <w:rFonts w:hint="eastAsia" w:ascii="宋体" w:hAnsi="宋体" w:cs="宋体"/>
          <w:b/>
          <w:color w:val="auto"/>
          <w:sz w:val="28"/>
          <w:highlight w:val="none"/>
        </w:rPr>
        <w:t>Ⅰ  信息发布媒体</w:t>
      </w:r>
      <w:bookmarkEnd w:id="150"/>
      <w:bookmarkEnd w:id="151"/>
      <w:bookmarkEnd w:id="152"/>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29.  有关发布项目招标公告、中标公示的媒体：</w:t>
      </w:r>
    </w:p>
    <w:p>
      <w:pPr>
        <w:spacing w:line="360" w:lineRule="auto"/>
        <w:ind w:left="788" w:hanging="787" w:hangingChars="375"/>
        <w:rPr>
          <w:rFonts w:ascii="宋体" w:hAnsi="宋体" w:cs="宋体"/>
          <w:color w:val="auto"/>
          <w:szCs w:val="21"/>
          <w:highlight w:val="none"/>
        </w:rPr>
      </w:pPr>
      <w:r>
        <w:rPr>
          <w:rFonts w:hint="eastAsia" w:ascii="宋体" w:hAnsi="宋体" w:cs="宋体"/>
          <w:color w:val="auto"/>
          <w:szCs w:val="21"/>
          <w:highlight w:val="none"/>
        </w:rPr>
        <w:t>浙江政府采购网</w:t>
      </w:r>
      <w:r>
        <w:rPr>
          <w:rFonts w:hint="eastAsia" w:ascii="宋体" w:hAnsi="宋体" w:cs="宋体"/>
          <w:color w:val="auto"/>
          <w:szCs w:val="21"/>
          <w:highlight w:val="none"/>
          <w:u w:val="single"/>
        </w:rPr>
        <w:t>https://zfcg.czt.zj.gov.cn/</w:t>
      </w:r>
    </w:p>
    <w:p>
      <w:pPr>
        <w:spacing w:line="360" w:lineRule="auto"/>
        <w:rPr>
          <w:color w:val="auto"/>
          <w:highlight w:val="none"/>
        </w:rPr>
      </w:pPr>
      <w:r>
        <w:rPr>
          <w:rFonts w:hint="eastAsia" w:ascii="宋体" w:hAnsi="宋体"/>
          <w:color w:val="auto"/>
          <w:szCs w:val="21"/>
          <w:highlight w:val="none"/>
        </w:rPr>
        <w:t>宁波政府采购网</w:t>
      </w:r>
      <w:r>
        <w:rPr>
          <w:rFonts w:hint="eastAsia" w:ascii="宋体" w:hAnsi="宋体" w:cs="宋体"/>
          <w:color w:val="auto"/>
          <w:szCs w:val="21"/>
          <w:highlight w:val="none"/>
          <w:u w:val="single"/>
        </w:rPr>
        <w:t>https://zfcg.czj.ningbo.gov.cn/</w:t>
      </w:r>
    </w:p>
    <w:p>
      <w:pPr>
        <w:pStyle w:val="96"/>
        <w:rPr>
          <w:color w:val="auto"/>
          <w:highlight w:val="none"/>
        </w:rPr>
      </w:pPr>
    </w:p>
    <w:p>
      <w:pPr>
        <w:jc w:val="center"/>
        <w:outlineLvl w:val="1"/>
        <w:rPr>
          <w:rFonts w:ascii="宋体" w:hAnsi="宋体" w:cs="宋体"/>
          <w:b/>
          <w:color w:val="auto"/>
          <w:sz w:val="28"/>
          <w:highlight w:val="none"/>
        </w:rPr>
      </w:pPr>
      <w:bookmarkStart w:id="153" w:name="_Toc136345110"/>
      <w:bookmarkStart w:id="154" w:name="_Toc136017639"/>
      <w:bookmarkStart w:id="155" w:name="_Toc11182"/>
      <w:r>
        <w:rPr>
          <w:rFonts w:hint="eastAsia" w:ascii="宋体" w:hAnsi="宋体" w:cs="宋体"/>
          <w:b/>
          <w:color w:val="auto"/>
          <w:sz w:val="28"/>
          <w:highlight w:val="none"/>
        </w:rPr>
        <w:t>J  其他规定</w:t>
      </w:r>
      <w:bookmarkEnd w:id="153"/>
      <w:bookmarkEnd w:id="154"/>
      <w:bookmarkEnd w:id="155"/>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30.  其他规定</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30.1</w:t>
      </w:r>
      <w:r>
        <w:rPr>
          <w:rFonts w:hint="eastAsia" w:ascii="宋体" w:hAnsi="宋体" w:cs="宋体"/>
          <w:color w:val="auto"/>
          <w:kern w:val="0"/>
          <w:szCs w:val="21"/>
          <w:highlight w:val="none"/>
        </w:rPr>
        <w:t xml:space="preserve"> 自购买招标文件之日起，投标人应保证其提供的联系方式</w:t>
      </w:r>
      <w:r>
        <w:rPr>
          <w:rFonts w:ascii="宋体" w:hAnsi="宋体" w:cs="宋体"/>
          <w:color w:val="auto"/>
          <w:kern w:val="0"/>
          <w:szCs w:val="21"/>
          <w:highlight w:val="none"/>
        </w:rPr>
        <w:t>(</w:t>
      </w:r>
      <w:r>
        <w:rPr>
          <w:rFonts w:hint="eastAsia" w:ascii="宋体" w:hAnsi="宋体" w:cs="宋体"/>
          <w:color w:val="auto"/>
          <w:kern w:val="0"/>
          <w:szCs w:val="21"/>
          <w:highlight w:val="none"/>
        </w:rPr>
        <w:t>电话、传真、电子邮件</w:t>
      </w:r>
      <w:r>
        <w:rPr>
          <w:rFonts w:ascii="宋体" w:hAnsi="宋体" w:cs="宋体"/>
          <w:color w:val="auto"/>
          <w:kern w:val="0"/>
          <w:szCs w:val="21"/>
          <w:highlight w:val="none"/>
        </w:rPr>
        <w:t>)</w:t>
      </w:r>
      <w:r>
        <w:rPr>
          <w:rFonts w:hint="eastAsia" w:ascii="宋体" w:hAnsi="宋体" w:cs="宋体"/>
          <w:color w:val="auto"/>
          <w:kern w:val="0"/>
          <w:szCs w:val="21"/>
          <w:highlight w:val="none"/>
        </w:rPr>
        <w:t>一直有效，以保证往来函件</w:t>
      </w:r>
      <w:r>
        <w:rPr>
          <w:rFonts w:ascii="宋体" w:hAnsi="宋体" w:cs="宋体"/>
          <w:color w:val="auto"/>
          <w:kern w:val="0"/>
          <w:szCs w:val="21"/>
          <w:highlight w:val="none"/>
        </w:rPr>
        <w:t>(</w:t>
      </w:r>
      <w:r>
        <w:rPr>
          <w:rFonts w:hint="eastAsia" w:ascii="宋体" w:hAnsi="宋体" w:cs="宋体"/>
          <w:color w:val="auto"/>
          <w:kern w:val="0"/>
          <w:szCs w:val="21"/>
          <w:highlight w:val="none"/>
        </w:rPr>
        <w:t>招标文件的澄清、修改等</w:t>
      </w:r>
      <w:r>
        <w:rPr>
          <w:rFonts w:ascii="宋体" w:hAnsi="宋体" w:cs="宋体"/>
          <w:color w:val="auto"/>
          <w:kern w:val="0"/>
          <w:szCs w:val="21"/>
          <w:highlight w:val="none"/>
        </w:rPr>
        <w:t>)</w:t>
      </w:r>
      <w:r>
        <w:rPr>
          <w:rFonts w:hint="eastAsia" w:ascii="宋体" w:hAnsi="宋体" w:cs="宋体"/>
          <w:color w:val="auto"/>
          <w:kern w:val="0"/>
          <w:szCs w:val="21"/>
          <w:highlight w:val="none"/>
        </w:rPr>
        <w:t>能及时通知投标人，并能及时反馈信息，否则采购人不承担由此引起的一切后果。</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30.2</w:t>
      </w:r>
      <w:r>
        <w:rPr>
          <w:rFonts w:hint="eastAsia" w:ascii="宋体" w:hAnsi="宋体" w:cs="宋体"/>
          <w:color w:val="auto"/>
          <w:kern w:val="0"/>
          <w:szCs w:val="21"/>
          <w:highlight w:val="none"/>
        </w:rPr>
        <w:t xml:space="preserve"> 知识产权</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30.2.1</w:t>
      </w:r>
      <w:r>
        <w:rPr>
          <w:rFonts w:ascii="宋体" w:hAnsi="宋体" w:cs="宋体"/>
          <w:color w:val="auto"/>
          <w:kern w:val="0"/>
          <w:szCs w:val="21"/>
          <w:highlight w:val="none"/>
        </w:rPr>
        <w:t>投标人应保证提交的全部文件不会侵犯其</w:t>
      </w:r>
      <w:r>
        <w:rPr>
          <w:rFonts w:hint="eastAsia" w:ascii="宋体" w:hAnsi="宋体" w:cs="宋体"/>
          <w:color w:val="auto"/>
          <w:kern w:val="0"/>
          <w:szCs w:val="21"/>
          <w:highlight w:val="none"/>
        </w:rPr>
        <w:t>他</w:t>
      </w:r>
      <w:r>
        <w:rPr>
          <w:rFonts w:ascii="宋体" w:hAnsi="宋体" w:cs="宋体"/>
          <w:color w:val="auto"/>
          <w:kern w:val="0"/>
          <w:szCs w:val="21"/>
          <w:highlight w:val="none"/>
        </w:rPr>
        <w:t>任何人的知识产权或专有技术或商业秘密。投标人应保证，如果投标文件使用他人的知识产权或专有技术或商业秘密，投标人已获得了适当授权。投标人应进一步保证，</w:t>
      </w:r>
      <w:r>
        <w:rPr>
          <w:rFonts w:hint="eastAsia" w:ascii="宋体" w:hAnsi="宋体" w:cs="宋体"/>
          <w:color w:val="auto"/>
          <w:kern w:val="0"/>
          <w:szCs w:val="21"/>
          <w:highlight w:val="none"/>
        </w:rPr>
        <w:t>采购人</w:t>
      </w:r>
      <w:r>
        <w:rPr>
          <w:rFonts w:ascii="宋体" w:hAnsi="宋体" w:cs="宋体"/>
          <w:color w:val="auto"/>
          <w:kern w:val="0"/>
          <w:szCs w:val="21"/>
          <w:highlight w:val="none"/>
        </w:rPr>
        <w:t>使用其</w:t>
      </w:r>
      <w:r>
        <w:rPr>
          <w:rFonts w:hint="eastAsia" w:ascii="宋体" w:hAnsi="宋体" w:cs="宋体"/>
          <w:color w:val="auto"/>
          <w:kern w:val="0"/>
          <w:szCs w:val="21"/>
          <w:highlight w:val="none"/>
        </w:rPr>
        <w:t>成果</w:t>
      </w:r>
      <w:r>
        <w:rPr>
          <w:rFonts w:ascii="宋体" w:hAnsi="宋体" w:cs="宋体"/>
          <w:color w:val="auto"/>
          <w:kern w:val="0"/>
          <w:szCs w:val="21"/>
          <w:highlight w:val="none"/>
        </w:rPr>
        <w:t>不会侵犯他人的知识产权或专</w:t>
      </w:r>
      <w:r>
        <w:rPr>
          <w:rFonts w:hint="eastAsia" w:ascii="宋体" w:hAnsi="宋体" w:cs="宋体"/>
          <w:color w:val="auto"/>
          <w:kern w:val="0"/>
          <w:szCs w:val="21"/>
          <w:highlight w:val="none"/>
        </w:rPr>
        <w:t>有</w:t>
      </w:r>
      <w:r>
        <w:rPr>
          <w:rFonts w:ascii="宋体" w:hAnsi="宋体" w:cs="宋体"/>
          <w:color w:val="auto"/>
          <w:kern w:val="0"/>
          <w:szCs w:val="21"/>
          <w:highlight w:val="none"/>
        </w:rPr>
        <w:t>技术或商业秘密，并应当使</w:t>
      </w:r>
      <w:r>
        <w:rPr>
          <w:rFonts w:hint="eastAsia" w:ascii="宋体" w:hAnsi="宋体" w:cs="宋体"/>
          <w:color w:val="auto"/>
          <w:kern w:val="0"/>
          <w:szCs w:val="21"/>
          <w:highlight w:val="none"/>
        </w:rPr>
        <w:t>采购人</w:t>
      </w:r>
      <w:r>
        <w:rPr>
          <w:rFonts w:ascii="宋体" w:hAnsi="宋体" w:cs="宋体"/>
          <w:color w:val="auto"/>
          <w:kern w:val="0"/>
          <w:szCs w:val="21"/>
          <w:highlight w:val="none"/>
        </w:rPr>
        <w:t>免于因被指控侵犯上述权利产生的任何责任，</w:t>
      </w:r>
      <w:r>
        <w:rPr>
          <w:rFonts w:hint="eastAsia" w:ascii="宋体" w:hAnsi="宋体" w:cs="宋体"/>
          <w:color w:val="auto"/>
          <w:kern w:val="0"/>
          <w:szCs w:val="21"/>
          <w:highlight w:val="none"/>
        </w:rPr>
        <w:t>若采购人</w:t>
      </w:r>
      <w:r>
        <w:rPr>
          <w:rFonts w:ascii="宋体" w:hAnsi="宋体" w:cs="宋体"/>
          <w:color w:val="auto"/>
          <w:kern w:val="0"/>
          <w:szCs w:val="21"/>
          <w:highlight w:val="none"/>
        </w:rPr>
        <w:t>使用其</w:t>
      </w:r>
      <w:r>
        <w:rPr>
          <w:rFonts w:hint="eastAsia" w:ascii="宋体" w:hAnsi="宋体" w:cs="宋体"/>
          <w:color w:val="auto"/>
          <w:kern w:val="0"/>
          <w:szCs w:val="21"/>
          <w:highlight w:val="none"/>
        </w:rPr>
        <w:t>成果</w:t>
      </w:r>
      <w:r>
        <w:rPr>
          <w:rFonts w:ascii="宋体" w:hAnsi="宋体" w:cs="宋体"/>
          <w:color w:val="auto"/>
          <w:kern w:val="0"/>
          <w:szCs w:val="21"/>
          <w:highlight w:val="none"/>
        </w:rPr>
        <w:t>被指控侵犯上述权利</w:t>
      </w:r>
      <w:r>
        <w:rPr>
          <w:rFonts w:hint="eastAsia" w:ascii="宋体" w:hAnsi="宋体" w:cs="宋体"/>
          <w:color w:val="auto"/>
          <w:kern w:val="0"/>
          <w:szCs w:val="21"/>
          <w:highlight w:val="none"/>
        </w:rPr>
        <w:t>，投标人应</w:t>
      </w:r>
      <w:r>
        <w:rPr>
          <w:rFonts w:ascii="宋体" w:hAnsi="宋体" w:cs="宋体"/>
          <w:color w:val="auto"/>
          <w:kern w:val="0"/>
          <w:szCs w:val="21"/>
          <w:highlight w:val="none"/>
        </w:rPr>
        <w:t>赔偿</w:t>
      </w:r>
      <w:r>
        <w:rPr>
          <w:rFonts w:hint="eastAsia" w:ascii="宋体" w:hAnsi="宋体" w:cs="宋体"/>
          <w:color w:val="auto"/>
          <w:kern w:val="0"/>
          <w:szCs w:val="21"/>
          <w:highlight w:val="none"/>
        </w:rPr>
        <w:t>采购人</w:t>
      </w:r>
      <w:r>
        <w:rPr>
          <w:rFonts w:ascii="宋体" w:hAnsi="宋体" w:cs="宋体"/>
          <w:color w:val="auto"/>
          <w:kern w:val="0"/>
          <w:szCs w:val="21"/>
          <w:highlight w:val="none"/>
        </w:rPr>
        <w:t>由此而产生的费用和损失。</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30.2.2</w:t>
      </w:r>
      <w:r>
        <w:rPr>
          <w:rFonts w:hint="eastAsia" w:ascii="宋体" w:hAnsi="宋体" w:cs="宋体"/>
          <w:color w:val="auto"/>
          <w:kern w:val="0"/>
          <w:szCs w:val="21"/>
          <w:highlight w:val="none"/>
        </w:rPr>
        <w:t xml:space="preserve"> 投标人中标后参与本项目研究的资料、成果等知识产权归采购人，有关的信息未经采购人同意不得向第三方泄露。</w:t>
      </w:r>
    </w:p>
    <w:p>
      <w:pPr>
        <w:spacing w:line="400" w:lineRule="exact"/>
        <w:rPr>
          <w:rFonts w:ascii="宋体" w:hAnsi="宋体" w:cs="宋体"/>
          <w:color w:val="auto"/>
          <w:kern w:val="0"/>
          <w:szCs w:val="21"/>
          <w:highlight w:val="none"/>
        </w:rPr>
      </w:pPr>
      <w:r>
        <w:rPr>
          <w:rFonts w:hint="eastAsia" w:ascii="宋体" w:hAnsi="宋体" w:cs="宋体"/>
          <w:b/>
          <w:color w:val="auto"/>
          <w:szCs w:val="21"/>
          <w:highlight w:val="none"/>
        </w:rPr>
        <w:t xml:space="preserve">30.2.3 </w:t>
      </w:r>
      <w:r>
        <w:rPr>
          <w:rFonts w:hint="eastAsia" w:ascii="宋体" w:hAnsi="宋体" w:cs="宋体"/>
          <w:color w:val="auto"/>
          <w:kern w:val="0"/>
          <w:szCs w:val="21"/>
          <w:highlight w:val="none"/>
        </w:rPr>
        <w:t>采购人在招商引资、产权转让的商业活动中，所使用本项目有关的任何成果，无需征得中标人同意，中标人应积极配合提供相关资料和成果；中标人有责任对涉及项目的重要信息进行保密；中标人如因为项目的开展需要向第三方提供资料,必须提前得到采购人批准。</w:t>
      </w:r>
    </w:p>
    <w:p>
      <w:pPr>
        <w:spacing w:line="400" w:lineRule="exact"/>
        <w:rPr>
          <w:rFonts w:ascii="宋体" w:hAnsi="宋体" w:cs="宋体"/>
          <w:b/>
          <w:color w:val="auto"/>
          <w:szCs w:val="21"/>
          <w:highlight w:val="none"/>
        </w:rPr>
      </w:pPr>
    </w:p>
    <w:p>
      <w:pPr>
        <w:spacing w:line="440" w:lineRule="exact"/>
        <w:rPr>
          <w:rFonts w:ascii="宋体" w:hAnsi="宋体"/>
          <w:b/>
          <w:color w:val="auto"/>
          <w:szCs w:val="21"/>
          <w:highlight w:val="none"/>
        </w:rPr>
      </w:pPr>
      <w:bookmarkStart w:id="156" w:name="OLE_LINK45"/>
      <w:r>
        <w:rPr>
          <w:rFonts w:hint="eastAsia" w:ascii="宋体" w:hAnsi="宋体"/>
          <w:b/>
          <w:color w:val="auto"/>
          <w:szCs w:val="21"/>
          <w:highlight w:val="none"/>
        </w:rPr>
        <w:t>31.  政府采购活动中有关中小企业的相关规定</w:t>
      </w:r>
    </w:p>
    <w:p>
      <w:pPr>
        <w:spacing w:line="400" w:lineRule="exact"/>
        <w:rPr>
          <w:rFonts w:ascii="宋体" w:hAnsi="宋体"/>
          <w:b/>
          <w:color w:val="auto"/>
          <w:szCs w:val="21"/>
          <w:highlight w:val="none"/>
        </w:rPr>
      </w:pPr>
      <w:r>
        <w:rPr>
          <w:rFonts w:hint="eastAsia" w:ascii="宋体" w:hAnsi="宋体"/>
          <w:b/>
          <w:color w:val="auto"/>
          <w:szCs w:val="21"/>
          <w:highlight w:val="none"/>
        </w:rPr>
        <w:t>31.1本项目对应的中小企业划分标准所属行业：</w:t>
      </w:r>
      <w:r>
        <w:rPr>
          <w:rFonts w:hint="eastAsia" w:ascii="宋体" w:hAnsi="宋体" w:cs="宋体"/>
          <w:b/>
          <w:color w:val="auto"/>
          <w:szCs w:val="21"/>
          <w:highlight w:val="none"/>
        </w:rPr>
        <w:t>详见第三部分“投标资料表”</w:t>
      </w:r>
    </w:p>
    <w:p>
      <w:pPr>
        <w:spacing w:line="400" w:lineRule="exact"/>
        <w:rPr>
          <w:rFonts w:ascii="宋体" w:hAnsi="宋体"/>
          <w:color w:val="auto"/>
          <w:szCs w:val="21"/>
          <w:highlight w:val="none"/>
        </w:rPr>
      </w:pPr>
      <w:r>
        <w:rPr>
          <w:rFonts w:hint="eastAsia" w:ascii="宋体" w:hAnsi="宋体"/>
          <w:b/>
          <w:color w:val="auto"/>
          <w:szCs w:val="21"/>
          <w:highlight w:val="none"/>
        </w:rPr>
        <w:t>31.2</w:t>
      </w:r>
      <w:r>
        <w:rPr>
          <w:rFonts w:hint="eastAsia" w:ascii="宋体" w:hAnsi="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400" w:lineRule="exact"/>
        <w:rPr>
          <w:rFonts w:ascii="宋体" w:hAnsi="宋体"/>
          <w:color w:val="auto"/>
          <w:szCs w:val="21"/>
          <w:highlight w:val="none"/>
        </w:rPr>
      </w:pPr>
      <w:r>
        <w:rPr>
          <w:rFonts w:hint="eastAsia" w:ascii="宋体" w:hAnsi="宋体"/>
          <w:b/>
          <w:color w:val="auto"/>
          <w:szCs w:val="21"/>
          <w:highlight w:val="none"/>
        </w:rPr>
        <w:t xml:space="preserve">31.3  </w:t>
      </w:r>
      <w:r>
        <w:rPr>
          <w:rFonts w:hint="eastAsia" w:ascii="宋体" w:hAnsi="宋体"/>
          <w:color w:val="auto"/>
          <w:szCs w:val="21"/>
          <w:highlight w:val="none"/>
        </w:rPr>
        <w:t>在政府采购活动中，投标人提供的货物、工程或者服务符合下列情形的，享受本办法规定的中小企业扶持政策：</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（一）在货物采购项目中，货物由中小企业制造，即货物由中小企业生产且使用该中小企业商号或者注册商标；</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（二）在工程采购项目中，工程由中小企业承建，即工程施工单位为中小企业；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（三）在服务采购项目中，服务由中小企业承接，即提供服务的人员为中小企业依照《中华人民共和国劳动合同法》订立劳动合同的从业人员。</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在货物采购项目中，投标人提供的货物既有中小企业制造货物，也有大型企业制造货物的，不享受本办法规定的中小企业扶持政策。</w:t>
      </w:r>
    </w:p>
    <w:p>
      <w:pPr>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p>
    <w:p>
      <w:pPr>
        <w:spacing w:line="400" w:lineRule="exact"/>
        <w:rPr>
          <w:rFonts w:ascii="宋体" w:hAnsi="宋体"/>
          <w:color w:val="auto"/>
          <w:szCs w:val="21"/>
          <w:highlight w:val="none"/>
        </w:rPr>
      </w:pPr>
      <w:r>
        <w:rPr>
          <w:rFonts w:hint="eastAsia" w:ascii="宋体" w:hAnsi="宋体"/>
          <w:b/>
          <w:color w:val="auto"/>
          <w:szCs w:val="21"/>
          <w:highlight w:val="none"/>
        </w:rPr>
        <w:t>31.4</w:t>
      </w:r>
      <w:r>
        <w:rPr>
          <w:rFonts w:hint="eastAsia" w:ascii="宋体" w:hAnsi="宋体"/>
          <w:color w:val="auto"/>
          <w:szCs w:val="21"/>
          <w:highlight w:val="none"/>
        </w:rPr>
        <w:t xml:space="preserve">  中小企业参加政府采购活动，应当出具《中小企业声明函》（格式见附件1），否则不得享受相关中小企业扶持政策。</w:t>
      </w:r>
    </w:p>
    <w:p>
      <w:pPr>
        <w:spacing w:line="400" w:lineRule="exact"/>
        <w:rPr>
          <w:rFonts w:ascii="宋体" w:hAnsi="宋体"/>
          <w:color w:val="auto"/>
          <w:szCs w:val="21"/>
          <w:highlight w:val="none"/>
        </w:rPr>
      </w:pPr>
      <w:r>
        <w:rPr>
          <w:rFonts w:hint="eastAsia" w:ascii="宋体" w:hAnsi="宋体"/>
          <w:b/>
          <w:color w:val="auto"/>
          <w:szCs w:val="21"/>
          <w:highlight w:val="none"/>
        </w:rPr>
        <w:t>31.5</w:t>
      </w:r>
      <w:r>
        <w:rPr>
          <w:rFonts w:hint="eastAsia" w:ascii="宋体" w:hAnsi="宋体"/>
          <w:color w:val="auto"/>
          <w:szCs w:val="21"/>
          <w:highlight w:val="none"/>
        </w:rPr>
        <w:t xml:space="preserve"> 对于经主管预算单位统筹后未预留份额专门面向中小企业采购的采购项目，以及预留份额项目中的非预留部分采购包，采购人、采购代理机构应当对符合本办法规定的小微企业报价给予10%-20%（工程项目为3%-5%）的扣除，用扣除后的价格参加评审。</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价格扣除比例对小型企业和微型企业同等对待，不作区分。</w:t>
      </w:r>
    </w:p>
    <w:p>
      <w:pPr>
        <w:spacing w:line="400" w:lineRule="exact"/>
        <w:rPr>
          <w:rFonts w:ascii="宋体" w:hAnsi="宋体"/>
          <w:color w:val="auto"/>
          <w:szCs w:val="21"/>
          <w:highlight w:val="none"/>
        </w:rPr>
      </w:pPr>
      <w:r>
        <w:rPr>
          <w:rFonts w:hint="eastAsia" w:ascii="宋体" w:hAnsi="宋体"/>
          <w:b/>
          <w:color w:val="auto"/>
          <w:szCs w:val="21"/>
          <w:highlight w:val="none"/>
        </w:rPr>
        <w:t xml:space="preserve">31.6  </w:t>
      </w:r>
      <w:r>
        <w:rPr>
          <w:rFonts w:hint="eastAsia" w:ascii="宋体" w:hAnsi="宋体"/>
          <w:color w:val="auto"/>
          <w:szCs w:val="21"/>
          <w:highlight w:val="none"/>
        </w:rPr>
        <w:t>享受扶持政策获得政府采购合同的，小微企业不得将合同分包给大中型企业，中型企业不得将合同分包给大型企业。</w:t>
      </w:r>
    </w:p>
    <w:p>
      <w:pPr>
        <w:spacing w:line="400" w:lineRule="exact"/>
        <w:rPr>
          <w:rFonts w:ascii="宋体" w:hAnsi="宋体"/>
          <w:color w:val="auto"/>
          <w:szCs w:val="21"/>
          <w:highlight w:val="none"/>
        </w:rPr>
      </w:pPr>
      <w:r>
        <w:rPr>
          <w:rFonts w:hint="eastAsia" w:ascii="宋体" w:hAnsi="宋体"/>
          <w:b/>
          <w:color w:val="auto"/>
          <w:szCs w:val="21"/>
          <w:highlight w:val="none"/>
        </w:rPr>
        <w:t xml:space="preserve">31.7  </w:t>
      </w:r>
      <w:r>
        <w:rPr>
          <w:rFonts w:hint="eastAsia" w:ascii="宋体" w:hAnsi="宋体"/>
          <w:color w:val="auto"/>
          <w:szCs w:val="21"/>
          <w:highlight w:val="none"/>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pPr>
        <w:spacing w:line="400" w:lineRule="exact"/>
        <w:rPr>
          <w:rFonts w:ascii="宋体" w:hAnsi="宋体"/>
          <w:color w:val="auto"/>
          <w:szCs w:val="21"/>
          <w:highlight w:val="none"/>
        </w:rPr>
      </w:pPr>
      <w:r>
        <w:rPr>
          <w:rFonts w:hint="eastAsia" w:ascii="宋体" w:hAnsi="宋体"/>
          <w:b/>
          <w:color w:val="auto"/>
          <w:szCs w:val="21"/>
          <w:highlight w:val="none"/>
        </w:rPr>
        <w:t>31.8</w:t>
      </w:r>
      <w:r>
        <w:rPr>
          <w:rFonts w:hint="eastAsia" w:ascii="宋体" w:hAnsi="宋体"/>
          <w:color w:val="auto"/>
          <w:szCs w:val="21"/>
          <w:highlight w:val="none"/>
        </w:rPr>
        <w:t xml:space="preserve">  根据《关于促进残疾人就业政府采购政策的通知》（财库[2017]141号）规定，残疾人福利性单位视同小型、微型企业。符合条件的残疾人福利性单位在参加政府采购活动时，应当在投标文件中提供通知规定的《残疾人福利性单位声明函》（格式详见附件2），并对声明的真实性负责,未能提供上述证明文件的不予认可。</w:t>
      </w:r>
    </w:p>
    <w:bookmarkEnd w:id="156"/>
    <w:p>
      <w:pPr>
        <w:spacing w:line="400" w:lineRule="exact"/>
        <w:rPr>
          <w:rFonts w:ascii="宋体" w:hAnsi="宋体"/>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1</w:t>
      </w:r>
      <w:r>
        <w:rPr>
          <w:rFonts w:ascii="宋体" w:hAnsi="宋体"/>
          <w:b/>
          <w:color w:val="auto"/>
          <w:szCs w:val="21"/>
          <w:highlight w:val="none"/>
        </w:rPr>
        <w:t>.</w:t>
      </w:r>
      <w:r>
        <w:rPr>
          <w:rFonts w:hint="eastAsia" w:ascii="宋体" w:hAnsi="宋体"/>
          <w:b/>
          <w:color w:val="auto"/>
          <w:szCs w:val="21"/>
          <w:highlight w:val="none"/>
        </w:rPr>
        <w:t>9</w:t>
      </w:r>
      <w:r>
        <w:rPr>
          <w:rFonts w:hint="eastAsia" w:ascii="宋体" w:hAnsi="宋体"/>
          <w:color w:val="auto"/>
          <w:szCs w:val="21"/>
          <w:highlight w:val="none"/>
        </w:rPr>
        <w:t>执行财政部、国家环保总局《关于环境标志产品政府采购实施的意见》，政府采购优先采购环境标志产品，本项目将对环境标志产品给予一定幅度的价格扣除或技术加分，具体见 “评标标准”说明。</w:t>
      </w:r>
    </w:p>
    <w:p>
      <w:pPr>
        <w:spacing w:line="400" w:lineRule="exact"/>
        <w:rPr>
          <w:rFonts w:ascii="宋体" w:hAnsi="宋体"/>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1</w:t>
      </w:r>
      <w:r>
        <w:rPr>
          <w:rFonts w:ascii="宋体" w:hAnsi="宋体"/>
          <w:b/>
          <w:color w:val="auto"/>
          <w:szCs w:val="21"/>
          <w:highlight w:val="none"/>
        </w:rPr>
        <w:t>.</w:t>
      </w:r>
      <w:r>
        <w:rPr>
          <w:rFonts w:hint="eastAsia" w:ascii="宋体" w:hAnsi="宋体"/>
          <w:b/>
          <w:color w:val="auto"/>
          <w:szCs w:val="21"/>
          <w:highlight w:val="none"/>
        </w:rPr>
        <w:t>10</w:t>
      </w:r>
      <w:r>
        <w:rPr>
          <w:rFonts w:hint="eastAsia" w:ascii="宋体" w:hAnsi="宋体"/>
          <w:color w:val="auto"/>
          <w:szCs w:val="21"/>
          <w:highlight w:val="none"/>
        </w:rPr>
        <w:t>执行财政部、国家发展改革委员会《节能产品政府采购实施意见》，政府采购优先采购节能产品，本项目将对节能产品给予一定幅度的价格扣除或技术加分，具体见招标文件“评标标准”说明。</w:t>
      </w:r>
    </w:p>
    <w:p>
      <w:pPr>
        <w:spacing w:line="400" w:lineRule="exact"/>
        <w:rPr>
          <w:rFonts w:ascii="宋体" w:hAnsi="宋体"/>
          <w:color w:val="auto"/>
          <w:szCs w:val="21"/>
          <w:highlight w:val="none"/>
        </w:rPr>
      </w:pPr>
      <w:r>
        <w:rPr>
          <w:rFonts w:hint="eastAsia" w:ascii="宋体" w:hAnsi="宋体"/>
          <w:b/>
          <w:color w:val="auto"/>
          <w:szCs w:val="21"/>
          <w:highlight w:val="none"/>
        </w:rPr>
        <w:t xml:space="preserve">31.11  </w:t>
      </w:r>
      <w:r>
        <w:rPr>
          <w:rFonts w:hint="eastAsia" w:ascii="宋体" w:hAnsi="宋体"/>
          <w:color w:val="auto"/>
          <w:szCs w:val="21"/>
          <w:highlight w:val="none"/>
        </w:rPr>
        <w:t>进口产品采购需符合“财政部关于印发《政府采购进口产品管理办法》的通知（财库[2007]119号）”第四、八、九、十、十一条的规定。</w:t>
      </w:r>
    </w:p>
    <w:p>
      <w:pPr>
        <w:spacing w:line="400" w:lineRule="exact"/>
        <w:rPr>
          <w:rFonts w:ascii="宋体" w:hAnsi="宋体"/>
          <w:b/>
          <w:color w:val="auto"/>
          <w:szCs w:val="21"/>
          <w:highlight w:val="none"/>
        </w:rPr>
      </w:pPr>
    </w:p>
    <w:p>
      <w:pPr>
        <w:spacing w:line="400" w:lineRule="exact"/>
        <w:rPr>
          <w:rFonts w:ascii="宋体" w:hAnsi="宋体"/>
          <w:b/>
          <w:color w:val="auto"/>
          <w:szCs w:val="21"/>
          <w:highlight w:val="none"/>
        </w:rPr>
      </w:pPr>
      <w:r>
        <w:rPr>
          <w:rFonts w:hint="eastAsia" w:ascii="宋体" w:hAnsi="宋体"/>
          <w:b/>
          <w:color w:val="auto"/>
          <w:szCs w:val="21"/>
          <w:highlight w:val="none"/>
        </w:rPr>
        <w:t>32.询问、质疑、投诉</w:t>
      </w:r>
    </w:p>
    <w:p>
      <w:pPr>
        <w:spacing w:line="400" w:lineRule="exact"/>
        <w:rPr>
          <w:rFonts w:ascii="宋体" w:hAnsi="宋体"/>
          <w:b/>
          <w:color w:val="auto"/>
          <w:szCs w:val="21"/>
          <w:highlight w:val="none"/>
        </w:rPr>
      </w:pPr>
      <w:r>
        <w:rPr>
          <w:rFonts w:hint="eastAsia" w:ascii="宋体" w:hAnsi="宋体"/>
          <w:b/>
          <w:color w:val="auto"/>
          <w:szCs w:val="21"/>
          <w:highlight w:val="none"/>
        </w:rPr>
        <w:t>32.1 询问</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400" w:lineRule="exact"/>
        <w:rPr>
          <w:rFonts w:ascii="宋体" w:hAnsi="宋体"/>
          <w:b/>
          <w:color w:val="auto"/>
          <w:szCs w:val="21"/>
          <w:highlight w:val="none"/>
        </w:rPr>
      </w:pPr>
      <w:r>
        <w:rPr>
          <w:rFonts w:hint="eastAsia" w:ascii="宋体" w:hAnsi="宋体"/>
          <w:b/>
          <w:color w:val="auto"/>
          <w:szCs w:val="21"/>
          <w:highlight w:val="none"/>
        </w:rPr>
        <w:t>32.2 质疑</w:t>
      </w:r>
    </w:p>
    <w:p>
      <w:pPr>
        <w:spacing w:line="400" w:lineRule="exact"/>
        <w:rPr>
          <w:rFonts w:ascii="宋体" w:hAnsi="宋体"/>
          <w:bCs/>
          <w:color w:val="auto"/>
          <w:szCs w:val="21"/>
          <w:highlight w:val="none"/>
        </w:rPr>
      </w:pPr>
      <w:r>
        <w:rPr>
          <w:rFonts w:hint="eastAsia" w:ascii="宋体" w:hAnsi="宋体"/>
          <w:b/>
          <w:color w:val="auto"/>
          <w:szCs w:val="21"/>
          <w:highlight w:val="none"/>
        </w:rPr>
        <w:t>32.2.1</w:t>
      </w:r>
      <w:r>
        <w:rPr>
          <w:rFonts w:hint="eastAsia" w:ascii="宋体" w:hAnsi="宋体"/>
          <w:bCs/>
          <w:color w:val="auto"/>
          <w:szCs w:val="21"/>
          <w:highlight w:val="none"/>
        </w:rPr>
        <w:t>提出质疑的供应商应当是参与所质疑项目采购活动的供应商。潜在供应商已依法获取其可质疑的招标文件的，可以对该文件提出质疑。</w:t>
      </w:r>
    </w:p>
    <w:p>
      <w:pPr>
        <w:spacing w:line="400" w:lineRule="exact"/>
        <w:rPr>
          <w:rFonts w:ascii="宋体" w:hAnsi="宋体"/>
          <w:bCs/>
          <w:color w:val="auto"/>
          <w:szCs w:val="21"/>
          <w:highlight w:val="none"/>
        </w:rPr>
      </w:pPr>
      <w:r>
        <w:rPr>
          <w:rFonts w:hint="eastAsia" w:ascii="宋体" w:hAnsi="宋体"/>
          <w:b/>
          <w:color w:val="auto"/>
          <w:szCs w:val="21"/>
          <w:highlight w:val="none"/>
        </w:rPr>
        <w:t>32.2.2</w:t>
      </w:r>
      <w:r>
        <w:rPr>
          <w:rFonts w:hint="eastAsia" w:ascii="宋体" w:hAnsi="宋体"/>
          <w:bCs/>
          <w:color w:val="auto"/>
          <w:szCs w:val="21"/>
          <w:highlight w:val="none"/>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400" w:lineRule="exact"/>
        <w:rPr>
          <w:rFonts w:ascii="宋体" w:hAnsi="宋体"/>
          <w:bCs/>
          <w:color w:val="auto"/>
          <w:szCs w:val="21"/>
          <w:highlight w:val="none"/>
        </w:rPr>
      </w:pPr>
      <w:r>
        <w:rPr>
          <w:rFonts w:hint="eastAsia" w:ascii="宋体" w:hAnsi="宋体"/>
          <w:b/>
          <w:color w:val="auto"/>
          <w:szCs w:val="21"/>
          <w:highlight w:val="none"/>
        </w:rPr>
        <w:t>32.2.2.1</w:t>
      </w:r>
      <w:r>
        <w:rPr>
          <w:rFonts w:hint="eastAsia" w:ascii="宋体" w:hAnsi="宋体"/>
          <w:bCs/>
          <w:color w:val="auto"/>
          <w:szCs w:val="21"/>
          <w:highlight w:val="none"/>
        </w:rPr>
        <w:t>对招标文件提出质疑的，质疑期限为供应商获得招标文件之日或者招标文件公告期限届满之日起计算。</w:t>
      </w:r>
    </w:p>
    <w:p>
      <w:pPr>
        <w:spacing w:line="400" w:lineRule="exact"/>
        <w:rPr>
          <w:rFonts w:ascii="宋体" w:hAnsi="宋体"/>
          <w:bCs/>
          <w:color w:val="auto"/>
          <w:szCs w:val="21"/>
          <w:highlight w:val="none"/>
        </w:rPr>
      </w:pPr>
      <w:r>
        <w:rPr>
          <w:rFonts w:hint="eastAsia" w:ascii="宋体" w:hAnsi="宋体"/>
          <w:b/>
          <w:color w:val="auto"/>
          <w:szCs w:val="21"/>
          <w:highlight w:val="none"/>
        </w:rPr>
        <w:t>32.2.2.2</w:t>
      </w:r>
      <w:r>
        <w:rPr>
          <w:rFonts w:hint="eastAsia" w:ascii="宋体" w:hAnsi="宋体"/>
          <w:bCs/>
          <w:color w:val="auto"/>
          <w:szCs w:val="21"/>
          <w:highlight w:val="none"/>
        </w:rPr>
        <w:t>对采购过程提出质疑的，质疑期限为各采购程序环节结束之日起计算。对同一采购程序环节的质疑，供应商须一次性提出。</w:t>
      </w:r>
    </w:p>
    <w:p>
      <w:pPr>
        <w:spacing w:line="400" w:lineRule="exact"/>
        <w:rPr>
          <w:rFonts w:ascii="宋体" w:hAnsi="宋体"/>
          <w:bCs/>
          <w:color w:val="auto"/>
          <w:szCs w:val="21"/>
          <w:highlight w:val="none"/>
        </w:rPr>
      </w:pPr>
      <w:r>
        <w:rPr>
          <w:rFonts w:hint="eastAsia" w:ascii="宋体" w:hAnsi="宋体"/>
          <w:b/>
          <w:color w:val="auto"/>
          <w:szCs w:val="21"/>
          <w:highlight w:val="none"/>
        </w:rPr>
        <w:t>32.2.2.3</w:t>
      </w:r>
      <w:r>
        <w:rPr>
          <w:rFonts w:hint="eastAsia" w:ascii="宋体" w:hAnsi="宋体"/>
          <w:bCs/>
          <w:color w:val="auto"/>
          <w:szCs w:val="21"/>
          <w:highlight w:val="none"/>
        </w:rPr>
        <w:t>对采购结果提出质疑的，质疑期限自采购结果公告期限届满之日起计算。</w:t>
      </w:r>
    </w:p>
    <w:p>
      <w:pPr>
        <w:spacing w:line="400" w:lineRule="exact"/>
        <w:rPr>
          <w:rFonts w:ascii="宋体" w:hAnsi="宋体"/>
          <w:bCs/>
          <w:color w:val="auto"/>
          <w:szCs w:val="21"/>
          <w:highlight w:val="none"/>
        </w:rPr>
      </w:pPr>
      <w:r>
        <w:rPr>
          <w:rFonts w:hint="eastAsia" w:ascii="宋体" w:hAnsi="宋体"/>
          <w:b/>
          <w:color w:val="auto"/>
          <w:szCs w:val="21"/>
          <w:highlight w:val="none"/>
        </w:rPr>
        <w:t>32.2.3</w:t>
      </w:r>
      <w:r>
        <w:rPr>
          <w:rFonts w:hint="eastAsia" w:ascii="宋体" w:hAnsi="宋体"/>
          <w:bCs/>
          <w:color w:val="auto"/>
          <w:szCs w:val="21"/>
          <w:highlight w:val="none"/>
        </w:rPr>
        <w:t>供应商提出质疑应当提交质疑函和必要的证明材料。质疑函应当包括下列内容：</w:t>
      </w:r>
    </w:p>
    <w:p>
      <w:pPr>
        <w:spacing w:line="400" w:lineRule="exact"/>
        <w:rPr>
          <w:rFonts w:ascii="宋体" w:hAnsi="宋体"/>
          <w:bCs/>
          <w:color w:val="auto"/>
          <w:szCs w:val="21"/>
          <w:highlight w:val="none"/>
        </w:rPr>
      </w:pPr>
      <w:r>
        <w:rPr>
          <w:rFonts w:hint="eastAsia" w:ascii="宋体" w:hAnsi="宋体"/>
          <w:b/>
          <w:color w:val="auto"/>
          <w:szCs w:val="21"/>
          <w:highlight w:val="none"/>
        </w:rPr>
        <w:t>32.2.3.1</w:t>
      </w:r>
      <w:r>
        <w:rPr>
          <w:rFonts w:hint="eastAsia" w:ascii="宋体" w:hAnsi="宋体"/>
          <w:bCs/>
          <w:color w:val="auto"/>
          <w:szCs w:val="21"/>
          <w:highlight w:val="none"/>
        </w:rPr>
        <w:t>供应商的姓名或者名称、地址、邮编、联系人及联系电话；</w:t>
      </w:r>
    </w:p>
    <w:p>
      <w:pPr>
        <w:spacing w:line="400" w:lineRule="exact"/>
        <w:rPr>
          <w:rFonts w:ascii="宋体" w:hAnsi="宋体"/>
          <w:bCs/>
          <w:color w:val="auto"/>
          <w:szCs w:val="21"/>
          <w:highlight w:val="none"/>
        </w:rPr>
      </w:pPr>
      <w:r>
        <w:rPr>
          <w:rFonts w:hint="eastAsia" w:ascii="宋体" w:hAnsi="宋体"/>
          <w:b/>
          <w:color w:val="auto"/>
          <w:szCs w:val="21"/>
          <w:highlight w:val="none"/>
        </w:rPr>
        <w:t>32.2.3.2</w:t>
      </w:r>
      <w:r>
        <w:rPr>
          <w:rFonts w:hint="eastAsia" w:ascii="宋体" w:hAnsi="宋体"/>
          <w:bCs/>
          <w:color w:val="auto"/>
          <w:szCs w:val="21"/>
          <w:highlight w:val="none"/>
        </w:rPr>
        <w:t>质疑项目的名称、编号；</w:t>
      </w:r>
    </w:p>
    <w:p>
      <w:pPr>
        <w:spacing w:line="400" w:lineRule="exact"/>
        <w:rPr>
          <w:rFonts w:ascii="宋体" w:hAnsi="宋体"/>
          <w:bCs/>
          <w:color w:val="auto"/>
          <w:szCs w:val="21"/>
          <w:highlight w:val="none"/>
        </w:rPr>
      </w:pPr>
      <w:r>
        <w:rPr>
          <w:rFonts w:hint="eastAsia" w:ascii="宋体" w:hAnsi="宋体"/>
          <w:b/>
          <w:color w:val="auto"/>
          <w:szCs w:val="21"/>
          <w:highlight w:val="none"/>
        </w:rPr>
        <w:t>32.2.3.3</w:t>
      </w:r>
      <w:r>
        <w:rPr>
          <w:rFonts w:hint="eastAsia" w:ascii="宋体" w:hAnsi="宋体"/>
          <w:bCs/>
          <w:color w:val="auto"/>
          <w:szCs w:val="21"/>
          <w:highlight w:val="none"/>
        </w:rPr>
        <w:t>具体、明确的质疑事项和与质疑事项相关的请求；</w:t>
      </w:r>
    </w:p>
    <w:p>
      <w:pPr>
        <w:spacing w:line="400" w:lineRule="exact"/>
        <w:rPr>
          <w:rFonts w:ascii="宋体" w:hAnsi="宋体"/>
          <w:bCs/>
          <w:color w:val="auto"/>
          <w:szCs w:val="21"/>
          <w:highlight w:val="none"/>
        </w:rPr>
      </w:pPr>
      <w:r>
        <w:rPr>
          <w:rFonts w:hint="eastAsia" w:ascii="宋体" w:hAnsi="宋体"/>
          <w:b/>
          <w:color w:val="auto"/>
          <w:szCs w:val="21"/>
          <w:highlight w:val="none"/>
        </w:rPr>
        <w:t>32.2.3.4</w:t>
      </w:r>
      <w:r>
        <w:rPr>
          <w:rFonts w:hint="eastAsia" w:ascii="宋体" w:hAnsi="宋体"/>
          <w:bCs/>
          <w:color w:val="auto"/>
          <w:szCs w:val="21"/>
          <w:highlight w:val="none"/>
        </w:rPr>
        <w:t>事实依据；</w:t>
      </w:r>
    </w:p>
    <w:p>
      <w:pPr>
        <w:spacing w:line="400" w:lineRule="exact"/>
        <w:rPr>
          <w:rFonts w:ascii="宋体" w:hAnsi="宋体"/>
          <w:bCs/>
          <w:color w:val="auto"/>
          <w:szCs w:val="21"/>
          <w:highlight w:val="none"/>
        </w:rPr>
      </w:pPr>
      <w:r>
        <w:rPr>
          <w:rFonts w:hint="eastAsia" w:ascii="宋体" w:hAnsi="宋体"/>
          <w:b/>
          <w:color w:val="auto"/>
          <w:szCs w:val="21"/>
          <w:highlight w:val="none"/>
        </w:rPr>
        <w:t>32.2.3.5</w:t>
      </w:r>
      <w:r>
        <w:rPr>
          <w:rFonts w:hint="eastAsia" w:ascii="宋体" w:hAnsi="宋体"/>
          <w:bCs/>
          <w:color w:val="auto"/>
          <w:szCs w:val="21"/>
          <w:highlight w:val="none"/>
        </w:rPr>
        <w:t>必要的法律依据；</w:t>
      </w:r>
    </w:p>
    <w:p>
      <w:pPr>
        <w:spacing w:line="400" w:lineRule="exact"/>
        <w:rPr>
          <w:rFonts w:ascii="宋体" w:hAnsi="宋体"/>
          <w:bCs/>
          <w:color w:val="auto"/>
          <w:szCs w:val="21"/>
          <w:highlight w:val="none"/>
        </w:rPr>
      </w:pPr>
      <w:r>
        <w:rPr>
          <w:rFonts w:hint="eastAsia" w:ascii="宋体" w:hAnsi="宋体"/>
          <w:b/>
          <w:color w:val="auto"/>
          <w:szCs w:val="21"/>
          <w:highlight w:val="none"/>
        </w:rPr>
        <w:t>32.2.3.6</w:t>
      </w:r>
      <w:r>
        <w:rPr>
          <w:rFonts w:hint="eastAsia" w:ascii="宋体" w:hAnsi="宋体"/>
          <w:bCs/>
          <w:color w:val="auto"/>
          <w:szCs w:val="21"/>
          <w:highlight w:val="none"/>
        </w:rPr>
        <w:t>提出质疑的日期。</w:t>
      </w:r>
    </w:p>
    <w:p>
      <w:pPr>
        <w:spacing w:line="400" w:lineRule="exact"/>
        <w:rPr>
          <w:rFonts w:ascii="宋体" w:hAnsi="宋体"/>
          <w:bCs/>
          <w:color w:val="auto"/>
          <w:szCs w:val="21"/>
          <w:highlight w:val="none"/>
        </w:rPr>
      </w:pPr>
      <w:r>
        <w:rPr>
          <w:rFonts w:hint="eastAsia" w:ascii="宋体" w:hAnsi="宋体"/>
          <w:bCs/>
          <w:color w:val="auto"/>
          <w:szCs w:val="21"/>
          <w:highlight w:val="none"/>
        </w:rPr>
        <w:t>供应商提交的质疑函需一式三份。供应商为自然人的，应当由本人签字；供应商为法人或者其他组织的，应当由法定代表人、主要负责人，或者其授权代表签字或者盖章，并加盖公章。</w:t>
      </w:r>
    </w:p>
    <w:p>
      <w:pPr>
        <w:spacing w:line="400" w:lineRule="exact"/>
        <w:rPr>
          <w:rFonts w:ascii="宋体" w:hAnsi="宋体"/>
          <w:bCs/>
          <w:color w:val="auto"/>
          <w:szCs w:val="21"/>
          <w:highlight w:val="none"/>
        </w:rPr>
      </w:pPr>
      <w:r>
        <w:rPr>
          <w:rFonts w:hint="eastAsia" w:ascii="宋体" w:hAnsi="宋体"/>
          <w:bCs/>
          <w:color w:val="auto"/>
          <w:szCs w:val="21"/>
          <w:highlight w:val="none"/>
        </w:rPr>
        <w:t>质疑函格式和内容须符合财政部《质疑函范本》要求，供应商可到中国政府采购网自行下载财政部《质疑函范本》。</w:t>
      </w:r>
    </w:p>
    <w:p>
      <w:pPr>
        <w:spacing w:line="400" w:lineRule="exact"/>
        <w:rPr>
          <w:rFonts w:ascii="宋体" w:hAnsi="宋体"/>
          <w:bCs/>
          <w:color w:val="auto"/>
          <w:szCs w:val="21"/>
          <w:highlight w:val="none"/>
        </w:rPr>
      </w:pPr>
      <w:r>
        <w:rPr>
          <w:rFonts w:hint="eastAsia" w:ascii="宋体" w:hAnsi="宋体"/>
          <w:b/>
          <w:color w:val="auto"/>
          <w:szCs w:val="21"/>
          <w:highlight w:val="none"/>
        </w:rPr>
        <w:t>32.2.4</w:t>
      </w:r>
      <w:r>
        <w:rPr>
          <w:rFonts w:hint="eastAsia" w:ascii="宋体" w:hAnsi="宋体"/>
          <w:bCs/>
          <w:color w:val="auto"/>
          <w:szCs w:val="21"/>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spacing w:line="400" w:lineRule="exact"/>
        <w:rPr>
          <w:rFonts w:ascii="宋体" w:hAnsi="宋体"/>
          <w:bCs/>
          <w:color w:val="auto"/>
          <w:szCs w:val="21"/>
          <w:highlight w:val="none"/>
        </w:rPr>
      </w:pPr>
      <w:r>
        <w:rPr>
          <w:rFonts w:hint="eastAsia" w:ascii="宋体" w:hAnsi="宋体"/>
          <w:b/>
          <w:color w:val="auto"/>
          <w:szCs w:val="21"/>
          <w:highlight w:val="none"/>
        </w:rPr>
        <w:t>32.2.5</w:t>
      </w:r>
      <w:r>
        <w:rPr>
          <w:rFonts w:hint="eastAsia" w:ascii="宋体" w:hAnsi="宋体"/>
          <w:bCs/>
          <w:color w:val="auto"/>
          <w:szCs w:val="21"/>
          <w:highlight w:val="none"/>
        </w:rPr>
        <w:t>询问或者质疑事项可能影响采购结果的，采购人应当暂停签订合同，已经签订合同的，应当中止履行合同。</w:t>
      </w:r>
    </w:p>
    <w:p>
      <w:pPr>
        <w:spacing w:line="400" w:lineRule="exact"/>
        <w:rPr>
          <w:rFonts w:ascii="宋体" w:hAnsi="宋体"/>
          <w:b/>
          <w:color w:val="auto"/>
          <w:szCs w:val="21"/>
          <w:highlight w:val="none"/>
        </w:rPr>
      </w:pPr>
      <w:r>
        <w:rPr>
          <w:rFonts w:hint="eastAsia" w:ascii="宋体" w:hAnsi="宋体"/>
          <w:b/>
          <w:color w:val="auto"/>
          <w:szCs w:val="21"/>
          <w:highlight w:val="none"/>
        </w:rPr>
        <w:t>32.3 投诉</w:t>
      </w:r>
    </w:p>
    <w:p>
      <w:pPr>
        <w:spacing w:line="400" w:lineRule="exact"/>
        <w:rPr>
          <w:rFonts w:ascii="宋体" w:hAnsi="宋体"/>
          <w:bCs/>
          <w:color w:val="auto"/>
          <w:szCs w:val="21"/>
          <w:highlight w:val="none"/>
        </w:rPr>
      </w:pPr>
      <w:r>
        <w:rPr>
          <w:rFonts w:hint="eastAsia" w:ascii="宋体" w:hAnsi="宋体"/>
          <w:b/>
          <w:color w:val="auto"/>
          <w:szCs w:val="21"/>
          <w:highlight w:val="none"/>
        </w:rPr>
        <w:t>32.3.1</w:t>
      </w:r>
      <w:r>
        <w:rPr>
          <w:rFonts w:hint="eastAsia" w:ascii="宋体" w:hAnsi="宋体"/>
          <w:bCs/>
          <w:color w:val="auto"/>
          <w:szCs w:val="21"/>
          <w:highlight w:val="none"/>
        </w:rPr>
        <w:t>质疑供应商对采购人、采购代理机构的答复不满意或者采购人、采购代理机构未在规定的时间内作出答复的，可以在答复期满后十五个工作日内向同级政府采购监督管理部门提出投诉。</w:t>
      </w:r>
      <w:r>
        <w:rPr>
          <w:rFonts w:hint="eastAsia" w:ascii="宋体" w:hAnsi="宋体"/>
          <w:color w:val="auto"/>
          <w:szCs w:val="21"/>
          <w:highlight w:val="none"/>
        </w:rPr>
        <w:t>投诉函格式和内容须符合财政部《投诉函范本》要求，供应商可到中国政府采购网自行下载财政部《投诉函范本》。</w:t>
      </w:r>
    </w:p>
    <w:p>
      <w:pPr>
        <w:spacing w:line="400" w:lineRule="exact"/>
        <w:rPr>
          <w:rFonts w:ascii="宋体" w:hAnsi="宋体"/>
          <w:bCs/>
          <w:color w:val="auto"/>
          <w:szCs w:val="21"/>
          <w:highlight w:val="none"/>
        </w:rPr>
      </w:pPr>
      <w:r>
        <w:rPr>
          <w:rFonts w:hint="eastAsia" w:ascii="宋体" w:hAnsi="宋体"/>
          <w:b/>
          <w:color w:val="auto"/>
          <w:szCs w:val="21"/>
          <w:highlight w:val="none"/>
        </w:rPr>
        <w:t>32.3.2</w:t>
      </w:r>
      <w:r>
        <w:rPr>
          <w:rFonts w:hint="eastAsia" w:ascii="宋体" w:hAnsi="宋体"/>
          <w:bCs/>
          <w:color w:val="auto"/>
          <w:szCs w:val="21"/>
          <w:highlight w:val="none"/>
        </w:rPr>
        <w:t>供应商投诉的事项不得超出已质疑事项的范围，基于质疑答复内容提出的投诉事项除外。</w:t>
      </w:r>
    </w:p>
    <w:p>
      <w:pPr>
        <w:spacing w:line="400" w:lineRule="exact"/>
        <w:rPr>
          <w:rFonts w:ascii="宋体" w:hAnsi="宋体"/>
          <w:bCs/>
          <w:color w:val="auto"/>
          <w:szCs w:val="21"/>
          <w:highlight w:val="none"/>
        </w:rPr>
      </w:pPr>
      <w:r>
        <w:rPr>
          <w:rFonts w:hint="eastAsia" w:ascii="宋体" w:hAnsi="宋体"/>
          <w:b/>
          <w:color w:val="auto"/>
          <w:szCs w:val="21"/>
          <w:highlight w:val="none"/>
        </w:rPr>
        <w:t>32.3.3</w:t>
      </w:r>
      <w:r>
        <w:rPr>
          <w:rFonts w:hint="eastAsia" w:ascii="宋体" w:hAnsi="宋体"/>
          <w:bCs/>
          <w:color w:val="auto"/>
          <w:szCs w:val="21"/>
          <w:highlight w:val="none"/>
        </w:rPr>
        <w:t>供应商投诉应当有明确的请求和必要的证明材料。</w:t>
      </w:r>
    </w:p>
    <w:p>
      <w:pPr>
        <w:spacing w:line="400" w:lineRule="exact"/>
        <w:rPr>
          <w:rFonts w:ascii="宋体" w:hAnsi="宋体"/>
          <w:bCs/>
          <w:color w:val="auto"/>
          <w:szCs w:val="21"/>
          <w:highlight w:val="none"/>
        </w:rPr>
      </w:pPr>
      <w:r>
        <w:rPr>
          <w:rFonts w:hint="eastAsia" w:ascii="宋体" w:hAnsi="宋体"/>
          <w:b/>
          <w:color w:val="auto"/>
          <w:szCs w:val="21"/>
          <w:highlight w:val="none"/>
        </w:rPr>
        <w:t>32.3.4</w:t>
      </w:r>
      <w:r>
        <w:rPr>
          <w:rFonts w:hint="eastAsia" w:ascii="宋体" w:hAnsi="宋体"/>
          <w:bCs/>
          <w:color w:val="auto"/>
          <w:szCs w:val="21"/>
          <w:highlight w:val="none"/>
        </w:rPr>
        <w:t xml:space="preserve"> 以联合体形式参加政府采购活动的，其投诉应当由组成联合体的所有供应商共同提出。</w:t>
      </w:r>
    </w:p>
    <w:p>
      <w:pPr>
        <w:spacing w:line="440" w:lineRule="exact"/>
        <w:ind w:firstLine="105" w:firstLineChars="50"/>
        <w:rPr>
          <w:rFonts w:ascii="宋体" w:hAnsi="宋体"/>
          <w:color w:val="auto"/>
          <w:szCs w:val="21"/>
          <w:highlight w:val="none"/>
        </w:rPr>
      </w:pPr>
    </w:p>
    <w:p>
      <w:pPr>
        <w:spacing w:line="440" w:lineRule="exact"/>
        <w:rPr>
          <w:rFonts w:ascii="宋体" w:hAnsi="宋体"/>
          <w:color w:val="auto"/>
          <w:szCs w:val="21"/>
          <w:highlight w:val="none"/>
        </w:rPr>
      </w:pPr>
      <w:r>
        <w:rPr>
          <w:rFonts w:hint="eastAsia" w:ascii="宋体" w:hAnsi="宋体"/>
          <w:b/>
          <w:color w:val="auto"/>
          <w:szCs w:val="21"/>
          <w:highlight w:val="none"/>
        </w:rPr>
        <w:t>33.联合体规定</w:t>
      </w:r>
    </w:p>
    <w:p>
      <w:pPr>
        <w:spacing w:line="440" w:lineRule="exact"/>
        <w:rPr>
          <w:rFonts w:ascii="宋体" w:hAnsi="宋体"/>
          <w:color w:val="auto"/>
          <w:szCs w:val="21"/>
          <w:highlight w:val="none"/>
        </w:rPr>
      </w:pPr>
      <w:r>
        <w:rPr>
          <w:rFonts w:hint="eastAsia" w:ascii="宋体" w:hAnsi="宋体"/>
          <w:b/>
          <w:color w:val="auto"/>
          <w:szCs w:val="21"/>
          <w:highlight w:val="none"/>
        </w:rPr>
        <w:t>33.1</w:t>
      </w:r>
      <w:r>
        <w:rPr>
          <w:rFonts w:hint="eastAsia" w:ascii="宋体" w:hAnsi="宋体"/>
          <w:color w:val="auto"/>
          <w:szCs w:val="21"/>
          <w:highlight w:val="none"/>
        </w:rPr>
        <w:t xml:space="preserve">  两个以上的自然人、法人或者其他组织可以组成一个联合体，以一个投标人的身份共同参加政府采购。以联合体形式进行政府采购的，参加联合体的供应商均应当具备招标文件规定的资格条件，并应当向采购人提交联合协议，载明联合体各方承担的工作和义务。联合体各方应当共同与采购人签订采购合同，就采购合同约定的事项对采购人承担连带责任。</w:t>
      </w:r>
    </w:p>
    <w:p>
      <w:pPr>
        <w:spacing w:line="440" w:lineRule="exact"/>
        <w:rPr>
          <w:rFonts w:ascii="宋体" w:hAnsi="宋体"/>
          <w:color w:val="auto"/>
          <w:szCs w:val="21"/>
          <w:highlight w:val="none"/>
        </w:rPr>
      </w:pPr>
      <w:r>
        <w:rPr>
          <w:rFonts w:hint="eastAsia" w:ascii="宋体" w:hAnsi="宋体"/>
          <w:b/>
          <w:color w:val="auto"/>
          <w:szCs w:val="21"/>
          <w:highlight w:val="none"/>
        </w:rPr>
        <w:t>33.2</w:t>
      </w:r>
      <w:r>
        <w:rPr>
          <w:rFonts w:hint="eastAsia" w:ascii="宋体" w:hAnsi="宋体"/>
          <w:color w:val="auto"/>
          <w:szCs w:val="21"/>
          <w:highlight w:val="none"/>
        </w:rPr>
        <w:t xml:space="preserve">  联合体中有同类资质的投标人按照联合体分工承担相同工作的，按照资质等级较低的投标人认定资质等级。</w:t>
      </w:r>
    </w:p>
    <w:p>
      <w:pPr>
        <w:spacing w:line="440" w:lineRule="exact"/>
        <w:rPr>
          <w:rFonts w:ascii="宋体" w:hAnsi="宋体"/>
          <w:color w:val="auto"/>
          <w:szCs w:val="21"/>
          <w:highlight w:val="none"/>
        </w:rPr>
      </w:pPr>
      <w:r>
        <w:rPr>
          <w:rFonts w:hint="eastAsia" w:ascii="宋体" w:hAnsi="宋体"/>
          <w:b/>
          <w:color w:val="auto"/>
          <w:szCs w:val="21"/>
          <w:highlight w:val="none"/>
        </w:rPr>
        <w:t xml:space="preserve">33.3 </w:t>
      </w:r>
      <w:r>
        <w:rPr>
          <w:rFonts w:hint="eastAsia" w:ascii="宋体" w:hAnsi="宋体"/>
          <w:color w:val="auto"/>
          <w:szCs w:val="21"/>
          <w:highlight w:val="none"/>
        </w:rPr>
        <w:t xml:space="preserve"> 以联合体形式参加政府采购活动的，联合体各方不得再单独参加或者与其他投标人另外组成联合体参加同一标项号的政府采购活动。</w:t>
      </w:r>
    </w:p>
    <w:p>
      <w:pPr>
        <w:spacing w:line="440" w:lineRule="exact"/>
        <w:rPr>
          <w:rFonts w:ascii="宋体" w:hAnsi="宋体"/>
          <w:color w:val="auto"/>
          <w:szCs w:val="21"/>
          <w:highlight w:val="none"/>
        </w:rPr>
      </w:pPr>
      <w:r>
        <w:rPr>
          <w:rFonts w:hint="eastAsia" w:ascii="宋体" w:hAnsi="宋体"/>
          <w:b/>
          <w:bCs/>
          <w:color w:val="auto"/>
          <w:szCs w:val="21"/>
          <w:highlight w:val="none"/>
        </w:rPr>
        <w:t xml:space="preserve">33.4 </w:t>
      </w:r>
      <w:r>
        <w:rPr>
          <w:rFonts w:hint="eastAsia" w:ascii="宋体" w:hAnsi="宋体"/>
          <w:color w:val="auto"/>
          <w:szCs w:val="21"/>
          <w:highlight w:val="none"/>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p>
      <w:pPr>
        <w:spacing w:line="400" w:lineRule="exact"/>
        <w:ind w:firstLine="102" w:firstLineChars="49"/>
        <w:rPr>
          <w:rFonts w:ascii="宋体" w:hAnsi="宋体" w:cs="宋体"/>
          <w:color w:val="auto"/>
          <w:kern w:val="0"/>
          <w:szCs w:val="21"/>
          <w:highlight w:val="none"/>
        </w:rPr>
      </w:pPr>
    </w:p>
    <w:p>
      <w:pPr>
        <w:pStyle w:val="96"/>
        <w:rPr>
          <w:color w:val="auto"/>
          <w:highlight w:val="none"/>
        </w:rPr>
      </w:pPr>
    </w:p>
    <w:bookmarkEnd w:id="99"/>
    <w:bookmarkEnd w:id="100"/>
    <w:bookmarkEnd w:id="101"/>
    <w:bookmarkEnd w:id="102"/>
    <w:bookmarkEnd w:id="103"/>
    <w:bookmarkEnd w:id="104"/>
    <w:bookmarkEnd w:id="105"/>
    <w:bookmarkEnd w:id="106"/>
    <w:p>
      <w:pPr>
        <w:spacing w:line="440" w:lineRule="exact"/>
        <w:ind w:firstLine="110" w:firstLineChars="50"/>
        <w:rPr>
          <w:rFonts w:ascii="宋体" w:hAnsi="宋体"/>
          <w:color w:val="auto"/>
          <w:sz w:val="22"/>
          <w:szCs w:val="22"/>
          <w:highlight w:val="none"/>
        </w:rPr>
        <w:sectPr>
          <w:pgSz w:w="11907" w:h="16840"/>
          <w:pgMar w:top="1111" w:right="1701" w:bottom="1428" w:left="1701" w:header="720" w:footer="720" w:gutter="0"/>
          <w:pgNumType w:fmt="decimal"/>
          <w:cols w:space="720" w:num="1"/>
          <w:docGrid w:type="linesAndChars" w:linePitch="286" w:charSpace="0"/>
        </w:sectPr>
      </w:pPr>
    </w:p>
    <w:p>
      <w:pPr>
        <w:pStyle w:val="3"/>
        <w:spacing w:beforeLines="0" w:afterLines="0" w:line="360" w:lineRule="auto"/>
        <w:rPr>
          <w:rFonts w:ascii="宋体" w:hAnsi="宋体"/>
          <w:color w:val="auto"/>
          <w:sz w:val="32"/>
          <w:szCs w:val="32"/>
          <w:highlight w:val="none"/>
        </w:rPr>
      </w:pPr>
      <w:bookmarkStart w:id="157" w:name="_Toc26275"/>
      <w:bookmarkStart w:id="158" w:name="_Toc316649302"/>
      <w:r>
        <w:rPr>
          <w:rFonts w:hint="eastAsia" w:ascii="宋体" w:hAnsi="宋体"/>
          <w:color w:val="auto"/>
          <w:sz w:val="32"/>
          <w:szCs w:val="32"/>
          <w:highlight w:val="none"/>
        </w:rPr>
        <w:t>第五部分  评标办法</w:t>
      </w:r>
      <w:bookmarkEnd w:id="157"/>
    </w:p>
    <w:p>
      <w:pPr>
        <w:tabs>
          <w:tab w:val="left" w:pos="0"/>
          <w:tab w:val="left" w:pos="723"/>
        </w:tabs>
        <w:spacing w:line="360" w:lineRule="auto"/>
        <w:rPr>
          <w:rFonts w:ascii="宋体" w:hAnsi="宋体"/>
          <w:b/>
          <w:color w:val="auto"/>
          <w:szCs w:val="21"/>
          <w:highlight w:val="none"/>
        </w:rPr>
      </w:pPr>
      <w:r>
        <w:rPr>
          <w:rFonts w:hint="eastAsia" w:ascii="宋体" w:hAnsi="宋体"/>
          <w:b/>
          <w:color w:val="auto"/>
          <w:szCs w:val="21"/>
          <w:highlight w:val="none"/>
        </w:rPr>
        <w:t>一、总则：</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1、本办法严格遵照《中华人民共和国政府采购法》《中华人民共和国政府采购法实施条例》《政府采购货物和服务招标投标管理办法》（87号令），结合项目所在地有关政府采购的规定和项目的实际情况制定。</w:t>
      </w:r>
      <w:r>
        <w:rPr>
          <w:rFonts w:hint="eastAsia" w:ascii="宋体" w:hAnsi="宋体" w:cs="宋体"/>
          <w:color w:val="auto"/>
          <w:szCs w:val="21"/>
          <w:highlight w:val="none"/>
        </w:rPr>
        <w:t>本评标标准是对“投标人须知”相关条款的具体表述或补充，如有矛盾，应以本办法为准。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2、本项目评标采用综合评分法。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3、本次采购为</w:t>
      </w:r>
      <w:r>
        <w:rPr>
          <w:rFonts w:hint="eastAsia" w:ascii="宋体" w:hAnsi="宋体" w:cs="宋体"/>
          <w:iCs/>
          <w:color w:val="auto"/>
          <w:szCs w:val="21"/>
          <w:highlight w:val="none"/>
        </w:rPr>
        <w:t>专门面向中小企业</w:t>
      </w:r>
      <w:r>
        <w:rPr>
          <w:rFonts w:hint="eastAsia" w:ascii="宋体" w:hAnsi="宋体" w:cs="宋体"/>
          <w:color w:val="auto"/>
          <w:szCs w:val="21"/>
          <w:highlight w:val="none"/>
        </w:rPr>
        <w:t>。</w:t>
      </w:r>
    </w:p>
    <w:p>
      <w:pPr>
        <w:tabs>
          <w:tab w:val="left" w:pos="0"/>
          <w:tab w:val="left" w:pos="723"/>
        </w:tabs>
        <w:spacing w:line="360" w:lineRule="auto"/>
        <w:rPr>
          <w:rFonts w:ascii="宋体" w:hAnsi="宋体"/>
          <w:b/>
          <w:color w:val="auto"/>
          <w:szCs w:val="21"/>
          <w:highlight w:val="none"/>
        </w:rPr>
      </w:pPr>
      <w:r>
        <w:rPr>
          <w:rFonts w:hint="eastAsia" w:ascii="宋体" w:hAnsi="宋体"/>
          <w:b/>
          <w:color w:val="auto"/>
          <w:szCs w:val="21"/>
          <w:highlight w:val="none"/>
        </w:rPr>
        <w:t>二、评标组织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评标委员会：采购人和采购代理机构根据采购项目的内容和特点，按国家相关规定组建评标委员会。评标委员会由采购人代表、技术、经济方面专家等人员组成。</w:t>
      </w:r>
    </w:p>
    <w:p>
      <w:pPr>
        <w:widowControl/>
        <w:tabs>
          <w:tab w:val="left" w:pos="0"/>
          <w:tab w:val="left" w:pos="723"/>
        </w:tabs>
        <w:spacing w:line="360" w:lineRule="auto"/>
        <w:jc w:val="left"/>
        <w:rPr>
          <w:rFonts w:ascii="宋体" w:hAnsi="宋体"/>
          <w:b/>
          <w:color w:val="auto"/>
          <w:szCs w:val="21"/>
          <w:highlight w:val="none"/>
        </w:rPr>
      </w:pPr>
      <w:r>
        <w:rPr>
          <w:rFonts w:hint="eastAsia" w:ascii="宋体" w:hAnsi="宋体"/>
          <w:b/>
          <w:color w:val="auto"/>
          <w:szCs w:val="21"/>
          <w:highlight w:val="none"/>
        </w:rPr>
        <w:t>三、评标程序</w:t>
      </w:r>
    </w:p>
    <w:p>
      <w:pPr>
        <w:spacing w:line="360" w:lineRule="auto"/>
        <w:rPr>
          <w:rFonts w:ascii="宋体" w:hAnsi="宋体"/>
          <w:color w:val="auto"/>
          <w:szCs w:val="21"/>
          <w:highlight w:val="none"/>
        </w:rPr>
      </w:pPr>
      <w:r>
        <w:rPr>
          <w:rFonts w:hint="eastAsia" w:ascii="宋体" w:hAnsi="宋体"/>
          <w:color w:val="auto"/>
          <w:szCs w:val="21"/>
          <w:highlight w:val="none"/>
        </w:rPr>
        <w:t>1．资格审查：由采购人或代理机构对投标人的资格进行审查。在资格审查时，如发现有不满足下列情形之一的，将被视为无效投标文件。</w:t>
      </w:r>
    </w:p>
    <w:tbl>
      <w:tblPr>
        <w:tblStyle w:val="34"/>
        <w:tblW w:w="83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6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3" w:type="dxa"/>
            <w:vAlign w:val="center"/>
          </w:tcPr>
          <w:p>
            <w:pPr>
              <w:spacing w:line="336" w:lineRule="auto"/>
              <w:jc w:val="center"/>
              <w:rPr>
                <w:rFonts w:ascii="宋体" w:hAnsi="宋体" w:cs="宋体"/>
                <w:b/>
                <w:color w:val="auto"/>
                <w:szCs w:val="21"/>
                <w:highlight w:val="none"/>
              </w:rPr>
            </w:pPr>
            <w:r>
              <w:rPr>
                <w:rFonts w:hint="eastAsia" w:ascii="宋体" w:hAnsi="宋体" w:cs="宋体"/>
                <w:b/>
                <w:color w:val="auto"/>
                <w:szCs w:val="21"/>
                <w:highlight w:val="none"/>
              </w:rPr>
              <w:t>审查类别</w:t>
            </w:r>
          </w:p>
        </w:tc>
        <w:tc>
          <w:tcPr>
            <w:tcW w:w="6805" w:type="dxa"/>
            <w:vAlign w:val="center"/>
          </w:tcPr>
          <w:p>
            <w:pPr>
              <w:spacing w:line="336" w:lineRule="auto"/>
              <w:jc w:val="center"/>
              <w:rPr>
                <w:rFonts w:ascii="宋体" w:hAnsi="宋体" w:cs="宋体"/>
                <w:b/>
                <w:color w:val="auto"/>
                <w:szCs w:val="21"/>
                <w:highlight w:val="none"/>
              </w:rPr>
            </w:pPr>
            <w:r>
              <w:rPr>
                <w:rFonts w:hint="eastAsia" w:ascii="宋体" w:hAnsi="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restart"/>
            <w:vAlign w:val="center"/>
          </w:tcPr>
          <w:p>
            <w:pPr>
              <w:spacing w:line="336" w:lineRule="auto"/>
              <w:jc w:val="center"/>
              <w:rPr>
                <w:rFonts w:ascii="宋体" w:hAnsi="宋体" w:cs="宋体"/>
                <w:color w:val="auto"/>
                <w:szCs w:val="21"/>
                <w:highlight w:val="none"/>
              </w:rPr>
            </w:pPr>
            <w:r>
              <w:rPr>
                <w:rFonts w:hint="eastAsia" w:ascii="宋体" w:hAnsi="宋体" w:cs="宋体"/>
                <w:color w:val="auto"/>
                <w:szCs w:val="21"/>
                <w:highlight w:val="none"/>
              </w:rPr>
              <w:t>资格条件审查</w:t>
            </w:r>
          </w:p>
        </w:tc>
        <w:tc>
          <w:tcPr>
            <w:tcW w:w="6805" w:type="dxa"/>
          </w:tcPr>
          <w:p>
            <w:pPr>
              <w:widowControl/>
              <w:numPr>
                <w:ilvl w:val="0"/>
                <w:numId w:val="5"/>
              </w:numPr>
              <w:spacing w:line="336" w:lineRule="auto"/>
              <w:jc w:val="left"/>
              <w:rPr>
                <w:rFonts w:ascii="宋体" w:hAnsi="宋体" w:cs="宋体"/>
                <w:color w:val="auto"/>
                <w:highlight w:val="none"/>
              </w:rPr>
            </w:pPr>
            <w:r>
              <w:rPr>
                <w:rFonts w:hint="eastAsia" w:ascii="宋体" w:hAnsi="宋体" w:cs="宋体"/>
                <w:color w:val="auto"/>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提供</w:t>
            </w:r>
            <w:r>
              <w:rPr>
                <w:rFonts w:hint="eastAsia" w:ascii="宋体" w:hAnsi="宋体"/>
                <w:color w:val="auto"/>
                <w:szCs w:val="21"/>
                <w:highlight w:val="none"/>
              </w:rPr>
              <w:t>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vAlign w:val="center"/>
          </w:tcPr>
          <w:p>
            <w:pPr>
              <w:spacing w:line="336" w:lineRule="auto"/>
              <w:jc w:val="center"/>
              <w:rPr>
                <w:rFonts w:ascii="宋体" w:hAnsi="宋体" w:cs="宋体"/>
                <w:color w:val="auto"/>
                <w:szCs w:val="21"/>
                <w:highlight w:val="none"/>
              </w:rPr>
            </w:pPr>
          </w:p>
        </w:tc>
        <w:tc>
          <w:tcPr>
            <w:tcW w:w="6805" w:type="dxa"/>
          </w:tcPr>
          <w:p>
            <w:pPr>
              <w:widowControl/>
              <w:numPr>
                <w:ilvl w:val="0"/>
                <w:numId w:val="5"/>
              </w:numPr>
              <w:spacing w:line="336" w:lineRule="auto"/>
              <w:jc w:val="left"/>
              <w:rPr>
                <w:rFonts w:ascii="宋体" w:hAnsi="宋体" w:cs="宋体"/>
                <w:color w:val="auto"/>
                <w:szCs w:val="21"/>
                <w:highlight w:val="none"/>
              </w:rPr>
            </w:pPr>
            <w:r>
              <w:rPr>
                <w:rFonts w:hint="eastAsia" w:ascii="宋体" w:hAnsi="宋体" w:cs="宋体"/>
                <w:color w:val="auto"/>
                <w:szCs w:val="21"/>
                <w:highlight w:val="none"/>
              </w:rPr>
              <w:t>营业执照副本（或事业法人登记证副本或其他登记证明材料）复印件加盖投标人公章（投标人如果有名称变更的，应提供由行政主管部门出具的变更证明文件复印件加盖投标人公章）；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23" w:type="dxa"/>
            <w:vMerge w:val="continue"/>
          </w:tcPr>
          <w:p>
            <w:pPr>
              <w:spacing w:line="336" w:lineRule="auto"/>
              <w:rPr>
                <w:rFonts w:ascii="宋体" w:hAnsi="宋体" w:cs="宋体"/>
                <w:color w:val="auto"/>
                <w:szCs w:val="21"/>
                <w:highlight w:val="none"/>
              </w:rPr>
            </w:pPr>
          </w:p>
        </w:tc>
        <w:tc>
          <w:tcPr>
            <w:tcW w:w="6805" w:type="dxa"/>
          </w:tcPr>
          <w:p>
            <w:pPr>
              <w:widowControl/>
              <w:numPr>
                <w:ilvl w:val="0"/>
                <w:numId w:val="5"/>
              </w:numPr>
              <w:spacing w:line="336" w:lineRule="auto"/>
              <w:jc w:val="left"/>
              <w:rPr>
                <w:rFonts w:ascii="宋体" w:hAnsi="宋体" w:cs="宋体"/>
                <w:color w:val="auto"/>
                <w:highlight w:val="none"/>
              </w:rPr>
            </w:pPr>
            <w:r>
              <w:rPr>
                <w:rFonts w:hint="eastAsia" w:ascii="宋体" w:hAnsi="宋体" w:cs="宋体"/>
                <w:color w:val="auto"/>
                <w:szCs w:val="21"/>
                <w:highlight w:val="none"/>
              </w:rPr>
              <w:t>落实政府采购政策需满足的资格要求：</w:t>
            </w:r>
            <w:r>
              <w:rPr>
                <w:rFonts w:hint="eastAsia"/>
                <w:color w:val="auto"/>
                <w:highlight w:val="none"/>
              </w:rPr>
              <w:t>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tcPr>
          <w:p>
            <w:pPr>
              <w:spacing w:line="336" w:lineRule="auto"/>
              <w:rPr>
                <w:rFonts w:ascii="宋体" w:hAnsi="宋体" w:cs="宋体"/>
                <w:color w:val="auto"/>
                <w:szCs w:val="21"/>
                <w:highlight w:val="none"/>
              </w:rPr>
            </w:pPr>
          </w:p>
        </w:tc>
        <w:tc>
          <w:tcPr>
            <w:tcW w:w="6805" w:type="dxa"/>
          </w:tcPr>
          <w:p>
            <w:pPr>
              <w:spacing w:line="336" w:lineRule="auto"/>
              <w:rPr>
                <w:rFonts w:ascii="宋体" w:hAnsi="宋体" w:cs="宋体"/>
                <w:color w:val="auto"/>
                <w:szCs w:val="21"/>
                <w:highlight w:val="none"/>
              </w:rPr>
            </w:pPr>
            <w:r>
              <w:rPr>
                <w:rFonts w:hint="eastAsia" w:ascii="宋体" w:hAnsi="宋体" w:cs="宋体"/>
                <w:color w:val="auto"/>
                <w:highlight w:val="none"/>
              </w:rPr>
              <w:t>（四）特定资格条件：</w:t>
            </w:r>
            <w:r>
              <w:rPr>
                <w:rFonts w:hint="eastAsia" w:ascii="宋体" w:hAnsi="宋体" w:cs="宋体"/>
                <w:color w:val="auto"/>
                <w:szCs w:val="21"/>
                <w:highlight w:val="none"/>
              </w:rPr>
              <w:t>无；</w:t>
            </w:r>
          </w:p>
        </w:tc>
      </w:tr>
    </w:tbl>
    <w:p>
      <w:pPr>
        <w:spacing w:line="360" w:lineRule="auto"/>
        <w:rPr>
          <w:rFonts w:ascii="宋体" w:hAnsi="宋体"/>
          <w:color w:val="auto"/>
          <w:szCs w:val="21"/>
          <w:highlight w:val="none"/>
        </w:rPr>
      </w:pPr>
    </w:p>
    <w:p>
      <w:pPr>
        <w:numPr>
          <w:ilvl w:val="0"/>
          <w:numId w:val="6"/>
        </w:numPr>
        <w:spacing w:line="360" w:lineRule="auto"/>
        <w:rPr>
          <w:rFonts w:ascii="宋体" w:hAnsi="宋体" w:cs="宋体"/>
          <w:color w:val="auto"/>
          <w:kern w:val="0"/>
          <w:szCs w:val="21"/>
          <w:highlight w:val="none"/>
        </w:rPr>
      </w:pPr>
      <w:r>
        <w:rPr>
          <w:rFonts w:hint="eastAsia" w:ascii="宋体" w:hAnsi="宋体"/>
          <w:color w:val="auto"/>
          <w:szCs w:val="21"/>
          <w:highlight w:val="none"/>
        </w:rPr>
        <w:t>符合性检查：</w:t>
      </w:r>
      <w:r>
        <w:rPr>
          <w:rFonts w:hint="eastAsia" w:ascii="宋体" w:hAnsi="宋体" w:cs="宋体"/>
          <w:color w:val="auto"/>
          <w:kern w:val="0"/>
          <w:szCs w:val="21"/>
          <w:highlight w:val="none"/>
        </w:rPr>
        <w:t>评标委员会应当对符合资格审查的投标人的投标文件进行符合性审查，以确定其是否满足招标文件的实质性要求。在符合性审查时，如发现有不满足下列情形之一的，将被视为无效投标文件。</w:t>
      </w:r>
    </w:p>
    <w:tbl>
      <w:tblPr>
        <w:tblStyle w:val="34"/>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1526" w:type="dxa"/>
            <w:vAlign w:val="center"/>
          </w:tcPr>
          <w:p>
            <w:pPr>
              <w:spacing w:line="336" w:lineRule="auto"/>
              <w:jc w:val="center"/>
              <w:rPr>
                <w:rFonts w:ascii="宋体" w:hAnsi="宋体" w:cs="宋体"/>
                <w:b/>
                <w:color w:val="auto"/>
                <w:szCs w:val="21"/>
                <w:highlight w:val="none"/>
              </w:rPr>
            </w:pPr>
            <w:r>
              <w:rPr>
                <w:rFonts w:hint="eastAsia" w:ascii="宋体" w:hAnsi="宋体" w:cs="宋体"/>
                <w:b/>
                <w:color w:val="auto"/>
                <w:szCs w:val="21"/>
                <w:highlight w:val="none"/>
              </w:rPr>
              <w:t>审查类别</w:t>
            </w:r>
          </w:p>
        </w:tc>
        <w:tc>
          <w:tcPr>
            <w:tcW w:w="6789" w:type="dxa"/>
            <w:vAlign w:val="center"/>
          </w:tcPr>
          <w:p>
            <w:pPr>
              <w:spacing w:line="336" w:lineRule="auto"/>
              <w:jc w:val="center"/>
              <w:rPr>
                <w:rFonts w:ascii="宋体" w:hAnsi="宋体" w:cs="宋体"/>
                <w:b/>
                <w:color w:val="auto"/>
                <w:szCs w:val="21"/>
                <w:highlight w:val="none"/>
              </w:rPr>
            </w:pPr>
            <w:r>
              <w:rPr>
                <w:rFonts w:hint="eastAsia" w:ascii="宋体" w:hAnsi="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vMerge w:val="restart"/>
            <w:vAlign w:val="center"/>
          </w:tcPr>
          <w:p>
            <w:pPr>
              <w:spacing w:line="336" w:lineRule="auto"/>
              <w:jc w:val="center"/>
              <w:rPr>
                <w:rFonts w:ascii="宋体" w:hAnsi="宋体" w:cs="宋体"/>
                <w:color w:val="auto"/>
                <w:szCs w:val="21"/>
                <w:highlight w:val="none"/>
              </w:rPr>
            </w:pPr>
            <w:r>
              <w:rPr>
                <w:rFonts w:hint="eastAsia" w:ascii="宋体" w:hAnsi="宋体" w:cs="宋体"/>
                <w:color w:val="auto"/>
                <w:szCs w:val="21"/>
                <w:highlight w:val="none"/>
              </w:rPr>
              <w:t>符合性审查</w:t>
            </w:r>
          </w:p>
          <w:p>
            <w:pPr>
              <w:spacing w:line="336" w:lineRule="auto"/>
              <w:jc w:val="center"/>
              <w:rPr>
                <w:rFonts w:ascii="宋体" w:hAnsi="宋体" w:cs="宋体"/>
                <w:color w:val="auto"/>
                <w:szCs w:val="21"/>
                <w:highlight w:val="none"/>
              </w:rPr>
            </w:pPr>
            <w:r>
              <w:rPr>
                <w:rFonts w:hint="eastAsia" w:ascii="宋体" w:hAnsi="宋体" w:cs="宋体"/>
                <w:color w:val="auto"/>
                <w:szCs w:val="21"/>
                <w:highlight w:val="none"/>
              </w:rPr>
              <w:t>（商务技术文件）</w:t>
            </w:r>
          </w:p>
        </w:tc>
        <w:tc>
          <w:tcPr>
            <w:tcW w:w="6789" w:type="dxa"/>
            <w:vAlign w:val="center"/>
          </w:tcPr>
          <w:p>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（一）按照招标文件规定要求签署或盖章；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color w:val="auto"/>
                <w:szCs w:val="21"/>
                <w:highlight w:val="none"/>
              </w:rPr>
            </w:pPr>
          </w:p>
        </w:tc>
        <w:tc>
          <w:tcPr>
            <w:tcW w:w="6789" w:type="dxa"/>
            <w:vAlign w:val="center"/>
          </w:tcPr>
          <w:p>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（二）投标文件有法定代表人签署本人姓名（或印盖本人姓名章），或签署人提供有效的法定代表人授权委托书且授权委托书填写项目齐全的；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color w:val="auto"/>
                <w:szCs w:val="21"/>
                <w:highlight w:val="none"/>
              </w:rPr>
            </w:pPr>
          </w:p>
        </w:tc>
        <w:tc>
          <w:tcPr>
            <w:tcW w:w="6789" w:type="dxa"/>
            <w:vAlign w:val="center"/>
          </w:tcPr>
          <w:p>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（三）投标文件项目齐全；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color w:val="auto"/>
                <w:szCs w:val="21"/>
                <w:highlight w:val="none"/>
              </w:rPr>
            </w:pPr>
          </w:p>
        </w:tc>
        <w:tc>
          <w:tcPr>
            <w:tcW w:w="6789" w:type="dxa"/>
            <w:vAlign w:val="center"/>
          </w:tcPr>
          <w:p>
            <w:pPr>
              <w:tabs>
                <w:tab w:val="left" w:pos="612"/>
              </w:tabs>
              <w:spacing w:line="336" w:lineRule="auto"/>
              <w:rPr>
                <w:rFonts w:ascii="宋体" w:hAnsi="宋体" w:cs="宋体"/>
                <w:color w:val="auto"/>
                <w:kern w:val="0"/>
                <w:szCs w:val="21"/>
                <w:highlight w:val="none"/>
              </w:rPr>
            </w:pPr>
            <w:r>
              <w:rPr>
                <w:rFonts w:hint="eastAsia" w:ascii="宋体" w:hAnsi="宋体" w:cs="宋体"/>
                <w:color w:val="auto"/>
                <w:szCs w:val="21"/>
                <w:highlight w:val="none"/>
              </w:rPr>
              <w:t>（四）投标文件标明的响应或偏离与事实相符且无虚假投标的；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color w:val="auto"/>
                <w:szCs w:val="21"/>
                <w:highlight w:val="none"/>
              </w:rPr>
            </w:pPr>
          </w:p>
        </w:tc>
        <w:tc>
          <w:tcPr>
            <w:tcW w:w="6789" w:type="dxa"/>
            <w:vAlign w:val="center"/>
          </w:tcPr>
          <w:p>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（五）投标文件的实质性内容使用中文表述且意思表述明确，前后无矛盾且使用计量单位符合招标文件要求的；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color w:val="auto"/>
                <w:szCs w:val="21"/>
                <w:highlight w:val="none"/>
              </w:rPr>
            </w:pPr>
          </w:p>
        </w:tc>
        <w:tc>
          <w:tcPr>
            <w:tcW w:w="6789" w:type="dxa"/>
            <w:vAlign w:val="center"/>
          </w:tcPr>
          <w:p>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（六）带“★”的条款满足招标文件要求、已实质性响应招标文件要求且投标文件无采购人不能接受的附加条件的；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color w:val="auto"/>
                <w:szCs w:val="21"/>
                <w:highlight w:val="none"/>
              </w:rPr>
            </w:pPr>
          </w:p>
        </w:tc>
        <w:tc>
          <w:tcPr>
            <w:tcW w:w="6789" w:type="dxa"/>
            <w:vAlign w:val="center"/>
          </w:tcPr>
          <w:p>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（七）投标技术方案明确，不存在一个或一个以上备选（替代）投标方案的；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526" w:type="dxa"/>
            <w:vMerge w:val="continue"/>
            <w:vAlign w:val="center"/>
          </w:tcPr>
          <w:p>
            <w:pPr>
              <w:spacing w:line="336" w:lineRule="auto"/>
              <w:jc w:val="center"/>
              <w:rPr>
                <w:rFonts w:ascii="宋体" w:hAnsi="宋体" w:cs="宋体"/>
                <w:color w:val="auto"/>
                <w:szCs w:val="21"/>
                <w:highlight w:val="none"/>
              </w:rPr>
            </w:pPr>
          </w:p>
        </w:tc>
        <w:tc>
          <w:tcPr>
            <w:tcW w:w="6789" w:type="dxa"/>
            <w:vAlign w:val="center"/>
          </w:tcPr>
          <w:p>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（八）不存在法律、法规和招标文件规定的其他无效情形；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color w:val="auto"/>
                <w:szCs w:val="21"/>
                <w:highlight w:val="none"/>
              </w:rPr>
            </w:pPr>
          </w:p>
        </w:tc>
        <w:tc>
          <w:tcPr>
            <w:tcW w:w="6789" w:type="dxa"/>
            <w:vAlign w:val="center"/>
          </w:tcPr>
          <w:p>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（九）不存在投标文件的有效期不满足招标文件要求情形；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vMerge w:val="restart"/>
            <w:vAlign w:val="center"/>
          </w:tcPr>
          <w:p>
            <w:pPr>
              <w:spacing w:line="336" w:lineRule="auto"/>
              <w:jc w:val="center"/>
              <w:rPr>
                <w:rFonts w:ascii="宋体" w:hAnsi="宋体" w:cs="宋体"/>
                <w:color w:val="auto"/>
                <w:szCs w:val="21"/>
                <w:highlight w:val="none"/>
              </w:rPr>
            </w:pPr>
            <w:r>
              <w:rPr>
                <w:rFonts w:hint="eastAsia" w:ascii="宋体" w:hAnsi="宋体" w:cs="宋体"/>
                <w:color w:val="auto"/>
                <w:szCs w:val="21"/>
                <w:highlight w:val="none"/>
              </w:rPr>
              <w:t>符合性审查</w:t>
            </w:r>
          </w:p>
          <w:p>
            <w:pPr>
              <w:spacing w:line="336" w:lineRule="auto"/>
              <w:rPr>
                <w:rFonts w:ascii="宋体" w:hAnsi="宋体" w:cs="宋体"/>
                <w:color w:val="auto"/>
                <w:szCs w:val="21"/>
                <w:highlight w:val="none"/>
              </w:rPr>
            </w:pPr>
            <w:r>
              <w:rPr>
                <w:rFonts w:hint="eastAsia" w:ascii="宋体" w:hAnsi="宋体" w:cs="宋体"/>
                <w:color w:val="auto"/>
                <w:szCs w:val="21"/>
                <w:highlight w:val="none"/>
              </w:rPr>
              <w:t>（报价文件）</w:t>
            </w:r>
          </w:p>
        </w:tc>
        <w:tc>
          <w:tcPr>
            <w:tcW w:w="6789" w:type="dxa"/>
            <w:vAlign w:val="center"/>
          </w:tcPr>
          <w:p>
            <w:pPr>
              <w:spacing w:line="336" w:lineRule="auto"/>
              <w:rPr>
                <w:rFonts w:ascii="宋体" w:hAnsi="宋体" w:cs="宋体"/>
                <w:color w:val="auto"/>
                <w:szCs w:val="21"/>
                <w:highlight w:val="none"/>
              </w:rPr>
            </w:pPr>
            <w:r>
              <w:rPr>
                <w:rFonts w:hint="eastAsia" w:ascii="宋体" w:hAnsi="宋体" w:cs="宋体"/>
                <w:color w:val="auto"/>
                <w:szCs w:val="21"/>
                <w:highlight w:val="none"/>
              </w:rPr>
              <w:t>（一）按照招标文件规定要求签署或盖章；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color w:val="auto"/>
                <w:szCs w:val="21"/>
                <w:highlight w:val="none"/>
              </w:rPr>
            </w:pPr>
          </w:p>
        </w:tc>
        <w:tc>
          <w:tcPr>
            <w:tcW w:w="6789" w:type="dxa"/>
            <w:vAlign w:val="center"/>
          </w:tcPr>
          <w:p>
            <w:pPr>
              <w:tabs>
                <w:tab w:val="left" w:pos="612"/>
              </w:tabs>
              <w:spacing w:line="336" w:lineRule="auto"/>
              <w:rPr>
                <w:rFonts w:ascii="宋体" w:hAnsi="宋体" w:cs="宋体"/>
                <w:color w:val="auto"/>
                <w:szCs w:val="21"/>
                <w:highlight w:val="none"/>
              </w:rPr>
            </w:pPr>
            <w:r>
              <w:rPr>
                <w:rFonts w:hint="eastAsia" w:ascii="宋体" w:hAnsi="宋体" w:cs="宋体"/>
                <w:color w:val="auto"/>
                <w:szCs w:val="21"/>
                <w:highlight w:val="none"/>
              </w:rPr>
              <w:t>（二）投标文件项目齐全；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color w:val="auto"/>
                <w:szCs w:val="21"/>
                <w:highlight w:val="none"/>
              </w:rPr>
            </w:pPr>
          </w:p>
        </w:tc>
        <w:tc>
          <w:tcPr>
            <w:tcW w:w="6789" w:type="dxa"/>
            <w:vAlign w:val="center"/>
          </w:tcPr>
          <w:p>
            <w:pPr>
              <w:spacing w:line="336" w:lineRule="auto"/>
              <w:rPr>
                <w:rFonts w:ascii="宋体" w:hAnsi="宋体" w:cs="宋体"/>
                <w:color w:val="auto"/>
                <w:szCs w:val="21"/>
                <w:highlight w:val="none"/>
              </w:rPr>
            </w:pPr>
            <w:r>
              <w:rPr>
                <w:rFonts w:hint="eastAsia" w:ascii="宋体" w:hAnsi="宋体" w:cs="宋体"/>
                <w:color w:val="auto"/>
                <w:szCs w:val="21"/>
                <w:highlight w:val="none"/>
              </w:rPr>
              <w:t>（三）投标函已提交并符合招标文件要求；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color w:val="auto"/>
                <w:szCs w:val="21"/>
                <w:highlight w:val="none"/>
              </w:rPr>
            </w:pPr>
          </w:p>
        </w:tc>
        <w:tc>
          <w:tcPr>
            <w:tcW w:w="6789" w:type="dxa"/>
            <w:vAlign w:val="center"/>
          </w:tcPr>
          <w:p>
            <w:pPr>
              <w:spacing w:line="336" w:lineRule="auto"/>
              <w:rPr>
                <w:rFonts w:ascii="宋体" w:hAnsi="宋体" w:cs="宋体"/>
                <w:color w:val="auto"/>
                <w:szCs w:val="21"/>
                <w:highlight w:val="none"/>
              </w:rPr>
            </w:pPr>
            <w:r>
              <w:rPr>
                <w:rFonts w:hint="eastAsia" w:ascii="宋体" w:hAnsi="宋体" w:cs="宋体"/>
                <w:color w:val="auto"/>
                <w:szCs w:val="21"/>
                <w:highlight w:val="none"/>
              </w:rPr>
              <w:t>（四）采用人民币报价或者按照招标文件标明的币种报价的；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color w:val="auto"/>
                <w:szCs w:val="21"/>
                <w:highlight w:val="none"/>
              </w:rPr>
            </w:pPr>
          </w:p>
        </w:tc>
        <w:tc>
          <w:tcPr>
            <w:tcW w:w="6789" w:type="dxa"/>
            <w:vAlign w:val="center"/>
          </w:tcPr>
          <w:p>
            <w:pPr>
              <w:spacing w:line="336" w:lineRule="auto"/>
              <w:rPr>
                <w:rFonts w:ascii="宋体" w:hAnsi="宋体" w:cs="宋体"/>
                <w:color w:val="auto"/>
                <w:szCs w:val="21"/>
                <w:highlight w:val="none"/>
              </w:rPr>
            </w:pPr>
            <w:r>
              <w:rPr>
                <w:rFonts w:hint="eastAsia" w:ascii="宋体" w:hAnsi="宋体" w:cs="宋体"/>
                <w:color w:val="auto"/>
                <w:szCs w:val="21"/>
                <w:highlight w:val="none"/>
              </w:rPr>
              <w:t>（五）不存在报价超出综合单价最高限价或综合单价合计最高限价，或者超出采购预算金额，采购人不能支付的情形。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color w:val="auto"/>
                <w:szCs w:val="21"/>
                <w:highlight w:val="none"/>
              </w:rPr>
            </w:pPr>
          </w:p>
        </w:tc>
        <w:tc>
          <w:tcPr>
            <w:tcW w:w="6789" w:type="dxa"/>
            <w:vAlign w:val="center"/>
          </w:tcPr>
          <w:p>
            <w:pPr>
              <w:spacing w:line="336" w:lineRule="auto"/>
              <w:rPr>
                <w:rFonts w:ascii="宋体" w:hAnsi="宋体" w:cs="宋体"/>
                <w:color w:val="auto"/>
                <w:szCs w:val="21"/>
                <w:highlight w:val="none"/>
              </w:rPr>
            </w:pPr>
            <w:r>
              <w:rPr>
                <w:rFonts w:hint="eastAsia" w:ascii="宋体" w:hAnsi="宋体" w:cs="宋体"/>
                <w:color w:val="auto"/>
                <w:szCs w:val="21"/>
                <w:highlight w:val="none"/>
              </w:rPr>
              <w:t>（六）不存在投标报价具有选择性的情形；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color w:val="auto"/>
                <w:szCs w:val="21"/>
                <w:highlight w:val="none"/>
              </w:rPr>
            </w:pPr>
          </w:p>
        </w:tc>
        <w:tc>
          <w:tcPr>
            <w:tcW w:w="6789" w:type="dxa"/>
            <w:vAlign w:val="center"/>
          </w:tcPr>
          <w:p>
            <w:pPr>
              <w:spacing w:line="336" w:lineRule="auto"/>
              <w:rPr>
                <w:rFonts w:ascii="宋体" w:hAnsi="宋体" w:cs="宋体"/>
                <w:color w:val="auto"/>
                <w:szCs w:val="21"/>
                <w:highlight w:val="none"/>
              </w:rPr>
            </w:pPr>
            <w:r>
              <w:rPr>
                <w:rFonts w:hint="eastAsia" w:ascii="宋体" w:hAnsi="宋体" w:cs="宋体"/>
                <w:color w:val="auto"/>
                <w:szCs w:val="21"/>
                <w:highlight w:val="none"/>
              </w:rPr>
              <w:t>（七）投标报价中未出现重大缺项、漏项；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color w:val="auto"/>
                <w:szCs w:val="21"/>
                <w:highlight w:val="none"/>
              </w:rPr>
            </w:pPr>
          </w:p>
        </w:tc>
        <w:tc>
          <w:tcPr>
            <w:tcW w:w="6789" w:type="dxa"/>
            <w:vAlign w:val="center"/>
          </w:tcPr>
          <w:p>
            <w:pPr>
              <w:spacing w:line="336" w:lineRule="auto"/>
              <w:rPr>
                <w:rFonts w:ascii="宋体" w:hAnsi="宋体" w:cs="宋体"/>
                <w:color w:val="auto"/>
                <w:szCs w:val="21"/>
                <w:highlight w:val="none"/>
              </w:rPr>
            </w:pPr>
            <w:r>
              <w:rPr>
                <w:rFonts w:hint="eastAsia" w:ascii="宋体" w:hAnsi="宋体" w:cs="宋体"/>
                <w:color w:val="auto"/>
                <w:szCs w:val="21"/>
                <w:highlight w:val="none"/>
              </w:rPr>
              <w:t>（八）不存在评标委员会认为投标人的报价明显低于其他通过符合性审查投标人的报价，有可能影响产品质量或者不能诚信履约的且不能在评标现场合理时间内提供相关证明材料说明其报价的合理性的情形；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color w:val="auto"/>
                <w:szCs w:val="21"/>
                <w:highlight w:val="none"/>
              </w:rPr>
            </w:pPr>
          </w:p>
        </w:tc>
        <w:tc>
          <w:tcPr>
            <w:tcW w:w="6789" w:type="dxa"/>
            <w:vAlign w:val="center"/>
          </w:tcPr>
          <w:p>
            <w:pPr>
              <w:spacing w:line="336" w:lineRule="auto"/>
              <w:rPr>
                <w:rFonts w:ascii="宋体" w:hAnsi="宋体" w:cs="宋体"/>
                <w:color w:val="auto"/>
                <w:szCs w:val="21"/>
                <w:highlight w:val="none"/>
              </w:rPr>
            </w:pPr>
            <w:r>
              <w:rPr>
                <w:rFonts w:hint="eastAsia" w:ascii="宋体" w:hAnsi="宋体" w:cs="宋体"/>
                <w:color w:val="auto"/>
                <w:szCs w:val="21"/>
                <w:highlight w:val="none"/>
              </w:rPr>
              <w:t>（九）投标文件（报价文件）内容与投标文件（商务技术文件）内容不存在重大差异的；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color w:val="auto"/>
                <w:szCs w:val="21"/>
                <w:highlight w:val="none"/>
              </w:rPr>
            </w:pPr>
          </w:p>
        </w:tc>
        <w:tc>
          <w:tcPr>
            <w:tcW w:w="6789" w:type="dxa"/>
            <w:vAlign w:val="center"/>
          </w:tcPr>
          <w:p>
            <w:pPr>
              <w:spacing w:line="336" w:lineRule="auto"/>
              <w:rPr>
                <w:rFonts w:ascii="宋体" w:hAnsi="宋体" w:cs="宋体"/>
                <w:color w:val="auto"/>
                <w:szCs w:val="21"/>
                <w:highlight w:val="none"/>
              </w:rPr>
            </w:pPr>
            <w:r>
              <w:rPr>
                <w:rFonts w:hint="eastAsia" w:ascii="宋体" w:hAnsi="宋体" w:cs="宋体"/>
                <w:color w:val="auto"/>
                <w:szCs w:val="21"/>
                <w:highlight w:val="none"/>
              </w:rPr>
              <w:t>（十）不存在法律、法规和招标文件规定的其他无效情形；</w:t>
            </w: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3．比较与评价：评标委员会对资格审查、符合性审查合格的投标文件，依照本办法“七、评分标准”对投标文件作进一步评审、比较，判定其偏差性质和程度。评标委员会成员经过阅标、审标和询标，对各投标人进行打分。</w:t>
      </w:r>
    </w:p>
    <w:p>
      <w:pPr>
        <w:spacing w:line="360" w:lineRule="auto"/>
        <w:rPr>
          <w:rFonts w:ascii="宋体" w:hAnsi="宋体"/>
          <w:color w:val="auto"/>
          <w:szCs w:val="21"/>
          <w:highlight w:val="none"/>
        </w:rPr>
      </w:pPr>
      <w:r>
        <w:rPr>
          <w:rFonts w:hint="eastAsia" w:ascii="宋体" w:hAnsi="宋体"/>
          <w:color w:val="auto"/>
          <w:szCs w:val="21"/>
          <w:highlight w:val="none"/>
        </w:rPr>
        <w:t>4．最终得分及排序：</w:t>
      </w:r>
      <w:r>
        <w:rPr>
          <w:rFonts w:hint="eastAsia" w:ascii="宋体" w:hAnsi="宋体" w:cs="宋体"/>
          <w:color w:val="auto"/>
          <w:szCs w:val="21"/>
          <w:highlight w:val="none"/>
        </w:rPr>
        <w:t>评标委员会成员独立按照评分标准（兼评委打分表）规定的内容和分值设置，对各投标文件分别打分汇总后计算平均分（小数点后保留两位数），即为各投标人的综合得分。</w:t>
      </w:r>
      <w:r>
        <w:rPr>
          <w:rFonts w:hint="eastAsia" w:ascii="宋体" w:hAnsi="宋体" w:cs="宋体"/>
          <w:color w:val="auto"/>
          <w:kern w:val="0"/>
          <w:szCs w:val="21"/>
          <w:highlight w:val="none"/>
        </w:rPr>
        <w:t>评标结果按评审后得分由高到低顺序排列。得分相同的，按投标报价由低到高顺序排列。得分且投标报价相同的并列。</w:t>
      </w:r>
    </w:p>
    <w:p>
      <w:pPr>
        <w:spacing w:line="360" w:lineRule="auto"/>
        <w:rPr>
          <w:rFonts w:ascii="宋体" w:hAnsi="宋体"/>
          <w:color w:val="auto"/>
          <w:szCs w:val="21"/>
          <w:highlight w:val="none"/>
        </w:rPr>
      </w:pPr>
      <w:r>
        <w:rPr>
          <w:rFonts w:hint="eastAsia" w:ascii="宋体" w:hAnsi="宋体"/>
          <w:color w:val="auto"/>
          <w:szCs w:val="21"/>
          <w:highlight w:val="none"/>
        </w:rPr>
        <w:t>5．推荐中标候选人原则：</w:t>
      </w:r>
      <w:r>
        <w:rPr>
          <w:rFonts w:hint="eastAsia" w:ascii="宋体" w:hAnsi="宋体" w:cs="宋体"/>
          <w:color w:val="auto"/>
          <w:kern w:val="0"/>
          <w:szCs w:val="21"/>
          <w:highlight w:val="none"/>
        </w:rPr>
        <w:t>投标文件满足招标文件全部实质性要求，且按照评审因素的量化指标评审得分最高的投标人为排名第一的中标候选人。</w:t>
      </w:r>
    </w:p>
    <w:p>
      <w:pPr>
        <w:spacing w:line="360" w:lineRule="auto"/>
        <w:rPr>
          <w:rFonts w:ascii="宋体" w:hAnsi="宋体"/>
          <w:color w:val="auto"/>
          <w:szCs w:val="21"/>
          <w:highlight w:val="none"/>
        </w:rPr>
      </w:pPr>
      <w:r>
        <w:rPr>
          <w:rFonts w:hint="eastAsia" w:ascii="宋体" w:hAnsi="宋体"/>
          <w:color w:val="auto"/>
          <w:szCs w:val="21"/>
          <w:highlight w:val="none"/>
        </w:rPr>
        <w:t>6．确定中标人：采购代理机构应当自评标结束之日起2个工作日内将评标报告送交采购人。采购人应当自收到评标报告之日起5个工作日内在评标报告确定的中标候选人名单中按顺序确定中标人。中标人因不可抗力不能履行政府采购合同的，采购人可以按照评标报告推荐的下一中标候选人为中标人或重新招标。</w:t>
      </w:r>
    </w:p>
    <w:p>
      <w:pPr>
        <w:spacing w:line="360" w:lineRule="exact"/>
        <w:rPr>
          <w:rFonts w:ascii="宋体" w:hAnsi="宋体" w:cs="宋体"/>
          <w:color w:val="auto"/>
          <w:szCs w:val="21"/>
          <w:highlight w:val="none"/>
        </w:rPr>
      </w:pPr>
    </w:p>
    <w:p>
      <w:pPr>
        <w:widowControl/>
        <w:tabs>
          <w:tab w:val="left" w:pos="0"/>
          <w:tab w:val="left" w:pos="723"/>
        </w:tabs>
        <w:spacing w:line="360" w:lineRule="auto"/>
        <w:jc w:val="left"/>
        <w:rPr>
          <w:rFonts w:ascii="宋体" w:hAnsi="宋体"/>
          <w:b/>
          <w:color w:val="auto"/>
          <w:szCs w:val="21"/>
          <w:highlight w:val="none"/>
        </w:rPr>
      </w:pPr>
      <w:r>
        <w:rPr>
          <w:rFonts w:hint="eastAsia" w:ascii="宋体" w:hAnsi="宋体"/>
          <w:b/>
          <w:color w:val="auto"/>
          <w:szCs w:val="21"/>
          <w:highlight w:val="none"/>
        </w:rPr>
        <w:t>四、澄清问题的形式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spacing w:line="360" w:lineRule="auto"/>
        <w:ind w:firstLine="420" w:firstLineChars="200"/>
        <w:rPr>
          <w:rFonts w:ascii="宋体" w:hAnsi="宋体"/>
          <w:color w:val="auto"/>
          <w:szCs w:val="21"/>
          <w:highlight w:val="none"/>
        </w:rPr>
      </w:pPr>
    </w:p>
    <w:p>
      <w:pPr>
        <w:widowControl/>
        <w:tabs>
          <w:tab w:val="left" w:pos="0"/>
          <w:tab w:val="left" w:pos="723"/>
        </w:tabs>
        <w:spacing w:line="360" w:lineRule="auto"/>
        <w:jc w:val="left"/>
        <w:rPr>
          <w:rFonts w:ascii="宋体" w:hAnsi="宋体"/>
          <w:b/>
          <w:color w:val="auto"/>
          <w:szCs w:val="21"/>
          <w:highlight w:val="none"/>
        </w:rPr>
      </w:pPr>
      <w:r>
        <w:rPr>
          <w:rFonts w:ascii="宋体" w:hAnsi="宋体"/>
          <w:b/>
          <w:color w:val="auto"/>
          <w:szCs w:val="21"/>
          <w:highlight w:val="none"/>
        </w:rPr>
        <w:t>五</w:t>
      </w:r>
      <w:r>
        <w:rPr>
          <w:rFonts w:hint="eastAsia" w:ascii="宋体" w:hAnsi="宋体"/>
          <w:b/>
          <w:color w:val="auto"/>
          <w:szCs w:val="21"/>
          <w:highlight w:val="none"/>
        </w:rPr>
        <w:t>、</w:t>
      </w:r>
      <w:r>
        <w:rPr>
          <w:rFonts w:ascii="宋体" w:hAnsi="宋体"/>
          <w:b/>
          <w:color w:val="auto"/>
          <w:szCs w:val="21"/>
          <w:highlight w:val="none"/>
        </w:rPr>
        <w:t>错误修正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投标文件报价出现前后不一致的，按照下列规定修正：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1.投标文件中开标一览表内容与投标文件中相应内容不一致的，以开标一览表为准；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2.大写金额和小写金额不一致的，以大写金额为准；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3.单价金额小数点或者百分比有明显错位的，以开标一览表的总价为准，并修改单价；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4.总价金额与按单价汇总金额不一致的，以单价金额计算结果为准。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同时出现两种以上不一致的，按照前款规定的顺序修正。修正后的报价按照投标文件澄清第二款的规定经投标人确认后产生约束力，投标人不确认的，其投标无效。</w:t>
      </w:r>
    </w:p>
    <w:p>
      <w:pPr>
        <w:numPr>
          <w:ilvl w:val="0"/>
          <w:numId w:val="7"/>
        </w:numPr>
        <w:spacing w:line="360" w:lineRule="auto"/>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评分标准（兼评委打分表）</w:t>
      </w:r>
    </w:p>
    <w:p>
      <w:pPr>
        <w:pStyle w:val="109"/>
        <w:ind w:firstLine="482"/>
        <w:jc w:val="center"/>
        <w:rPr>
          <w:rFonts w:ascii="宋体" w:hAnsi="宋体"/>
          <w:b/>
          <w:color w:val="auto"/>
          <w:sz w:val="24"/>
          <w:szCs w:val="24"/>
          <w:highlight w:val="none"/>
        </w:rPr>
      </w:pPr>
      <w:r>
        <w:rPr>
          <w:rFonts w:hint="eastAsia" w:ascii="宋体" w:hAnsi="宋体"/>
          <w:b/>
          <w:color w:val="auto"/>
          <w:sz w:val="24"/>
          <w:szCs w:val="24"/>
          <w:highlight w:val="none"/>
        </w:rPr>
        <w:t>评分标准</w:t>
      </w:r>
    </w:p>
    <w:tbl>
      <w:tblPr>
        <w:tblStyle w:val="34"/>
        <w:tblW w:w="10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885"/>
        <w:gridCol w:w="7117"/>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268" w:type="dxa"/>
            <w:gridSpan w:val="3"/>
            <w:vAlign w:val="center"/>
          </w:tcPr>
          <w:p>
            <w:pPr>
              <w:spacing w:line="380" w:lineRule="exact"/>
              <w:jc w:val="center"/>
              <w:rPr>
                <w:rFonts w:ascii="宋体" w:hAnsi="宋体" w:cs="宋体"/>
                <w:b/>
                <w:bCs/>
                <w:color w:val="auto"/>
                <w:szCs w:val="21"/>
                <w:highlight w:val="none"/>
              </w:rPr>
            </w:pPr>
            <w:bookmarkStart w:id="159" w:name="OLE_LINK13"/>
            <w:r>
              <w:rPr>
                <w:rFonts w:hint="eastAsia" w:ascii="宋体" w:hAnsi="宋体" w:cs="宋体"/>
                <w:b/>
                <w:bCs/>
                <w:color w:val="auto"/>
                <w:szCs w:val="21"/>
                <w:highlight w:val="none"/>
              </w:rPr>
              <w:t>评分项及分值</w:t>
            </w:r>
          </w:p>
        </w:tc>
        <w:tc>
          <w:tcPr>
            <w:tcW w:w="1032" w:type="dxa"/>
            <w:vAlign w:val="center"/>
          </w:tcPr>
          <w:p>
            <w:pPr>
              <w:spacing w:line="38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评审</w:t>
            </w:r>
          </w:p>
          <w:p>
            <w:pPr>
              <w:spacing w:line="380" w:lineRule="exact"/>
              <w:jc w:val="center"/>
              <w:rPr>
                <w:rFonts w:ascii="宋体" w:hAnsi="宋体" w:cs="宋体"/>
                <w:b/>
                <w:bCs/>
                <w:color w:val="auto"/>
                <w:szCs w:val="21"/>
                <w:highlight w:val="none"/>
              </w:rPr>
            </w:pPr>
            <w:r>
              <w:rPr>
                <w:rFonts w:hint="eastAsia" w:ascii="宋体" w:hAnsi="宋体" w:cs="宋体"/>
                <w:b/>
                <w:bCs/>
                <w:color w:val="auto"/>
                <w:szCs w:val="21"/>
                <w:highlight w:val="none"/>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1266" w:type="dxa"/>
            <w:vMerge w:val="restart"/>
            <w:vAlign w:val="center"/>
          </w:tcPr>
          <w:p>
            <w:pPr>
              <w:spacing w:line="38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w:t>
            </w:r>
          </w:p>
          <w:p>
            <w:pPr>
              <w:spacing w:line="380" w:lineRule="exact"/>
              <w:jc w:val="center"/>
              <w:rPr>
                <w:rFonts w:ascii="宋体" w:hAnsi="宋体" w:cs="宋体"/>
                <w:b/>
                <w:bCs/>
                <w:color w:val="auto"/>
                <w:szCs w:val="21"/>
                <w:highlight w:val="none"/>
              </w:rPr>
            </w:pPr>
            <w:r>
              <w:rPr>
                <w:rFonts w:hint="eastAsia" w:ascii="宋体" w:hAnsi="宋体" w:cs="宋体"/>
                <w:b/>
                <w:bCs/>
                <w:color w:val="auto"/>
                <w:szCs w:val="21"/>
                <w:highlight w:val="none"/>
              </w:rPr>
              <w:t>商务</w:t>
            </w:r>
          </w:p>
          <w:p>
            <w:pPr>
              <w:spacing w:line="380" w:lineRule="exact"/>
              <w:jc w:val="center"/>
              <w:rPr>
                <w:rFonts w:ascii="宋体" w:hAnsi="宋体" w:cs="宋体"/>
                <w:color w:val="auto"/>
                <w:szCs w:val="21"/>
                <w:highlight w:val="none"/>
              </w:rPr>
            </w:pPr>
            <w:r>
              <w:rPr>
                <w:rFonts w:hint="eastAsia" w:ascii="宋体" w:hAnsi="宋体" w:cs="宋体"/>
                <w:b/>
                <w:bCs/>
                <w:color w:val="auto"/>
                <w:szCs w:val="21"/>
                <w:highlight w:val="none"/>
              </w:rPr>
              <w:t>（80分）</w:t>
            </w:r>
          </w:p>
        </w:tc>
        <w:tc>
          <w:tcPr>
            <w:tcW w:w="885" w:type="dxa"/>
            <w:vMerge w:val="restart"/>
            <w:vAlign w:val="center"/>
          </w:tcPr>
          <w:p>
            <w:pPr>
              <w:autoSpaceDE w:val="0"/>
              <w:autoSpaceDN w:val="0"/>
              <w:spacing w:line="380" w:lineRule="exact"/>
              <w:jc w:val="center"/>
              <w:rPr>
                <w:rFonts w:ascii="宋体" w:hAnsi="宋体" w:cs="宋体"/>
                <w:bCs/>
                <w:color w:val="auto"/>
                <w:szCs w:val="21"/>
                <w:highlight w:val="none"/>
              </w:rPr>
            </w:pPr>
            <w:r>
              <w:rPr>
                <w:rFonts w:hint="eastAsia" w:ascii="宋体" w:hAnsi="宋体" w:cs="宋体"/>
                <w:color w:val="auto"/>
                <w:szCs w:val="21"/>
                <w:highlight w:val="none"/>
              </w:rPr>
              <w:t>项目实施方案（</w:t>
            </w:r>
            <w:r>
              <w:rPr>
                <w:rFonts w:hint="eastAsia" w:ascii="宋体" w:hAnsi="宋体" w:cs="宋体"/>
                <w:color w:val="auto"/>
                <w:szCs w:val="21"/>
                <w:highlight w:val="none"/>
                <w:lang w:val="en-US" w:eastAsia="zh-CN"/>
              </w:rPr>
              <w:t>31</w:t>
            </w:r>
            <w:r>
              <w:rPr>
                <w:rFonts w:hint="eastAsia" w:ascii="宋体" w:hAnsi="宋体" w:cs="宋体"/>
                <w:color w:val="auto"/>
                <w:szCs w:val="21"/>
                <w:highlight w:val="none"/>
              </w:rPr>
              <w:t>分）</w:t>
            </w:r>
          </w:p>
        </w:tc>
        <w:tc>
          <w:tcPr>
            <w:tcW w:w="7117" w:type="dxa"/>
            <w:vAlign w:val="center"/>
          </w:tcPr>
          <w:p>
            <w:pPr>
              <w:spacing w:line="380" w:lineRule="exact"/>
              <w:rPr>
                <w:rFonts w:ascii="宋体" w:hAnsi="宋体"/>
                <w:color w:val="auto"/>
                <w:szCs w:val="21"/>
                <w:highlight w:val="none"/>
              </w:rPr>
            </w:pPr>
            <w:bookmarkStart w:id="160" w:name="OLE_LINK60"/>
            <w:r>
              <w:rPr>
                <w:rFonts w:hint="eastAsia" w:ascii="宋体" w:hAnsi="宋体"/>
                <w:color w:val="auto"/>
                <w:szCs w:val="21"/>
                <w:highlight w:val="none"/>
              </w:rPr>
              <w:t>交通组织优化咨询服务方案（7分）</w:t>
            </w:r>
          </w:p>
          <w:p>
            <w:pPr>
              <w:autoSpaceDE w:val="0"/>
              <w:autoSpaceDN w:val="0"/>
              <w:snapToGrid w:val="0"/>
              <w:spacing w:line="380" w:lineRule="exact"/>
              <w:ind w:firstLine="0" w:firstLineChars="0"/>
              <w:rPr>
                <w:rFonts w:ascii="宋体" w:hAnsi="宋体"/>
                <w:color w:val="auto"/>
                <w:szCs w:val="21"/>
                <w:highlight w:val="none"/>
              </w:rPr>
            </w:pPr>
            <w:bookmarkStart w:id="161" w:name="OLE_LINK17"/>
            <w:r>
              <w:rPr>
                <w:rFonts w:hint="eastAsia" w:ascii="宋体" w:hAnsi="宋体"/>
                <w:color w:val="auto"/>
                <w:szCs w:val="21"/>
                <w:highlight w:val="none"/>
              </w:rPr>
              <w:t>投标人</w:t>
            </w:r>
            <w:bookmarkEnd w:id="161"/>
            <w:r>
              <w:rPr>
                <w:rFonts w:hint="eastAsia" w:ascii="宋体" w:hAnsi="宋体"/>
                <w:color w:val="auto"/>
                <w:szCs w:val="21"/>
                <w:highlight w:val="none"/>
              </w:rPr>
              <w:t>依据采购文件中“</w:t>
            </w:r>
            <w:bookmarkStart w:id="162" w:name="OLE_LINK22"/>
            <w:r>
              <w:rPr>
                <w:rFonts w:hint="eastAsia" w:ascii="宋体" w:hAnsi="宋体"/>
                <w:color w:val="auto"/>
                <w:szCs w:val="21"/>
                <w:highlight w:val="none"/>
              </w:rPr>
              <w:t>咨询服务内容中的</w:t>
            </w:r>
            <w:bookmarkStart w:id="163" w:name="OLE_LINK23"/>
            <w:r>
              <w:rPr>
                <w:rFonts w:hint="eastAsia" w:ascii="宋体" w:hAnsi="宋体"/>
                <w:color w:val="auto"/>
                <w:szCs w:val="21"/>
                <w:highlight w:val="none"/>
              </w:rPr>
              <w:t>交通组织优化咨询服务</w:t>
            </w:r>
            <w:bookmarkEnd w:id="162"/>
            <w:bookmarkEnd w:id="163"/>
            <w:r>
              <w:rPr>
                <w:rFonts w:hint="eastAsia" w:ascii="宋体" w:hAnsi="宋体"/>
                <w:color w:val="auto"/>
                <w:szCs w:val="21"/>
                <w:highlight w:val="none"/>
              </w:rPr>
              <w:t>”要求提供驻点咨询服务方案（包括但不限于交通堵点、乱点组织优化及治理方案技术咨询服务、重大节假日、活动或应急管制期间交通组织或管控方案技术咨询服务、交通组织优化案例编制和其它交通组织相关咨询与配合服务等内容）进行综合评议：</w:t>
            </w:r>
          </w:p>
          <w:p>
            <w:pPr>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rPr>
              <w:t>①交通组织优化咨询服务服务方案全面详细、条理清晰、</w:t>
            </w:r>
            <w:bookmarkStart w:id="164" w:name="OLE_LINK20"/>
            <w:r>
              <w:rPr>
                <w:rFonts w:hint="eastAsia" w:ascii="宋体" w:hAnsi="宋体"/>
                <w:color w:val="auto"/>
                <w:szCs w:val="21"/>
                <w:highlight w:val="none"/>
              </w:rPr>
              <w:t>与采购文件中要求提供的驻点服务方案切合度高的得7分</w:t>
            </w:r>
            <w:bookmarkEnd w:id="164"/>
            <w:r>
              <w:rPr>
                <w:rFonts w:hint="eastAsia" w:ascii="宋体" w:hAnsi="宋体"/>
                <w:color w:val="auto"/>
                <w:szCs w:val="21"/>
                <w:highlight w:val="none"/>
                <w:lang w:eastAsia="zh-CN"/>
              </w:rPr>
              <w:t>；</w:t>
            </w:r>
          </w:p>
          <w:p>
            <w:pPr>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rPr>
              <w:t>②交通组织优化咨询服务方案较详细、条理清晰、</w:t>
            </w:r>
            <w:bookmarkStart w:id="165" w:name="OLE_LINK21"/>
            <w:r>
              <w:rPr>
                <w:rFonts w:hint="eastAsia" w:ascii="宋体" w:hAnsi="宋体"/>
                <w:color w:val="auto"/>
                <w:szCs w:val="21"/>
                <w:highlight w:val="none"/>
              </w:rPr>
              <w:t>与采购文件中要求提供的驻点服务方案切合</w:t>
            </w:r>
            <w:bookmarkEnd w:id="165"/>
            <w:r>
              <w:rPr>
                <w:rFonts w:hint="eastAsia" w:ascii="宋体" w:hAnsi="宋体"/>
                <w:color w:val="auto"/>
                <w:szCs w:val="21"/>
                <w:highlight w:val="none"/>
              </w:rPr>
              <w:t>度较高的得5分</w:t>
            </w:r>
            <w:r>
              <w:rPr>
                <w:rFonts w:hint="eastAsia" w:ascii="宋体" w:hAnsi="宋体"/>
                <w:color w:val="auto"/>
                <w:szCs w:val="21"/>
                <w:highlight w:val="none"/>
                <w:lang w:eastAsia="zh-CN"/>
              </w:rPr>
              <w:t>；</w:t>
            </w:r>
          </w:p>
          <w:p>
            <w:pPr>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rPr>
              <w:t>③交通组织优化咨询服务方案不全面详细、条理不清楚、与采购文件中要求提供的驻点服务方案不切合的得3分</w:t>
            </w:r>
            <w:r>
              <w:rPr>
                <w:rFonts w:hint="eastAsia" w:ascii="宋体" w:hAnsi="宋体"/>
                <w:color w:val="auto"/>
                <w:szCs w:val="21"/>
                <w:highlight w:val="none"/>
                <w:lang w:eastAsia="zh-CN"/>
              </w:rPr>
              <w:t>；</w:t>
            </w:r>
          </w:p>
          <w:p>
            <w:pPr>
              <w:spacing w:line="380" w:lineRule="exact"/>
              <w:rPr>
                <w:rFonts w:ascii="宋体" w:hAnsi="宋体" w:cs="宋体"/>
                <w:color w:val="auto"/>
                <w:szCs w:val="21"/>
                <w:highlight w:val="none"/>
              </w:rPr>
            </w:pPr>
            <w:r>
              <w:rPr>
                <w:rFonts w:hint="eastAsia" w:ascii="宋体" w:hAnsi="宋体"/>
                <w:color w:val="auto"/>
                <w:szCs w:val="21"/>
                <w:highlight w:val="none"/>
              </w:rPr>
              <w:t>④未提供的得0分。</w:t>
            </w:r>
            <w:bookmarkEnd w:id="160"/>
          </w:p>
        </w:tc>
        <w:tc>
          <w:tcPr>
            <w:tcW w:w="1032" w:type="dxa"/>
            <w:vAlign w:val="center"/>
          </w:tcPr>
          <w:p>
            <w:pPr>
              <w:spacing w:line="380" w:lineRule="exact"/>
              <w:jc w:val="center"/>
              <w:rPr>
                <w:rFonts w:ascii="宋体" w:hAnsi="宋体" w:cs="宋体"/>
                <w:color w:val="auto"/>
                <w:szCs w:val="21"/>
                <w:highlight w:val="none"/>
              </w:rPr>
            </w:pPr>
            <w:bookmarkStart w:id="166" w:name="OLE_LINK16"/>
            <w:r>
              <w:rPr>
                <w:rFonts w:hint="eastAsia" w:ascii="宋体" w:hAnsi="宋体" w:cs="宋体"/>
                <w:color w:val="auto"/>
                <w:szCs w:val="21"/>
                <w:highlight w:val="none"/>
              </w:rPr>
              <w:t>主观分</w:t>
            </w:r>
            <w:bookmarkEnd w:id="1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1266" w:type="dxa"/>
            <w:vMerge w:val="continue"/>
            <w:vAlign w:val="center"/>
          </w:tcPr>
          <w:p>
            <w:pPr>
              <w:spacing w:line="380" w:lineRule="exact"/>
              <w:jc w:val="center"/>
              <w:rPr>
                <w:rFonts w:ascii="宋体" w:hAnsi="宋体" w:cs="宋体"/>
                <w:b/>
                <w:bCs/>
                <w:color w:val="auto"/>
                <w:szCs w:val="21"/>
                <w:highlight w:val="none"/>
              </w:rPr>
            </w:pPr>
          </w:p>
        </w:tc>
        <w:tc>
          <w:tcPr>
            <w:tcW w:w="885" w:type="dxa"/>
            <w:vMerge w:val="continue"/>
            <w:vAlign w:val="center"/>
          </w:tcPr>
          <w:p>
            <w:pPr>
              <w:autoSpaceDE w:val="0"/>
              <w:autoSpaceDN w:val="0"/>
              <w:spacing w:line="380" w:lineRule="exact"/>
              <w:jc w:val="center"/>
              <w:rPr>
                <w:rFonts w:ascii="宋体" w:hAnsi="宋体" w:cs="宋体"/>
                <w:color w:val="auto"/>
                <w:szCs w:val="21"/>
                <w:highlight w:val="none"/>
              </w:rPr>
            </w:pPr>
          </w:p>
        </w:tc>
        <w:tc>
          <w:tcPr>
            <w:tcW w:w="7117" w:type="dxa"/>
            <w:vAlign w:val="center"/>
          </w:tcPr>
          <w:p>
            <w:pPr>
              <w:spacing w:line="380" w:lineRule="exact"/>
              <w:rPr>
                <w:rFonts w:ascii="宋体" w:hAnsi="宋体"/>
                <w:color w:val="auto"/>
                <w:szCs w:val="21"/>
                <w:highlight w:val="none"/>
              </w:rPr>
            </w:pPr>
            <w:bookmarkStart w:id="167" w:name="OLE_LINK62"/>
            <w:r>
              <w:rPr>
                <w:rFonts w:hint="eastAsia" w:ascii="宋体" w:hAnsi="宋体"/>
                <w:color w:val="auto"/>
                <w:szCs w:val="21"/>
                <w:highlight w:val="none"/>
              </w:rPr>
              <w:t>交通信号控制优化咨询服务方案（7分）</w:t>
            </w:r>
          </w:p>
          <w:p>
            <w:pPr>
              <w:spacing w:line="380" w:lineRule="exact"/>
              <w:rPr>
                <w:rFonts w:ascii="宋体" w:hAnsi="宋体"/>
                <w:color w:val="auto"/>
                <w:szCs w:val="21"/>
                <w:highlight w:val="none"/>
              </w:rPr>
            </w:pPr>
            <w:r>
              <w:rPr>
                <w:rFonts w:hint="eastAsia" w:ascii="宋体" w:hAnsi="宋体"/>
                <w:color w:val="auto"/>
                <w:szCs w:val="21"/>
                <w:highlight w:val="none"/>
              </w:rPr>
              <w:t>投标人依据采购文件中“咨询服务内容中的</w:t>
            </w:r>
            <w:bookmarkStart w:id="168" w:name="OLE_LINK24"/>
            <w:r>
              <w:rPr>
                <w:rFonts w:hint="eastAsia" w:ascii="宋体" w:hAnsi="宋体"/>
                <w:color w:val="auto"/>
                <w:szCs w:val="21"/>
                <w:highlight w:val="none"/>
              </w:rPr>
              <w:t>交通信号控制优化咨询服务</w:t>
            </w:r>
            <w:bookmarkEnd w:id="168"/>
            <w:r>
              <w:rPr>
                <w:rFonts w:hint="eastAsia" w:ascii="宋体" w:hAnsi="宋体"/>
                <w:color w:val="auto"/>
                <w:szCs w:val="21"/>
                <w:highlight w:val="none"/>
              </w:rPr>
              <w:t>”要求提供驻点咨询服务方案（包括但不限于</w:t>
            </w:r>
            <w:r>
              <w:rPr>
                <w:rFonts w:hint="eastAsia" w:ascii="宋体" w:hAnsi="宋体" w:cs="仿宋"/>
                <w:b w:val="0"/>
                <w:bCs/>
                <w:color w:val="auto"/>
                <w:szCs w:val="21"/>
                <w:highlight w:val="none"/>
              </w:rPr>
              <w:t>灯控路口单点优化服务、干线道路信号协调控制优化服务、</w:t>
            </w:r>
            <w:r>
              <w:rPr>
                <w:rFonts w:hint="eastAsia" w:ascii="宋体" w:hAnsi="宋体" w:cs="宋体"/>
                <w:b w:val="0"/>
                <w:bCs/>
                <w:color w:val="auto"/>
                <w:szCs w:val="21"/>
                <w:highlight w:val="none"/>
              </w:rPr>
              <w:t>信号设施故障排查服务和信号优化案例编制</w:t>
            </w:r>
            <w:r>
              <w:rPr>
                <w:rFonts w:hint="eastAsia" w:ascii="宋体" w:hAnsi="宋体"/>
                <w:b w:val="0"/>
                <w:bCs/>
                <w:color w:val="auto"/>
                <w:szCs w:val="21"/>
                <w:highlight w:val="none"/>
              </w:rPr>
              <w:t>等</w:t>
            </w:r>
            <w:r>
              <w:rPr>
                <w:rFonts w:hint="eastAsia" w:ascii="宋体" w:hAnsi="宋体"/>
                <w:color w:val="auto"/>
                <w:szCs w:val="21"/>
                <w:highlight w:val="none"/>
              </w:rPr>
              <w:t>内容）进行综合评议：</w:t>
            </w:r>
          </w:p>
          <w:p>
            <w:pPr>
              <w:spacing w:line="380" w:lineRule="exact"/>
              <w:rPr>
                <w:rFonts w:hint="eastAsia" w:ascii="宋体" w:hAnsi="宋体" w:eastAsia="宋体"/>
                <w:color w:val="auto"/>
                <w:szCs w:val="21"/>
                <w:highlight w:val="none"/>
                <w:lang w:eastAsia="zh-CN"/>
              </w:rPr>
            </w:pPr>
            <w:bookmarkStart w:id="169" w:name="OLE_LINK29"/>
            <w:r>
              <w:rPr>
                <w:rFonts w:hint="eastAsia" w:ascii="宋体" w:hAnsi="宋体"/>
                <w:color w:val="auto"/>
                <w:szCs w:val="21"/>
                <w:highlight w:val="none"/>
              </w:rPr>
              <w:t>①交通信号控制优化咨询服务方案全面详细、条理清晰、与采购文件中要求提供的驻点服务方案切合度高的得7分</w:t>
            </w:r>
            <w:r>
              <w:rPr>
                <w:rFonts w:hint="eastAsia" w:ascii="宋体" w:hAnsi="宋体"/>
                <w:color w:val="auto"/>
                <w:szCs w:val="21"/>
                <w:highlight w:val="none"/>
                <w:lang w:eastAsia="zh-CN"/>
              </w:rPr>
              <w:t>；</w:t>
            </w:r>
          </w:p>
          <w:p>
            <w:pPr>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rPr>
              <w:t>②交通信号控制优化咨询服务方案较详细、条理清晰、与采购文件中要求提供的驻点服务方案切合度较高的得5分</w:t>
            </w:r>
            <w:r>
              <w:rPr>
                <w:rFonts w:hint="eastAsia" w:ascii="宋体" w:hAnsi="宋体"/>
                <w:color w:val="auto"/>
                <w:szCs w:val="21"/>
                <w:highlight w:val="none"/>
                <w:lang w:eastAsia="zh-CN"/>
              </w:rPr>
              <w:t>；</w:t>
            </w:r>
          </w:p>
          <w:p>
            <w:pPr>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rPr>
              <w:t>③交通信号控制优化咨询服务方案不全面详细、条理不清晰、与采购文件中要求提供的驻点服务方案不切合的得3分</w:t>
            </w:r>
            <w:r>
              <w:rPr>
                <w:rFonts w:hint="eastAsia" w:ascii="宋体" w:hAnsi="宋体"/>
                <w:color w:val="auto"/>
                <w:szCs w:val="21"/>
                <w:highlight w:val="none"/>
                <w:lang w:eastAsia="zh-CN"/>
              </w:rPr>
              <w:t>；</w:t>
            </w:r>
          </w:p>
          <w:p>
            <w:pPr>
              <w:spacing w:line="380" w:lineRule="exact"/>
              <w:rPr>
                <w:rFonts w:ascii="宋体" w:hAnsi="宋体"/>
                <w:color w:val="auto"/>
                <w:szCs w:val="21"/>
                <w:highlight w:val="none"/>
              </w:rPr>
            </w:pPr>
            <w:r>
              <w:rPr>
                <w:rFonts w:hint="eastAsia" w:ascii="宋体" w:hAnsi="宋体"/>
                <w:color w:val="auto"/>
                <w:szCs w:val="21"/>
                <w:highlight w:val="none"/>
              </w:rPr>
              <w:t>④未提供的得0分。</w:t>
            </w:r>
            <w:bookmarkEnd w:id="167"/>
            <w:bookmarkEnd w:id="169"/>
          </w:p>
        </w:tc>
        <w:tc>
          <w:tcPr>
            <w:tcW w:w="1032"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1266" w:type="dxa"/>
            <w:vMerge w:val="continue"/>
            <w:vAlign w:val="center"/>
          </w:tcPr>
          <w:p>
            <w:pPr>
              <w:spacing w:line="380" w:lineRule="exact"/>
              <w:jc w:val="center"/>
              <w:rPr>
                <w:rFonts w:ascii="宋体" w:hAnsi="宋体" w:cs="宋体"/>
                <w:b/>
                <w:bCs/>
                <w:color w:val="auto"/>
                <w:szCs w:val="21"/>
                <w:highlight w:val="none"/>
              </w:rPr>
            </w:pPr>
          </w:p>
        </w:tc>
        <w:tc>
          <w:tcPr>
            <w:tcW w:w="885" w:type="dxa"/>
            <w:vMerge w:val="continue"/>
            <w:vAlign w:val="center"/>
          </w:tcPr>
          <w:p>
            <w:pPr>
              <w:autoSpaceDE w:val="0"/>
              <w:autoSpaceDN w:val="0"/>
              <w:spacing w:line="380" w:lineRule="exact"/>
              <w:jc w:val="center"/>
              <w:rPr>
                <w:rFonts w:ascii="宋体" w:hAnsi="宋体" w:cs="宋体"/>
                <w:color w:val="auto"/>
                <w:szCs w:val="21"/>
                <w:highlight w:val="none"/>
              </w:rPr>
            </w:pPr>
          </w:p>
        </w:tc>
        <w:tc>
          <w:tcPr>
            <w:tcW w:w="7117" w:type="dxa"/>
            <w:vAlign w:val="center"/>
          </w:tcPr>
          <w:p>
            <w:pPr>
              <w:spacing w:line="380" w:lineRule="exact"/>
              <w:rPr>
                <w:rFonts w:ascii="宋体" w:hAnsi="宋体"/>
                <w:color w:val="auto"/>
                <w:szCs w:val="21"/>
                <w:highlight w:val="none"/>
              </w:rPr>
            </w:pPr>
            <w:bookmarkStart w:id="170" w:name="OLE_LINK27"/>
            <w:bookmarkStart w:id="171" w:name="OLE_LINK28"/>
            <w:bookmarkStart w:id="172" w:name="OLE_LINK61"/>
            <w:r>
              <w:rPr>
                <w:rFonts w:hint="eastAsia" w:ascii="宋体" w:hAnsi="宋体"/>
                <w:color w:val="auto"/>
                <w:szCs w:val="21"/>
                <w:highlight w:val="none"/>
              </w:rPr>
              <w:t>道路交通安全综合治理咨询服务</w:t>
            </w:r>
            <w:bookmarkEnd w:id="170"/>
            <w:r>
              <w:rPr>
                <w:rFonts w:hint="eastAsia" w:ascii="宋体" w:hAnsi="宋体"/>
                <w:color w:val="auto"/>
                <w:szCs w:val="21"/>
                <w:highlight w:val="none"/>
              </w:rPr>
              <w:t>及</w:t>
            </w:r>
            <w:bookmarkStart w:id="173" w:name="OLE_LINK26"/>
            <w:bookmarkStart w:id="174" w:name="OLE_LINK25"/>
            <w:r>
              <w:rPr>
                <w:rFonts w:hint="eastAsia" w:ascii="宋体" w:hAnsi="宋体"/>
                <w:color w:val="auto"/>
                <w:szCs w:val="21"/>
                <w:highlight w:val="none"/>
              </w:rPr>
              <w:t>电警设备采集申报</w:t>
            </w:r>
            <w:bookmarkEnd w:id="173"/>
            <w:r>
              <w:rPr>
                <w:rFonts w:hint="eastAsia" w:ascii="宋体" w:hAnsi="宋体"/>
                <w:color w:val="auto"/>
                <w:szCs w:val="21"/>
                <w:highlight w:val="none"/>
              </w:rPr>
              <w:t>咨询服务方案</w:t>
            </w:r>
            <w:bookmarkEnd w:id="171"/>
            <w:bookmarkEnd w:id="174"/>
            <w:r>
              <w:rPr>
                <w:rFonts w:hint="eastAsia" w:ascii="宋体" w:hAnsi="宋体"/>
                <w:color w:val="auto"/>
                <w:szCs w:val="21"/>
                <w:highlight w:val="none"/>
              </w:rPr>
              <w:t>（7分）</w:t>
            </w:r>
          </w:p>
          <w:p>
            <w:pPr>
              <w:spacing w:line="380" w:lineRule="exact"/>
              <w:rPr>
                <w:rFonts w:ascii="宋体" w:hAnsi="宋体"/>
                <w:color w:val="auto"/>
                <w:szCs w:val="21"/>
                <w:highlight w:val="none"/>
              </w:rPr>
            </w:pPr>
            <w:r>
              <w:rPr>
                <w:rFonts w:hint="eastAsia" w:ascii="宋体" w:hAnsi="宋体"/>
                <w:color w:val="auto"/>
                <w:szCs w:val="21"/>
                <w:highlight w:val="none"/>
              </w:rPr>
              <w:t>投标人依据采购文件中“咨询服务内容中的道路交通安全综合治理咨询服务及电警设备采集申报咨询服务”要求提供驻点咨询服务方案（包括但不限于</w:t>
            </w:r>
          </w:p>
          <w:p>
            <w:pPr>
              <w:spacing w:line="380" w:lineRule="exact"/>
              <w:rPr>
                <w:rFonts w:ascii="宋体" w:hAnsi="宋体"/>
                <w:color w:val="auto"/>
                <w:szCs w:val="21"/>
                <w:highlight w:val="none"/>
              </w:rPr>
            </w:pPr>
            <w:r>
              <w:rPr>
                <w:rFonts w:hint="eastAsia" w:ascii="宋体" w:hAnsi="宋体" w:cs="宋体"/>
                <w:bCs/>
                <w:color w:val="auto"/>
                <w:szCs w:val="21"/>
                <w:highlight w:val="none"/>
              </w:rPr>
              <w:t>道路交通安全隐患治理项目进行全流程跟踪技术指导，隐患分析与治理方案编制工作，</w:t>
            </w:r>
            <w:r>
              <w:rPr>
                <w:rFonts w:hint="eastAsia" w:ascii="宋体" w:hAnsi="宋体" w:cs="仿宋"/>
                <w:bCs/>
                <w:color w:val="auto"/>
                <w:szCs w:val="21"/>
                <w:highlight w:val="none"/>
              </w:rPr>
              <w:t>编制隐患点段、事故多发点段的治理案例，</w:t>
            </w:r>
            <w:r>
              <w:rPr>
                <w:rFonts w:hint="eastAsia" w:ascii="宋体" w:hAnsi="宋体"/>
                <w:color w:val="auto"/>
                <w:szCs w:val="21"/>
                <w:highlight w:val="none"/>
              </w:rPr>
              <w:t>电警设备采集申报等内容）进行综合评议：</w:t>
            </w:r>
          </w:p>
          <w:p>
            <w:pPr>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rPr>
              <w:t>①道路交通安全综合治理咨询服务及电警设备采集申报咨询服务方案全面详细、条理清晰、与采购文件中要求提供的驻点服务方案契合度高的得7分</w:t>
            </w:r>
            <w:r>
              <w:rPr>
                <w:rFonts w:hint="eastAsia" w:ascii="宋体" w:hAnsi="宋体"/>
                <w:color w:val="auto"/>
                <w:szCs w:val="21"/>
                <w:highlight w:val="none"/>
                <w:lang w:eastAsia="zh-CN"/>
              </w:rPr>
              <w:t>；</w:t>
            </w:r>
          </w:p>
          <w:p>
            <w:pPr>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rPr>
              <w:t>②道路交通安全综合治理咨询服务及电警设备采集申报咨询服务方案较详细、条理清晰、与采购文件中要求提供的驻点服务方案契合度较高的得5分</w:t>
            </w:r>
            <w:r>
              <w:rPr>
                <w:rFonts w:hint="eastAsia" w:ascii="宋体" w:hAnsi="宋体"/>
                <w:color w:val="auto"/>
                <w:szCs w:val="21"/>
                <w:highlight w:val="none"/>
                <w:lang w:eastAsia="zh-CN"/>
              </w:rPr>
              <w:t>；</w:t>
            </w:r>
          </w:p>
          <w:p>
            <w:pPr>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rPr>
              <w:t>③道路交通安全综合治理咨询服务及电警设备采集申报咨询服务方案不全面详细、条理不清晰、与采购文件中要求提供的驻点服务方案不切合的得3分</w:t>
            </w:r>
            <w:r>
              <w:rPr>
                <w:rFonts w:hint="eastAsia" w:ascii="宋体" w:hAnsi="宋体"/>
                <w:color w:val="auto"/>
                <w:szCs w:val="21"/>
                <w:highlight w:val="none"/>
                <w:lang w:eastAsia="zh-CN"/>
              </w:rPr>
              <w:t>；</w:t>
            </w:r>
          </w:p>
          <w:p>
            <w:pPr>
              <w:spacing w:line="380" w:lineRule="exact"/>
              <w:rPr>
                <w:rFonts w:ascii="宋体" w:hAnsi="宋体"/>
                <w:color w:val="auto"/>
                <w:szCs w:val="21"/>
                <w:highlight w:val="none"/>
              </w:rPr>
            </w:pPr>
            <w:r>
              <w:rPr>
                <w:rFonts w:hint="eastAsia" w:ascii="宋体" w:hAnsi="宋体"/>
                <w:color w:val="auto"/>
                <w:szCs w:val="21"/>
                <w:highlight w:val="none"/>
              </w:rPr>
              <w:t>④未提供的得0分。</w:t>
            </w:r>
            <w:bookmarkEnd w:id="172"/>
          </w:p>
        </w:tc>
        <w:tc>
          <w:tcPr>
            <w:tcW w:w="1032"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1266" w:type="dxa"/>
            <w:vMerge w:val="continue"/>
            <w:vAlign w:val="center"/>
          </w:tcPr>
          <w:p>
            <w:pPr>
              <w:spacing w:line="380" w:lineRule="exact"/>
              <w:jc w:val="center"/>
              <w:rPr>
                <w:rFonts w:ascii="宋体" w:hAnsi="宋体" w:cs="宋体"/>
                <w:b/>
                <w:bCs/>
                <w:color w:val="auto"/>
                <w:szCs w:val="21"/>
                <w:highlight w:val="none"/>
              </w:rPr>
            </w:pPr>
          </w:p>
        </w:tc>
        <w:tc>
          <w:tcPr>
            <w:tcW w:w="885" w:type="dxa"/>
            <w:vMerge w:val="continue"/>
            <w:vAlign w:val="center"/>
          </w:tcPr>
          <w:p>
            <w:pPr>
              <w:autoSpaceDE w:val="0"/>
              <w:autoSpaceDN w:val="0"/>
              <w:spacing w:line="380" w:lineRule="exact"/>
              <w:jc w:val="center"/>
              <w:rPr>
                <w:rFonts w:ascii="宋体" w:hAnsi="宋体" w:cs="宋体"/>
                <w:bCs/>
                <w:color w:val="auto"/>
                <w:szCs w:val="21"/>
                <w:highlight w:val="none"/>
              </w:rPr>
            </w:pPr>
          </w:p>
        </w:tc>
        <w:tc>
          <w:tcPr>
            <w:tcW w:w="7117" w:type="dxa"/>
            <w:vAlign w:val="center"/>
          </w:tcPr>
          <w:p>
            <w:pPr>
              <w:spacing w:line="380" w:lineRule="exact"/>
              <w:rPr>
                <w:rFonts w:ascii="宋体" w:hAnsi="宋体"/>
                <w:color w:val="auto"/>
                <w:szCs w:val="21"/>
                <w:highlight w:val="none"/>
              </w:rPr>
            </w:pPr>
            <w:r>
              <w:rPr>
                <w:rFonts w:hint="eastAsia" w:ascii="宋体" w:hAnsi="宋体"/>
                <w:color w:val="auto"/>
                <w:szCs w:val="21"/>
                <w:highlight w:val="none"/>
              </w:rPr>
              <w:t>质量保障措施（5分）</w:t>
            </w:r>
          </w:p>
          <w:p>
            <w:pPr>
              <w:spacing w:line="380" w:lineRule="exact"/>
              <w:rPr>
                <w:rFonts w:ascii="宋体" w:hAnsi="宋体"/>
                <w:color w:val="auto"/>
                <w:szCs w:val="21"/>
                <w:highlight w:val="none"/>
              </w:rPr>
            </w:pPr>
            <w:r>
              <w:rPr>
                <w:rFonts w:hint="eastAsia" w:ascii="宋体" w:hAnsi="宋体"/>
                <w:color w:val="auto"/>
                <w:szCs w:val="21"/>
                <w:highlight w:val="none"/>
              </w:rPr>
              <w:t>投标人依据采购文件中“驻点的专职技术人员主要工作内容”及“质量要求”的内容提供质量保障方案进行综合评议</w:t>
            </w:r>
          </w:p>
          <w:p>
            <w:pPr>
              <w:spacing w:line="380" w:lineRule="exact"/>
              <w:rPr>
                <w:rFonts w:hint="eastAsia" w:ascii="宋体" w:hAnsi="宋体" w:eastAsia="宋体"/>
                <w:color w:val="auto"/>
                <w:szCs w:val="21"/>
                <w:highlight w:val="none"/>
                <w:lang w:eastAsia="zh-CN"/>
              </w:rPr>
            </w:pPr>
            <w:bookmarkStart w:id="175" w:name="OLE_LINK32"/>
            <w:r>
              <w:rPr>
                <w:rFonts w:hint="eastAsia" w:ascii="宋体" w:hAnsi="宋体"/>
                <w:color w:val="auto"/>
                <w:szCs w:val="21"/>
                <w:highlight w:val="none"/>
              </w:rPr>
              <w:t>①质量保障措施详细、条理清晰、</w:t>
            </w:r>
            <w:bookmarkStart w:id="176" w:name="OLE_LINK30"/>
            <w:r>
              <w:rPr>
                <w:rFonts w:hint="eastAsia" w:ascii="宋体" w:hAnsi="宋体"/>
                <w:color w:val="auto"/>
                <w:szCs w:val="21"/>
                <w:highlight w:val="none"/>
              </w:rPr>
              <w:t>与采购需求契合度高</w:t>
            </w:r>
            <w:bookmarkEnd w:id="176"/>
            <w:r>
              <w:rPr>
                <w:rFonts w:hint="eastAsia" w:ascii="宋体" w:hAnsi="宋体"/>
                <w:color w:val="auto"/>
                <w:szCs w:val="21"/>
                <w:highlight w:val="none"/>
              </w:rPr>
              <w:t>的的得5分</w:t>
            </w:r>
            <w:r>
              <w:rPr>
                <w:rFonts w:hint="eastAsia" w:ascii="宋体" w:hAnsi="宋体"/>
                <w:color w:val="auto"/>
                <w:szCs w:val="21"/>
                <w:highlight w:val="none"/>
                <w:lang w:eastAsia="zh-CN"/>
              </w:rPr>
              <w:t>；</w:t>
            </w:r>
          </w:p>
          <w:p>
            <w:pPr>
              <w:spacing w:line="380" w:lineRule="exact"/>
              <w:rPr>
                <w:rFonts w:hint="eastAsia" w:ascii="宋体" w:hAnsi="宋体" w:eastAsia="宋体"/>
                <w:color w:val="auto"/>
                <w:szCs w:val="21"/>
                <w:highlight w:val="none"/>
                <w:lang w:eastAsia="zh-CN"/>
              </w:rPr>
            </w:pPr>
            <w:bookmarkStart w:id="177" w:name="OLE_LINK31"/>
            <w:r>
              <w:rPr>
                <w:rFonts w:hint="eastAsia" w:ascii="宋体" w:hAnsi="宋体"/>
                <w:color w:val="auto"/>
                <w:szCs w:val="21"/>
                <w:highlight w:val="none"/>
              </w:rPr>
              <w:t>②质量措施较详细、条理相对清晰、与采购需求契合度较高的得3分</w:t>
            </w:r>
            <w:bookmarkEnd w:id="177"/>
            <w:r>
              <w:rPr>
                <w:rFonts w:hint="eastAsia" w:ascii="宋体" w:hAnsi="宋体"/>
                <w:color w:val="auto"/>
                <w:szCs w:val="21"/>
                <w:highlight w:val="none"/>
                <w:lang w:eastAsia="zh-CN"/>
              </w:rPr>
              <w:t>；</w:t>
            </w:r>
          </w:p>
          <w:p>
            <w:pPr>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rPr>
              <w:t>③质量措施简单粗糙、条理不清晰、杂乱无章、与采购需求契合度差的得</w:t>
            </w:r>
            <w:r>
              <w:rPr>
                <w:rFonts w:hint="eastAsia" w:ascii="宋体" w:hAnsi="宋体"/>
                <w:color w:val="auto"/>
                <w:szCs w:val="21"/>
                <w:highlight w:val="none"/>
                <w:lang w:val="en-US" w:eastAsia="zh-CN"/>
              </w:rPr>
              <w:t>1</w:t>
            </w:r>
            <w:r>
              <w:rPr>
                <w:rFonts w:hint="eastAsia" w:ascii="宋体" w:hAnsi="宋体"/>
                <w:color w:val="auto"/>
                <w:szCs w:val="21"/>
                <w:highlight w:val="none"/>
              </w:rPr>
              <w:t>分</w:t>
            </w:r>
            <w:r>
              <w:rPr>
                <w:rFonts w:hint="eastAsia" w:ascii="宋体" w:hAnsi="宋体"/>
                <w:color w:val="auto"/>
                <w:szCs w:val="21"/>
                <w:highlight w:val="none"/>
                <w:lang w:eastAsia="zh-CN"/>
              </w:rPr>
              <w:t>；</w:t>
            </w:r>
          </w:p>
          <w:p>
            <w:pPr>
              <w:spacing w:line="380" w:lineRule="exact"/>
              <w:rPr>
                <w:rFonts w:ascii="宋体" w:hAnsi="宋体" w:cs="宋体"/>
                <w:color w:val="auto"/>
                <w:szCs w:val="21"/>
                <w:highlight w:val="none"/>
              </w:rPr>
            </w:pPr>
            <w:r>
              <w:rPr>
                <w:rFonts w:hint="eastAsia" w:ascii="宋体" w:hAnsi="宋体"/>
                <w:color w:val="auto"/>
                <w:szCs w:val="21"/>
                <w:highlight w:val="none"/>
              </w:rPr>
              <w:t>④未提供的得0分。</w:t>
            </w:r>
            <w:bookmarkEnd w:id="175"/>
          </w:p>
        </w:tc>
        <w:tc>
          <w:tcPr>
            <w:tcW w:w="1032"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1266" w:type="dxa"/>
            <w:vMerge w:val="continue"/>
            <w:vAlign w:val="center"/>
          </w:tcPr>
          <w:p>
            <w:pPr>
              <w:spacing w:line="380" w:lineRule="exact"/>
              <w:jc w:val="center"/>
              <w:rPr>
                <w:rFonts w:ascii="宋体" w:hAnsi="宋体" w:cs="宋体"/>
                <w:b/>
                <w:bCs/>
                <w:color w:val="auto"/>
                <w:szCs w:val="21"/>
                <w:highlight w:val="none"/>
              </w:rPr>
            </w:pPr>
          </w:p>
        </w:tc>
        <w:tc>
          <w:tcPr>
            <w:tcW w:w="885" w:type="dxa"/>
            <w:vMerge w:val="continue"/>
            <w:vAlign w:val="center"/>
          </w:tcPr>
          <w:p>
            <w:pPr>
              <w:autoSpaceDE w:val="0"/>
              <w:autoSpaceDN w:val="0"/>
              <w:spacing w:line="380" w:lineRule="exact"/>
              <w:jc w:val="center"/>
              <w:rPr>
                <w:rFonts w:ascii="宋体" w:hAnsi="宋体" w:cs="宋体"/>
                <w:bCs/>
                <w:color w:val="auto"/>
                <w:szCs w:val="21"/>
                <w:highlight w:val="none"/>
              </w:rPr>
            </w:pPr>
          </w:p>
        </w:tc>
        <w:tc>
          <w:tcPr>
            <w:tcW w:w="7117" w:type="dxa"/>
            <w:vAlign w:val="center"/>
          </w:tcPr>
          <w:p>
            <w:pPr>
              <w:spacing w:line="380" w:lineRule="exact"/>
              <w:rPr>
                <w:rFonts w:ascii="宋体" w:hAnsi="宋体"/>
                <w:color w:val="auto"/>
                <w:szCs w:val="21"/>
                <w:highlight w:val="none"/>
              </w:rPr>
            </w:pPr>
            <w:r>
              <w:rPr>
                <w:rFonts w:hint="eastAsia" w:ascii="宋体" w:hAnsi="宋体"/>
                <w:color w:val="auto"/>
                <w:szCs w:val="21"/>
                <w:highlight w:val="none"/>
              </w:rPr>
              <w:t>安全保障措施（5分）</w:t>
            </w:r>
          </w:p>
          <w:p>
            <w:pPr>
              <w:spacing w:line="380" w:lineRule="exact"/>
              <w:rPr>
                <w:rFonts w:ascii="宋体" w:hAnsi="宋体"/>
                <w:color w:val="auto"/>
                <w:szCs w:val="21"/>
                <w:highlight w:val="none"/>
              </w:rPr>
            </w:pPr>
            <w:r>
              <w:rPr>
                <w:rFonts w:hint="eastAsia" w:ascii="宋体" w:hAnsi="宋体"/>
                <w:color w:val="auto"/>
                <w:szCs w:val="21"/>
                <w:highlight w:val="none"/>
              </w:rPr>
              <w:t>投标人依据采购文件中“驻点的专职技术人员主要工作内容”及“安全要求”的内容提供安全保障方案</w:t>
            </w:r>
          </w:p>
          <w:p>
            <w:pPr>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rPr>
              <w:t>①</w:t>
            </w:r>
            <w:bookmarkStart w:id="178" w:name="OLE_LINK33"/>
            <w:r>
              <w:rPr>
                <w:rFonts w:hint="eastAsia" w:ascii="宋体" w:hAnsi="宋体"/>
                <w:color w:val="auto"/>
                <w:szCs w:val="21"/>
                <w:highlight w:val="none"/>
              </w:rPr>
              <w:t>安全</w:t>
            </w:r>
            <w:bookmarkEnd w:id="178"/>
            <w:r>
              <w:rPr>
                <w:rFonts w:hint="eastAsia" w:ascii="宋体" w:hAnsi="宋体"/>
                <w:color w:val="auto"/>
                <w:szCs w:val="21"/>
                <w:highlight w:val="none"/>
              </w:rPr>
              <w:t>保障措施详细、条理清晰、与采购需求契合度高的的得5分</w:t>
            </w:r>
            <w:r>
              <w:rPr>
                <w:rFonts w:hint="eastAsia" w:ascii="宋体" w:hAnsi="宋体"/>
                <w:color w:val="auto"/>
                <w:szCs w:val="21"/>
                <w:highlight w:val="none"/>
                <w:lang w:eastAsia="zh-CN"/>
              </w:rPr>
              <w:t>；</w:t>
            </w:r>
          </w:p>
          <w:p>
            <w:pPr>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rPr>
              <w:t>②安全措施较详细、条理相对清晰、与采购需求契合度较高的得3分</w:t>
            </w:r>
            <w:r>
              <w:rPr>
                <w:rFonts w:hint="eastAsia" w:ascii="宋体" w:hAnsi="宋体"/>
                <w:color w:val="auto"/>
                <w:szCs w:val="21"/>
                <w:highlight w:val="none"/>
                <w:lang w:eastAsia="zh-CN"/>
              </w:rPr>
              <w:t>；</w:t>
            </w:r>
          </w:p>
          <w:p>
            <w:pPr>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rPr>
              <w:t>③安全措施简单粗糙、条理不清晰、杂乱无章、与采购需求契合度差的得</w:t>
            </w:r>
            <w:r>
              <w:rPr>
                <w:rFonts w:hint="eastAsia" w:ascii="宋体" w:hAnsi="宋体"/>
                <w:color w:val="auto"/>
                <w:szCs w:val="21"/>
                <w:highlight w:val="none"/>
                <w:lang w:val="en-US" w:eastAsia="zh-CN"/>
              </w:rPr>
              <w:t>1</w:t>
            </w:r>
            <w:r>
              <w:rPr>
                <w:rFonts w:hint="eastAsia" w:ascii="宋体" w:hAnsi="宋体"/>
                <w:color w:val="auto"/>
                <w:szCs w:val="21"/>
                <w:highlight w:val="none"/>
              </w:rPr>
              <w:t>分</w:t>
            </w:r>
            <w:r>
              <w:rPr>
                <w:rFonts w:hint="eastAsia" w:ascii="宋体" w:hAnsi="宋体"/>
                <w:color w:val="auto"/>
                <w:szCs w:val="21"/>
                <w:highlight w:val="none"/>
                <w:lang w:eastAsia="zh-CN"/>
              </w:rPr>
              <w:t>；</w:t>
            </w:r>
          </w:p>
          <w:p>
            <w:pPr>
              <w:spacing w:line="380" w:lineRule="exact"/>
              <w:contextualSpacing/>
              <w:rPr>
                <w:rFonts w:ascii="宋体" w:hAnsi="宋体" w:cs="宋体"/>
                <w:color w:val="auto"/>
                <w:szCs w:val="21"/>
                <w:highlight w:val="none"/>
              </w:rPr>
            </w:pPr>
            <w:r>
              <w:rPr>
                <w:rFonts w:hint="eastAsia" w:ascii="宋体" w:hAnsi="宋体"/>
                <w:color w:val="auto"/>
                <w:szCs w:val="21"/>
                <w:highlight w:val="none"/>
              </w:rPr>
              <w:t>④未提供的得0分。</w:t>
            </w:r>
          </w:p>
        </w:tc>
        <w:tc>
          <w:tcPr>
            <w:tcW w:w="1032" w:type="dxa"/>
            <w:vAlign w:val="center"/>
          </w:tcPr>
          <w:p>
            <w:pPr>
              <w:spacing w:line="380" w:lineRule="exact"/>
              <w:jc w:val="center"/>
              <w:rPr>
                <w:rFonts w:ascii="宋体" w:hAnsi="宋体" w:cs="宋体"/>
                <w:color w:val="auto"/>
                <w:szCs w:val="21"/>
                <w:highlight w:val="none"/>
              </w:rPr>
            </w:pPr>
            <w:bookmarkStart w:id="179" w:name="OLE_LINK35"/>
            <w:r>
              <w:rPr>
                <w:rFonts w:hint="eastAsia" w:ascii="宋体" w:hAnsi="宋体" w:cs="宋体"/>
                <w:color w:val="auto"/>
                <w:szCs w:val="21"/>
                <w:highlight w:val="none"/>
              </w:rPr>
              <w:t>主观分</w:t>
            </w:r>
            <w:bookmarkEnd w:id="1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1266" w:type="dxa"/>
            <w:vMerge w:val="continue"/>
            <w:vAlign w:val="center"/>
          </w:tcPr>
          <w:p>
            <w:pPr>
              <w:spacing w:line="380" w:lineRule="exact"/>
              <w:jc w:val="center"/>
              <w:rPr>
                <w:rFonts w:ascii="宋体" w:hAnsi="宋体" w:cs="宋体"/>
                <w:b/>
                <w:bCs/>
                <w:color w:val="auto"/>
                <w:szCs w:val="21"/>
                <w:highlight w:val="none"/>
              </w:rPr>
            </w:pPr>
          </w:p>
        </w:tc>
        <w:tc>
          <w:tcPr>
            <w:tcW w:w="885" w:type="dxa"/>
            <w:vAlign w:val="center"/>
          </w:tcPr>
          <w:p>
            <w:pPr>
              <w:autoSpaceDE w:val="0"/>
              <w:autoSpaceDN w:val="0"/>
              <w:spacing w:line="38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rPr>
              <w:t>对本项目的重点、难点分析</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6分</w:t>
            </w:r>
            <w:r>
              <w:rPr>
                <w:rFonts w:hint="eastAsia" w:ascii="宋体" w:hAnsi="宋体" w:cs="宋体"/>
                <w:color w:val="auto"/>
                <w:szCs w:val="21"/>
                <w:highlight w:val="none"/>
                <w:lang w:eastAsia="zh-CN"/>
              </w:rPr>
              <w:t>）</w:t>
            </w:r>
          </w:p>
        </w:tc>
        <w:tc>
          <w:tcPr>
            <w:tcW w:w="7117" w:type="dxa"/>
            <w:vAlign w:val="center"/>
          </w:tcPr>
          <w:p>
            <w:pPr>
              <w:spacing w:line="380" w:lineRule="exact"/>
              <w:contextualSpacing/>
              <w:rPr>
                <w:rFonts w:ascii="宋体" w:hAnsi="宋体"/>
                <w:color w:val="auto"/>
                <w:szCs w:val="21"/>
                <w:highlight w:val="none"/>
              </w:rPr>
            </w:pPr>
            <w:bookmarkStart w:id="180" w:name="OLE_LINK63"/>
            <w:r>
              <w:rPr>
                <w:rFonts w:hint="eastAsia" w:ascii="宋体" w:hAnsi="宋体" w:cs="宋体"/>
                <w:color w:val="auto"/>
                <w:szCs w:val="21"/>
                <w:highlight w:val="none"/>
              </w:rPr>
              <w:t>根据</w:t>
            </w:r>
            <w:bookmarkStart w:id="181" w:name="OLE_LINK18"/>
            <w:r>
              <w:rPr>
                <w:rFonts w:hint="eastAsia" w:ascii="宋体" w:hAnsi="宋体" w:cs="宋体"/>
                <w:color w:val="auto"/>
                <w:szCs w:val="21"/>
                <w:highlight w:val="none"/>
              </w:rPr>
              <w:t>投标人</w:t>
            </w:r>
            <w:bookmarkEnd w:id="181"/>
            <w:r>
              <w:rPr>
                <w:rFonts w:hint="eastAsia" w:ascii="宋体" w:hAnsi="宋体" w:cs="宋体"/>
                <w:color w:val="auto"/>
                <w:szCs w:val="21"/>
                <w:highlight w:val="none"/>
              </w:rPr>
              <w:t>提供的针</w:t>
            </w:r>
            <w:bookmarkStart w:id="182" w:name="OLE_LINK3"/>
            <w:r>
              <w:rPr>
                <w:rFonts w:hint="eastAsia" w:ascii="宋体" w:hAnsi="宋体" w:cs="宋体"/>
                <w:color w:val="auto"/>
                <w:szCs w:val="21"/>
                <w:highlight w:val="none"/>
              </w:rPr>
              <w:t>对本项目的重点、难点分析</w:t>
            </w:r>
            <w:bookmarkEnd w:id="182"/>
            <w:r>
              <w:rPr>
                <w:rFonts w:hint="eastAsia" w:ascii="宋体" w:hAnsi="宋体" w:cs="宋体"/>
                <w:color w:val="auto"/>
                <w:szCs w:val="21"/>
                <w:highlight w:val="none"/>
              </w:rPr>
              <w:t>及应对措施进行评议。（6分）</w:t>
            </w:r>
            <w:r>
              <w:rPr>
                <w:rFonts w:hint="eastAsia" w:ascii="宋体" w:hAnsi="宋体" w:cs="宋体"/>
                <w:color w:val="auto"/>
                <w:szCs w:val="21"/>
                <w:highlight w:val="none"/>
              </w:rPr>
              <w:br w:type="textWrapping"/>
            </w:r>
            <w:r>
              <w:rPr>
                <w:rFonts w:hint="eastAsia" w:ascii="宋体" w:hAnsi="宋体" w:cs="宋体"/>
                <w:color w:val="auto"/>
                <w:szCs w:val="21"/>
                <w:highlight w:val="none"/>
              </w:rPr>
              <w:t>①对项目的重难点分析</w:t>
            </w:r>
            <w:bookmarkStart w:id="183" w:name="OLE_LINK34"/>
            <w:r>
              <w:rPr>
                <w:rFonts w:hint="eastAsia" w:ascii="宋体" w:hAnsi="宋体" w:cs="宋体"/>
                <w:color w:val="auto"/>
                <w:szCs w:val="21"/>
                <w:highlight w:val="none"/>
              </w:rPr>
              <w:t>与项目实际情况契合度高</w:t>
            </w:r>
            <w:bookmarkEnd w:id="183"/>
            <w:r>
              <w:rPr>
                <w:rFonts w:hint="eastAsia" w:ascii="宋体" w:hAnsi="宋体" w:cs="宋体"/>
                <w:color w:val="auto"/>
                <w:szCs w:val="21"/>
                <w:highlight w:val="none"/>
              </w:rPr>
              <w:t>、对项目的关键节点有深刻理解且能够提供成熟合理的应对措施的得6分</w:t>
            </w:r>
            <w:r>
              <w:rPr>
                <w:rFonts w:hint="eastAsia" w:ascii="宋体" w:hAnsi="宋体" w:cs="宋体"/>
                <w:color w:val="auto"/>
                <w:szCs w:val="21"/>
                <w:highlight w:val="none"/>
                <w:lang w:eastAsia="zh-CN"/>
              </w:rPr>
              <w:t>；</w:t>
            </w:r>
            <w:r>
              <w:rPr>
                <w:rFonts w:hint="eastAsia" w:ascii="宋体" w:hAnsi="宋体" w:cs="宋体"/>
                <w:color w:val="auto"/>
                <w:szCs w:val="21"/>
                <w:highlight w:val="none"/>
              </w:rPr>
              <w:br w:type="textWrapping"/>
            </w:r>
            <w:r>
              <w:rPr>
                <w:rFonts w:hint="eastAsia" w:ascii="宋体" w:hAnsi="宋体" w:cs="宋体"/>
                <w:color w:val="auto"/>
                <w:szCs w:val="21"/>
                <w:highlight w:val="none"/>
              </w:rPr>
              <w:t>②对项目的重难点分析与项目实际情况契合度基本满足、关键节点的把握能力较好的得4分</w:t>
            </w:r>
            <w:r>
              <w:rPr>
                <w:rFonts w:hint="eastAsia" w:ascii="宋体" w:hAnsi="宋体" w:cs="宋体"/>
                <w:color w:val="auto"/>
                <w:szCs w:val="21"/>
                <w:highlight w:val="none"/>
                <w:lang w:eastAsia="zh-CN"/>
              </w:rPr>
              <w:t>；</w:t>
            </w:r>
            <w:r>
              <w:rPr>
                <w:rFonts w:hint="eastAsia" w:ascii="宋体" w:hAnsi="宋体" w:cs="宋体"/>
                <w:color w:val="auto"/>
                <w:szCs w:val="21"/>
                <w:highlight w:val="none"/>
              </w:rPr>
              <w:br w:type="textWrapping"/>
            </w:r>
            <w:r>
              <w:rPr>
                <w:rFonts w:hint="eastAsia" w:ascii="宋体" w:hAnsi="宋体" w:cs="宋体"/>
                <w:color w:val="auto"/>
                <w:szCs w:val="21"/>
                <w:highlight w:val="none"/>
              </w:rPr>
              <w:t>③分析及应对方案简单粗略，缺乏对本项目实际情况分析和理解的的得2分</w:t>
            </w:r>
            <w:r>
              <w:rPr>
                <w:rFonts w:hint="eastAsia" w:ascii="宋体" w:hAnsi="宋体" w:cs="宋体"/>
                <w:color w:val="auto"/>
                <w:szCs w:val="21"/>
                <w:highlight w:val="none"/>
                <w:lang w:eastAsia="zh-CN"/>
              </w:rPr>
              <w:t>；</w:t>
            </w:r>
            <w:r>
              <w:rPr>
                <w:rFonts w:hint="eastAsia" w:ascii="宋体" w:hAnsi="宋体" w:cs="宋体"/>
                <w:color w:val="auto"/>
                <w:szCs w:val="21"/>
                <w:highlight w:val="none"/>
              </w:rPr>
              <w:t>④未提供方案不得分。</w:t>
            </w:r>
            <w:bookmarkEnd w:id="180"/>
          </w:p>
        </w:tc>
        <w:tc>
          <w:tcPr>
            <w:tcW w:w="1032"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66" w:type="dxa"/>
            <w:vMerge w:val="continue"/>
            <w:vAlign w:val="center"/>
          </w:tcPr>
          <w:p>
            <w:pPr>
              <w:spacing w:line="380" w:lineRule="exact"/>
              <w:jc w:val="center"/>
              <w:rPr>
                <w:rFonts w:ascii="宋体" w:hAnsi="宋体" w:cs="宋体"/>
                <w:b/>
                <w:bCs/>
                <w:color w:val="auto"/>
                <w:szCs w:val="21"/>
                <w:highlight w:val="none"/>
              </w:rPr>
            </w:pPr>
          </w:p>
        </w:tc>
        <w:tc>
          <w:tcPr>
            <w:tcW w:w="885" w:type="dxa"/>
            <w:vAlign w:val="center"/>
          </w:tcPr>
          <w:p>
            <w:pPr>
              <w:autoSpaceDE w:val="0"/>
              <w:autoSpaceDN w:val="0"/>
              <w:spacing w:line="38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rPr>
              <w:t>应急预案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5分</w:t>
            </w:r>
            <w:r>
              <w:rPr>
                <w:rFonts w:hint="eastAsia" w:ascii="宋体" w:hAnsi="宋体" w:cs="宋体"/>
                <w:color w:val="auto"/>
                <w:szCs w:val="21"/>
                <w:highlight w:val="none"/>
                <w:lang w:eastAsia="zh-CN"/>
              </w:rPr>
              <w:t>）</w:t>
            </w:r>
          </w:p>
        </w:tc>
        <w:tc>
          <w:tcPr>
            <w:tcW w:w="7117" w:type="dxa"/>
            <w:vAlign w:val="center"/>
          </w:tcPr>
          <w:p>
            <w:pPr>
              <w:widowControl/>
              <w:pBdr>
                <w:top w:val="none" w:color="auto" w:sz="0" w:space="1"/>
                <w:left w:val="none" w:color="auto" w:sz="0" w:space="4"/>
                <w:bottom w:val="none" w:color="auto" w:sz="0" w:space="1"/>
                <w:right w:val="none" w:color="auto" w:sz="0" w:space="4"/>
              </w:pBdr>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针对投标人提供的</w:t>
            </w:r>
            <w:bookmarkStart w:id="184" w:name="OLE_LINK15"/>
            <w:r>
              <w:rPr>
                <w:rFonts w:hint="eastAsia" w:ascii="宋体" w:hAnsi="宋体" w:cs="宋体"/>
                <w:color w:val="auto"/>
                <w:szCs w:val="21"/>
                <w:highlight w:val="none"/>
              </w:rPr>
              <w:t>应急预案</w:t>
            </w:r>
            <w:bookmarkEnd w:id="184"/>
            <w:r>
              <w:rPr>
                <w:rFonts w:hint="eastAsia" w:ascii="宋体" w:hAnsi="宋体" w:cs="宋体"/>
                <w:color w:val="auto"/>
                <w:szCs w:val="21"/>
                <w:highlight w:val="none"/>
              </w:rPr>
              <w:t>（包括但不限于</w:t>
            </w:r>
            <w:r>
              <w:rPr>
                <w:rFonts w:hint="eastAsia" w:ascii="宋体" w:hAnsi="宋体" w:cs="宋体"/>
                <w:color w:val="auto"/>
                <w:szCs w:val="21"/>
                <w:highlight w:val="none"/>
                <w:lang w:val="zh-CN"/>
              </w:rPr>
              <w:t>重大活动、紧急任务</w:t>
            </w:r>
            <w:r>
              <w:rPr>
                <w:rFonts w:hint="eastAsia" w:ascii="宋体" w:hAnsi="宋体" w:cs="宋体"/>
                <w:color w:val="auto"/>
                <w:szCs w:val="21"/>
                <w:highlight w:val="none"/>
              </w:rPr>
              <w:t>等</w:t>
            </w:r>
            <w:r>
              <w:rPr>
                <w:rFonts w:hint="eastAsia" w:ascii="宋体" w:hAnsi="宋体" w:cs="宋体"/>
                <w:color w:val="auto"/>
                <w:szCs w:val="21"/>
                <w:highlight w:val="none"/>
                <w:lang w:val="zh-CN"/>
              </w:rPr>
              <w:t>特殊情况时</w:t>
            </w:r>
            <w:r>
              <w:rPr>
                <w:rFonts w:hint="eastAsia" w:ascii="宋体" w:hAnsi="宋体" w:cs="宋体"/>
                <w:color w:val="auto"/>
                <w:szCs w:val="21"/>
                <w:highlight w:val="none"/>
              </w:rPr>
              <w:t>）的评议。（5分）</w:t>
            </w:r>
          </w:p>
          <w:p>
            <w:pPr>
              <w:widowControl/>
              <w:pBdr>
                <w:top w:val="none" w:color="auto" w:sz="0" w:space="1"/>
                <w:left w:val="none" w:color="auto" w:sz="0" w:space="4"/>
                <w:bottom w:val="none" w:color="auto" w:sz="0" w:space="1"/>
                <w:right w:val="none" w:color="auto" w:sz="0" w:space="4"/>
              </w:pBdr>
              <w:spacing w:line="38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①应急保障计划完善合理，应急响应时间快捷的得5分</w:t>
            </w:r>
            <w:r>
              <w:rPr>
                <w:rFonts w:hint="eastAsia" w:ascii="宋体" w:hAnsi="宋体" w:cs="宋体"/>
                <w:color w:val="auto"/>
                <w:szCs w:val="21"/>
                <w:highlight w:val="none"/>
                <w:lang w:eastAsia="zh-CN"/>
              </w:rPr>
              <w:t>；</w:t>
            </w:r>
          </w:p>
          <w:p>
            <w:pPr>
              <w:widowControl/>
              <w:pBdr>
                <w:top w:val="none" w:color="auto" w:sz="0" w:space="1"/>
                <w:left w:val="none" w:color="auto" w:sz="0" w:space="4"/>
                <w:bottom w:val="none" w:color="auto" w:sz="0" w:space="1"/>
                <w:right w:val="none" w:color="auto" w:sz="0" w:space="4"/>
              </w:pBdr>
              <w:spacing w:line="38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②应急保障计划基本合理，应急响应时间较快的得3分</w:t>
            </w:r>
            <w:r>
              <w:rPr>
                <w:rFonts w:hint="eastAsia" w:ascii="宋体" w:hAnsi="宋体" w:cs="宋体"/>
                <w:color w:val="auto"/>
                <w:szCs w:val="21"/>
                <w:highlight w:val="none"/>
                <w:lang w:eastAsia="zh-CN"/>
              </w:rPr>
              <w:t>；</w:t>
            </w:r>
          </w:p>
          <w:p>
            <w:pPr>
              <w:widowControl/>
              <w:pBdr>
                <w:top w:val="none" w:color="auto" w:sz="0" w:space="1"/>
                <w:left w:val="none" w:color="auto" w:sz="0" w:space="4"/>
                <w:bottom w:val="none" w:color="auto" w:sz="0" w:space="1"/>
                <w:right w:val="none" w:color="auto" w:sz="0" w:space="4"/>
              </w:pBdr>
              <w:spacing w:line="38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③应急保障计划较为简单，响应时间一般的得1分</w:t>
            </w:r>
            <w:r>
              <w:rPr>
                <w:rFonts w:hint="eastAsia" w:ascii="宋体" w:hAnsi="宋体" w:cs="宋体"/>
                <w:color w:val="auto"/>
                <w:szCs w:val="21"/>
                <w:highlight w:val="none"/>
                <w:lang w:eastAsia="zh-CN"/>
              </w:rPr>
              <w:t>；</w:t>
            </w:r>
          </w:p>
          <w:p>
            <w:pPr>
              <w:spacing w:line="380" w:lineRule="exact"/>
              <w:contextualSpacing/>
              <w:rPr>
                <w:rFonts w:ascii="宋体" w:hAnsi="宋体" w:cs="宋体"/>
                <w:color w:val="auto"/>
                <w:szCs w:val="21"/>
                <w:highlight w:val="none"/>
              </w:rPr>
            </w:pPr>
            <w:r>
              <w:rPr>
                <w:rFonts w:hint="eastAsia" w:ascii="宋体" w:hAnsi="宋体" w:cs="宋体"/>
                <w:color w:val="auto"/>
                <w:szCs w:val="21"/>
                <w:highlight w:val="none"/>
              </w:rPr>
              <w:t>④未提供的得0分。</w:t>
            </w:r>
          </w:p>
        </w:tc>
        <w:tc>
          <w:tcPr>
            <w:tcW w:w="1032"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266" w:type="dxa"/>
            <w:vMerge w:val="continue"/>
            <w:vAlign w:val="center"/>
          </w:tcPr>
          <w:p>
            <w:pPr>
              <w:spacing w:line="380" w:lineRule="exact"/>
              <w:jc w:val="center"/>
              <w:rPr>
                <w:rFonts w:ascii="宋体" w:hAnsi="宋体" w:cs="宋体"/>
                <w:b/>
                <w:bCs/>
                <w:color w:val="auto"/>
                <w:szCs w:val="21"/>
                <w:highlight w:val="none"/>
              </w:rPr>
            </w:pPr>
          </w:p>
        </w:tc>
        <w:tc>
          <w:tcPr>
            <w:tcW w:w="885" w:type="dxa"/>
            <w:vAlign w:val="center"/>
          </w:tcPr>
          <w:p>
            <w:pPr>
              <w:autoSpaceDE w:val="0"/>
              <w:autoSpaceDN w:val="0"/>
              <w:spacing w:line="380" w:lineRule="exact"/>
              <w:jc w:val="center"/>
              <w:rPr>
                <w:rFonts w:ascii="宋体" w:hAnsi="宋体" w:cs="宋体"/>
                <w:bCs/>
                <w:color w:val="auto"/>
                <w:szCs w:val="21"/>
                <w:highlight w:val="none"/>
              </w:rPr>
            </w:pPr>
            <w:bookmarkStart w:id="185" w:name="OLE_LINK50"/>
            <w:r>
              <w:rPr>
                <w:rFonts w:hint="eastAsia" w:ascii="宋体" w:hAnsi="宋体"/>
                <w:bCs/>
                <w:szCs w:val="21"/>
              </w:rPr>
              <w:t>交通拥堵或事故隐患治理方案</w:t>
            </w:r>
            <w:r>
              <w:rPr>
                <w:rFonts w:hint="eastAsia" w:ascii="宋体" w:hAnsi="宋体" w:cs="仿宋"/>
                <w:bCs/>
                <w:szCs w:val="21"/>
              </w:rPr>
              <w:t>（10分）</w:t>
            </w:r>
            <w:bookmarkEnd w:id="185"/>
          </w:p>
        </w:tc>
        <w:tc>
          <w:tcPr>
            <w:tcW w:w="7117" w:type="dxa"/>
            <w:vAlign w:val="center"/>
          </w:tcPr>
          <w:p>
            <w:pPr>
              <w:pStyle w:val="2"/>
              <w:spacing w:line="360" w:lineRule="auto"/>
              <w:rPr>
                <w:rFonts w:ascii="宋体" w:hAnsi="宋体" w:cs="宋体"/>
                <w:szCs w:val="21"/>
              </w:rPr>
            </w:pPr>
            <w:r>
              <w:rPr>
                <w:rFonts w:hint="eastAsia" w:ascii="宋体" w:hAnsi="宋体" w:cs="宋体"/>
                <w:szCs w:val="21"/>
              </w:rPr>
              <w:t>1、</w:t>
            </w:r>
            <w:bookmarkStart w:id="186" w:name="OLE_LINK51"/>
            <w:r>
              <w:rPr>
                <w:rFonts w:hint="eastAsia" w:ascii="宋体" w:hAnsi="宋体" w:cs="宋体"/>
                <w:szCs w:val="21"/>
                <w:lang w:val="en-US" w:eastAsia="zh-CN"/>
              </w:rPr>
              <w:t>根据</w:t>
            </w:r>
            <w:r>
              <w:rPr>
                <w:rFonts w:hint="eastAsia" w:ascii="宋体" w:hAnsi="宋体" w:cs="宋体"/>
                <w:szCs w:val="21"/>
              </w:rPr>
              <w:t>投标人</w:t>
            </w:r>
            <w:r>
              <w:rPr>
                <w:rFonts w:hint="eastAsia" w:ascii="宋体" w:hAnsi="宋体" w:cs="宋体"/>
                <w:szCs w:val="21"/>
                <w:lang w:val="en-US" w:eastAsia="zh-CN"/>
              </w:rPr>
              <w:t>按照</w:t>
            </w:r>
            <w:r>
              <w:rPr>
                <w:rFonts w:hint="eastAsia" w:ascii="宋体" w:hAnsi="宋体" w:cs="宋体"/>
                <w:szCs w:val="21"/>
              </w:rPr>
              <w:t>招标文件</w:t>
            </w:r>
            <w:r>
              <w:rPr>
                <w:rFonts w:hint="eastAsia" w:ascii="宋体" w:hAnsi="宋体" w:cs="宋体"/>
                <w:b/>
                <w:bCs/>
                <w:szCs w:val="21"/>
              </w:rPr>
              <w:t>第二部分招标项目需求技术要求中</w:t>
            </w:r>
            <w:r>
              <w:rPr>
                <w:rFonts w:hint="eastAsia" w:ascii="宋体" w:hAnsi="宋体" w:cs="宋体"/>
                <w:b/>
                <w:bCs/>
                <w:szCs w:val="21"/>
                <w:lang w:eastAsia="zh-CN"/>
              </w:rPr>
              <w:t>“</w:t>
            </w:r>
            <w:r>
              <w:rPr>
                <w:rFonts w:hint="eastAsia" w:ascii="宋体" w:hAnsi="宋体" w:cs="宋体"/>
                <w:b/>
                <w:bCs/>
                <w:color w:val="auto"/>
                <w:sz w:val="21"/>
                <w:szCs w:val="21"/>
                <w:highlight w:val="none"/>
              </w:rPr>
              <w:t>七、其他要求</w:t>
            </w:r>
            <w:r>
              <w:rPr>
                <w:rFonts w:hint="eastAsia" w:ascii="宋体" w:hAnsi="宋体" w:cs="宋体"/>
                <w:b/>
                <w:bCs/>
                <w:szCs w:val="21"/>
                <w:lang w:eastAsia="zh-CN"/>
              </w:rPr>
              <w:t>”</w:t>
            </w:r>
            <w:r>
              <w:rPr>
                <w:rFonts w:hint="eastAsia" w:ascii="宋体" w:hAnsi="宋体" w:cs="宋体"/>
                <w:b/>
                <w:bCs/>
                <w:color w:val="auto"/>
                <w:sz w:val="21"/>
                <w:szCs w:val="21"/>
                <w:highlight w:val="none"/>
                <w:lang w:val="en-US" w:eastAsia="zh-CN"/>
              </w:rPr>
              <w:t>里</w:t>
            </w:r>
            <w:r>
              <w:rPr>
                <w:rFonts w:hint="eastAsia" w:ascii="宋体" w:hAnsi="宋体" w:cs="宋体"/>
                <w:b/>
                <w:bCs/>
                <w:szCs w:val="21"/>
              </w:rPr>
              <w:t>“</w:t>
            </w:r>
            <w:r>
              <w:rPr>
                <w:rFonts w:hint="eastAsia" w:ascii="宋体" w:hAnsi="宋体" w:cs="宋体"/>
                <w:b/>
                <w:bCs/>
                <w:szCs w:val="21"/>
                <w:lang w:val="en-US" w:eastAsia="zh-CN"/>
              </w:rPr>
              <w:t>4、</w:t>
            </w:r>
            <w:r>
              <w:rPr>
                <w:rFonts w:hint="eastAsia" w:ascii="宋体" w:hAnsi="宋体" w:cs="宋体"/>
                <w:b/>
                <w:bCs/>
                <w:szCs w:val="21"/>
              </w:rPr>
              <w:t>某路口或路段交通拥堵或事故隐患治理方案具体要求”</w:t>
            </w:r>
            <w:r>
              <w:rPr>
                <w:rFonts w:hint="eastAsia" w:ascii="宋体" w:hAnsi="宋体" w:cs="宋体"/>
                <w:szCs w:val="21"/>
              </w:rPr>
              <w:t>提供</w:t>
            </w:r>
            <w:r>
              <w:rPr>
                <w:rFonts w:hint="eastAsia" w:ascii="宋体" w:hAnsi="宋体" w:cs="宋体"/>
                <w:szCs w:val="21"/>
                <w:lang w:eastAsia="zh-CN"/>
              </w:rPr>
              <w:t>的</w:t>
            </w:r>
            <w:r>
              <w:rPr>
                <w:rFonts w:hint="eastAsia" w:ascii="宋体" w:hAnsi="宋体"/>
                <w:bCs/>
                <w:szCs w:val="21"/>
              </w:rPr>
              <w:t>交通拥堵或事故隐患治理方案</w:t>
            </w:r>
            <w:r>
              <w:rPr>
                <w:rFonts w:hint="eastAsia" w:ascii="宋体" w:hAnsi="宋体"/>
                <w:bCs/>
                <w:szCs w:val="21"/>
                <w:lang w:val="en-US" w:eastAsia="zh-CN"/>
              </w:rPr>
              <w:t>大纲</w:t>
            </w:r>
            <w:r>
              <w:rPr>
                <w:rFonts w:hint="eastAsia" w:ascii="宋体" w:hAnsi="宋体" w:cs="宋体"/>
                <w:szCs w:val="21"/>
                <w:lang w:val="en-US" w:eastAsia="zh-CN"/>
              </w:rPr>
              <w:t>进行综合评议</w:t>
            </w:r>
            <w:r>
              <w:rPr>
                <w:rFonts w:hint="eastAsia" w:ascii="宋体" w:hAnsi="宋体" w:cs="宋体"/>
                <w:szCs w:val="21"/>
              </w:rPr>
              <w:t>（5分）：</w:t>
            </w:r>
          </w:p>
          <w:p>
            <w:pPr>
              <w:widowControl/>
              <w:spacing w:line="380" w:lineRule="exact"/>
              <w:rPr>
                <w:rFonts w:ascii="宋体" w:hAnsi="宋体" w:cs="宋体"/>
                <w:szCs w:val="21"/>
              </w:rPr>
            </w:pPr>
            <w:r>
              <w:rPr>
                <w:rFonts w:hint="eastAsia" w:ascii="宋体" w:hAnsi="宋体" w:cs="宋体"/>
                <w:szCs w:val="21"/>
              </w:rPr>
              <w:t>①大纲内容全面、详细、拥堵治理或事故隐患治理方案切实有效的得5分，</w:t>
            </w:r>
          </w:p>
          <w:p>
            <w:pPr>
              <w:widowControl/>
              <w:spacing w:line="380" w:lineRule="exact"/>
              <w:rPr>
                <w:rFonts w:ascii="宋体" w:hAnsi="宋体" w:cs="宋体"/>
                <w:szCs w:val="21"/>
              </w:rPr>
            </w:pPr>
            <w:r>
              <w:rPr>
                <w:rFonts w:hint="eastAsia" w:ascii="宋体" w:hAnsi="宋体" w:cs="宋体"/>
                <w:szCs w:val="21"/>
              </w:rPr>
              <w:t>②大纲内容较全面、详较细、拥堵治理或事故隐患治理方案较有效的得3分，</w:t>
            </w:r>
          </w:p>
          <w:p>
            <w:pPr>
              <w:widowControl/>
              <w:spacing w:line="380" w:lineRule="exact"/>
              <w:rPr>
                <w:rFonts w:ascii="宋体" w:hAnsi="宋体" w:cs="宋体"/>
                <w:szCs w:val="21"/>
              </w:rPr>
            </w:pPr>
            <w:r>
              <w:rPr>
                <w:rFonts w:hint="eastAsia" w:ascii="宋体" w:hAnsi="宋体" w:cs="宋体"/>
                <w:szCs w:val="21"/>
              </w:rPr>
              <w:t>③大纲不全面详细、不清晰、拥堵治理或事故隐患治理方案实操不强的得1分。</w:t>
            </w:r>
          </w:p>
          <w:bookmarkEnd w:id="186"/>
          <w:p>
            <w:pPr>
              <w:widowControl/>
              <w:spacing w:line="380" w:lineRule="exact"/>
              <w:rPr>
                <w:rFonts w:ascii="宋体" w:hAnsi="宋体" w:cs="宋体"/>
                <w:szCs w:val="21"/>
              </w:rPr>
            </w:pPr>
            <w:r>
              <w:rPr>
                <w:rFonts w:hint="eastAsia" w:ascii="宋体" w:hAnsi="宋体" w:cs="宋体"/>
                <w:szCs w:val="21"/>
              </w:rPr>
              <w:t>2、</w:t>
            </w:r>
            <w:bookmarkStart w:id="187" w:name="OLE_LINK55"/>
            <w:r>
              <w:rPr>
                <w:rFonts w:hint="eastAsia" w:ascii="宋体" w:hAnsi="宋体" w:cs="宋体"/>
                <w:szCs w:val="21"/>
                <w:lang w:val="en-US" w:eastAsia="zh-CN"/>
              </w:rPr>
              <w:t>根据</w:t>
            </w:r>
            <w:r>
              <w:rPr>
                <w:rFonts w:hint="eastAsia" w:ascii="宋体" w:hAnsi="宋体" w:cs="宋体"/>
                <w:szCs w:val="21"/>
              </w:rPr>
              <w:t>投标人按照招标文件</w:t>
            </w:r>
            <w:r>
              <w:rPr>
                <w:rFonts w:hint="eastAsia" w:ascii="宋体" w:hAnsi="宋体" w:cs="宋体"/>
                <w:b/>
                <w:bCs/>
                <w:szCs w:val="21"/>
              </w:rPr>
              <w:t>第二部分招标项目需求技术要求中</w:t>
            </w:r>
            <w:r>
              <w:rPr>
                <w:rFonts w:hint="eastAsia" w:ascii="宋体" w:hAnsi="宋体" w:cs="宋体"/>
                <w:b/>
                <w:bCs/>
                <w:szCs w:val="21"/>
                <w:lang w:eastAsia="zh-CN"/>
              </w:rPr>
              <w:t>“</w:t>
            </w:r>
            <w:r>
              <w:rPr>
                <w:rFonts w:hint="eastAsia" w:ascii="宋体" w:hAnsi="宋体" w:cs="宋体"/>
                <w:b/>
                <w:bCs/>
                <w:color w:val="auto"/>
                <w:sz w:val="21"/>
                <w:szCs w:val="21"/>
                <w:highlight w:val="none"/>
              </w:rPr>
              <w:t>七、其他要求</w:t>
            </w:r>
            <w:r>
              <w:rPr>
                <w:rFonts w:hint="eastAsia" w:ascii="宋体" w:hAnsi="宋体" w:cs="宋体"/>
                <w:b/>
                <w:bCs/>
                <w:szCs w:val="21"/>
                <w:lang w:eastAsia="zh-CN"/>
              </w:rPr>
              <w:t>”</w:t>
            </w:r>
            <w:r>
              <w:rPr>
                <w:rFonts w:hint="eastAsia" w:ascii="宋体" w:hAnsi="宋体" w:cs="宋体"/>
                <w:b/>
                <w:bCs/>
                <w:color w:val="auto"/>
                <w:sz w:val="21"/>
                <w:szCs w:val="21"/>
                <w:highlight w:val="none"/>
                <w:lang w:val="en-US" w:eastAsia="zh-CN"/>
              </w:rPr>
              <w:t>里</w:t>
            </w:r>
            <w:r>
              <w:rPr>
                <w:rFonts w:hint="eastAsia" w:ascii="宋体" w:hAnsi="宋体" w:cs="宋体"/>
                <w:b/>
                <w:bCs/>
                <w:szCs w:val="21"/>
              </w:rPr>
              <w:t>“</w:t>
            </w:r>
            <w:r>
              <w:rPr>
                <w:rFonts w:hint="eastAsia" w:ascii="宋体" w:hAnsi="宋体" w:cs="宋体"/>
                <w:b/>
                <w:bCs/>
                <w:szCs w:val="21"/>
                <w:lang w:val="en-US" w:eastAsia="zh-CN"/>
              </w:rPr>
              <w:t>4、</w:t>
            </w:r>
            <w:r>
              <w:rPr>
                <w:rFonts w:hint="eastAsia" w:ascii="宋体" w:hAnsi="宋体" w:cs="宋体"/>
                <w:b/>
                <w:bCs/>
                <w:szCs w:val="21"/>
              </w:rPr>
              <w:t>某路口或路段交通拥堵或事故隐患治理方案具体要求”</w:t>
            </w:r>
            <w:r>
              <w:rPr>
                <w:rFonts w:hint="eastAsia" w:ascii="宋体" w:hAnsi="宋体" w:cs="宋体"/>
                <w:szCs w:val="21"/>
              </w:rPr>
              <w:t>提供</w:t>
            </w:r>
            <w:r>
              <w:rPr>
                <w:rFonts w:hint="eastAsia" w:ascii="宋体" w:hAnsi="宋体" w:cs="宋体"/>
                <w:szCs w:val="21"/>
                <w:lang w:eastAsia="zh-CN"/>
              </w:rPr>
              <w:t>的</w:t>
            </w:r>
            <w:r>
              <w:rPr>
                <w:rFonts w:hint="eastAsia" w:ascii="宋体" w:hAnsi="宋体"/>
                <w:bCs/>
                <w:szCs w:val="21"/>
              </w:rPr>
              <w:t>交通拥堵或事故隐患治理</w:t>
            </w:r>
            <w:r>
              <w:rPr>
                <w:rFonts w:hint="eastAsia" w:ascii="宋体" w:hAnsi="宋体" w:cs="宋体"/>
                <w:szCs w:val="21"/>
                <w:lang w:val="en-US" w:eastAsia="zh-CN"/>
              </w:rPr>
              <w:t>方案（</w:t>
            </w:r>
            <w:r>
              <w:rPr>
                <w:rFonts w:hint="eastAsia" w:ascii="宋体" w:hAnsi="宋体" w:cs="宋体"/>
                <w:szCs w:val="21"/>
              </w:rPr>
              <w:t>文本</w:t>
            </w:r>
            <w:r>
              <w:rPr>
                <w:rFonts w:hint="eastAsia" w:ascii="宋体" w:hAnsi="宋体" w:cs="宋体"/>
                <w:szCs w:val="21"/>
                <w:lang w:val="en-US" w:eastAsia="zh-CN"/>
              </w:rPr>
              <w:t>）</w:t>
            </w:r>
            <w:r>
              <w:rPr>
                <w:rFonts w:hint="eastAsia" w:ascii="宋体" w:hAnsi="宋体" w:cs="宋体"/>
                <w:szCs w:val="21"/>
              </w:rPr>
              <w:t>初稿</w:t>
            </w:r>
            <w:r>
              <w:rPr>
                <w:rFonts w:hint="eastAsia" w:ascii="宋体" w:hAnsi="宋体" w:cs="宋体"/>
                <w:szCs w:val="21"/>
                <w:lang w:val="en-US" w:eastAsia="zh-CN"/>
              </w:rPr>
              <w:t>进行综合评议</w:t>
            </w:r>
            <w:r>
              <w:rPr>
                <w:rFonts w:hint="eastAsia" w:ascii="宋体" w:hAnsi="宋体" w:cs="宋体"/>
                <w:szCs w:val="21"/>
              </w:rPr>
              <w:t>（5分）：</w:t>
            </w:r>
          </w:p>
          <w:p>
            <w:pPr>
              <w:widowControl/>
              <w:spacing w:line="380" w:lineRule="exact"/>
              <w:rPr>
                <w:rFonts w:ascii="宋体" w:hAnsi="宋体" w:cs="宋体"/>
                <w:szCs w:val="21"/>
              </w:rPr>
            </w:pPr>
            <w:r>
              <w:rPr>
                <w:rFonts w:hint="eastAsia" w:ascii="宋体" w:hAnsi="宋体" w:cs="宋体"/>
                <w:szCs w:val="21"/>
              </w:rPr>
              <w:t>①提供</w:t>
            </w:r>
            <w:r>
              <w:rPr>
                <w:rFonts w:hint="eastAsia" w:ascii="宋体" w:hAnsi="宋体" w:cs="宋体"/>
                <w:szCs w:val="21"/>
                <w:lang w:eastAsia="zh-CN"/>
              </w:rPr>
              <w:t>的</w:t>
            </w:r>
            <w:r>
              <w:rPr>
                <w:rFonts w:hint="eastAsia" w:ascii="宋体" w:hAnsi="宋体" w:cs="宋体"/>
                <w:szCs w:val="21"/>
                <w:lang w:val="en-US" w:eastAsia="zh-CN"/>
              </w:rPr>
              <w:t>方案（</w:t>
            </w:r>
            <w:r>
              <w:rPr>
                <w:rFonts w:hint="eastAsia" w:ascii="宋体" w:hAnsi="宋体" w:cs="宋体"/>
                <w:szCs w:val="21"/>
              </w:rPr>
              <w:t>文本</w:t>
            </w:r>
            <w:r>
              <w:rPr>
                <w:rFonts w:hint="eastAsia" w:ascii="宋体" w:hAnsi="宋体" w:cs="宋体"/>
                <w:szCs w:val="21"/>
                <w:lang w:val="en-US" w:eastAsia="zh-CN"/>
              </w:rPr>
              <w:t>）</w:t>
            </w:r>
            <w:r>
              <w:rPr>
                <w:rFonts w:hint="eastAsia" w:ascii="宋体" w:hAnsi="宋体" w:cs="宋体"/>
                <w:szCs w:val="21"/>
              </w:rPr>
              <w:t>初稿内容充实、结构完整的得5分；</w:t>
            </w:r>
          </w:p>
          <w:p>
            <w:pPr>
              <w:widowControl/>
              <w:spacing w:line="380" w:lineRule="exact"/>
              <w:rPr>
                <w:rFonts w:ascii="宋体" w:hAnsi="宋体" w:cs="宋体"/>
                <w:szCs w:val="21"/>
              </w:rPr>
            </w:pPr>
            <w:r>
              <w:rPr>
                <w:rFonts w:hint="eastAsia" w:ascii="宋体" w:hAnsi="宋体" w:cs="宋体"/>
                <w:szCs w:val="21"/>
              </w:rPr>
              <w:t>②提供</w:t>
            </w:r>
            <w:r>
              <w:rPr>
                <w:rFonts w:hint="eastAsia" w:ascii="宋体" w:hAnsi="宋体" w:cs="宋体"/>
                <w:szCs w:val="21"/>
                <w:lang w:eastAsia="zh-CN"/>
              </w:rPr>
              <w:t>的</w:t>
            </w:r>
            <w:r>
              <w:rPr>
                <w:rFonts w:hint="eastAsia" w:ascii="宋体" w:hAnsi="宋体" w:cs="宋体"/>
                <w:szCs w:val="21"/>
                <w:lang w:val="en-US" w:eastAsia="zh-CN"/>
              </w:rPr>
              <w:t>方案（</w:t>
            </w:r>
            <w:r>
              <w:rPr>
                <w:rFonts w:hint="eastAsia" w:ascii="宋体" w:hAnsi="宋体" w:cs="宋体"/>
                <w:szCs w:val="21"/>
              </w:rPr>
              <w:t>文本</w:t>
            </w:r>
            <w:r>
              <w:rPr>
                <w:rFonts w:hint="eastAsia" w:ascii="宋体" w:hAnsi="宋体" w:cs="宋体"/>
                <w:szCs w:val="21"/>
                <w:lang w:val="en-US" w:eastAsia="zh-CN"/>
              </w:rPr>
              <w:t>）</w:t>
            </w:r>
            <w:r>
              <w:rPr>
                <w:rFonts w:hint="eastAsia" w:ascii="宋体" w:hAnsi="宋体" w:cs="宋体"/>
                <w:szCs w:val="21"/>
              </w:rPr>
              <w:t>初稿内容、结构粗糙的得3分；</w:t>
            </w:r>
          </w:p>
          <w:p>
            <w:pPr>
              <w:widowControl/>
              <w:spacing w:line="380" w:lineRule="exact"/>
              <w:rPr>
                <w:rFonts w:ascii="宋体" w:hAnsi="宋体" w:cs="宋体"/>
                <w:szCs w:val="21"/>
              </w:rPr>
            </w:pPr>
            <w:r>
              <w:rPr>
                <w:rFonts w:hint="eastAsia" w:ascii="宋体" w:hAnsi="宋体" w:cs="宋体"/>
                <w:szCs w:val="21"/>
              </w:rPr>
              <w:t>③提供</w:t>
            </w:r>
            <w:r>
              <w:rPr>
                <w:rFonts w:hint="eastAsia" w:ascii="宋体" w:hAnsi="宋体" w:cs="宋体"/>
                <w:szCs w:val="21"/>
                <w:lang w:eastAsia="zh-CN"/>
              </w:rPr>
              <w:t>的</w:t>
            </w:r>
            <w:r>
              <w:rPr>
                <w:rFonts w:hint="eastAsia" w:ascii="宋体" w:hAnsi="宋体" w:cs="宋体"/>
                <w:szCs w:val="21"/>
                <w:lang w:val="en-US" w:eastAsia="zh-CN"/>
              </w:rPr>
              <w:t>方案（</w:t>
            </w:r>
            <w:r>
              <w:rPr>
                <w:rFonts w:hint="eastAsia" w:ascii="宋体" w:hAnsi="宋体" w:cs="宋体"/>
                <w:szCs w:val="21"/>
              </w:rPr>
              <w:t>文本</w:t>
            </w:r>
            <w:r>
              <w:rPr>
                <w:rFonts w:hint="eastAsia" w:ascii="宋体" w:hAnsi="宋体" w:cs="宋体"/>
                <w:szCs w:val="21"/>
                <w:lang w:val="en-US" w:eastAsia="zh-CN"/>
              </w:rPr>
              <w:t>）</w:t>
            </w:r>
            <w:r>
              <w:rPr>
                <w:rFonts w:hint="eastAsia" w:ascii="宋体" w:hAnsi="宋体" w:cs="宋体"/>
                <w:szCs w:val="21"/>
              </w:rPr>
              <w:t>初稿内容不充实、结构不完整的得1分；</w:t>
            </w:r>
          </w:p>
          <w:p>
            <w:pPr>
              <w:widowControl/>
              <w:spacing w:line="380" w:lineRule="exact"/>
              <w:rPr>
                <w:rFonts w:ascii="宋体" w:hAnsi="宋体" w:cs="宋体"/>
                <w:color w:val="auto"/>
                <w:szCs w:val="21"/>
                <w:highlight w:val="none"/>
              </w:rPr>
            </w:pPr>
            <w:r>
              <w:rPr>
                <w:rFonts w:hint="eastAsia" w:ascii="宋体" w:hAnsi="宋体" w:cs="宋体"/>
                <w:szCs w:val="21"/>
              </w:rPr>
              <w:t>未提供的得0分。</w:t>
            </w:r>
            <w:bookmarkEnd w:id="187"/>
          </w:p>
        </w:tc>
        <w:tc>
          <w:tcPr>
            <w:tcW w:w="1032"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1266" w:type="dxa"/>
            <w:vMerge w:val="continue"/>
            <w:vAlign w:val="center"/>
          </w:tcPr>
          <w:p>
            <w:pPr>
              <w:spacing w:line="380" w:lineRule="exact"/>
              <w:jc w:val="center"/>
              <w:rPr>
                <w:rFonts w:ascii="宋体" w:hAnsi="宋体" w:cs="宋体"/>
                <w:b/>
                <w:bCs/>
                <w:color w:val="auto"/>
                <w:szCs w:val="21"/>
                <w:highlight w:val="none"/>
              </w:rPr>
            </w:pPr>
          </w:p>
        </w:tc>
        <w:tc>
          <w:tcPr>
            <w:tcW w:w="885" w:type="dxa"/>
            <w:vAlign w:val="center"/>
          </w:tcPr>
          <w:p>
            <w:pPr>
              <w:snapToGrid w:val="0"/>
              <w:spacing w:line="380" w:lineRule="exact"/>
              <w:ind w:right="-107" w:rightChars="-51"/>
              <w:jc w:val="center"/>
              <w:rPr>
                <w:rFonts w:ascii="宋体" w:hAnsi="宋体" w:cs="宋体"/>
                <w:color w:val="auto"/>
                <w:szCs w:val="21"/>
                <w:highlight w:val="none"/>
              </w:rPr>
            </w:pPr>
            <w:r>
              <w:rPr>
                <w:rFonts w:hint="eastAsia" w:ascii="宋体" w:hAnsi="宋体" w:cs="仿宋"/>
                <w:bCs/>
                <w:szCs w:val="21"/>
              </w:rPr>
              <w:t>某非现场处罚设备违法备案方案</w:t>
            </w:r>
            <w:r>
              <w:rPr>
                <w:rFonts w:hint="eastAsia" w:ascii="宋体" w:hAnsi="宋体"/>
                <w:szCs w:val="21"/>
              </w:rPr>
              <w:t>（10分）</w:t>
            </w:r>
          </w:p>
        </w:tc>
        <w:tc>
          <w:tcPr>
            <w:tcW w:w="7117" w:type="dxa"/>
            <w:vAlign w:val="center"/>
          </w:tcPr>
          <w:p>
            <w:pPr>
              <w:widowControl/>
              <w:spacing w:line="380" w:lineRule="exact"/>
              <w:rPr>
                <w:rFonts w:ascii="宋体" w:hAnsi="宋体" w:cs="宋体"/>
                <w:szCs w:val="21"/>
              </w:rPr>
            </w:pPr>
            <w:r>
              <w:rPr>
                <w:rFonts w:hint="eastAsia" w:ascii="宋体" w:hAnsi="宋体" w:cs="宋体"/>
                <w:szCs w:val="21"/>
              </w:rPr>
              <w:t>1、</w:t>
            </w:r>
            <w:bookmarkStart w:id="188" w:name="OLE_LINK67"/>
            <w:r>
              <w:rPr>
                <w:rFonts w:hint="eastAsia" w:ascii="宋体" w:hAnsi="宋体" w:cs="宋体"/>
                <w:szCs w:val="21"/>
                <w:lang w:val="en-US" w:eastAsia="zh-CN"/>
              </w:rPr>
              <w:t>根据</w:t>
            </w:r>
            <w:r>
              <w:rPr>
                <w:rFonts w:hint="eastAsia" w:ascii="宋体" w:hAnsi="宋体" w:cs="宋体"/>
                <w:szCs w:val="21"/>
              </w:rPr>
              <w:t>投标人</w:t>
            </w:r>
            <w:r>
              <w:rPr>
                <w:rFonts w:hint="eastAsia" w:ascii="宋体" w:hAnsi="宋体" w:cs="宋体"/>
                <w:szCs w:val="21"/>
                <w:lang w:val="en-US" w:eastAsia="zh-CN"/>
              </w:rPr>
              <w:t>按照</w:t>
            </w:r>
            <w:r>
              <w:rPr>
                <w:rFonts w:hint="eastAsia" w:ascii="宋体" w:hAnsi="宋体" w:cs="宋体"/>
                <w:szCs w:val="21"/>
              </w:rPr>
              <w:t>招标文件</w:t>
            </w:r>
            <w:r>
              <w:rPr>
                <w:rFonts w:hint="eastAsia" w:ascii="宋体" w:hAnsi="宋体" w:cs="宋体"/>
                <w:b/>
                <w:bCs/>
                <w:szCs w:val="21"/>
              </w:rPr>
              <w:t>第二部分招标项目需求</w:t>
            </w:r>
            <w:bookmarkStart w:id="189" w:name="OLE_LINK66"/>
            <w:r>
              <w:rPr>
                <w:rFonts w:hint="eastAsia" w:ascii="宋体" w:hAnsi="宋体" w:cs="宋体"/>
                <w:b/>
                <w:bCs/>
                <w:szCs w:val="21"/>
                <w:lang w:val="en-US" w:eastAsia="zh-CN"/>
              </w:rPr>
              <w:t>技术要求</w:t>
            </w:r>
            <w:r>
              <w:rPr>
                <w:rFonts w:hint="eastAsia" w:ascii="宋体" w:hAnsi="宋体" w:cs="宋体"/>
                <w:b/>
                <w:bCs/>
                <w:szCs w:val="21"/>
              </w:rPr>
              <w:t>中</w:t>
            </w:r>
            <w:r>
              <w:rPr>
                <w:rFonts w:hint="eastAsia" w:ascii="宋体" w:hAnsi="宋体" w:cs="宋体"/>
                <w:b/>
                <w:bCs/>
                <w:szCs w:val="21"/>
                <w:lang w:eastAsia="zh-CN"/>
              </w:rPr>
              <w:t>“</w:t>
            </w:r>
            <w:r>
              <w:rPr>
                <w:rFonts w:hint="eastAsia" w:ascii="宋体" w:hAnsi="宋体" w:cs="宋体"/>
                <w:b/>
                <w:bCs/>
                <w:color w:val="auto"/>
                <w:sz w:val="21"/>
                <w:szCs w:val="21"/>
                <w:highlight w:val="none"/>
              </w:rPr>
              <w:t>七、其他要求</w:t>
            </w:r>
            <w:r>
              <w:rPr>
                <w:rFonts w:hint="eastAsia" w:ascii="宋体" w:hAnsi="宋体" w:cs="宋体"/>
                <w:b/>
                <w:bCs/>
                <w:szCs w:val="21"/>
                <w:lang w:eastAsia="zh-CN"/>
              </w:rPr>
              <w:t>”</w:t>
            </w:r>
            <w:r>
              <w:rPr>
                <w:rFonts w:hint="eastAsia" w:ascii="宋体" w:hAnsi="宋体" w:cs="宋体"/>
                <w:b/>
                <w:bCs/>
                <w:color w:val="auto"/>
                <w:sz w:val="21"/>
                <w:szCs w:val="21"/>
                <w:highlight w:val="none"/>
                <w:lang w:val="en-US" w:eastAsia="zh-CN"/>
              </w:rPr>
              <w:t>里</w:t>
            </w:r>
            <w:r>
              <w:rPr>
                <w:rFonts w:hint="eastAsia" w:ascii="宋体" w:hAnsi="宋体" w:cs="宋体"/>
                <w:b/>
                <w:bCs/>
                <w:szCs w:val="21"/>
                <w:lang w:val="en-US" w:eastAsia="zh-CN"/>
              </w:rPr>
              <w:t>“</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某非现场处罚设备违法备案</w:t>
            </w:r>
            <w:r>
              <w:rPr>
                <w:rFonts w:hint="eastAsia" w:ascii="宋体" w:hAnsi="宋体" w:cs="宋体"/>
                <w:b/>
                <w:bCs/>
                <w:color w:val="auto"/>
                <w:szCs w:val="21"/>
                <w:highlight w:val="none"/>
                <w:lang w:val="en-US" w:eastAsia="zh-CN"/>
              </w:rPr>
              <w:t>方案具体要求</w:t>
            </w:r>
            <w:r>
              <w:rPr>
                <w:rFonts w:hint="eastAsia" w:ascii="宋体" w:hAnsi="宋体" w:cs="宋体"/>
                <w:b/>
                <w:bCs/>
                <w:szCs w:val="21"/>
              </w:rPr>
              <w:t>”</w:t>
            </w:r>
            <w:bookmarkEnd w:id="189"/>
            <w:r>
              <w:rPr>
                <w:rFonts w:hint="eastAsia" w:ascii="宋体" w:hAnsi="宋体" w:cs="宋体"/>
                <w:szCs w:val="21"/>
              </w:rPr>
              <w:t>提供</w:t>
            </w:r>
            <w:r>
              <w:rPr>
                <w:rFonts w:hint="eastAsia" w:ascii="宋体" w:hAnsi="宋体" w:cs="宋体"/>
                <w:szCs w:val="21"/>
                <w:lang w:eastAsia="zh-CN"/>
              </w:rPr>
              <w:t>的</w:t>
            </w:r>
            <w:r>
              <w:rPr>
                <w:rFonts w:hint="eastAsia" w:ascii="宋体" w:hAnsi="宋体" w:cs="仿宋"/>
                <w:bCs/>
                <w:szCs w:val="21"/>
              </w:rPr>
              <w:t>某非现场处罚设备违法备案</w:t>
            </w:r>
            <w:r>
              <w:rPr>
                <w:rFonts w:hint="eastAsia" w:ascii="宋体" w:hAnsi="宋体" w:cs="宋体"/>
                <w:szCs w:val="21"/>
              </w:rPr>
              <w:t>现状图</w:t>
            </w:r>
            <w:r>
              <w:rPr>
                <w:rFonts w:hint="eastAsia" w:ascii="宋体" w:hAnsi="宋体" w:cs="宋体"/>
                <w:szCs w:val="21"/>
                <w:lang w:val="en-US" w:eastAsia="zh-CN"/>
              </w:rPr>
              <w:t>方案进行综合评议</w:t>
            </w:r>
            <w:r>
              <w:rPr>
                <w:rFonts w:hint="eastAsia" w:ascii="宋体" w:hAnsi="宋体" w:cs="宋体"/>
                <w:szCs w:val="21"/>
              </w:rPr>
              <w:t>：</w:t>
            </w:r>
          </w:p>
          <w:p>
            <w:pPr>
              <w:widowControl/>
              <w:spacing w:line="380" w:lineRule="exact"/>
              <w:rPr>
                <w:rFonts w:ascii="宋体" w:hAnsi="宋体" w:cs="宋体"/>
                <w:szCs w:val="21"/>
              </w:rPr>
            </w:pPr>
            <w:r>
              <w:rPr>
                <w:rFonts w:hint="eastAsia" w:ascii="宋体" w:hAnsi="宋体" w:cs="宋体"/>
                <w:szCs w:val="21"/>
              </w:rPr>
              <w:t>①现状图方案中设备与现场情况采集信息对应，内容全面、详细的得5分；</w:t>
            </w:r>
          </w:p>
          <w:p>
            <w:pPr>
              <w:widowControl/>
              <w:spacing w:line="380" w:lineRule="exact"/>
              <w:rPr>
                <w:rFonts w:ascii="宋体" w:hAnsi="宋体" w:cs="宋体"/>
                <w:szCs w:val="21"/>
              </w:rPr>
            </w:pPr>
            <w:r>
              <w:rPr>
                <w:rFonts w:hint="eastAsia" w:ascii="宋体" w:hAnsi="宋体" w:cs="宋体"/>
                <w:szCs w:val="21"/>
              </w:rPr>
              <w:t>②现状图方案中设备与现场情况采集信息对应程度不足，方案内容全面、详细程度不够的得3分；</w:t>
            </w:r>
          </w:p>
          <w:p>
            <w:pPr>
              <w:widowControl/>
              <w:spacing w:line="380" w:lineRule="exact"/>
              <w:rPr>
                <w:rFonts w:ascii="宋体" w:hAnsi="宋体" w:cs="宋体"/>
                <w:szCs w:val="21"/>
              </w:rPr>
            </w:pPr>
            <w:r>
              <w:rPr>
                <w:rFonts w:hint="eastAsia" w:ascii="宋体" w:hAnsi="宋体" w:cs="宋体"/>
                <w:szCs w:val="21"/>
              </w:rPr>
              <w:t>③现状图方案设中设备与现场情况采集信息不对应，方案内容不全面详细、不清晰、不具备实操的得1分；</w:t>
            </w:r>
          </w:p>
          <w:p>
            <w:pPr>
              <w:widowControl/>
              <w:spacing w:line="380" w:lineRule="exact"/>
              <w:rPr>
                <w:rFonts w:ascii="宋体" w:hAnsi="宋体" w:cs="宋体"/>
                <w:szCs w:val="21"/>
              </w:rPr>
            </w:pPr>
            <w:r>
              <w:rPr>
                <w:rFonts w:hint="eastAsia" w:ascii="宋体" w:hAnsi="宋体" w:cs="宋体"/>
                <w:szCs w:val="21"/>
              </w:rPr>
              <w:t>未提供的得0分。</w:t>
            </w:r>
          </w:p>
          <w:bookmarkEnd w:id="188"/>
          <w:p>
            <w:pPr>
              <w:spacing w:line="380" w:lineRule="exact"/>
              <w:rPr>
                <w:rFonts w:ascii="宋体" w:hAnsi="宋体" w:cs="宋体"/>
                <w:szCs w:val="21"/>
              </w:rPr>
            </w:pPr>
            <w:r>
              <w:rPr>
                <w:rFonts w:hint="eastAsia" w:ascii="宋体" w:hAnsi="宋体" w:cs="宋体"/>
                <w:szCs w:val="21"/>
              </w:rPr>
              <w:t>2、</w:t>
            </w:r>
            <w:bookmarkStart w:id="190" w:name="OLE_LINK68"/>
            <w:r>
              <w:rPr>
                <w:rFonts w:hint="eastAsia" w:ascii="宋体" w:hAnsi="宋体" w:cs="宋体"/>
                <w:szCs w:val="21"/>
                <w:lang w:val="en-US" w:eastAsia="zh-CN"/>
              </w:rPr>
              <w:t>根据</w:t>
            </w:r>
            <w:r>
              <w:rPr>
                <w:rFonts w:hint="eastAsia" w:ascii="宋体" w:hAnsi="宋体" w:cs="宋体"/>
                <w:szCs w:val="21"/>
              </w:rPr>
              <w:t>投标人</w:t>
            </w:r>
            <w:r>
              <w:rPr>
                <w:rFonts w:hint="eastAsia" w:ascii="宋体" w:hAnsi="宋体" w:cs="宋体"/>
                <w:szCs w:val="21"/>
                <w:lang w:val="en-US" w:eastAsia="zh-CN"/>
              </w:rPr>
              <w:t>按照</w:t>
            </w:r>
            <w:r>
              <w:rPr>
                <w:rFonts w:hint="eastAsia" w:ascii="宋体" w:hAnsi="宋体" w:cs="宋体"/>
                <w:szCs w:val="21"/>
              </w:rPr>
              <w:t>招标文件</w:t>
            </w:r>
            <w:r>
              <w:rPr>
                <w:rFonts w:hint="eastAsia" w:ascii="宋体" w:hAnsi="宋体" w:cs="宋体"/>
                <w:b/>
                <w:bCs/>
                <w:szCs w:val="21"/>
              </w:rPr>
              <w:t>第二部分招标项目需求技术要求中</w:t>
            </w:r>
            <w:r>
              <w:rPr>
                <w:rFonts w:hint="eastAsia" w:ascii="宋体" w:hAnsi="宋体" w:cs="宋体"/>
                <w:b/>
                <w:bCs/>
                <w:szCs w:val="21"/>
                <w:lang w:eastAsia="zh-CN"/>
              </w:rPr>
              <w:t>“</w:t>
            </w:r>
            <w:r>
              <w:rPr>
                <w:rFonts w:hint="eastAsia" w:ascii="宋体" w:hAnsi="宋体" w:cs="宋体"/>
                <w:b/>
                <w:bCs/>
                <w:color w:val="auto"/>
                <w:sz w:val="21"/>
                <w:szCs w:val="21"/>
                <w:highlight w:val="none"/>
              </w:rPr>
              <w:t>七、其他要求</w:t>
            </w:r>
            <w:r>
              <w:rPr>
                <w:rFonts w:hint="eastAsia" w:ascii="宋体" w:hAnsi="宋体" w:cs="宋体"/>
                <w:b/>
                <w:bCs/>
                <w:szCs w:val="21"/>
                <w:lang w:eastAsia="zh-CN"/>
              </w:rPr>
              <w:t>”</w:t>
            </w:r>
            <w:r>
              <w:rPr>
                <w:rFonts w:hint="eastAsia" w:ascii="宋体" w:hAnsi="宋体" w:cs="宋体"/>
                <w:b/>
                <w:bCs/>
                <w:color w:val="auto"/>
                <w:sz w:val="21"/>
                <w:szCs w:val="21"/>
                <w:highlight w:val="none"/>
                <w:lang w:val="en-US" w:eastAsia="zh-CN"/>
              </w:rPr>
              <w:t>里</w:t>
            </w:r>
            <w:r>
              <w:rPr>
                <w:rFonts w:hint="eastAsia" w:ascii="宋体" w:hAnsi="宋体" w:cs="宋体"/>
                <w:b/>
                <w:bCs/>
                <w:szCs w:val="21"/>
              </w:rPr>
              <w:t>“5、某非现场处罚设备违法备案方案具体要求”</w:t>
            </w:r>
            <w:r>
              <w:rPr>
                <w:rFonts w:hint="eastAsia" w:ascii="宋体" w:hAnsi="宋体" w:cs="宋体"/>
                <w:szCs w:val="21"/>
              </w:rPr>
              <w:t>提供</w:t>
            </w:r>
            <w:r>
              <w:rPr>
                <w:rFonts w:hint="eastAsia" w:ascii="宋体" w:hAnsi="宋体" w:cs="宋体"/>
                <w:szCs w:val="21"/>
                <w:lang w:eastAsia="zh-CN"/>
              </w:rPr>
              <w:t>的</w:t>
            </w:r>
            <w:r>
              <w:rPr>
                <w:rFonts w:hint="eastAsia" w:ascii="宋体" w:hAnsi="宋体" w:cs="仿宋"/>
                <w:bCs/>
                <w:szCs w:val="21"/>
              </w:rPr>
              <w:t>某非现场处罚设备违法备案</w:t>
            </w:r>
            <w:r>
              <w:rPr>
                <w:rFonts w:hint="eastAsia" w:ascii="宋体" w:hAnsi="宋体" w:cs="宋体"/>
                <w:szCs w:val="21"/>
              </w:rPr>
              <w:t>概况图</w:t>
            </w:r>
            <w:r>
              <w:rPr>
                <w:rFonts w:hint="eastAsia" w:ascii="宋体" w:hAnsi="宋体" w:cs="宋体"/>
                <w:szCs w:val="21"/>
                <w:lang w:val="en-US" w:eastAsia="zh-CN"/>
              </w:rPr>
              <w:t>方案进行综合评议</w:t>
            </w:r>
            <w:r>
              <w:rPr>
                <w:rFonts w:hint="eastAsia" w:ascii="宋体" w:hAnsi="宋体" w:cs="宋体"/>
                <w:szCs w:val="21"/>
              </w:rPr>
              <w:t>：</w:t>
            </w:r>
          </w:p>
          <w:p>
            <w:pPr>
              <w:spacing w:line="380" w:lineRule="exact"/>
              <w:rPr>
                <w:rFonts w:ascii="宋体" w:hAnsi="宋体" w:cs="宋体"/>
                <w:szCs w:val="21"/>
              </w:rPr>
            </w:pPr>
            <w:r>
              <w:rPr>
                <w:rFonts w:hint="eastAsia" w:ascii="宋体" w:hAnsi="宋体" w:cs="宋体"/>
                <w:szCs w:val="21"/>
              </w:rPr>
              <w:t>①概况图方案平面图纸内容与现状一致，且内容充实、结构完整的得5分；</w:t>
            </w:r>
          </w:p>
          <w:p>
            <w:pPr>
              <w:spacing w:line="380" w:lineRule="exact"/>
              <w:rPr>
                <w:rFonts w:ascii="宋体" w:hAnsi="宋体" w:cs="宋体"/>
                <w:szCs w:val="21"/>
              </w:rPr>
            </w:pPr>
            <w:r>
              <w:rPr>
                <w:rFonts w:hint="eastAsia" w:ascii="宋体" w:hAnsi="宋体" w:cs="宋体"/>
                <w:szCs w:val="21"/>
              </w:rPr>
              <w:t>②概况图方案平面图纸内容与现状一致性不足，且内容简单、结构粗糙的得3分；</w:t>
            </w:r>
          </w:p>
          <w:p>
            <w:pPr>
              <w:spacing w:line="380" w:lineRule="exact"/>
              <w:rPr>
                <w:rFonts w:ascii="宋体" w:hAnsi="宋体" w:cs="宋体"/>
                <w:szCs w:val="21"/>
              </w:rPr>
            </w:pPr>
            <w:r>
              <w:rPr>
                <w:rFonts w:hint="eastAsia" w:ascii="宋体" w:hAnsi="宋体" w:cs="宋体"/>
                <w:szCs w:val="21"/>
              </w:rPr>
              <w:t>③概况图方案平面图纸内容与现状不一致，且内容不充实、结构不完整的得1分；</w:t>
            </w:r>
          </w:p>
          <w:p>
            <w:pPr>
              <w:spacing w:line="380" w:lineRule="exact"/>
              <w:rPr>
                <w:rFonts w:hint="eastAsia" w:ascii="宋体" w:hAnsi="宋体" w:eastAsia="宋体"/>
                <w:color w:val="auto"/>
                <w:szCs w:val="21"/>
                <w:highlight w:val="none"/>
                <w:lang w:eastAsia="zh-CN"/>
              </w:rPr>
            </w:pPr>
            <w:r>
              <w:rPr>
                <w:rFonts w:hint="eastAsia" w:ascii="宋体" w:hAnsi="宋体" w:cs="宋体"/>
                <w:szCs w:val="21"/>
              </w:rPr>
              <w:t>未提供的得0分。</w:t>
            </w:r>
            <w:bookmarkEnd w:id="190"/>
          </w:p>
        </w:tc>
        <w:tc>
          <w:tcPr>
            <w:tcW w:w="1032"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266" w:type="dxa"/>
            <w:vMerge w:val="continue"/>
            <w:vAlign w:val="center"/>
          </w:tcPr>
          <w:p>
            <w:pPr>
              <w:spacing w:line="380" w:lineRule="exact"/>
              <w:jc w:val="center"/>
              <w:rPr>
                <w:rFonts w:ascii="宋体" w:hAnsi="宋体" w:cs="宋体"/>
                <w:b/>
                <w:bCs/>
                <w:color w:val="auto"/>
                <w:szCs w:val="21"/>
                <w:highlight w:val="none"/>
              </w:rPr>
            </w:pPr>
          </w:p>
        </w:tc>
        <w:tc>
          <w:tcPr>
            <w:tcW w:w="885" w:type="dxa"/>
            <w:vAlign w:val="center"/>
          </w:tcPr>
          <w:p>
            <w:pPr>
              <w:autoSpaceDE w:val="0"/>
              <w:autoSpaceDN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同类业绩（2分）</w:t>
            </w:r>
          </w:p>
        </w:tc>
        <w:tc>
          <w:tcPr>
            <w:tcW w:w="7117" w:type="dxa"/>
            <w:vAlign w:val="center"/>
          </w:tcPr>
          <w:p>
            <w:pPr>
              <w:autoSpaceDE w:val="0"/>
              <w:autoSpaceDN w:val="0"/>
              <w:spacing w:line="380" w:lineRule="exact"/>
              <w:jc w:val="left"/>
              <w:rPr>
                <w:rFonts w:ascii="宋体" w:hAnsi="宋体" w:cs="宋体"/>
                <w:color w:val="auto"/>
                <w:szCs w:val="21"/>
                <w:highlight w:val="none"/>
              </w:rPr>
            </w:pPr>
            <w:bookmarkStart w:id="191" w:name="OLE_LINK36"/>
            <w:r>
              <w:rPr>
                <w:rFonts w:hint="eastAsia" w:ascii="宋体" w:hAnsi="宋体" w:cs="宋体"/>
                <w:color w:val="auto"/>
                <w:szCs w:val="21"/>
                <w:highlight w:val="none"/>
              </w:rPr>
              <w:t>2023年1月1日</w:t>
            </w:r>
            <w:bookmarkEnd w:id="191"/>
            <w:r>
              <w:rPr>
                <w:rFonts w:hint="eastAsia" w:ascii="宋体" w:hAnsi="宋体" w:cs="宋体"/>
                <w:color w:val="auto"/>
                <w:szCs w:val="21"/>
                <w:highlight w:val="none"/>
              </w:rPr>
              <w:t>以来（以合同签订日为准），</w:t>
            </w:r>
            <w:bookmarkStart w:id="192" w:name="OLE_LINK40"/>
            <w:r>
              <w:rPr>
                <w:rFonts w:hint="eastAsia" w:ascii="宋体" w:hAnsi="宋体" w:cs="宋体"/>
                <w:color w:val="auto"/>
                <w:szCs w:val="21"/>
                <w:highlight w:val="none"/>
              </w:rPr>
              <w:t>投标人承担过交通组织咨询类项目业绩</w:t>
            </w:r>
            <w:bookmarkEnd w:id="192"/>
            <w:r>
              <w:rPr>
                <w:rFonts w:hint="eastAsia" w:ascii="宋体" w:hAnsi="宋体" w:cs="宋体"/>
                <w:color w:val="auto"/>
                <w:szCs w:val="21"/>
                <w:highlight w:val="none"/>
              </w:rPr>
              <w:t>，每提供一份合同得1分，最高得2分。</w:t>
            </w:r>
          </w:p>
          <w:p>
            <w:pPr>
              <w:autoSpaceDE w:val="0"/>
              <w:autoSpaceDN w:val="0"/>
              <w:spacing w:line="380" w:lineRule="exact"/>
              <w:jc w:val="left"/>
              <w:rPr>
                <w:rFonts w:ascii="宋体" w:hAnsi="宋体" w:cs="宋体"/>
                <w:color w:val="auto"/>
                <w:szCs w:val="21"/>
                <w:highlight w:val="none"/>
              </w:rPr>
            </w:pPr>
            <w:bookmarkStart w:id="193" w:name="OLE_LINK19"/>
            <w:r>
              <w:rPr>
                <w:rFonts w:hint="eastAsia" w:ascii="宋体" w:hAnsi="宋体" w:cs="宋体"/>
                <w:color w:val="auto"/>
                <w:szCs w:val="21"/>
                <w:highlight w:val="none"/>
              </w:rPr>
              <w:t>投标文件</w:t>
            </w:r>
            <w:bookmarkEnd w:id="193"/>
            <w:r>
              <w:rPr>
                <w:rFonts w:hint="eastAsia" w:ascii="宋体" w:hAnsi="宋体" w:cs="宋体"/>
                <w:color w:val="auto"/>
                <w:szCs w:val="21"/>
                <w:highlight w:val="none"/>
              </w:rPr>
              <w:t>中提供合同复印件及对应合同结算发票复印件并加盖公章</w:t>
            </w:r>
          </w:p>
        </w:tc>
        <w:tc>
          <w:tcPr>
            <w:tcW w:w="1032"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66" w:type="dxa"/>
            <w:vMerge w:val="continue"/>
            <w:vAlign w:val="center"/>
          </w:tcPr>
          <w:p>
            <w:pPr>
              <w:spacing w:line="380" w:lineRule="exact"/>
              <w:jc w:val="center"/>
              <w:rPr>
                <w:rFonts w:ascii="宋体" w:hAnsi="宋体" w:cs="宋体"/>
                <w:b/>
                <w:bCs/>
                <w:color w:val="auto"/>
                <w:szCs w:val="21"/>
                <w:highlight w:val="none"/>
              </w:rPr>
            </w:pPr>
          </w:p>
        </w:tc>
        <w:tc>
          <w:tcPr>
            <w:tcW w:w="885" w:type="dxa"/>
            <w:vMerge w:val="restart"/>
            <w:vAlign w:val="center"/>
          </w:tcPr>
          <w:p>
            <w:pPr>
              <w:autoSpaceDE w:val="0"/>
              <w:autoSpaceDN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投入本项目人员（16分）</w:t>
            </w:r>
          </w:p>
        </w:tc>
        <w:tc>
          <w:tcPr>
            <w:tcW w:w="7117" w:type="dxa"/>
            <w:vAlign w:val="center"/>
          </w:tcPr>
          <w:p>
            <w:pPr>
              <w:autoSpaceDE w:val="0"/>
              <w:autoSpaceDN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1、项目负责人：</w:t>
            </w:r>
          </w:p>
          <w:p>
            <w:pPr>
              <w:autoSpaceDE w:val="0"/>
              <w:autoSpaceDN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投入本项目负责人具有交通工程相关或交通运输相关的全日制本科学历及以上的得5分，具有交通工程相关或交通运输相关全日制专科学历的得2分，否则得0分。</w:t>
            </w:r>
          </w:p>
          <w:p>
            <w:pPr>
              <w:autoSpaceDE w:val="0"/>
              <w:autoSpaceDN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投标文件中提供</w:t>
            </w:r>
            <w:r>
              <w:rPr>
                <w:rFonts w:hint="eastAsia" w:ascii="宋体" w:hAnsi="宋体" w:cs="宋体"/>
                <w:color w:val="auto"/>
                <w:szCs w:val="21"/>
                <w:highlight w:val="none"/>
                <w:lang w:val="en-US" w:eastAsia="zh-CN"/>
              </w:rPr>
              <w:t>学历</w:t>
            </w:r>
            <w:r>
              <w:rPr>
                <w:rFonts w:hint="eastAsia" w:ascii="宋体" w:hAnsi="宋体" w:cs="宋体"/>
                <w:color w:val="auto"/>
                <w:szCs w:val="21"/>
                <w:highlight w:val="none"/>
              </w:rPr>
              <w:t>证书复印件及中标人为其缴纳的距开标前三个月内任一个月的社保证明材料。</w:t>
            </w:r>
          </w:p>
        </w:tc>
        <w:tc>
          <w:tcPr>
            <w:tcW w:w="1032"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1266" w:type="dxa"/>
            <w:vMerge w:val="continue"/>
            <w:vAlign w:val="center"/>
          </w:tcPr>
          <w:p>
            <w:pPr>
              <w:spacing w:line="380" w:lineRule="exact"/>
              <w:jc w:val="center"/>
              <w:rPr>
                <w:rFonts w:ascii="宋体" w:hAnsi="宋体" w:cs="宋体"/>
                <w:b/>
                <w:bCs/>
                <w:color w:val="auto"/>
                <w:szCs w:val="21"/>
                <w:highlight w:val="none"/>
              </w:rPr>
            </w:pPr>
          </w:p>
        </w:tc>
        <w:tc>
          <w:tcPr>
            <w:tcW w:w="885" w:type="dxa"/>
            <w:vMerge w:val="continue"/>
            <w:vAlign w:val="center"/>
          </w:tcPr>
          <w:p>
            <w:pPr>
              <w:autoSpaceDE w:val="0"/>
              <w:autoSpaceDN w:val="0"/>
              <w:spacing w:line="380" w:lineRule="exact"/>
              <w:jc w:val="left"/>
              <w:rPr>
                <w:rFonts w:ascii="宋体" w:hAnsi="宋体" w:cs="宋体"/>
                <w:color w:val="auto"/>
                <w:szCs w:val="21"/>
                <w:highlight w:val="none"/>
              </w:rPr>
            </w:pPr>
          </w:p>
        </w:tc>
        <w:tc>
          <w:tcPr>
            <w:tcW w:w="7117" w:type="dxa"/>
            <w:vAlign w:val="center"/>
          </w:tcPr>
          <w:p>
            <w:pPr>
              <w:autoSpaceDE w:val="0"/>
              <w:autoSpaceDN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2、驻点专职人员职称（除项目负责人）：</w:t>
            </w:r>
          </w:p>
          <w:p>
            <w:pPr>
              <w:autoSpaceDE w:val="0"/>
              <w:autoSpaceDN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三个服务阶段的驻点专职人员中，每个阶段人员中具有1名中级及以上职称人员的得3分，三个阶段最高不超过6分（三个阶段中重复人员不重复计分）。</w:t>
            </w:r>
          </w:p>
          <w:p>
            <w:pPr>
              <w:autoSpaceDE w:val="0"/>
              <w:autoSpaceDN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投标文件中提供证书复印件及中标人为其缴纳的距开标前三个月内任一个月的社保证明材料。</w:t>
            </w:r>
          </w:p>
        </w:tc>
        <w:tc>
          <w:tcPr>
            <w:tcW w:w="1032"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266" w:type="dxa"/>
            <w:vMerge w:val="continue"/>
            <w:vAlign w:val="center"/>
          </w:tcPr>
          <w:p>
            <w:pPr>
              <w:spacing w:line="380" w:lineRule="exact"/>
              <w:jc w:val="center"/>
              <w:rPr>
                <w:rFonts w:ascii="宋体" w:hAnsi="宋体" w:cs="宋体"/>
                <w:b/>
                <w:bCs/>
                <w:color w:val="auto"/>
                <w:szCs w:val="21"/>
                <w:highlight w:val="none"/>
              </w:rPr>
            </w:pPr>
          </w:p>
        </w:tc>
        <w:tc>
          <w:tcPr>
            <w:tcW w:w="885" w:type="dxa"/>
            <w:vMerge w:val="continue"/>
            <w:vAlign w:val="center"/>
          </w:tcPr>
          <w:p>
            <w:pPr>
              <w:autoSpaceDE w:val="0"/>
              <w:autoSpaceDN w:val="0"/>
              <w:spacing w:line="380" w:lineRule="exact"/>
              <w:jc w:val="left"/>
              <w:rPr>
                <w:rFonts w:ascii="宋体" w:hAnsi="宋体" w:cs="宋体"/>
                <w:color w:val="auto"/>
                <w:szCs w:val="21"/>
                <w:highlight w:val="none"/>
              </w:rPr>
            </w:pPr>
          </w:p>
        </w:tc>
        <w:tc>
          <w:tcPr>
            <w:tcW w:w="7117" w:type="dxa"/>
            <w:vAlign w:val="center"/>
          </w:tcPr>
          <w:p>
            <w:pPr>
              <w:autoSpaceDE w:val="0"/>
              <w:autoSpaceDN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w:t>
            </w:r>
            <w:bookmarkStart w:id="194" w:name="OLE_LINK64"/>
            <w:r>
              <w:rPr>
                <w:rFonts w:hint="eastAsia" w:ascii="宋体" w:hAnsi="宋体" w:cs="宋体"/>
                <w:color w:val="auto"/>
                <w:szCs w:val="21"/>
                <w:highlight w:val="none"/>
              </w:rPr>
              <w:t>驻点专职人员专业（除项目负责人）：</w:t>
            </w:r>
          </w:p>
          <w:p>
            <w:pPr>
              <w:autoSpaceDE w:val="0"/>
              <w:autoSpaceDN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驻点人员具有交通工程相关或交通运输相关专业</w:t>
            </w:r>
            <w:r>
              <w:rPr>
                <w:rFonts w:hint="eastAsia" w:ascii="宋体" w:hAnsi="宋体" w:cs="宋体"/>
                <w:color w:val="auto"/>
                <w:szCs w:val="21"/>
                <w:highlight w:val="none"/>
                <w:lang w:val="en-US" w:eastAsia="zh-CN"/>
              </w:rPr>
              <w:t>学历证书</w:t>
            </w:r>
            <w:r>
              <w:rPr>
                <w:rFonts w:hint="eastAsia" w:ascii="宋体" w:hAnsi="宋体" w:cs="宋体"/>
                <w:color w:val="auto"/>
                <w:szCs w:val="21"/>
                <w:highlight w:val="none"/>
              </w:rPr>
              <w:t>的，每1人得1分，最高得5分。</w:t>
            </w:r>
          </w:p>
          <w:p>
            <w:pPr>
              <w:autoSpaceDE w:val="0"/>
              <w:autoSpaceDN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投标文件中提供</w:t>
            </w:r>
            <w:r>
              <w:rPr>
                <w:rFonts w:hint="eastAsia" w:ascii="宋体" w:hAnsi="宋体" w:cs="宋体"/>
                <w:color w:val="auto"/>
                <w:szCs w:val="21"/>
                <w:highlight w:val="none"/>
                <w:lang w:val="en-US" w:eastAsia="zh-CN"/>
              </w:rPr>
              <w:t>学历</w:t>
            </w:r>
            <w:r>
              <w:rPr>
                <w:rFonts w:hint="eastAsia" w:ascii="宋体" w:hAnsi="宋体" w:cs="宋体"/>
                <w:color w:val="auto"/>
                <w:szCs w:val="21"/>
                <w:highlight w:val="none"/>
              </w:rPr>
              <w:t>证书复印件及中标人为其缴纳的距开标前三个月内任一个月的社保证明材料。</w:t>
            </w:r>
            <w:bookmarkEnd w:id="194"/>
          </w:p>
        </w:tc>
        <w:tc>
          <w:tcPr>
            <w:tcW w:w="1032" w:type="dxa"/>
            <w:vAlign w:val="center"/>
          </w:tcPr>
          <w:p>
            <w:pPr>
              <w:spacing w:line="380" w:lineRule="exact"/>
              <w:jc w:val="center"/>
              <w:rPr>
                <w:rFonts w:ascii="宋体" w:hAnsi="宋体" w:cs="宋体"/>
                <w:color w:val="auto"/>
                <w:szCs w:val="21"/>
                <w:highlight w:val="none"/>
              </w:rPr>
            </w:pPr>
            <w:bookmarkStart w:id="195" w:name="OLE_LINK14"/>
            <w:r>
              <w:rPr>
                <w:rFonts w:hint="eastAsia" w:ascii="宋体" w:hAnsi="宋体" w:cs="宋体"/>
                <w:color w:val="auto"/>
                <w:szCs w:val="21"/>
                <w:highlight w:val="none"/>
              </w:rPr>
              <w:t>客观分</w:t>
            </w:r>
            <w:bookmarkEnd w:id="1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266" w:type="dxa"/>
            <w:vAlign w:val="center"/>
          </w:tcPr>
          <w:p>
            <w:pPr>
              <w:spacing w:line="380" w:lineRule="exact"/>
              <w:jc w:val="center"/>
              <w:rPr>
                <w:rFonts w:ascii="宋体" w:hAnsi="宋体" w:cs="宋体"/>
                <w:b/>
                <w:bCs/>
                <w:color w:val="auto"/>
                <w:szCs w:val="21"/>
                <w:highlight w:val="none"/>
              </w:rPr>
            </w:pPr>
            <w:r>
              <w:rPr>
                <w:rFonts w:hint="eastAsia" w:ascii="宋体" w:hAnsi="宋体" w:cs="宋体"/>
                <w:b/>
                <w:bCs/>
                <w:color w:val="auto"/>
                <w:szCs w:val="21"/>
                <w:highlight w:val="none"/>
              </w:rPr>
              <w:t>价格分</w:t>
            </w:r>
          </w:p>
          <w:p>
            <w:pPr>
              <w:spacing w:line="380" w:lineRule="exact"/>
              <w:jc w:val="center"/>
              <w:rPr>
                <w:rFonts w:ascii="宋体" w:hAnsi="宋体" w:cs="宋体"/>
                <w:b/>
                <w:bCs/>
                <w:color w:val="auto"/>
                <w:szCs w:val="21"/>
                <w:highlight w:val="none"/>
              </w:rPr>
            </w:pPr>
            <w:r>
              <w:rPr>
                <w:rFonts w:hint="eastAsia" w:ascii="宋体" w:hAnsi="宋体" w:cs="宋体"/>
                <w:b/>
                <w:bCs/>
                <w:color w:val="auto"/>
                <w:szCs w:val="21"/>
                <w:highlight w:val="none"/>
              </w:rPr>
              <w:t>（20分）</w:t>
            </w:r>
          </w:p>
        </w:tc>
        <w:tc>
          <w:tcPr>
            <w:tcW w:w="8002" w:type="dxa"/>
            <w:gridSpan w:val="2"/>
            <w:vAlign w:val="center"/>
          </w:tcPr>
          <w:p>
            <w:pPr>
              <w:spacing w:line="380" w:lineRule="exact"/>
              <w:rPr>
                <w:rFonts w:ascii="宋体" w:hAnsi="宋体"/>
                <w:color w:val="auto"/>
                <w:szCs w:val="21"/>
                <w:highlight w:val="none"/>
              </w:rPr>
            </w:pPr>
            <w:r>
              <w:rPr>
                <w:rFonts w:hint="eastAsia" w:ascii="宋体" w:hAnsi="宋体"/>
                <w:color w:val="auto"/>
                <w:szCs w:val="21"/>
                <w:highlight w:val="none"/>
              </w:rPr>
              <w:t>评标基准价指的是满足招标文件要求且最低的参与评审的价格。</w:t>
            </w:r>
          </w:p>
          <w:p>
            <w:pPr>
              <w:spacing w:line="380" w:lineRule="exact"/>
              <w:rPr>
                <w:rFonts w:ascii="宋体" w:hAnsi="宋体"/>
                <w:color w:val="auto"/>
                <w:szCs w:val="21"/>
                <w:highlight w:val="none"/>
              </w:rPr>
            </w:pPr>
            <w:r>
              <w:rPr>
                <w:rFonts w:hint="eastAsia" w:ascii="宋体" w:hAnsi="宋体"/>
                <w:color w:val="auto"/>
                <w:szCs w:val="21"/>
                <w:highlight w:val="none"/>
              </w:rPr>
              <w:t>参与评审的价格=投标总价</w:t>
            </w:r>
          </w:p>
          <w:p>
            <w:pPr>
              <w:spacing w:line="380" w:lineRule="exact"/>
              <w:rPr>
                <w:rFonts w:ascii="宋体" w:hAnsi="宋体"/>
                <w:color w:val="auto"/>
                <w:szCs w:val="21"/>
                <w:highlight w:val="none"/>
              </w:rPr>
            </w:pPr>
            <w:r>
              <w:rPr>
                <w:rFonts w:hint="eastAsia" w:ascii="宋体" w:hAnsi="宋体"/>
                <w:color w:val="auto"/>
                <w:szCs w:val="21"/>
                <w:highlight w:val="none"/>
              </w:rPr>
              <w:t>参与评审的价格为评标基准价的其价格得分得满分20分。</w:t>
            </w:r>
          </w:p>
          <w:p>
            <w:pPr>
              <w:spacing w:line="380" w:lineRule="exact"/>
              <w:rPr>
                <w:rFonts w:ascii="宋体" w:hAnsi="宋体"/>
                <w:color w:val="auto"/>
                <w:szCs w:val="21"/>
                <w:highlight w:val="none"/>
              </w:rPr>
            </w:pPr>
            <w:r>
              <w:rPr>
                <w:rFonts w:hint="eastAsia" w:ascii="宋体" w:hAnsi="宋体"/>
                <w:color w:val="auto"/>
                <w:szCs w:val="21"/>
                <w:highlight w:val="none"/>
              </w:rPr>
              <w:t>其他投标人价格得分按照下列公式计算：</w:t>
            </w:r>
          </w:p>
          <w:p>
            <w:pPr>
              <w:spacing w:line="380" w:lineRule="exact"/>
              <w:rPr>
                <w:rFonts w:ascii="宋体" w:hAnsi="宋体"/>
                <w:color w:val="auto"/>
                <w:szCs w:val="21"/>
                <w:highlight w:val="none"/>
              </w:rPr>
            </w:pPr>
            <w:r>
              <w:rPr>
                <w:rFonts w:hint="eastAsia" w:ascii="宋体" w:hAnsi="宋体"/>
                <w:color w:val="auto"/>
                <w:szCs w:val="21"/>
                <w:highlight w:val="none"/>
              </w:rPr>
              <w:t>价格得分=（评标基准价/各投标人参与评审的价格）×20％×100。</w:t>
            </w:r>
          </w:p>
          <w:p>
            <w:pPr>
              <w:spacing w:line="380" w:lineRule="exact"/>
              <w:jc w:val="left"/>
              <w:rPr>
                <w:rFonts w:ascii="宋体" w:hAnsi="宋体" w:cs="宋体"/>
                <w:color w:val="auto"/>
                <w:szCs w:val="21"/>
                <w:highlight w:val="none"/>
              </w:rPr>
            </w:pPr>
            <w:r>
              <w:rPr>
                <w:rFonts w:hint="eastAsia" w:ascii="宋体" w:hAnsi="宋体"/>
                <w:color w:val="auto"/>
                <w:szCs w:val="21"/>
                <w:highlight w:val="none"/>
              </w:rPr>
              <w:t>注：价格得分小数点后保留2位小数，第3位小数四舍五入。</w:t>
            </w:r>
          </w:p>
        </w:tc>
        <w:tc>
          <w:tcPr>
            <w:tcW w:w="1032"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客观分</w:t>
            </w:r>
          </w:p>
        </w:tc>
      </w:tr>
      <w:bookmarkEnd w:id="159"/>
    </w:tbl>
    <w:p>
      <w:pPr>
        <w:pStyle w:val="109"/>
        <w:ind w:firstLine="482"/>
        <w:jc w:val="center"/>
        <w:rPr>
          <w:rFonts w:ascii="宋体" w:hAnsi="宋体"/>
          <w:b/>
          <w:color w:val="auto"/>
          <w:sz w:val="24"/>
          <w:szCs w:val="24"/>
          <w:highlight w:val="none"/>
        </w:rPr>
      </w:pPr>
    </w:p>
    <w:p>
      <w:pPr>
        <w:pStyle w:val="109"/>
        <w:ind w:firstLine="482"/>
        <w:jc w:val="center"/>
        <w:rPr>
          <w:rFonts w:ascii="宋体" w:hAnsi="宋体"/>
          <w:b/>
          <w:color w:val="auto"/>
          <w:sz w:val="24"/>
          <w:szCs w:val="24"/>
          <w:highlight w:val="none"/>
        </w:rPr>
      </w:pPr>
    </w:p>
    <w:p>
      <w:pPr>
        <w:pStyle w:val="109"/>
        <w:ind w:firstLine="482"/>
        <w:jc w:val="center"/>
        <w:rPr>
          <w:rFonts w:ascii="宋体" w:hAnsi="宋体"/>
          <w:b/>
          <w:color w:val="auto"/>
          <w:sz w:val="24"/>
          <w:szCs w:val="24"/>
          <w:highlight w:val="none"/>
        </w:rPr>
      </w:pPr>
    </w:p>
    <w:p>
      <w:pPr>
        <w:pStyle w:val="109"/>
        <w:ind w:firstLine="482"/>
        <w:jc w:val="center"/>
        <w:rPr>
          <w:rFonts w:ascii="宋体" w:hAnsi="宋体"/>
          <w:b/>
          <w:color w:val="auto"/>
          <w:sz w:val="24"/>
          <w:szCs w:val="24"/>
          <w:highlight w:val="none"/>
        </w:rPr>
      </w:pPr>
    </w:p>
    <w:p>
      <w:pPr>
        <w:pStyle w:val="109"/>
        <w:ind w:firstLine="482"/>
        <w:jc w:val="center"/>
        <w:rPr>
          <w:rFonts w:ascii="宋体" w:hAnsi="宋体"/>
          <w:b/>
          <w:color w:val="auto"/>
          <w:sz w:val="24"/>
          <w:szCs w:val="24"/>
          <w:highlight w:val="none"/>
        </w:rPr>
      </w:pPr>
    </w:p>
    <w:p>
      <w:pPr>
        <w:pStyle w:val="109"/>
        <w:ind w:firstLine="482"/>
        <w:jc w:val="center"/>
        <w:rPr>
          <w:rFonts w:ascii="宋体" w:hAnsi="宋体"/>
          <w:b/>
          <w:color w:val="auto"/>
          <w:sz w:val="24"/>
          <w:szCs w:val="24"/>
          <w:highlight w:val="none"/>
        </w:rPr>
      </w:pPr>
    </w:p>
    <w:p>
      <w:pPr>
        <w:rPr>
          <w:color w:val="auto"/>
          <w:highlight w:val="none"/>
        </w:rPr>
      </w:pPr>
    </w:p>
    <w:p>
      <w:pPr>
        <w:pStyle w:val="2"/>
        <w:rPr>
          <w:rFonts w:ascii="宋体" w:hAnsi="宋体"/>
          <w:b/>
          <w:color w:val="auto"/>
          <w:sz w:val="24"/>
          <w:szCs w:val="24"/>
          <w:highlight w:val="none"/>
        </w:rPr>
      </w:pPr>
    </w:p>
    <w:p>
      <w:pPr>
        <w:pStyle w:val="3"/>
        <w:spacing w:beforeLines="0" w:afterLines="0" w:line="360" w:lineRule="auto"/>
        <w:rPr>
          <w:rFonts w:ascii="宋体" w:hAnsi="宋体"/>
          <w:color w:val="auto"/>
          <w:sz w:val="32"/>
          <w:szCs w:val="32"/>
          <w:highlight w:val="none"/>
        </w:rPr>
        <w:sectPr>
          <w:headerReference r:id="rId14" w:type="default"/>
          <w:pgSz w:w="11907" w:h="16840"/>
          <w:pgMar w:top="1418" w:right="1701" w:bottom="1418" w:left="1701" w:header="720" w:footer="720" w:gutter="0"/>
          <w:pgNumType w:fmt="decimal"/>
          <w:cols w:space="720" w:num="1"/>
          <w:docGrid w:type="lines" w:linePitch="285" w:charSpace="0"/>
        </w:sectPr>
      </w:pPr>
    </w:p>
    <w:p>
      <w:pPr>
        <w:pStyle w:val="3"/>
        <w:spacing w:beforeLines="0" w:afterLines="0" w:line="360" w:lineRule="auto"/>
        <w:rPr>
          <w:rFonts w:ascii="宋体" w:hAnsi="宋体"/>
          <w:color w:val="auto"/>
          <w:sz w:val="32"/>
          <w:szCs w:val="32"/>
          <w:highlight w:val="none"/>
        </w:rPr>
      </w:pPr>
      <w:bookmarkStart w:id="196" w:name="_Toc21993"/>
      <w:r>
        <w:rPr>
          <w:rFonts w:hint="eastAsia" w:ascii="宋体" w:hAnsi="宋体"/>
          <w:color w:val="auto"/>
          <w:sz w:val="32"/>
          <w:szCs w:val="32"/>
          <w:highlight w:val="none"/>
        </w:rPr>
        <w:t>第六部分  合同格式</w:t>
      </w:r>
      <w:bookmarkEnd w:id="158"/>
      <w:bookmarkEnd w:id="196"/>
    </w:p>
    <w:p>
      <w:pPr>
        <w:pStyle w:val="19"/>
        <w:snapToGrid w:val="0"/>
        <w:spacing w:before="120" w:line="360" w:lineRule="auto"/>
        <w:ind w:left="410" w:hanging="359" w:hangingChars="171"/>
        <w:rPr>
          <w:rFonts w:hAnsi="宋体"/>
          <w:color w:val="auto"/>
          <w:highlight w:val="none"/>
        </w:rPr>
      </w:pPr>
      <w:bookmarkStart w:id="197" w:name="_Toc298230959"/>
      <w:r>
        <w:rPr>
          <w:rFonts w:hAnsi="宋体" w:cs="宋体"/>
          <w:color w:val="auto"/>
          <w:highlight w:val="none"/>
        </w:rPr>
        <w:t>合同号：</w:t>
      </w:r>
    </w:p>
    <w:p>
      <w:pPr>
        <w:pStyle w:val="19"/>
        <w:snapToGrid w:val="0"/>
        <w:spacing w:before="120" w:line="360" w:lineRule="auto"/>
        <w:ind w:left="410" w:hanging="359" w:hangingChars="171"/>
        <w:rPr>
          <w:rFonts w:hAnsi="宋体"/>
          <w:color w:val="auto"/>
          <w:highlight w:val="none"/>
        </w:rPr>
      </w:pPr>
      <w:r>
        <w:rPr>
          <w:rFonts w:hAnsi="宋体" w:cs="宋体"/>
          <w:color w:val="auto"/>
          <w:highlight w:val="none"/>
        </w:rPr>
        <w:t>甲方：</w:t>
      </w:r>
      <w:r>
        <w:rPr>
          <w:rFonts w:hAnsi="宋体" w:cs="宋体"/>
          <w:color w:val="auto"/>
          <w:highlight w:val="none"/>
          <w:u w:val="single"/>
        </w:rPr>
        <w:t>宁波市公安局交通警察局</w:t>
      </w:r>
      <w:r>
        <w:rPr>
          <w:rFonts w:hAnsi="宋体"/>
          <w:color w:val="auto"/>
          <w:highlight w:val="none"/>
          <w:u w:val="single"/>
        </w:rPr>
        <w:t xml:space="preserve"> </w:t>
      </w:r>
      <w:r>
        <w:rPr>
          <w:rFonts w:hAnsi="宋体"/>
          <w:color w:val="auto"/>
          <w:highlight w:val="none"/>
        </w:rPr>
        <w:t xml:space="preserve">         </w:t>
      </w:r>
      <w:r>
        <w:rPr>
          <w:rFonts w:hAnsi="宋体" w:cs="宋体"/>
          <w:color w:val="auto"/>
          <w:highlight w:val="none"/>
        </w:rPr>
        <w:t>（下称甲方）</w:t>
      </w:r>
    </w:p>
    <w:p>
      <w:pPr>
        <w:pStyle w:val="19"/>
        <w:snapToGrid w:val="0"/>
        <w:spacing w:before="120" w:line="360" w:lineRule="auto"/>
        <w:ind w:left="410" w:hanging="359" w:hangingChars="171"/>
        <w:rPr>
          <w:rFonts w:hAnsi="宋体"/>
          <w:color w:val="auto"/>
          <w:highlight w:val="none"/>
        </w:rPr>
      </w:pPr>
      <w:r>
        <w:rPr>
          <w:rFonts w:hAnsi="宋体" w:cs="宋体"/>
          <w:color w:val="auto"/>
          <w:highlight w:val="none"/>
        </w:rPr>
        <w:t>乙方：</w:t>
      </w:r>
      <w:r>
        <w:rPr>
          <w:rFonts w:hint="eastAsia" w:hAnsi="宋体" w:cs="宋体"/>
          <w:color w:val="auto"/>
          <w:highlight w:val="none"/>
          <w:u w:val="single"/>
          <w:lang w:val="en-US" w:eastAsia="zh-CN"/>
        </w:rPr>
        <w:t xml:space="preserve">                                </w:t>
      </w:r>
      <w:r>
        <w:rPr>
          <w:rFonts w:hAnsi="宋体" w:cs="宋体"/>
          <w:color w:val="auto"/>
          <w:highlight w:val="none"/>
        </w:rPr>
        <w:t>（下称乙方）</w:t>
      </w:r>
      <w:r>
        <w:rPr>
          <w:rFonts w:hAnsi="宋体"/>
          <w:color w:val="auto"/>
          <w:highlight w:val="none"/>
        </w:rPr>
        <w:t xml:space="preserve"> </w:t>
      </w:r>
    </w:p>
    <w:p>
      <w:pPr>
        <w:pStyle w:val="19"/>
        <w:snapToGrid w:val="0"/>
        <w:spacing w:before="120" w:line="360" w:lineRule="auto"/>
        <w:ind w:firstLine="420" w:firstLineChars="200"/>
        <w:rPr>
          <w:rFonts w:hAnsi="宋体"/>
          <w:b/>
          <w:color w:val="auto"/>
          <w:highlight w:val="none"/>
        </w:rPr>
      </w:pPr>
      <w:r>
        <w:rPr>
          <w:rFonts w:hAnsi="宋体" w:cs="宋体"/>
          <w:color w:val="auto"/>
          <w:highlight w:val="none"/>
        </w:rPr>
        <w:t>甲、乙双方</w:t>
      </w:r>
      <w:r>
        <w:rPr>
          <w:rFonts w:hint="eastAsia" w:hAnsi="宋体" w:cs="宋体"/>
          <w:color w:val="auto"/>
          <w:highlight w:val="none"/>
          <w:lang w:val="en-US" w:eastAsia="zh-CN"/>
        </w:rPr>
        <w:t>就</w:t>
      </w:r>
      <w:r>
        <w:rPr>
          <w:rFonts w:hAnsi="宋体" w:cs="宋体"/>
          <w:color w:val="auto"/>
          <w:highlight w:val="none"/>
        </w:rPr>
        <w:t>《</w:t>
      </w:r>
      <w:r>
        <w:rPr>
          <w:rFonts w:hint="eastAsia" w:hAnsi="宋体" w:cs="宋体"/>
          <w:color w:val="auto"/>
          <w:highlight w:val="none"/>
          <w:u w:val="single"/>
          <w:lang w:val="en-US" w:eastAsia="zh-CN"/>
        </w:rPr>
        <w:t xml:space="preserve">       （项目名称）           </w:t>
      </w:r>
      <w:r>
        <w:rPr>
          <w:rFonts w:hAnsi="宋体" w:cs="宋体"/>
          <w:color w:val="auto"/>
          <w:highlight w:val="none"/>
          <w:u w:val="single"/>
        </w:rPr>
        <w:t>》</w:t>
      </w:r>
      <w:r>
        <w:rPr>
          <w:rFonts w:hint="eastAsia" w:hAnsi="宋体" w:cs="宋体"/>
          <w:color w:val="auto"/>
          <w:highlight w:val="none"/>
          <w:u w:val="single"/>
          <w:lang w:val="en-US" w:eastAsia="zh-CN"/>
        </w:rPr>
        <w:t>项目</w:t>
      </w:r>
      <w:r>
        <w:rPr>
          <w:rFonts w:hAnsi="宋体" w:cs="宋体"/>
          <w:color w:val="auto"/>
          <w:highlight w:val="none"/>
        </w:rPr>
        <w:t>签署本合同。</w:t>
      </w:r>
    </w:p>
    <w:p>
      <w:pPr>
        <w:pStyle w:val="19"/>
        <w:snapToGrid w:val="0"/>
        <w:spacing w:before="120" w:line="360" w:lineRule="auto"/>
        <w:rPr>
          <w:rFonts w:hAnsi="宋体"/>
          <w:b/>
          <w:color w:val="auto"/>
          <w:highlight w:val="none"/>
        </w:rPr>
      </w:pPr>
      <w:r>
        <w:rPr>
          <w:rFonts w:hAnsi="宋体" w:cs="宋体"/>
          <w:b/>
          <w:color w:val="auto"/>
          <w:highlight w:val="none"/>
        </w:rPr>
        <w:t>一、服务内容与费用组成</w:t>
      </w:r>
    </w:p>
    <w:p>
      <w:pPr>
        <w:autoSpaceDE w:val="0"/>
        <w:autoSpaceDN w:val="0"/>
        <w:snapToGrid w:val="0"/>
        <w:spacing w:line="360" w:lineRule="auto"/>
        <w:ind w:firstLine="420" w:firstLineChars="200"/>
        <w:rPr>
          <w:rFonts w:hint="default" w:cs="仿宋"/>
          <w:bCs/>
          <w:color w:val="auto"/>
          <w:szCs w:val="21"/>
          <w:highlight w:val="none"/>
        </w:rPr>
      </w:pPr>
      <w:r>
        <w:rPr>
          <w:rFonts w:cs="仿宋"/>
          <w:bCs/>
          <w:color w:val="auto"/>
          <w:szCs w:val="21"/>
          <w:highlight w:val="none"/>
        </w:rPr>
        <w:t>本项目的第一服务阶段（</w:t>
      </w:r>
      <w:bookmarkStart w:id="198" w:name="OLE_LINK46"/>
      <w:r>
        <w:rPr>
          <w:rFonts w:hint="eastAsia" w:cs="仿宋"/>
          <w:bCs/>
          <w:color w:val="auto"/>
          <w:szCs w:val="21"/>
          <w:highlight w:val="none"/>
          <w:lang w:val="en-US" w:eastAsia="zh-CN"/>
        </w:rPr>
        <w:t>时间</w:t>
      </w:r>
      <w:bookmarkEnd w:id="198"/>
      <w:r>
        <w:rPr>
          <w:rFonts w:hint="eastAsia" w:cs="仿宋"/>
          <w:bCs/>
          <w:color w:val="auto"/>
          <w:szCs w:val="21"/>
          <w:highlight w:val="none"/>
          <w:lang w:val="en-US" w:eastAsia="zh-CN"/>
        </w:rPr>
        <w:t xml:space="preserve">:             </w:t>
      </w:r>
      <w:r>
        <w:rPr>
          <w:rFonts w:cs="仿宋"/>
          <w:bCs/>
          <w:color w:val="auto"/>
          <w:szCs w:val="21"/>
          <w:highlight w:val="none"/>
        </w:rPr>
        <w:t>），乙方需派驻驻点专职技术人员12人；第二服务阶段（</w:t>
      </w:r>
      <w:r>
        <w:rPr>
          <w:rFonts w:hint="eastAsia" w:cs="仿宋"/>
          <w:bCs/>
          <w:color w:val="auto"/>
          <w:szCs w:val="21"/>
          <w:highlight w:val="none"/>
          <w:lang w:val="en-US" w:eastAsia="zh-CN"/>
        </w:rPr>
        <w:t xml:space="preserve">时间:                </w:t>
      </w:r>
      <w:r>
        <w:rPr>
          <w:rFonts w:cs="仿宋"/>
          <w:bCs/>
          <w:color w:val="auto"/>
          <w:szCs w:val="21"/>
          <w:highlight w:val="none"/>
        </w:rPr>
        <w:t>），乙方需派驻驻点专职技术人员5人。两个服务阶段内，乙方派驻的驻点专职技术人员主要提供以下咨询服务：</w:t>
      </w:r>
    </w:p>
    <w:p>
      <w:pPr>
        <w:pStyle w:val="19"/>
        <w:snapToGrid w:val="0"/>
        <w:spacing w:before="120" w:line="360" w:lineRule="auto"/>
        <w:ind w:firstLine="420" w:firstLineChars="200"/>
        <w:rPr>
          <w:rFonts w:hint="default" w:hAnsi="宋体" w:cs="宋体"/>
          <w:color w:val="auto"/>
          <w:highlight w:val="none"/>
        </w:rPr>
      </w:pPr>
      <w:r>
        <w:rPr>
          <w:rFonts w:hint="default" w:hAnsi="宋体" w:cs="宋体"/>
          <w:color w:val="auto"/>
          <w:highlight w:val="none"/>
        </w:rPr>
        <w:t>1、市三区交通组织优化项目交通设计方案编制：对道路交叉口、局部路段或区域路网进行交通组织优化调整，并编制配套设施、组织调整方案。</w:t>
      </w:r>
    </w:p>
    <w:p>
      <w:pPr>
        <w:pStyle w:val="19"/>
        <w:snapToGrid w:val="0"/>
        <w:spacing w:before="120" w:line="360" w:lineRule="auto"/>
        <w:ind w:firstLine="420" w:firstLineChars="200"/>
        <w:rPr>
          <w:rFonts w:hint="default" w:hAnsi="宋体" w:cs="宋体"/>
          <w:color w:val="auto"/>
          <w:highlight w:val="none"/>
        </w:rPr>
      </w:pPr>
      <w:r>
        <w:rPr>
          <w:rFonts w:hint="default" w:hAnsi="宋体" w:cs="宋体"/>
          <w:color w:val="auto"/>
          <w:highlight w:val="none"/>
        </w:rPr>
        <w:t>2、市三区现场道路交通环境或流量勘查、调研：对道路交通状况进行现场排摸调研，包括但不限于道路交通流量、交通设施布置情况、交通组织情况等。</w:t>
      </w:r>
    </w:p>
    <w:p>
      <w:pPr>
        <w:pStyle w:val="19"/>
        <w:snapToGrid w:val="0"/>
        <w:spacing w:before="120" w:line="360" w:lineRule="auto"/>
        <w:ind w:firstLine="420" w:firstLineChars="200"/>
        <w:rPr>
          <w:rFonts w:hint="default" w:hAnsi="宋体" w:cs="宋体"/>
          <w:color w:val="auto"/>
          <w:highlight w:val="none"/>
        </w:rPr>
      </w:pPr>
      <w:r>
        <w:rPr>
          <w:rFonts w:hint="default" w:hAnsi="宋体" w:cs="宋体"/>
          <w:color w:val="auto"/>
          <w:highlight w:val="none"/>
        </w:rPr>
        <w:t>3、市三区应急类交通组织咨询项目：包括节假日、重要会议、重要活动、其它应急时段期间的交通管制方案和配套设施方案编制。</w:t>
      </w:r>
    </w:p>
    <w:p>
      <w:pPr>
        <w:pStyle w:val="19"/>
        <w:snapToGrid w:val="0"/>
        <w:spacing w:before="120" w:line="360" w:lineRule="auto"/>
        <w:ind w:firstLine="420" w:firstLineChars="200"/>
        <w:rPr>
          <w:rFonts w:hint="default" w:hAnsi="宋体" w:cs="宋体"/>
          <w:color w:val="auto"/>
          <w:highlight w:val="none"/>
        </w:rPr>
      </w:pPr>
      <w:r>
        <w:rPr>
          <w:rFonts w:hint="default" w:hAnsi="宋体" w:cs="宋体"/>
          <w:color w:val="auto"/>
          <w:highlight w:val="none"/>
        </w:rPr>
        <w:t>4、市区交通运行情况分析及调研报告编制：根据招标人要求，按月度对我市道路交通运行情况进行分析、汇总和评价，形成《202</w:t>
      </w:r>
      <w:r>
        <w:rPr>
          <w:rFonts w:hint="eastAsia" w:hAnsi="宋体" w:cs="宋体"/>
          <w:color w:val="auto"/>
          <w:highlight w:val="none"/>
          <w:lang w:val="en-US" w:eastAsia="zh-CN"/>
        </w:rPr>
        <w:t>5</w:t>
      </w:r>
      <w:r>
        <w:rPr>
          <w:rFonts w:hint="default" w:hAnsi="宋体" w:cs="宋体"/>
          <w:color w:val="auto"/>
          <w:highlight w:val="none"/>
        </w:rPr>
        <w:t>年</w:t>
      </w:r>
      <w:r>
        <w:rPr>
          <w:rFonts w:hint="eastAsia" w:hAnsi="宋体" w:cs="宋体"/>
          <w:color w:val="auto"/>
          <w:highlight w:val="none"/>
          <w:u w:val="single"/>
          <w:lang w:val="en-US" w:eastAsia="zh-CN"/>
        </w:rPr>
        <w:t xml:space="preserve">  </w:t>
      </w:r>
      <w:r>
        <w:rPr>
          <w:rFonts w:hint="default" w:hAnsi="宋体" w:cs="宋体"/>
          <w:color w:val="auto"/>
          <w:highlight w:val="none"/>
        </w:rPr>
        <w:t>月</w:t>
      </w:r>
      <w:r>
        <w:rPr>
          <w:rFonts w:hAnsi="宋体" w:cs="宋体"/>
          <w:color w:val="auto"/>
          <w:highlight w:val="none"/>
        </w:rPr>
        <w:t>-</w:t>
      </w:r>
      <w:r>
        <w:rPr>
          <w:rFonts w:hint="eastAsia" w:hAnsi="宋体" w:cs="宋体"/>
          <w:color w:val="auto"/>
          <w:highlight w:val="none"/>
          <w:u w:val="single"/>
          <w:lang w:val="en-US" w:eastAsia="zh-CN"/>
        </w:rPr>
        <w:t xml:space="preserve">  </w:t>
      </w:r>
      <w:r>
        <w:rPr>
          <w:rFonts w:hAnsi="宋体" w:cs="宋体"/>
          <w:color w:val="auto"/>
          <w:highlight w:val="none"/>
        </w:rPr>
        <w:t>月</w:t>
      </w:r>
      <w:r>
        <w:rPr>
          <w:rFonts w:hint="default" w:hAnsi="宋体" w:cs="宋体"/>
          <w:color w:val="auto"/>
          <w:highlight w:val="none"/>
        </w:rPr>
        <w:t>全市道路交通运行状况月报》共计</w:t>
      </w:r>
      <w:r>
        <w:rPr>
          <w:rFonts w:hint="eastAsia" w:hAnsi="宋体" w:cs="宋体"/>
          <w:color w:val="auto"/>
          <w:highlight w:val="none"/>
          <w:u w:val="single"/>
          <w:lang w:val="en-US" w:eastAsia="zh-CN"/>
        </w:rPr>
        <w:t xml:space="preserve">  </w:t>
      </w:r>
      <w:r>
        <w:rPr>
          <w:rFonts w:hint="default" w:hAnsi="宋体" w:cs="宋体"/>
          <w:color w:val="auto"/>
          <w:highlight w:val="none"/>
        </w:rPr>
        <w:t>份月报，内容包括交通健康指数、交通运行车速、拥堵路段路口情况等；同时按季度汇总部分市三区内的典型交通运行优化治理案例，并编制相关调研报告，形成《202</w:t>
      </w:r>
      <w:r>
        <w:rPr>
          <w:rFonts w:hint="eastAsia" w:hAnsi="宋体" w:cs="宋体"/>
          <w:color w:val="auto"/>
          <w:highlight w:val="none"/>
          <w:lang w:val="en-US" w:eastAsia="zh-CN"/>
        </w:rPr>
        <w:t xml:space="preserve">  </w:t>
      </w:r>
      <w:r>
        <w:rPr>
          <w:rFonts w:hint="default" w:hAnsi="宋体" w:cs="宋体"/>
          <w:color w:val="auto"/>
          <w:highlight w:val="none"/>
        </w:rPr>
        <w:t>年第</w:t>
      </w:r>
      <w:r>
        <w:rPr>
          <w:rFonts w:hint="eastAsia" w:hAnsi="宋体" w:cs="宋体"/>
          <w:color w:val="auto"/>
          <w:highlight w:val="none"/>
          <w:lang w:val="en-US" w:eastAsia="zh-CN"/>
        </w:rPr>
        <w:t xml:space="preserve">  </w:t>
      </w:r>
      <w:r>
        <w:rPr>
          <w:rFonts w:hAnsi="宋体" w:cs="宋体"/>
          <w:color w:val="auto"/>
          <w:highlight w:val="none"/>
        </w:rPr>
        <w:t>-第</w:t>
      </w:r>
      <w:r>
        <w:rPr>
          <w:rFonts w:hint="eastAsia" w:hAnsi="宋体" w:cs="宋体"/>
          <w:color w:val="auto"/>
          <w:highlight w:val="none"/>
          <w:lang w:val="en-US" w:eastAsia="zh-CN"/>
        </w:rPr>
        <w:t xml:space="preserve">  </w:t>
      </w:r>
      <w:r>
        <w:rPr>
          <w:rFonts w:hint="default" w:hAnsi="宋体" w:cs="宋体"/>
          <w:color w:val="auto"/>
          <w:highlight w:val="none"/>
        </w:rPr>
        <w:t>季度道路交通优化治理案例集》共计4份季报，每份季报不少于4个案例，主要包括</w:t>
      </w:r>
      <w:bookmarkStart w:id="199" w:name="OLE_LINK54"/>
      <w:r>
        <w:rPr>
          <w:rFonts w:hint="default" w:hAnsi="宋体" w:cs="宋体"/>
          <w:color w:val="auto"/>
          <w:highlight w:val="none"/>
        </w:rPr>
        <w:t>学校</w:t>
      </w:r>
      <w:bookmarkEnd w:id="199"/>
      <w:r>
        <w:rPr>
          <w:rFonts w:hint="default" w:hAnsi="宋体" w:cs="宋体"/>
          <w:color w:val="auto"/>
          <w:highlight w:val="none"/>
        </w:rPr>
        <w:t>、医院、商场等周边治理，主要道路路口、路段等节点治理等。</w:t>
      </w:r>
    </w:p>
    <w:p>
      <w:pPr>
        <w:pStyle w:val="19"/>
        <w:snapToGrid w:val="0"/>
        <w:spacing w:before="120" w:line="360" w:lineRule="auto"/>
        <w:ind w:firstLine="420" w:firstLineChars="200"/>
        <w:rPr>
          <w:rFonts w:hint="default" w:hAnsi="宋体" w:cs="宋体"/>
          <w:color w:val="auto"/>
          <w:highlight w:val="none"/>
        </w:rPr>
      </w:pPr>
      <w:r>
        <w:rPr>
          <w:rFonts w:hint="default" w:hAnsi="宋体" w:cs="宋体"/>
          <w:color w:val="auto"/>
          <w:highlight w:val="none"/>
        </w:rPr>
        <w:t>5、市三区道路基础交通环境、舆情提案、临时管控等咨询与配合工作：根据招标人要求开展的其它交通组织、交通设施、交通管理、交通管控、舆情处理等配套的设计咨询服务，工作内容包括相关图纸的绘制、现场实施指导、相关材料收集或制订等。</w:t>
      </w:r>
    </w:p>
    <w:p>
      <w:pPr>
        <w:pStyle w:val="19"/>
        <w:snapToGrid w:val="0"/>
        <w:spacing w:before="120" w:line="360" w:lineRule="auto"/>
        <w:rPr>
          <w:rFonts w:hAnsi="宋体"/>
          <w:b/>
          <w:color w:val="auto"/>
          <w:highlight w:val="none"/>
        </w:rPr>
      </w:pPr>
      <w:r>
        <w:rPr>
          <w:rFonts w:hAnsi="宋体" w:cs="宋体"/>
          <w:b/>
          <w:color w:val="auto"/>
          <w:highlight w:val="none"/>
        </w:rPr>
        <w:t>二、合同金额</w:t>
      </w:r>
    </w:p>
    <w:p>
      <w:pPr>
        <w:pStyle w:val="19"/>
        <w:snapToGrid w:val="0"/>
        <w:spacing w:before="120" w:line="360" w:lineRule="auto"/>
        <w:ind w:firstLine="420" w:firstLineChars="200"/>
        <w:rPr>
          <w:rFonts w:hAnsi="宋体" w:cs="宋体"/>
          <w:color w:val="auto"/>
          <w:highlight w:val="none"/>
        </w:rPr>
      </w:pPr>
      <w:r>
        <w:rPr>
          <w:rFonts w:hAnsi="宋体" w:cs="宋体"/>
          <w:color w:val="auto"/>
          <w:highlight w:val="none"/>
        </w:rPr>
        <w:t>1、合同金额暂定为人民币（大写）</w:t>
      </w:r>
      <w:r>
        <w:rPr>
          <w:rFonts w:hint="eastAsia" w:hAnsi="宋体" w:cs="宋体"/>
          <w:color w:val="auto"/>
          <w:highlight w:val="none"/>
          <w:lang w:val="en-US" w:eastAsia="zh-CN"/>
        </w:rPr>
        <w:t xml:space="preserve">      </w:t>
      </w:r>
      <w:r>
        <w:rPr>
          <w:rFonts w:hAnsi="宋体" w:cs="宋体"/>
          <w:color w:val="auto"/>
          <w:highlight w:val="none"/>
        </w:rPr>
        <w:t>元（￥</w:t>
      </w:r>
      <w:r>
        <w:rPr>
          <w:rFonts w:hint="eastAsia" w:hAnsi="宋体" w:cs="宋体"/>
          <w:color w:val="auto"/>
          <w:highlight w:val="none"/>
          <w:u w:val="single"/>
          <w:lang w:val="en-US" w:eastAsia="zh-CN"/>
        </w:rPr>
        <w:t xml:space="preserve">         </w:t>
      </w:r>
      <w:r>
        <w:rPr>
          <w:rFonts w:hAnsi="宋体"/>
          <w:color w:val="auto"/>
          <w:highlight w:val="none"/>
          <w:u w:val="single"/>
        </w:rPr>
        <w:t>.00</w:t>
      </w:r>
      <w:r>
        <w:rPr>
          <w:rFonts w:hAnsi="宋体" w:cs="宋体"/>
          <w:color w:val="auto"/>
          <w:highlight w:val="none"/>
        </w:rPr>
        <w:t>元），最终结算金额根据考核结果进行相应扣减后确定。</w:t>
      </w:r>
    </w:p>
    <w:p>
      <w:pPr>
        <w:pStyle w:val="19"/>
        <w:snapToGrid w:val="0"/>
        <w:spacing w:before="120" w:line="360" w:lineRule="auto"/>
        <w:ind w:firstLine="420" w:firstLineChars="200"/>
        <w:rPr>
          <w:rFonts w:hAnsi="宋体" w:cs="宋体"/>
          <w:color w:val="auto"/>
          <w:highlight w:val="none"/>
        </w:rPr>
      </w:pPr>
      <w:r>
        <w:rPr>
          <w:rFonts w:hAnsi="宋体" w:cs="宋体"/>
          <w:color w:val="auto"/>
          <w:highlight w:val="none"/>
        </w:rPr>
        <w:t>2、除另有约定外，甲方无需就本合同项下委托事项向乙方另行支付其他任何费用。</w:t>
      </w:r>
    </w:p>
    <w:p>
      <w:pPr>
        <w:pStyle w:val="19"/>
        <w:numPr>
          <w:ilvl w:val="0"/>
          <w:numId w:val="8"/>
        </w:numPr>
        <w:snapToGrid w:val="0"/>
        <w:spacing w:before="120" w:line="360" w:lineRule="auto"/>
        <w:rPr>
          <w:rFonts w:hAnsi="宋体" w:cs="宋体"/>
          <w:b/>
          <w:color w:val="auto"/>
          <w:highlight w:val="none"/>
        </w:rPr>
      </w:pPr>
      <w:r>
        <w:rPr>
          <w:rFonts w:hAnsi="宋体" w:cs="宋体"/>
          <w:b/>
          <w:color w:val="auto"/>
          <w:highlight w:val="none"/>
        </w:rPr>
        <w:t>服务期限：</w:t>
      </w:r>
      <w:r>
        <w:rPr>
          <w:rFonts w:hAnsi="宋体" w:cs="仿宋"/>
          <w:bCs/>
          <w:color w:val="auto"/>
          <w:szCs w:val="21"/>
          <w:highlight w:val="none"/>
        </w:rPr>
        <w:t>202</w:t>
      </w:r>
      <w:r>
        <w:rPr>
          <w:rFonts w:hint="eastAsia" w:hAnsi="宋体" w:cs="仿宋"/>
          <w:bCs/>
          <w:color w:val="auto"/>
          <w:szCs w:val="21"/>
          <w:highlight w:val="none"/>
          <w:lang w:val="en-US" w:eastAsia="zh-CN"/>
        </w:rPr>
        <w:t xml:space="preserve"> </w:t>
      </w:r>
      <w:r>
        <w:rPr>
          <w:rFonts w:hAnsi="宋体" w:cs="仿宋"/>
          <w:bCs/>
          <w:color w:val="auto"/>
          <w:szCs w:val="21"/>
          <w:highlight w:val="none"/>
        </w:rPr>
        <w:t>年</w:t>
      </w:r>
      <w:r>
        <w:rPr>
          <w:rFonts w:hint="eastAsia" w:hAnsi="宋体" w:cs="仿宋"/>
          <w:bCs/>
          <w:color w:val="auto"/>
          <w:szCs w:val="21"/>
          <w:highlight w:val="none"/>
          <w:lang w:val="en-US" w:eastAsia="zh-CN"/>
        </w:rPr>
        <w:t xml:space="preserve"> </w:t>
      </w:r>
      <w:r>
        <w:rPr>
          <w:rFonts w:hAnsi="宋体" w:cs="仿宋"/>
          <w:bCs/>
          <w:color w:val="auto"/>
          <w:szCs w:val="21"/>
          <w:highlight w:val="none"/>
        </w:rPr>
        <w:t>月</w:t>
      </w:r>
      <w:r>
        <w:rPr>
          <w:rFonts w:hint="eastAsia" w:hAnsi="宋体" w:cs="仿宋"/>
          <w:bCs/>
          <w:color w:val="auto"/>
          <w:szCs w:val="21"/>
          <w:highlight w:val="none"/>
          <w:lang w:val="en-US" w:eastAsia="zh-CN"/>
        </w:rPr>
        <w:t xml:space="preserve"> </w:t>
      </w:r>
      <w:r>
        <w:rPr>
          <w:rFonts w:hAnsi="宋体" w:cs="仿宋"/>
          <w:bCs/>
          <w:color w:val="auto"/>
          <w:szCs w:val="21"/>
          <w:highlight w:val="none"/>
        </w:rPr>
        <w:t>日-202年</w:t>
      </w:r>
      <w:r>
        <w:rPr>
          <w:rFonts w:hint="eastAsia" w:hAnsi="宋体" w:cs="仿宋"/>
          <w:bCs/>
          <w:color w:val="auto"/>
          <w:szCs w:val="21"/>
          <w:highlight w:val="none"/>
          <w:lang w:val="en-US" w:eastAsia="zh-CN"/>
        </w:rPr>
        <w:t xml:space="preserve">  </w:t>
      </w:r>
      <w:r>
        <w:rPr>
          <w:rFonts w:hAnsi="宋体" w:cs="仿宋"/>
          <w:bCs/>
          <w:color w:val="auto"/>
          <w:szCs w:val="21"/>
          <w:highlight w:val="none"/>
        </w:rPr>
        <w:t>月</w:t>
      </w:r>
      <w:r>
        <w:rPr>
          <w:rFonts w:hint="eastAsia" w:hAnsi="宋体" w:cs="仿宋"/>
          <w:bCs/>
          <w:color w:val="auto"/>
          <w:szCs w:val="21"/>
          <w:highlight w:val="none"/>
          <w:lang w:val="en-US" w:eastAsia="zh-CN"/>
        </w:rPr>
        <w:t xml:space="preserve">  </w:t>
      </w:r>
      <w:r>
        <w:rPr>
          <w:rFonts w:hAnsi="宋体" w:cs="仿宋"/>
          <w:bCs/>
          <w:color w:val="auto"/>
          <w:szCs w:val="21"/>
          <w:highlight w:val="none"/>
        </w:rPr>
        <w:t>日</w:t>
      </w:r>
      <w:r>
        <w:rPr>
          <w:rFonts w:hAnsi="宋体" w:cs="宋体"/>
          <w:color w:val="auto"/>
          <w:highlight w:val="none"/>
        </w:rPr>
        <w:t>，共计</w:t>
      </w:r>
      <w:r>
        <w:rPr>
          <w:rFonts w:hint="eastAsia" w:hAnsi="宋体" w:cs="宋体"/>
          <w:color w:val="auto"/>
          <w:highlight w:val="none"/>
          <w:lang w:val="en-US" w:eastAsia="zh-CN"/>
        </w:rPr>
        <w:t xml:space="preserve">  </w:t>
      </w:r>
      <w:r>
        <w:rPr>
          <w:rFonts w:hAnsi="宋体" w:cs="宋体"/>
          <w:color w:val="auto"/>
          <w:highlight w:val="none"/>
        </w:rPr>
        <w:t>年。</w:t>
      </w:r>
    </w:p>
    <w:p>
      <w:pPr>
        <w:pStyle w:val="19"/>
        <w:numPr>
          <w:ilvl w:val="0"/>
          <w:numId w:val="8"/>
        </w:numPr>
        <w:snapToGrid w:val="0"/>
        <w:spacing w:before="120" w:line="360" w:lineRule="auto"/>
        <w:rPr>
          <w:rFonts w:hAnsi="宋体" w:cs="宋体"/>
          <w:b/>
          <w:color w:val="auto"/>
          <w:highlight w:val="none"/>
        </w:rPr>
      </w:pPr>
      <w:r>
        <w:rPr>
          <w:rFonts w:hAnsi="宋体" w:cs="宋体"/>
          <w:b/>
          <w:color w:val="auto"/>
          <w:highlight w:val="none"/>
        </w:rPr>
        <w:t>质量要求</w:t>
      </w:r>
    </w:p>
    <w:p>
      <w:pPr>
        <w:pStyle w:val="19"/>
        <w:snapToGrid w:val="0"/>
        <w:spacing w:before="120" w:line="360" w:lineRule="auto"/>
        <w:ind w:firstLine="420" w:firstLineChars="200"/>
        <w:rPr>
          <w:rFonts w:hAnsi="宋体" w:cs="宋体"/>
          <w:color w:val="auto"/>
          <w:highlight w:val="none"/>
        </w:rPr>
      </w:pPr>
      <w:r>
        <w:rPr>
          <w:rFonts w:hAnsi="宋体" w:cs="宋体"/>
          <w:color w:val="auto"/>
          <w:highlight w:val="none"/>
        </w:rPr>
        <w:t>1、乙方提供的方案设计成果需符合国家、省、市、和交警部门相关文件和标准要求。</w:t>
      </w:r>
    </w:p>
    <w:p>
      <w:pPr>
        <w:pStyle w:val="19"/>
        <w:snapToGrid w:val="0"/>
        <w:spacing w:before="120" w:line="360" w:lineRule="auto"/>
        <w:ind w:firstLine="420" w:firstLineChars="200"/>
        <w:rPr>
          <w:rFonts w:hAnsi="宋体" w:cs="宋体"/>
          <w:color w:val="auto"/>
          <w:highlight w:val="none"/>
        </w:rPr>
      </w:pPr>
      <w:r>
        <w:rPr>
          <w:rFonts w:hAnsi="宋体" w:cs="宋体"/>
          <w:color w:val="auto"/>
          <w:highlight w:val="none"/>
        </w:rPr>
        <w:t>2、乙方提供的方案设计和指导服务有利于推进宁波市交通组织和设施管理水平的提升。</w:t>
      </w:r>
    </w:p>
    <w:p>
      <w:pPr>
        <w:pStyle w:val="19"/>
        <w:snapToGrid w:val="0"/>
        <w:spacing w:before="120" w:line="360" w:lineRule="auto"/>
        <w:ind w:firstLine="420" w:firstLineChars="200"/>
        <w:rPr>
          <w:rFonts w:hint="default" w:hAnsi="宋体" w:cs="宋体"/>
          <w:color w:val="auto"/>
          <w:highlight w:val="none"/>
        </w:rPr>
      </w:pPr>
      <w:r>
        <w:rPr>
          <w:rFonts w:hAnsi="宋体" w:cs="宋体"/>
          <w:color w:val="auto"/>
          <w:highlight w:val="none"/>
        </w:rPr>
        <w:t>3、乙方团队应具有较高的科研、学术和生产技术服务水平，团队核心成员应充分了解和熟悉国内外交通领域的前沿科技和发展趋势，具有较高的专业能力和水平。</w:t>
      </w:r>
    </w:p>
    <w:p>
      <w:pPr>
        <w:pStyle w:val="19"/>
        <w:numPr>
          <w:ilvl w:val="0"/>
          <w:numId w:val="8"/>
        </w:numPr>
        <w:snapToGrid w:val="0"/>
        <w:spacing w:before="120" w:line="360" w:lineRule="auto"/>
        <w:rPr>
          <w:rFonts w:hint="default" w:hAnsi="宋体" w:cs="宋体"/>
          <w:b/>
          <w:color w:val="auto"/>
          <w:highlight w:val="none"/>
        </w:rPr>
      </w:pPr>
      <w:r>
        <w:rPr>
          <w:rFonts w:hAnsi="宋体" w:cs="宋体"/>
          <w:b/>
          <w:color w:val="auto"/>
          <w:highlight w:val="none"/>
        </w:rPr>
        <w:t>技术资料</w:t>
      </w:r>
    </w:p>
    <w:p>
      <w:pPr>
        <w:pStyle w:val="19"/>
        <w:tabs>
          <w:tab w:val="left" w:pos="0"/>
        </w:tabs>
        <w:snapToGrid w:val="0"/>
        <w:spacing w:before="120" w:line="360" w:lineRule="auto"/>
        <w:ind w:firstLine="420" w:firstLineChars="200"/>
        <w:rPr>
          <w:rFonts w:hAnsi="宋体" w:cs="宋体"/>
          <w:b/>
          <w:color w:val="auto"/>
          <w:highlight w:val="none"/>
        </w:rPr>
      </w:pPr>
      <w:r>
        <w:rPr>
          <w:rFonts w:hAnsi="宋体"/>
          <w:color w:val="auto"/>
          <w:highlight w:val="none"/>
        </w:rPr>
        <w:t>1、</w:t>
      </w:r>
      <w:r>
        <w:rPr>
          <w:rFonts w:hAnsi="宋体" w:cs="宋体"/>
          <w:color w:val="auto"/>
          <w:highlight w:val="none"/>
        </w:rPr>
        <w:t>乙方应按招标文件规定的时间向甲方提供有关技术资料。</w:t>
      </w:r>
    </w:p>
    <w:p>
      <w:pPr>
        <w:pStyle w:val="19"/>
        <w:snapToGrid w:val="0"/>
        <w:spacing w:before="120" w:line="360" w:lineRule="auto"/>
        <w:ind w:firstLine="420" w:firstLineChars="200"/>
        <w:rPr>
          <w:rFonts w:hAnsi="宋体" w:cs="宋体"/>
          <w:color w:val="auto"/>
          <w:highlight w:val="none"/>
        </w:rPr>
      </w:pPr>
      <w:r>
        <w:rPr>
          <w:rFonts w:hAnsi="宋体"/>
          <w:color w:val="auto"/>
          <w:highlight w:val="none"/>
        </w:rPr>
        <w:t>2、</w:t>
      </w:r>
      <w:r>
        <w:rPr>
          <w:rFonts w:hAnsi="宋体" w:cs="宋体"/>
          <w:color w:val="auto"/>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9"/>
        <w:numPr>
          <w:ilvl w:val="0"/>
          <w:numId w:val="8"/>
        </w:numPr>
        <w:snapToGrid w:val="0"/>
        <w:spacing w:before="120" w:line="360" w:lineRule="auto"/>
        <w:rPr>
          <w:rFonts w:hAnsi="宋体"/>
          <w:b/>
          <w:color w:val="auto"/>
          <w:highlight w:val="none"/>
        </w:rPr>
      </w:pPr>
      <w:r>
        <w:rPr>
          <w:rFonts w:hAnsi="宋体" w:cs="宋体"/>
          <w:b/>
          <w:color w:val="auto"/>
          <w:highlight w:val="none"/>
        </w:rPr>
        <w:t>知识产权</w:t>
      </w:r>
    </w:p>
    <w:p>
      <w:pPr>
        <w:pStyle w:val="19"/>
        <w:snapToGrid w:val="0"/>
        <w:spacing w:before="120" w:line="360" w:lineRule="auto"/>
        <w:ind w:firstLine="420" w:firstLineChars="200"/>
        <w:rPr>
          <w:rFonts w:hAnsi="宋体" w:cs="宋体"/>
          <w:color w:val="auto"/>
          <w:highlight w:val="none"/>
        </w:rPr>
      </w:pPr>
      <w:r>
        <w:rPr>
          <w:rFonts w:hint="default" w:hAnsi="宋体"/>
          <w:color w:val="auto"/>
          <w:highlight w:val="none"/>
        </w:rPr>
        <w:t>1</w:t>
      </w:r>
      <w:r>
        <w:rPr>
          <w:rFonts w:hAnsi="宋体"/>
          <w:color w:val="auto"/>
          <w:highlight w:val="none"/>
        </w:rPr>
        <w:t>、</w:t>
      </w:r>
      <w:r>
        <w:rPr>
          <w:rFonts w:hAnsi="宋体" w:cs="宋体"/>
          <w:color w:val="auto"/>
          <w:highlight w:val="none"/>
        </w:rPr>
        <w:t>乙方应当保证，在其依本合同为甲方提供咨询技术服务过程中或其为甲方提供的咨询技术服务成果不侵犯任何第三人的合法权益。如果有人提出法律或行政程序（合称“侵权指控”），声称甲方使用咨询技术服务成果侵犯了其合法权益（包括但不限于知识产权），乙方应当负责解决，并赔偿甲方就此所承担的一切损失和费用，包括但不限于上述侵权指控中所产生的一切诉讼费用、调查费用、合理的律师费用、和解金额或生效法律文书中规定的赔偿金额。如果在侵权指控的审理过程中有关法律机关禁止甲方继续使用咨询技术服务成果的部分或全部，乙方应负责处理，并应采取以下措施之一：</w:t>
      </w:r>
    </w:p>
    <w:p>
      <w:pPr>
        <w:pStyle w:val="19"/>
        <w:snapToGrid w:val="0"/>
        <w:spacing w:before="120" w:line="360" w:lineRule="auto"/>
        <w:ind w:firstLine="420" w:firstLineChars="200"/>
        <w:rPr>
          <w:rFonts w:hAnsi="宋体" w:cs="宋体"/>
          <w:color w:val="auto"/>
          <w:highlight w:val="none"/>
        </w:rPr>
      </w:pPr>
      <w:r>
        <w:rPr>
          <w:rFonts w:hAnsi="宋体" w:cs="宋体"/>
          <w:color w:val="auto"/>
          <w:highlight w:val="none"/>
        </w:rPr>
        <w:t>（1）使甲方免费重新获得使用上述咨询技术服务成果的权利；</w:t>
      </w:r>
    </w:p>
    <w:p>
      <w:pPr>
        <w:pStyle w:val="19"/>
        <w:snapToGrid w:val="0"/>
        <w:spacing w:before="120" w:line="360" w:lineRule="auto"/>
        <w:ind w:firstLine="420" w:firstLineChars="200"/>
        <w:rPr>
          <w:rFonts w:hAnsi="宋体" w:cs="宋体"/>
          <w:color w:val="auto"/>
          <w:highlight w:val="none"/>
        </w:rPr>
      </w:pPr>
      <w:r>
        <w:rPr>
          <w:rFonts w:hAnsi="宋体" w:cs="宋体"/>
          <w:color w:val="auto"/>
          <w:highlight w:val="none"/>
        </w:rPr>
        <w:t>（2）免费更换或改造上述咨询技术服务成果，使甲方不受上述禁令限制继续使用咨询技术服务成果，在乙方更换、改造成果期间甲方因无法使用成果带来的损失由乙方赔偿；</w:t>
      </w:r>
    </w:p>
    <w:p>
      <w:pPr>
        <w:pStyle w:val="19"/>
        <w:snapToGrid w:val="0"/>
        <w:spacing w:before="120" w:line="360" w:lineRule="auto"/>
        <w:ind w:firstLine="420" w:firstLineChars="200"/>
        <w:rPr>
          <w:rFonts w:hAnsi="宋体" w:cs="宋体"/>
          <w:color w:val="auto"/>
          <w:highlight w:val="none"/>
        </w:rPr>
      </w:pPr>
      <w:r>
        <w:rPr>
          <w:rFonts w:hAnsi="宋体" w:cs="宋体"/>
          <w:color w:val="auto"/>
          <w:highlight w:val="none"/>
        </w:rPr>
        <w:t>（3）其它使甲方对上述咨询技术服务成果拥有合法使用权，或其它弥补甲方受损利益、实现合同目的的合理方式。</w:t>
      </w:r>
    </w:p>
    <w:p>
      <w:pPr>
        <w:pStyle w:val="19"/>
        <w:snapToGrid w:val="0"/>
        <w:spacing w:before="120" w:line="360" w:lineRule="auto"/>
        <w:ind w:firstLine="420" w:firstLineChars="200"/>
        <w:rPr>
          <w:rFonts w:hAnsi="宋体" w:cs="宋体"/>
          <w:color w:val="auto"/>
          <w:highlight w:val="none"/>
        </w:rPr>
      </w:pPr>
      <w:r>
        <w:rPr>
          <w:rFonts w:hAnsi="宋体" w:cs="宋体"/>
          <w:color w:val="auto"/>
          <w:highlight w:val="none"/>
        </w:rPr>
        <w:t>2、乙方采取上述措施不能免除乙方就甲方因此遭受的损失进行赔偿的义务。</w:t>
      </w:r>
    </w:p>
    <w:p>
      <w:pPr>
        <w:pStyle w:val="19"/>
        <w:snapToGrid w:val="0"/>
        <w:spacing w:before="120" w:line="360" w:lineRule="auto"/>
        <w:ind w:firstLine="420" w:firstLineChars="200"/>
        <w:rPr>
          <w:rFonts w:hAnsi="宋体" w:cs="宋体"/>
          <w:color w:val="auto"/>
          <w:highlight w:val="none"/>
        </w:rPr>
      </w:pPr>
      <w:r>
        <w:rPr>
          <w:rFonts w:hint="default" w:hAnsi="宋体"/>
          <w:color w:val="auto"/>
          <w:highlight w:val="none"/>
        </w:rPr>
        <w:t>3</w:t>
      </w:r>
      <w:r>
        <w:rPr>
          <w:rFonts w:hAnsi="宋体"/>
          <w:color w:val="auto"/>
          <w:highlight w:val="none"/>
        </w:rPr>
        <w:t>、</w:t>
      </w:r>
      <w:r>
        <w:rPr>
          <w:rFonts w:hAnsi="宋体" w:cs="宋体"/>
          <w:color w:val="auto"/>
          <w:highlight w:val="none"/>
        </w:rPr>
        <w:t>甲方向乙方提供的全部资料及乙方生产的全部成果资料（包括中间资料）其版权归甲方所有，乙方不得自留使用或以任何方式转让或提供给第三方使用。</w:t>
      </w:r>
    </w:p>
    <w:p>
      <w:pPr>
        <w:pStyle w:val="19"/>
        <w:numPr>
          <w:ilvl w:val="0"/>
          <w:numId w:val="8"/>
        </w:numPr>
        <w:snapToGrid w:val="0"/>
        <w:spacing w:before="120" w:line="360" w:lineRule="auto"/>
        <w:rPr>
          <w:rFonts w:hAnsi="宋体" w:cs="宋体"/>
          <w:b/>
          <w:color w:val="auto"/>
          <w:highlight w:val="none"/>
        </w:rPr>
      </w:pPr>
      <w:r>
        <w:rPr>
          <w:rFonts w:hAnsi="宋体" w:cs="宋体"/>
          <w:b/>
          <w:color w:val="auto"/>
          <w:highlight w:val="none"/>
        </w:rPr>
        <w:t>转包或分包</w:t>
      </w:r>
    </w:p>
    <w:p>
      <w:pPr>
        <w:snapToGrid w:val="0"/>
        <w:spacing w:line="360" w:lineRule="auto"/>
        <w:ind w:firstLine="420"/>
        <w:rPr>
          <w:rFonts w:cs="宋体"/>
          <w:color w:val="auto"/>
          <w:highlight w:val="none"/>
        </w:rPr>
      </w:pPr>
      <w:r>
        <w:rPr>
          <w:rFonts w:cs="宋体"/>
          <w:color w:val="auto"/>
          <w:highlight w:val="none"/>
        </w:rPr>
        <w:t>1、本合同范围的服务，应由乙方直接供应，不得转让他人供应；</w:t>
      </w:r>
    </w:p>
    <w:p>
      <w:pPr>
        <w:snapToGrid w:val="0"/>
        <w:spacing w:line="360" w:lineRule="auto"/>
        <w:ind w:firstLine="420"/>
        <w:rPr>
          <w:rFonts w:cs="宋体"/>
          <w:color w:val="auto"/>
          <w:highlight w:val="none"/>
        </w:rPr>
      </w:pPr>
      <w:r>
        <w:rPr>
          <w:rFonts w:cs="宋体"/>
          <w:color w:val="auto"/>
          <w:highlight w:val="none"/>
        </w:rPr>
        <w:t>2、乙方不得将本合同范围的服务全部或部分分包给他人供应；</w:t>
      </w:r>
    </w:p>
    <w:p>
      <w:pPr>
        <w:snapToGrid w:val="0"/>
        <w:spacing w:line="360" w:lineRule="auto"/>
        <w:ind w:firstLine="420"/>
        <w:rPr>
          <w:rFonts w:cs="宋体"/>
          <w:color w:val="auto"/>
          <w:highlight w:val="none"/>
        </w:rPr>
      </w:pPr>
      <w:r>
        <w:rPr>
          <w:rFonts w:cs="宋体"/>
          <w:color w:val="auto"/>
          <w:highlight w:val="none"/>
        </w:rPr>
        <w:t>3、如有转让和分包行为，甲方有权解除合同，追究乙方的违约责任。</w:t>
      </w:r>
    </w:p>
    <w:p>
      <w:pPr>
        <w:pStyle w:val="19"/>
        <w:numPr>
          <w:ilvl w:val="0"/>
          <w:numId w:val="8"/>
        </w:numPr>
        <w:snapToGrid w:val="0"/>
        <w:spacing w:before="120" w:line="360" w:lineRule="auto"/>
        <w:rPr>
          <w:rFonts w:hAnsi="宋体" w:cs="宋体"/>
          <w:b/>
          <w:color w:val="auto"/>
          <w:highlight w:val="none"/>
        </w:rPr>
      </w:pPr>
      <w:r>
        <w:rPr>
          <w:rFonts w:hAnsi="宋体" w:cs="宋体"/>
          <w:b/>
          <w:color w:val="auto"/>
          <w:highlight w:val="none"/>
        </w:rPr>
        <w:t>款项支付：</w:t>
      </w:r>
    </w:p>
    <w:p>
      <w:pPr>
        <w:numPr>
          <w:ilvl w:val="0"/>
          <w:numId w:val="9"/>
        </w:numPr>
        <w:snapToGrid w:val="0"/>
        <w:spacing w:line="360" w:lineRule="auto"/>
        <w:ind w:firstLine="420"/>
        <w:rPr>
          <w:rFonts w:hint="default" w:cs="宋体"/>
          <w:color w:val="auto"/>
          <w:highlight w:val="none"/>
        </w:rPr>
      </w:pPr>
      <w:r>
        <w:rPr>
          <w:rFonts w:hint="default" w:cs="宋体"/>
          <w:color w:val="auto"/>
          <w:highlight w:val="none"/>
        </w:rPr>
        <w:t>合同生效以及具备实施条件后7个工作日内向</w:t>
      </w:r>
      <w:bookmarkStart w:id="200" w:name="OLE_LINK48"/>
      <w:r>
        <w:rPr>
          <w:rFonts w:hint="eastAsia" w:cs="宋体"/>
          <w:color w:val="auto"/>
          <w:highlight w:val="none"/>
          <w:lang w:val="en-US" w:eastAsia="zh-CN"/>
        </w:rPr>
        <w:t>乙方</w:t>
      </w:r>
      <w:bookmarkEnd w:id="200"/>
      <w:r>
        <w:rPr>
          <w:rFonts w:hint="default" w:cs="宋体"/>
          <w:color w:val="auto"/>
          <w:highlight w:val="none"/>
        </w:rPr>
        <w:t>预付合同金额的40%，</w:t>
      </w:r>
      <w:r>
        <w:rPr>
          <w:rFonts w:hint="eastAsia" w:cs="宋体"/>
          <w:color w:val="auto"/>
          <w:highlight w:val="none"/>
          <w:lang w:val="en-US" w:eastAsia="zh-CN"/>
        </w:rPr>
        <w:t>乙方</w:t>
      </w:r>
      <w:r>
        <w:rPr>
          <w:rFonts w:hint="default" w:cs="宋体"/>
          <w:color w:val="auto"/>
          <w:highlight w:val="none"/>
        </w:rPr>
        <w:t>于合同签订前书面承诺放弃预付款或降低预付款支付比例的，可不适用本条款。</w:t>
      </w:r>
    </w:p>
    <w:p>
      <w:pPr>
        <w:numPr>
          <w:ilvl w:val="0"/>
          <w:numId w:val="9"/>
        </w:numPr>
        <w:snapToGrid w:val="0"/>
        <w:spacing w:line="360" w:lineRule="auto"/>
        <w:ind w:firstLine="420"/>
        <w:rPr>
          <w:rFonts w:hint="default" w:cs="宋体"/>
          <w:color w:val="auto"/>
          <w:highlight w:val="none"/>
        </w:rPr>
      </w:pPr>
      <w:r>
        <w:rPr>
          <w:rFonts w:hint="default" w:cs="宋体"/>
          <w:color w:val="auto"/>
          <w:highlight w:val="none"/>
        </w:rPr>
        <w:t>合同签订三个月后7个工作日内向</w:t>
      </w:r>
      <w:r>
        <w:rPr>
          <w:rFonts w:hint="eastAsia" w:cs="宋体"/>
          <w:color w:val="auto"/>
          <w:highlight w:val="none"/>
          <w:lang w:val="en-US" w:eastAsia="zh-CN"/>
        </w:rPr>
        <w:t>乙方</w:t>
      </w:r>
      <w:r>
        <w:rPr>
          <w:rFonts w:hint="default" w:cs="宋体"/>
          <w:color w:val="auto"/>
          <w:highlight w:val="none"/>
        </w:rPr>
        <w:t>支付至合同金额的85%。</w:t>
      </w:r>
    </w:p>
    <w:p>
      <w:pPr>
        <w:numPr>
          <w:ilvl w:val="0"/>
          <w:numId w:val="9"/>
        </w:numPr>
        <w:snapToGrid w:val="0"/>
        <w:spacing w:line="360" w:lineRule="auto"/>
        <w:ind w:firstLine="420"/>
        <w:rPr>
          <w:rFonts w:hint="default" w:cs="宋体"/>
          <w:color w:val="auto"/>
          <w:highlight w:val="none"/>
        </w:rPr>
      </w:pPr>
      <w:r>
        <w:rPr>
          <w:rFonts w:hint="default" w:cs="宋体"/>
          <w:color w:val="auto"/>
          <w:highlight w:val="none"/>
        </w:rPr>
        <w:t>2026年财政资金到位，根据考核情况进行扣减结算后，7个工作日内向</w:t>
      </w:r>
      <w:r>
        <w:rPr>
          <w:rFonts w:hint="eastAsia" w:cs="宋体"/>
          <w:color w:val="auto"/>
          <w:highlight w:val="none"/>
          <w:lang w:val="en-US" w:eastAsia="zh-CN"/>
        </w:rPr>
        <w:t>乙方</w:t>
      </w:r>
      <w:r>
        <w:rPr>
          <w:rFonts w:hint="default" w:cs="宋体"/>
          <w:color w:val="auto"/>
          <w:highlight w:val="none"/>
        </w:rPr>
        <w:t>支付合同剩余金额。</w:t>
      </w:r>
    </w:p>
    <w:p>
      <w:pPr>
        <w:pStyle w:val="19"/>
        <w:numPr>
          <w:ilvl w:val="0"/>
          <w:numId w:val="8"/>
        </w:numPr>
        <w:snapToGrid w:val="0"/>
        <w:spacing w:before="120" w:line="360" w:lineRule="auto"/>
        <w:rPr>
          <w:rFonts w:hint="default" w:hAnsi="宋体" w:cs="宋体"/>
          <w:b/>
          <w:color w:val="auto"/>
          <w:highlight w:val="none"/>
        </w:rPr>
      </w:pPr>
      <w:r>
        <w:rPr>
          <w:rFonts w:hAnsi="宋体" w:cs="宋体"/>
          <w:b/>
          <w:color w:val="auto"/>
          <w:highlight w:val="none"/>
        </w:rPr>
        <w:t>甲、乙方责任：</w:t>
      </w:r>
    </w:p>
    <w:p>
      <w:pPr>
        <w:numPr>
          <w:ilvl w:val="0"/>
          <w:numId w:val="10"/>
        </w:numPr>
        <w:tabs>
          <w:tab w:val="left" w:pos="0"/>
        </w:tabs>
        <w:snapToGrid w:val="0"/>
        <w:spacing w:line="360" w:lineRule="auto"/>
        <w:ind w:firstLine="420"/>
        <w:rPr>
          <w:rFonts w:cs="宋体"/>
          <w:color w:val="auto"/>
          <w:highlight w:val="none"/>
        </w:rPr>
      </w:pPr>
      <w:r>
        <w:rPr>
          <w:rFonts w:cs="宋体"/>
          <w:color w:val="auto"/>
          <w:highlight w:val="none"/>
        </w:rPr>
        <w:t>甲方应及时支付合同款；明确工作内容与要求；提供必须的工作场地和环境。</w:t>
      </w:r>
    </w:p>
    <w:p>
      <w:pPr>
        <w:numPr>
          <w:ilvl w:val="0"/>
          <w:numId w:val="10"/>
        </w:numPr>
        <w:tabs>
          <w:tab w:val="left" w:pos="0"/>
        </w:tabs>
        <w:snapToGrid w:val="0"/>
        <w:spacing w:line="360" w:lineRule="auto"/>
        <w:ind w:firstLine="420"/>
        <w:rPr>
          <w:rFonts w:cs="宋体"/>
          <w:color w:val="auto"/>
          <w:highlight w:val="none"/>
        </w:rPr>
      </w:pPr>
      <w:r>
        <w:rPr>
          <w:rFonts w:cs="宋体"/>
          <w:color w:val="auto"/>
          <w:highlight w:val="none"/>
        </w:rPr>
        <w:t>甲方有权要求调换不能胜任的驻点服务成员，乙方应当遵守。</w:t>
      </w:r>
    </w:p>
    <w:p>
      <w:pPr>
        <w:numPr>
          <w:ilvl w:val="0"/>
          <w:numId w:val="10"/>
        </w:numPr>
        <w:tabs>
          <w:tab w:val="left" w:pos="0"/>
        </w:tabs>
        <w:snapToGrid w:val="0"/>
        <w:spacing w:line="360" w:lineRule="auto"/>
        <w:ind w:firstLine="420"/>
        <w:rPr>
          <w:rFonts w:cs="宋体"/>
          <w:color w:val="auto"/>
          <w:highlight w:val="none"/>
        </w:rPr>
      </w:pPr>
      <w:r>
        <w:rPr>
          <w:rFonts w:cs="宋体"/>
          <w:color w:val="auto"/>
          <w:highlight w:val="none"/>
        </w:rPr>
        <w:t>在甲方单位办公期间，办公电脑、工作用车、软硬件等相关设备，交通费，就餐费用等由乙方自行解决。</w:t>
      </w:r>
    </w:p>
    <w:p>
      <w:pPr>
        <w:numPr>
          <w:ilvl w:val="0"/>
          <w:numId w:val="10"/>
        </w:numPr>
        <w:tabs>
          <w:tab w:val="left" w:pos="0"/>
        </w:tabs>
        <w:snapToGrid w:val="0"/>
        <w:spacing w:line="360" w:lineRule="auto"/>
        <w:ind w:firstLine="420"/>
        <w:rPr>
          <w:rFonts w:cs="宋体"/>
          <w:color w:val="auto"/>
          <w:highlight w:val="none"/>
        </w:rPr>
      </w:pPr>
      <w:r>
        <w:rPr>
          <w:rFonts w:cs="宋体"/>
          <w:color w:val="auto"/>
          <w:highlight w:val="none"/>
        </w:rPr>
        <w:t>乙方</w:t>
      </w:r>
      <w:r>
        <w:rPr>
          <w:rFonts w:cs="宋体"/>
          <w:color w:val="auto"/>
          <w:kern w:val="2"/>
          <w:highlight w:val="none"/>
        </w:rPr>
        <w:t>派驻甲方的设计人员，需遵守公安机关相关纪律规定和甲方作息制度。</w:t>
      </w:r>
    </w:p>
    <w:p>
      <w:pPr>
        <w:numPr>
          <w:ilvl w:val="0"/>
          <w:numId w:val="10"/>
        </w:numPr>
        <w:tabs>
          <w:tab w:val="left" w:pos="0"/>
        </w:tabs>
        <w:snapToGrid w:val="0"/>
        <w:spacing w:line="360" w:lineRule="auto"/>
        <w:ind w:firstLine="420"/>
        <w:rPr>
          <w:rFonts w:cs="宋体"/>
          <w:color w:val="auto"/>
          <w:highlight w:val="none"/>
        </w:rPr>
      </w:pPr>
      <w:r>
        <w:rPr>
          <w:rFonts w:cs="宋体"/>
          <w:color w:val="auto"/>
          <w:kern w:val="2"/>
          <w:highlight w:val="none"/>
        </w:rPr>
        <w:t>项目服务过程中发生的一切人身财产损失由乙方承担责任。乙方的设计等服务成果应符合国家、省、市和交警部门有关的技术文件要求标准，并承担因设计问题而导致的一切损失和责任。</w:t>
      </w:r>
    </w:p>
    <w:p>
      <w:pPr>
        <w:numPr>
          <w:ilvl w:val="0"/>
          <w:numId w:val="10"/>
        </w:numPr>
        <w:tabs>
          <w:tab w:val="left" w:pos="0"/>
        </w:tabs>
        <w:snapToGrid w:val="0"/>
        <w:spacing w:line="360" w:lineRule="auto"/>
        <w:ind w:firstLine="420"/>
        <w:rPr>
          <w:rFonts w:cs="宋体"/>
          <w:color w:val="auto"/>
          <w:highlight w:val="none"/>
        </w:rPr>
      </w:pPr>
      <w:r>
        <w:rPr>
          <w:rFonts w:cs="宋体"/>
          <w:color w:val="auto"/>
          <w:highlight w:val="none"/>
        </w:rPr>
        <w:t>乙方向甲方提供的是合法合规的税务发票，该等税务发票加盖乙方财务专用章或发票专用章。若乙方提供假发票或违规发票，造成的支付延时责任由乙方承担。</w:t>
      </w:r>
    </w:p>
    <w:p>
      <w:pPr>
        <w:numPr>
          <w:ilvl w:val="0"/>
          <w:numId w:val="10"/>
        </w:numPr>
        <w:tabs>
          <w:tab w:val="left" w:pos="0"/>
        </w:tabs>
        <w:snapToGrid w:val="0"/>
        <w:spacing w:line="360" w:lineRule="auto"/>
        <w:ind w:firstLine="420"/>
        <w:rPr>
          <w:rFonts w:hint="default" w:cs="宋体"/>
          <w:color w:val="auto"/>
          <w:highlight w:val="none"/>
        </w:rPr>
      </w:pPr>
      <w:r>
        <w:rPr>
          <w:rFonts w:cs="宋体"/>
          <w:color w:val="auto"/>
          <w:highlight w:val="none"/>
        </w:rPr>
        <w:t>乙方应按照法律规定与其聘用的所有项目参与人员签订劳动合同。乙方与其项目参与人员间发生的劳动关系或雇佣关系纠纷所产生的所有法律责任，应当由乙方自行承担，如因乙方与其项目参与人员间发生的劳动关系或雇佣关系纠纷给甲方造成损失的，乙方应当赔偿甲方的损失。</w:t>
      </w:r>
    </w:p>
    <w:p>
      <w:pPr>
        <w:pStyle w:val="19"/>
        <w:numPr>
          <w:ilvl w:val="0"/>
          <w:numId w:val="8"/>
        </w:numPr>
        <w:snapToGrid w:val="0"/>
        <w:spacing w:before="120" w:line="360" w:lineRule="auto"/>
        <w:rPr>
          <w:rFonts w:hint="default" w:hAnsi="宋体" w:cs="宋体"/>
          <w:b/>
          <w:color w:val="auto"/>
          <w:highlight w:val="none"/>
        </w:rPr>
      </w:pPr>
      <w:r>
        <w:rPr>
          <w:rFonts w:hAnsi="宋体" w:cs="宋体"/>
          <w:b/>
          <w:color w:val="auto"/>
          <w:highlight w:val="none"/>
        </w:rPr>
        <w:t>考核要求：</w:t>
      </w:r>
    </w:p>
    <w:p>
      <w:pPr>
        <w:pStyle w:val="19"/>
        <w:snapToGrid w:val="0"/>
        <w:spacing w:before="120" w:line="360" w:lineRule="auto"/>
        <w:ind w:firstLine="420" w:firstLineChars="200"/>
        <w:rPr>
          <w:rFonts w:hint="default" w:hAnsi="宋体" w:cs="宋体"/>
          <w:b/>
          <w:color w:val="auto"/>
          <w:highlight w:val="none"/>
        </w:rPr>
      </w:pPr>
      <w:r>
        <w:rPr>
          <w:rFonts w:hAnsi="宋体" w:cs="宋体"/>
          <w:color w:val="auto"/>
          <w:highlight w:val="none"/>
        </w:rPr>
        <w:t>乙方应根据竞争性磋商文件及附件的相关要求，</w:t>
      </w:r>
      <w:r>
        <w:rPr>
          <w:rFonts w:hint="default" w:hAnsi="宋体" w:cs="宋体"/>
          <w:color w:val="auto"/>
          <w:highlight w:val="none"/>
        </w:rPr>
        <w:t>按季度</w:t>
      </w:r>
      <w:r>
        <w:rPr>
          <w:rFonts w:hAnsi="宋体" w:cs="宋体"/>
          <w:color w:val="auto"/>
          <w:highlight w:val="none"/>
        </w:rPr>
        <w:t>及</w:t>
      </w:r>
      <w:r>
        <w:rPr>
          <w:rFonts w:hint="default" w:hAnsi="宋体" w:cs="宋体"/>
          <w:color w:val="auto"/>
          <w:highlight w:val="none"/>
        </w:rPr>
        <w:t>年度组织驻点咨询工作考核，考核内容包括驻点服务人员工作考核、驻点服务团队能力考核，考核内容包括人员出勤、工作任务完成率、技术服务质量水平、团队服务效能等内容，</w:t>
      </w:r>
      <w:r>
        <w:rPr>
          <w:rFonts w:hAnsi="宋体" w:cs="宋体"/>
          <w:color w:val="auto"/>
          <w:highlight w:val="none"/>
        </w:rPr>
        <w:t>甲方</w:t>
      </w:r>
      <w:r>
        <w:rPr>
          <w:rFonts w:hint="default" w:hAnsi="宋体" w:cs="宋体"/>
          <w:color w:val="auto"/>
          <w:highlight w:val="none"/>
        </w:rPr>
        <w:t>根据实际情况予以打分，</w:t>
      </w:r>
      <w:r>
        <w:rPr>
          <w:rFonts w:hAnsi="宋体" w:cs="宋体"/>
          <w:color w:val="auto"/>
          <w:highlight w:val="none"/>
        </w:rPr>
        <w:t>相应考核分</w:t>
      </w:r>
      <w:r>
        <w:rPr>
          <w:rFonts w:hint="default" w:hAnsi="宋体" w:cs="宋体"/>
          <w:color w:val="auto"/>
          <w:highlight w:val="none"/>
        </w:rPr>
        <w:t>作为扣款条件。</w:t>
      </w:r>
    </w:p>
    <w:p>
      <w:pPr>
        <w:pStyle w:val="19"/>
        <w:numPr>
          <w:ilvl w:val="0"/>
          <w:numId w:val="8"/>
        </w:numPr>
        <w:snapToGrid w:val="0"/>
        <w:spacing w:before="120" w:line="360" w:lineRule="auto"/>
        <w:rPr>
          <w:rFonts w:hint="default" w:hAnsi="宋体" w:cs="宋体"/>
          <w:b/>
          <w:color w:val="auto"/>
          <w:highlight w:val="none"/>
        </w:rPr>
      </w:pPr>
      <w:r>
        <w:rPr>
          <w:rFonts w:hAnsi="宋体" w:cs="宋体"/>
          <w:b/>
          <w:color w:val="auto"/>
          <w:highlight w:val="none"/>
        </w:rPr>
        <w:t>扣款条件：</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为提高驻点服务工作的管理效能，提升驻点服务人员的个人意识,促进驻点服务人员技术水平的全面发展，招标人将根据项目情况组织驻点咨询工作考核，考核内容包括人员考勤，以及技术咨询服务方案的工作任务完成率、质量水等内容，对不满足招标人需求的服务项目要求24小时内进行整改，并根据实际情况予以扣款：</w:t>
      </w:r>
    </w:p>
    <w:p>
      <w:pPr>
        <w:pStyle w:val="2"/>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考勤不合格扣款条件</w:t>
      </w:r>
    </w:p>
    <w:p>
      <w:pPr>
        <w:autoSpaceDE w:val="0"/>
        <w:autoSpaceDN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根据招标文件要求自行组织驻点人员考勤工作，招标人将不定期开展考勤监督，一旦发现人员缺勤、迟到、早退等未经考勤不合格的，每有一次扣款500元，累计超过3次后，每次扣款1000元。</w:t>
      </w:r>
    </w:p>
    <w:p>
      <w:pPr>
        <w:pStyle w:val="2"/>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工作未完成扣款条件</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根据招标文件要求提供的工作任务或招标人指派的其它工作，因中标人原因导致工作任务未完成的，每有一次扣款2000元，累计超过5次后，每次扣款5000元。</w:t>
      </w:r>
    </w:p>
    <w:p>
      <w:pPr>
        <w:pStyle w:val="2"/>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工作质量不合格扣款条件</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工作完成不达标扣款标准：服务期限内每有一次工作不达标，包括单个优化咨询服务方案项目未完成、案例报告未完成、编制文件失误的，每有一次扣款2000元。</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工作质量不达标扣款标准：服务期限内每有一次工作质量不符合招标人要求，并造成方案延误或相关分管部门或业务领导不满意的，每有一次扣款5000元。</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工作整改不及时扣款标准：服务期限内每有一次工作整改不及时的，扣款7000元。</w:t>
      </w:r>
    </w:p>
    <w:p>
      <w:pPr>
        <w:autoSpaceDE w:val="0"/>
        <w:autoSpaceDN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任一驻点人员在服务期内出现三次及以上任务未完成或任务质量不达标的，招标人有权要求中标人更换符合驻点岗位要求的人员，并扣款10000元/次。</w:t>
      </w:r>
    </w:p>
    <w:p>
      <w:pPr>
        <w:pStyle w:val="19"/>
        <w:numPr>
          <w:ilvl w:val="0"/>
          <w:numId w:val="8"/>
        </w:numPr>
        <w:snapToGrid w:val="0"/>
        <w:spacing w:before="120" w:line="360" w:lineRule="auto"/>
        <w:rPr>
          <w:rFonts w:hAnsi="宋体"/>
          <w:b/>
          <w:color w:val="auto"/>
          <w:highlight w:val="none"/>
        </w:rPr>
      </w:pPr>
      <w:r>
        <w:rPr>
          <w:rFonts w:hAnsi="宋体" w:cs="宋体"/>
          <w:b/>
          <w:color w:val="auto"/>
          <w:highlight w:val="none"/>
        </w:rPr>
        <w:t>合同生效及其它</w:t>
      </w:r>
    </w:p>
    <w:p>
      <w:pPr>
        <w:pStyle w:val="19"/>
        <w:numPr>
          <w:ilvl w:val="0"/>
          <w:numId w:val="11"/>
        </w:numPr>
        <w:snapToGrid w:val="0"/>
        <w:spacing w:before="120" w:line="360" w:lineRule="auto"/>
        <w:ind w:firstLine="420" w:firstLineChars="200"/>
        <w:rPr>
          <w:color w:val="auto"/>
          <w:highlight w:val="none"/>
        </w:rPr>
      </w:pPr>
      <w:r>
        <w:rPr>
          <w:rFonts w:hAnsi="宋体" w:cs="宋体"/>
          <w:color w:val="auto"/>
          <w:highlight w:val="none"/>
        </w:rPr>
        <w:t>本项目招标文件、投标文件与本合同共为合同组成部分。</w:t>
      </w:r>
    </w:p>
    <w:p>
      <w:pPr>
        <w:pStyle w:val="19"/>
        <w:numPr>
          <w:ilvl w:val="0"/>
          <w:numId w:val="11"/>
        </w:numPr>
        <w:snapToGrid w:val="0"/>
        <w:spacing w:before="120" w:line="360" w:lineRule="auto"/>
        <w:ind w:firstLine="420" w:firstLineChars="200"/>
        <w:rPr>
          <w:color w:val="auto"/>
          <w:highlight w:val="none"/>
        </w:rPr>
      </w:pPr>
      <w:r>
        <w:rPr>
          <w:rFonts w:hAnsi="宋体" w:cs="宋体"/>
          <w:color w:val="auto"/>
          <w:highlight w:val="none"/>
        </w:rPr>
        <w:t>任何与合同相关但未在合同中明确规定的事项将由双方友好协商并达成合同予以解决。对合同内容做出的任何修改和补充应为书面形式，由双方签字盖章后成为合同不可分割的部分。本合同与补充合同或补充协议冲突时，以补充合同或补充协议为准。</w:t>
      </w:r>
    </w:p>
    <w:p>
      <w:pPr>
        <w:pStyle w:val="19"/>
        <w:numPr>
          <w:ilvl w:val="0"/>
          <w:numId w:val="11"/>
        </w:numPr>
        <w:snapToGrid w:val="0"/>
        <w:spacing w:before="120" w:line="360" w:lineRule="auto"/>
        <w:ind w:firstLine="420" w:firstLineChars="200"/>
        <w:rPr>
          <w:color w:val="auto"/>
          <w:highlight w:val="none"/>
        </w:rPr>
      </w:pPr>
      <w:r>
        <w:rPr>
          <w:rFonts w:hAnsi="宋体" w:cs="宋体"/>
          <w:color w:val="auto"/>
          <w:highlight w:val="none"/>
        </w:rPr>
        <w:t>本合同一式陆份，双方各执叁份，具有同等法律效力。</w:t>
      </w:r>
    </w:p>
    <w:p>
      <w:pPr>
        <w:pStyle w:val="19"/>
        <w:numPr>
          <w:ilvl w:val="0"/>
          <w:numId w:val="11"/>
        </w:numPr>
        <w:snapToGrid w:val="0"/>
        <w:spacing w:before="120" w:line="360" w:lineRule="auto"/>
        <w:ind w:firstLine="420" w:firstLineChars="200"/>
        <w:rPr>
          <w:color w:val="auto"/>
          <w:highlight w:val="none"/>
        </w:rPr>
      </w:pPr>
      <w:r>
        <w:rPr>
          <w:rFonts w:hAnsi="宋体" w:cs="宋体"/>
          <w:color w:val="auto"/>
          <w:highlight w:val="none"/>
        </w:rPr>
        <w:t>乙方对本合同项目及甲方的要求已有全面、充分、准确无误的理解与明了，愿意按要求认真履行并承担由此而产生的相关的民事权利和义务。本合同的标的完成，双方的权利和义务履行完毕后自动失效</w:t>
      </w:r>
    </w:p>
    <w:p>
      <w:pPr>
        <w:pStyle w:val="19"/>
        <w:numPr>
          <w:ilvl w:val="0"/>
          <w:numId w:val="11"/>
        </w:numPr>
        <w:snapToGrid w:val="0"/>
        <w:spacing w:before="120" w:line="360" w:lineRule="auto"/>
        <w:ind w:firstLine="420" w:firstLineChars="200"/>
        <w:rPr>
          <w:rFonts w:hint="default" w:hAnsi="宋体"/>
          <w:color w:val="auto"/>
          <w:highlight w:val="none"/>
        </w:rPr>
      </w:pPr>
      <w:r>
        <w:rPr>
          <w:rFonts w:hAnsi="宋体" w:cs="宋体"/>
          <w:color w:val="auto"/>
          <w:highlight w:val="none"/>
        </w:rPr>
        <w:t>甲、乙双方应共同遵守上述条款，协议自双方盖章签字之日起生效，未尽事宜，《中华人民共和国民法典》及相关法律法规有规定的，从其规定；无规定的，双方协商解决；协商未果的，交由宁波市仲裁委员会仲裁。</w:t>
      </w:r>
    </w:p>
    <w:p>
      <w:pPr>
        <w:pStyle w:val="19"/>
        <w:snapToGrid w:val="0"/>
        <w:spacing w:before="120" w:line="360" w:lineRule="auto"/>
        <w:ind w:left="480"/>
        <w:rPr>
          <w:rFonts w:hAnsi="宋体"/>
          <w:color w:val="auto"/>
          <w:highlight w:val="none"/>
        </w:rPr>
      </w:pPr>
    </w:p>
    <w:p>
      <w:pPr>
        <w:spacing w:line="360" w:lineRule="auto"/>
        <w:ind w:left="5040" w:hanging="4410" w:hangingChars="2100"/>
        <w:rPr>
          <w:color w:val="auto"/>
          <w:highlight w:val="none"/>
        </w:rPr>
      </w:pPr>
      <w:r>
        <w:rPr>
          <w:color w:val="auto"/>
          <w:highlight w:val="none"/>
        </w:rPr>
        <w:t>甲方：宁波市公安局交通警察局       乙方：</w:t>
      </w:r>
    </w:p>
    <w:p>
      <w:pPr>
        <w:spacing w:line="360" w:lineRule="auto"/>
        <w:rPr>
          <w:color w:val="auto"/>
          <w:highlight w:val="none"/>
        </w:rPr>
      </w:pPr>
      <w:r>
        <w:rPr>
          <w:color w:val="auto"/>
          <w:highlight w:val="none"/>
        </w:rPr>
        <w:t xml:space="preserve">经办人：                           审核人：                   </w:t>
      </w:r>
    </w:p>
    <w:p>
      <w:pPr>
        <w:spacing w:line="360" w:lineRule="auto"/>
        <w:rPr>
          <w:color w:val="auto"/>
          <w:highlight w:val="none"/>
        </w:rPr>
      </w:pPr>
    </w:p>
    <w:p>
      <w:pPr>
        <w:spacing w:line="360" w:lineRule="auto"/>
        <w:rPr>
          <w:color w:val="auto"/>
          <w:highlight w:val="none"/>
        </w:rPr>
      </w:pPr>
      <w:r>
        <w:rPr>
          <w:color w:val="auto"/>
          <w:highlight w:val="none"/>
        </w:rPr>
        <w:t>局领导：                           负责人：</w:t>
      </w:r>
    </w:p>
    <w:p>
      <w:pPr>
        <w:wordWrap w:val="0"/>
        <w:spacing w:line="360" w:lineRule="auto"/>
        <w:jc w:val="right"/>
        <w:rPr>
          <w:color w:val="auto"/>
          <w:highlight w:val="none"/>
        </w:rPr>
      </w:pPr>
      <w:r>
        <w:rPr>
          <w:color w:val="auto"/>
          <w:highlight w:val="none"/>
        </w:rPr>
        <w:t>年     月     日</w:t>
      </w:r>
    </w:p>
    <w:p>
      <w:pPr>
        <w:pStyle w:val="19"/>
        <w:snapToGrid w:val="0"/>
        <w:spacing w:before="120" w:line="360" w:lineRule="auto"/>
        <w:jc w:val="right"/>
        <w:rPr>
          <w:rFonts w:hAnsi="宋体"/>
          <w:color w:val="auto"/>
          <w:highlight w:val="none"/>
        </w:rPr>
      </w:pPr>
    </w:p>
    <w:p>
      <w:pPr>
        <w:spacing w:line="360" w:lineRule="auto"/>
        <w:jc w:val="center"/>
        <w:rPr>
          <w:rFonts w:ascii="宋体" w:hAnsi="宋体"/>
          <w:color w:val="auto"/>
          <w:szCs w:val="21"/>
          <w:highlight w:val="none"/>
        </w:rPr>
      </w:pPr>
      <w:r>
        <w:rPr>
          <w:rFonts w:hint="eastAsia" w:ascii="宋体" w:hAnsi="宋体"/>
          <w:b/>
          <w:bCs/>
          <w:color w:val="auto"/>
          <w:szCs w:val="21"/>
          <w:highlight w:val="none"/>
        </w:rPr>
        <w:br w:type="column"/>
      </w:r>
    </w:p>
    <w:bookmarkEnd w:id="197"/>
    <w:p>
      <w:pPr>
        <w:pStyle w:val="3"/>
        <w:spacing w:beforeLines="0" w:afterLines="0" w:line="360" w:lineRule="auto"/>
        <w:rPr>
          <w:rFonts w:ascii="宋体" w:hAnsi="宋体"/>
          <w:color w:val="auto"/>
          <w:sz w:val="32"/>
          <w:szCs w:val="32"/>
          <w:highlight w:val="none"/>
        </w:rPr>
      </w:pPr>
      <w:bookmarkStart w:id="201" w:name="_Toc12950"/>
      <w:bookmarkStart w:id="202" w:name="_Toc316649303"/>
      <w:r>
        <w:rPr>
          <w:rFonts w:hint="eastAsia" w:ascii="宋体" w:hAnsi="宋体"/>
          <w:color w:val="auto"/>
          <w:sz w:val="32"/>
          <w:szCs w:val="32"/>
          <w:highlight w:val="none"/>
        </w:rPr>
        <w:t>第七部分 投标文件格式</w:t>
      </w:r>
      <w:bookmarkEnd w:id="201"/>
      <w:bookmarkEnd w:id="202"/>
    </w:p>
    <w:p>
      <w:pPr>
        <w:jc w:val="center"/>
        <w:rPr>
          <w:rFonts w:ascii="宋体" w:hAnsi="宋体" w:cs="宋体"/>
          <w:b/>
          <w:color w:val="auto"/>
          <w:sz w:val="36"/>
          <w:szCs w:val="36"/>
          <w:highlight w:val="none"/>
          <w:u w:val="single"/>
        </w:rPr>
      </w:pPr>
    </w:p>
    <w:p>
      <w:pPr>
        <w:jc w:val="center"/>
        <w:rPr>
          <w:rFonts w:ascii="宋体" w:hAnsi="宋体" w:cs="宋体"/>
          <w:b/>
          <w:color w:val="auto"/>
          <w:sz w:val="36"/>
          <w:szCs w:val="36"/>
          <w:highlight w:val="none"/>
          <w:u w:val="single"/>
        </w:rPr>
      </w:pPr>
    </w:p>
    <w:p>
      <w:pPr>
        <w:widowControl/>
        <w:spacing w:line="360" w:lineRule="auto"/>
        <w:jc w:val="left"/>
        <w:rPr>
          <w:rFonts w:ascii="宋体" w:hAnsi="宋体" w:cs="宋体"/>
          <w:color w:val="auto"/>
          <w:kern w:val="0"/>
          <w:sz w:val="24"/>
          <w:highlight w:val="none"/>
        </w:rPr>
      </w:pPr>
      <w:r>
        <w:rPr>
          <w:rFonts w:hint="eastAsia" w:ascii="宋体" w:hAnsi="宋体" w:cs="宋体"/>
          <w:b/>
          <w:bCs/>
          <w:color w:val="auto"/>
          <w:kern w:val="0"/>
          <w:szCs w:val="21"/>
          <w:highlight w:val="none"/>
        </w:rPr>
        <w:t xml:space="preserve">1、投标文件的外包装封面 </w:t>
      </w:r>
    </w:p>
    <w:p>
      <w:pPr>
        <w:widowControl/>
        <w:spacing w:before="240" w:beforeLines="100" w:line="360" w:lineRule="auto"/>
        <w:jc w:val="center"/>
        <w:rPr>
          <w:rFonts w:ascii="宋体" w:hAnsi="宋体" w:cs="宋体"/>
          <w:color w:val="auto"/>
          <w:kern w:val="0"/>
          <w:sz w:val="24"/>
          <w:highlight w:val="none"/>
        </w:rPr>
      </w:pPr>
      <w:r>
        <w:rPr>
          <w:rFonts w:hint="eastAsia" w:ascii="宋体" w:hAnsi="宋体" w:cs="宋体"/>
          <w:b/>
          <w:bCs/>
          <w:color w:val="auto"/>
          <w:kern w:val="0"/>
          <w:szCs w:val="21"/>
          <w:highlight w:val="none"/>
        </w:rPr>
        <w:t>电子备份投标文件</w:t>
      </w:r>
    </w:p>
    <w:p>
      <w:pPr>
        <w:widowControl/>
        <w:spacing w:line="360" w:lineRule="auto"/>
        <w:jc w:val="left"/>
        <w:rPr>
          <w:rFonts w:ascii="宋体" w:hAnsi="宋体" w:cs="宋体"/>
          <w:color w:val="auto"/>
          <w:kern w:val="0"/>
          <w:szCs w:val="21"/>
          <w:highlight w:val="none"/>
        </w:rPr>
      </w:pP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Cs w:val="21"/>
          <w:highlight w:val="none"/>
        </w:rPr>
        <w:t xml:space="preserve">项目编号： </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项目名称：</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标项号：</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Cs w:val="21"/>
          <w:highlight w:val="none"/>
        </w:rPr>
        <w:t xml:space="preserve">投标人名称（加盖公章）： </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投标人地址： </w:t>
      </w:r>
    </w:p>
    <w:p>
      <w:pPr>
        <w:widowControl/>
        <w:spacing w:line="360" w:lineRule="auto"/>
        <w:jc w:val="left"/>
        <w:rPr>
          <w:rFonts w:ascii="宋体" w:hAnsi="宋体" w:cs="宋体"/>
          <w:color w:val="auto"/>
          <w:kern w:val="0"/>
          <w:sz w:val="24"/>
          <w:highlight w:val="none"/>
        </w:rPr>
      </w:pP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 </w:t>
      </w:r>
    </w:p>
    <w:p>
      <w:pPr>
        <w:widowControl/>
        <w:spacing w:line="360" w:lineRule="auto"/>
        <w:jc w:val="left"/>
        <w:rPr>
          <w:rFonts w:ascii="宋体" w:hAnsi="宋体" w:cs="宋体"/>
          <w:color w:val="auto"/>
          <w:kern w:val="0"/>
          <w:szCs w:val="21"/>
          <w:highlight w:val="none"/>
        </w:rPr>
      </w:pPr>
    </w:p>
    <w:p>
      <w:pPr>
        <w:widowControl/>
        <w:spacing w:line="360" w:lineRule="auto"/>
        <w:jc w:val="left"/>
        <w:rPr>
          <w:rFonts w:ascii="宋体" w:hAnsi="宋体" w:cs="宋体"/>
          <w:color w:val="auto"/>
          <w:kern w:val="0"/>
          <w:sz w:val="24"/>
          <w:highlight w:val="none"/>
        </w:rPr>
      </w:pPr>
    </w:p>
    <w:p>
      <w:pPr>
        <w:widowControl/>
        <w:spacing w:line="360" w:lineRule="auto"/>
        <w:jc w:val="left"/>
        <w:rPr>
          <w:rFonts w:ascii="宋体" w:hAnsi="宋体" w:cs="宋体"/>
          <w:color w:val="auto"/>
          <w:kern w:val="0"/>
          <w:sz w:val="24"/>
          <w:highlight w:val="none"/>
        </w:rPr>
      </w:pPr>
      <w:r>
        <w:rPr>
          <w:rFonts w:hint="eastAsia" w:ascii="宋体" w:hAnsi="宋体" w:cs="宋体"/>
          <w:b/>
          <w:bCs/>
          <w:color w:val="auto"/>
          <w:kern w:val="0"/>
          <w:szCs w:val="21"/>
          <w:highlight w:val="none"/>
        </w:rPr>
        <w:t xml:space="preserve">2、投标文件封面格式 </w:t>
      </w:r>
    </w:p>
    <w:p>
      <w:pPr>
        <w:widowControl/>
        <w:spacing w:before="240" w:beforeLines="100" w:line="360" w:lineRule="auto"/>
        <w:jc w:val="center"/>
        <w:rPr>
          <w:rFonts w:ascii="宋体" w:hAnsi="宋体" w:cs="宋体"/>
          <w:color w:val="auto"/>
          <w:kern w:val="0"/>
          <w:sz w:val="24"/>
          <w:highlight w:val="none"/>
        </w:rPr>
      </w:pPr>
      <w:r>
        <w:rPr>
          <w:rFonts w:hint="eastAsia" w:ascii="宋体" w:hAnsi="宋体" w:cs="宋体"/>
          <w:b/>
          <w:bCs/>
          <w:color w:val="auto"/>
          <w:kern w:val="0"/>
          <w:szCs w:val="21"/>
          <w:highlight w:val="none"/>
        </w:rPr>
        <w:t>资格文件/商务技术文件/报价文件</w:t>
      </w:r>
    </w:p>
    <w:p>
      <w:pPr>
        <w:widowControl/>
        <w:spacing w:line="360" w:lineRule="auto"/>
        <w:jc w:val="left"/>
        <w:rPr>
          <w:rFonts w:ascii="宋体" w:hAnsi="宋体" w:cs="宋体"/>
          <w:color w:val="auto"/>
          <w:kern w:val="0"/>
          <w:szCs w:val="21"/>
          <w:highlight w:val="none"/>
        </w:rPr>
      </w:pP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项目编号： </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项目名称： </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标项号：</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Cs w:val="21"/>
          <w:highlight w:val="none"/>
        </w:rPr>
        <w:t xml:space="preserve">投标人名称（加盖公章）： </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Cs w:val="21"/>
          <w:highlight w:val="none"/>
        </w:rPr>
        <w:t xml:space="preserve">投标人地址： </w:t>
      </w:r>
    </w:p>
    <w:p>
      <w:pPr>
        <w:widowControl/>
        <w:spacing w:line="360" w:lineRule="auto"/>
        <w:jc w:val="left"/>
        <w:rPr>
          <w:rFonts w:ascii="宋体" w:hAnsi="宋体" w:cs="宋体"/>
          <w:color w:val="auto"/>
          <w:kern w:val="0"/>
          <w:szCs w:val="21"/>
          <w:highlight w:val="none"/>
        </w:rPr>
      </w:pPr>
    </w:p>
    <w:p>
      <w:pPr>
        <w:spacing w:line="400" w:lineRule="exact"/>
        <w:rPr>
          <w:rFonts w:ascii="宋体" w:hAnsi="宋体"/>
          <w:bCs/>
          <w:color w:val="auto"/>
          <w:sz w:val="24"/>
          <w:szCs w:val="24"/>
          <w:highlight w:val="none"/>
        </w:rPr>
      </w:pPr>
      <w:r>
        <w:rPr>
          <w:rFonts w:hint="eastAsia" w:ascii="宋体" w:hAnsi="宋体" w:cs="宋体"/>
          <w:color w:val="auto"/>
          <w:kern w:val="0"/>
          <w:szCs w:val="21"/>
          <w:highlight w:val="none"/>
        </w:rPr>
        <w:t xml:space="preserve">                                                       年  月  日</w:t>
      </w:r>
      <w:r>
        <w:rPr>
          <w:rFonts w:ascii="宋体" w:hAnsi="宋体"/>
          <w:bCs/>
          <w:color w:val="auto"/>
          <w:sz w:val="24"/>
          <w:szCs w:val="24"/>
          <w:highlight w:val="none"/>
        </w:rPr>
        <w:br w:type="page"/>
      </w:r>
    </w:p>
    <w:p>
      <w:pPr>
        <w:pStyle w:val="4"/>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资格文件组成：</w:t>
      </w:r>
    </w:p>
    <w:p>
      <w:pPr>
        <w:rPr>
          <w:color w:val="auto"/>
          <w:highlight w:val="none"/>
        </w:rPr>
      </w:pP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（1）符合参加政府采购活动应当具备的一般条件的承诺函；</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（2）有效的企业法人营业执照（或事业法人登记证）、其他组织（个体工商户的营业执照或者民办非企业单位登记证书复印件。投标人如果有名称变更的，应提供由行政主管部门出具的变更证明文件；</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（3）落实政府采购政策需满足的资格要求：</w:t>
      </w:r>
      <w:r>
        <w:rPr>
          <w:rFonts w:hint="eastAsia"/>
          <w:color w:val="auto"/>
          <w:highlight w:val="none"/>
        </w:rPr>
        <w:t>中小企业声明函；</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（4）投标人的特定条件的证明文件（如有）；</w:t>
      </w:r>
    </w:p>
    <w:p>
      <w:pPr>
        <w:widowControl/>
        <w:jc w:val="left"/>
        <w:rPr>
          <w:rFonts w:ascii="宋体" w:hAnsi="宋体"/>
          <w:b/>
          <w:color w:val="auto"/>
          <w:sz w:val="24"/>
          <w:highlight w:val="none"/>
        </w:rPr>
      </w:pPr>
      <w:r>
        <w:rPr>
          <w:rFonts w:ascii="宋体" w:hAnsi="宋体"/>
          <w:b/>
          <w:color w:val="auto"/>
          <w:sz w:val="24"/>
          <w:highlight w:val="none"/>
        </w:rPr>
        <w:br w:type="page"/>
      </w:r>
    </w:p>
    <w:p>
      <w:pPr>
        <w:snapToGrid w:val="0"/>
        <w:spacing w:line="360" w:lineRule="auto"/>
        <w:ind w:firstLine="424" w:firstLineChars="202"/>
        <w:rPr>
          <w:rFonts w:ascii="宋体" w:hAnsi="宋体"/>
          <w:color w:val="auto"/>
          <w:szCs w:val="21"/>
          <w:highlight w:val="none"/>
        </w:rPr>
      </w:pPr>
    </w:p>
    <w:p>
      <w:pPr>
        <w:pStyle w:val="5"/>
        <w:spacing w:line="380" w:lineRule="exact"/>
        <w:ind w:left="0" w:firstLine="0"/>
        <w:rPr>
          <w:rFonts w:ascii="宋体" w:hAnsi="宋体" w:cs="仿宋_GB2312"/>
          <w:color w:val="auto"/>
          <w:highlight w:val="none"/>
        </w:rPr>
      </w:pPr>
      <w:bookmarkStart w:id="203" w:name="_Toc136017653"/>
      <w:bookmarkStart w:id="204" w:name="_Toc15428"/>
      <w:bookmarkStart w:id="205" w:name="_Toc136345114"/>
      <w:r>
        <w:rPr>
          <w:rFonts w:hint="eastAsia" w:ascii="宋体" w:hAnsi="宋体"/>
          <w:color w:val="auto"/>
          <w:sz w:val="28"/>
          <w:szCs w:val="28"/>
          <w:highlight w:val="none"/>
        </w:rPr>
        <w:t>（一）</w:t>
      </w:r>
      <w:r>
        <w:rPr>
          <w:rFonts w:ascii="宋体" w:hAnsi="宋体" w:cs="仿宋_GB2312"/>
          <w:color w:val="auto"/>
          <w:highlight w:val="none"/>
        </w:rPr>
        <w:t xml:space="preserve"> 符合参加政府采购活动应当具备的一般条件的承诺函</w:t>
      </w:r>
      <w:bookmarkEnd w:id="203"/>
      <w:bookmarkEnd w:id="204"/>
      <w:bookmarkEnd w:id="205"/>
    </w:p>
    <w:p>
      <w:pPr>
        <w:snapToGrid w:val="0"/>
        <w:spacing w:line="360" w:lineRule="auto"/>
        <w:rPr>
          <w:rFonts w:ascii="宋体" w:hAnsi="宋体"/>
          <w:color w:val="auto"/>
          <w:sz w:val="24"/>
          <w:highlight w:val="none"/>
        </w:rPr>
      </w:pPr>
    </w:p>
    <w:p>
      <w:pPr>
        <w:snapToGrid w:val="0"/>
        <w:spacing w:line="360" w:lineRule="auto"/>
        <w:rPr>
          <w:rFonts w:ascii="宋体" w:hAnsi="宋体" w:cs="仿宋_GB2312"/>
          <w:color w:val="auto"/>
          <w:szCs w:val="21"/>
          <w:highlight w:val="none"/>
        </w:rPr>
      </w:pPr>
      <w:r>
        <w:rPr>
          <w:rFonts w:hint="eastAsia" w:ascii="宋体" w:hAnsi="宋体"/>
          <w:i/>
          <w:iCs/>
          <w:color w:val="auto"/>
          <w:szCs w:val="21"/>
          <w:highlight w:val="none"/>
          <w:u w:val="single"/>
        </w:rPr>
        <w:t xml:space="preserve"> （采购人、采购代理机构） </w:t>
      </w:r>
      <w:r>
        <w:rPr>
          <w:rFonts w:hint="eastAsia" w:ascii="宋体" w:hAnsi="宋体" w:cs="仿宋_GB2312"/>
          <w:color w:val="auto"/>
          <w:szCs w:val="21"/>
          <w:highlight w:val="none"/>
        </w:rPr>
        <w:t>：</w:t>
      </w:r>
    </w:p>
    <w:p>
      <w:pPr>
        <w:snapToGrid w:val="0"/>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我方参与</w:t>
      </w:r>
      <w:r>
        <w:rPr>
          <w:rFonts w:hint="eastAsia" w:ascii="宋体" w:hAnsi="宋体"/>
          <w:color w:val="auto"/>
          <w:szCs w:val="21"/>
          <w:highlight w:val="none"/>
        </w:rPr>
        <w:t>项目</w:t>
      </w:r>
      <w:r>
        <w:rPr>
          <w:rFonts w:hint="eastAsia" w:ascii="宋体" w:hAnsi="宋体" w:cs="仿宋_GB2312"/>
          <w:color w:val="auto"/>
          <w:szCs w:val="21"/>
          <w:highlight w:val="none"/>
        </w:rPr>
        <w:t>【招标编号：】政府采购活动，郑重承诺：</w:t>
      </w:r>
    </w:p>
    <w:p>
      <w:pPr>
        <w:snapToGrid w:val="0"/>
        <w:spacing w:line="360" w:lineRule="auto"/>
        <w:ind w:firstLine="315" w:firstLineChars="150"/>
        <w:rPr>
          <w:rFonts w:ascii="宋体" w:hAnsi="宋体" w:cs="仿宋_GB2312"/>
          <w:color w:val="auto"/>
          <w:szCs w:val="21"/>
          <w:highlight w:val="none"/>
        </w:rPr>
      </w:pPr>
      <w:r>
        <w:rPr>
          <w:rFonts w:hint="eastAsia" w:ascii="宋体" w:hAnsi="宋体" w:cs="仿宋_GB2312"/>
          <w:color w:val="auto"/>
          <w:szCs w:val="21"/>
          <w:highlight w:val="none"/>
        </w:rPr>
        <w:t>（一）具备《中华人民共和国政府采购法》第二十二条第一款规定的条件：</w:t>
      </w:r>
    </w:p>
    <w:p>
      <w:pPr>
        <w:snapToGrid w:val="0"/>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1、</w:t>
      </w:r>
      <w:r>
        <w:rPr>
          <w:rFonts w:ascii="宋体" w:hAnsi="宋体" w:cs="仿宋_GB2312"/>
          <w:color w:val="auto"/>
          <w:szCs w:val="21"/>
          <w:highlight w:val="none"/>
        </w:rPr>
        <w:t>具有独立承担民事责任的能力；</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具有良好的商业信誉和健全的财务会计制度； </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具有履行合同所必需的设备和专业技术能力；</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有依法缴纳税收和社会保障资金的良好记录；</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参加政府采购活动前三年内，在经营活动中没有重大违法记录；</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具有法律、行政法规规定的其他条件。</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（二）未被信用中国（</w:t>
      </w:r>
      <w:r>
        <w:rPr>
          <w:rFonts w:ascii="宋体" w:hAnsi="宋体"/>
          <w:color w:val="auto"/>
          <w:szCs w:val="21"/>
          <w:highlight w:val="none"/>
        </w:rPr>
        <w:t>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（三）不存在以下情况：</w:t>
      </w:r>
    </w:p>
    <w:p>
      <w:pPr>
        <w:snapToGrid w:val="0"/>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1、</w:t>
      </w:r>
      <w:r>
        <w:rPr>
          <w:rFonts w:ascii="宋体" w:hAnsi="宋体" w:cs="仿宋_GB2312"/>
          <w:color w:val="auto"/>
          <w:szCs w:val="21"/>
          <w:highlight w:val="none"/>
        </w:rPr>
        <w:t>单位负责人为同一人或者存在直接控股、管理关系的不同供应商参加同一合同项下的政府采购活动的；</w:t>
      </w:r>
    </w:p>
    <w:p>
      <w:pPr>
        <w:snapToGrid w:val="0"/>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2、</w:t>
      </w:r>
      <w:r>
        <w:rPr>
          <w:rFonts w:ascii="宋体" w:hAnsi="宋体" w:cs="仿宋_GB2312"/>
          <w:color w:val="auto"/>
          <w:szCs w:val="21"/>
          <w:highlight w:val="none"/>
        </w:rPr>
        <w:t>为采购项目提供整体设计、规范编制或者项目管理、监理、检测等服务后再参加该采购项目的其他采购活动的</w:t>
      </w:r>
      <w:r>
        <w:rPr>
          <w:rFonts w:hint="eastAsia" w:ascii="宋体" w:hAnsi="宋体" w:cs="仿宋_GB2312"/>
          <w:color w:val="auto"/>
          <w:szCs w:val="21"/>
          <w:highlight w:val="none"/>
        </w:rPr>
        <w:t>；</w:t>
      </w:r>
    </w:p>
    <w:p>
      <w:pPr>
        <w:snapToGrid w:val="0"/>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3、为公益一类事业单位、使用事业编制且由财政拨款保障的群团组织。</w:t>
      </w:r>
    </w:p>
    <w:p>
      <w:pPr>
        <w:pStyle w:val="2"/>
        <w:rPr>
          <w:color w:val="auto"/>
          <w:sz w:val="21"/>
          <w:szCs w:val="21"/>
          <w:highlight w:val="none"/>
        </w:rPr>
      </w:pPr>
    </w:p>
    <w:p>
      <w:pPr>
        <w:pStyle w:val="96"/>
        <w:rPr>
          <w:color w:val="auto"/>
          <w:highlight w:val="none"/>
        </w:rPr>
      </w:pPr>
    </w:p>
    <w:p>
      <w:pPr>
        <w:rPr>
          <w:rFonts w:ascii="宋体" w:hAnsi="宋体" w:cs="仿宋_GB2312"/>
          <w:color w:val="auto"/>
          <w:szCs w:val="21"/>
          <w:highlight w:val="none"/>
        </w:rPr>
      </w:pPr>
    </w:p>
    <w:p>
      <w:pPr>
        <w:adjustRightInd w:val="0"/>
        <w:snapToGrid w:val="0"/>
        <w:spacing w:line="360" w:lineRule="auto"/>
        <w:ind w:left="425"/>
        <w:rPr>
          <w:rFonts w:ascii="宋体" w:hAnsi="宋体"/>
          <w:color w:val="auto"/>
          <w:spacing w:val="4"/>
          <w:szCs w:val="21"/>
          <w:highlight w:val="none"/>
        </w:rPr>
      </w:pPr>
    </w:p>
    <w:p>
      <w:pPr>
        <w:spacing w:line="480" w:lineRule="auto"/>
        <w:ind w:right="420" w:firstLine="5040" w:firstLineChars="2400"/>
        <w:rPr>
          <w:rFonts w:ascii="宋体" w:hAnsi="宋体"/>
          <w:color w:val="auto"/>
          <w:szCs w:val="21"/>
          <w:highlight w:val="none"/>
        </w:rPr>
      </w:pPr>
      <w:r>
        <w:rPr>
          <w:rFonts w:hint="eastAsia" w:ascii="宋体" w:hAnsi="宋体"/>
          <w:color w:val="auto"/>
          <w:szCs w:val="21"/>
          <w:highlight w:val="none"/>
        </w:rPr>
        <w:t xml:space="preserve">投标人（公章）：                               </w:t>
      </w:r>
    </w:p>
    <w:p>
      <w:pPr>
        <w:spacing w:line="480" w:lineRule="auto"/>
        <w:ind w:right="420" w:firstLine="3990" w:firstLineChars="1900"/>
        <w:rPr>
          <w:rFonts w:ascii="宋体" w:hAnsi="宋体"/>
          <w:color w:val="auto"/>
          <w:szCs w:val="21"/>
          <w:highlight w:val="none"/>
        </w:rPr>
      </w:pPr>
      <w:r>
        <w:rPr>
          <w:rFonts w:hint="eastAsia" w:ascii="宋体" w:hAnsi="宋体"/>
          <w:color w:val="auto"/>
          <w:szCs w:val="21"/>
          <w:highlight w:val="none"/>
        </w:rPr>
        <w:t xml:space="preserve">投标人代表（签字或印章）：     </w:t>
      </w:r>
    </w:p>
    <w:p>
      <w:pPr>
        <w:spacing w:line="480" w:lineRule="auto"/>
        <w:ind w:right="420" w:firstLine="3045" w:firstLineChars="1450"/>
        <w:rPr>
          <w:rFonts w:ascii="宋体" w:hAnsi="宋体"/>
          <w:color w:val="auto"/>
          <w:szCs w:val="21"/>
          <w:highlight w:val="none"/>
        </w:rPr>
      </w:pPr>
      <w:r>
        <w:rPr>
          <w:rFonts w:hint="eastAsia" w:ascii="宋体" w:hAnsi="宋体"/>
          <w:color w:val="auto"/>
          <w:szCs w:val="21"/>
          <w:highlight w:val="none"/>
        </w:rPr>
        <w:t xml:space="preserve">                   年    月    日</w:t>
      </w:r>
    </w:p>
    <w:p>
      <w:pPr>
        <w:pStyle w:val="16"/>
        <w:ind w:firstLine="0"/>
        <w:rPr>
          <w:rFonts w:ascii="宋体" w:hAnsi="宋体"/>
          <w:color w:val="auto"/>
          <w:highlight w:val="none"/>
        </w:rPr>
      </w:pPr>
      <w:r>
        <w:rPr>
          <w:rFonts w:hint="eastAsia" w:ascii="宋体" w:hAnsi="宋体" w:cs="宋体"/>
          <w:b/>
          <w:color w:val="auto"/>
          <w:szCs w:val="21"/>
          <w:highlight w:val="none"/>
        </w:rPr>
        <w:t>（若为联合体投标，联合体各方须单独提供并盖章）</w:t>
      </w:r>
    </w:p>
    <w:p>
      <w:pPr>
        <w:pStyle w:val="16"/>
        <w:ind w:firstLine="0"/>
        <w:jc w:val="center"/>
        <w:rPr>
          <w:rFonts w:ascii="宋体" w:hAnsi="宋体"/>
          <w:color w:val="auto"/>
          <w:highlight w:val="none"/>
        </w:rPr>
      </w:pPr>
    </w:p>
    <w:p>
      <w:pPr>
        <w:pStyle w:val="16"/>
        <w:ind w:firstLine="0"/>
        <w:jc w:val="center"/>
        <w:rPr>
          <w:rFonts w:ascii="宋体" w:hAnsi="宋体"/>
          <w:color w:val="auto"/>
          <w:highlight w:val="none"/>
        </w:rPr>
      </w:pPr>
    </w:p>
    <w:p>
      <w:pPr>
        <w:pStyle w:val="16"/>
        <w:ind w:firstLine="0"/>
        <w:jc w:val="center"/>
        <w:rPr>
          <w:rFonts w:ascii="宋体" w:hAnsi="宋体"/>
          <w:color w:val="auto"/>
          <w:highlight w:val="none"/>
        </w:rPr>
      </w:pPr>
    </w:p>
    <w:p>
      <w:pPr>
        <w:pStyle w:val="96"/>
        <w:rPr>
          <w:color w:val="auto"/>
          <w:highlight w:val="none"/>
        </w:rPr>
      </w:pPr>
    </w:p>
    <w:p>
      <w:pPr>
        <w:rPr>
          <w:rFonts w:ascii="宋体" w:hAnsi="宋体"/>
          <w:color w:val="auto"/>
          <w:sz w:val="28"/>
          <w:szCs w:val="28"/>
          <w:highlight w:val="none"/>
        </w:rPr>
      </w:pPr>
      <w:r>
        <w:rPr>
          <w:rFonts w:hint="eastAsia" w:ascii="宋体" w:hAnsi="宋体"/>
          <w:color w:val="auto"/>
          <w:sz w:val="28"/>
          <w:szCs w:val="28"/>
          <w:highlight w:val="none"/>
        </w:rPr>
        <w:br w:type="page"/>
      </w:r>
    </w:p>
    <w:p>
      <w:pPr>
        <w:pStyle w:val="96"/>
        <w:rPr>
          <w:color w:val="auto"/>
          <w:highlight w:val="none"/>
        </w:rPr>
      </w:pPr>
    </w:p>
    <w:p>
      <w:pPr>
        <w:pStyle w:val="5"/>
        <w:spacing w:line="380" w:lineRule="exact"/>
        <w:ind w:left="0" w:firstLine="0"/>
        <w:rPr>
          <w:rFonts w:ascii="宋体" w:hAnsi="宋体"/>
          <w:color w:val="auto"/>
          <w:sz w:val="28"/>
          <w:szCs w:val="28"/>
          <w:highlight w:val="none"/>
        </w:rPr>
      </w:pPr>
      <w:bookmarkStart w:id="206" w:name="_Toc136345115"/>
      <w:bookmarkStart w:id="207" w:name="_Toc136017654"/>
      <w:bookmarkStart w:id="208" w:name="_Toc8841"/>
      <w:r>
        <w:rPr>
          <w:rFonts w:hint="eastAsia" w:ascii="宋体" w:hAnsi="宋体"/>
          <w:color w:val="auto"/>
          <w:sz w:val="28"/>
          <w:szCs w:val="28"/>
          <w:highlight w:val="none"/>
        </w:rPr>
        <w:t>（二）有效的企业法人营业执照（或事业法人登记证）、其他组织（个体工商户的营业执照或者民办非企业单位登记证书复印件。投标人如果有名称变更的，应提供由行政主管部门出具的变更证明文件</w:t>
      </w:r>
      <w:bookmarkEnd w:id="206"/>
      <w:bookmarkEnd w:id="207"/>
      <w:bookmarkEnd w:id="208"/>
    </w:p>
    <w:p>
      <w:pPr>
        <w:pStyle w:val="16"/>
        <w:ind w:firstLine="0"/>
        <w:jc w:val="center"/>
        <w:rPr>
          <w:rFonts w:ascii="宋体" w:hAnsi="宋体"/>
          <w:bCs/>
          <w:color w:val="auto"/>
          <w:sz w:val="22"/>
          <w:szCs w:val="22"/>
          <w:highlight w:val="none"/>
        </w:rPr>
      </w:pPr>
      <w:r>
        <w:rPr>
          <w:rFonts w:hint="eastAsia" w:ascii="宋体" w:hAnsi="宋体"/>
          <w:bCs/>
          <w:color w:val="auto"/>
          <w:sz w:val="22"/>
          <w:szCs w:val="22"/>
          <w:highlight w:val="none"/>
        </w:rPr>
        <w:t>（复印件并加盖公章）</w:t>
      </w:r>
    </w:p>
    <w:p>
      <w:pPr>
        <w:pStyle w:val="16"/>
        <w:ind w:firstLine="0"/>
        <w:jc w:val="center"/>
        <w:rPr>
          <w:rFonts w:ascii="宋体" w:hAnsi="宋体"/>
          <w:color w:val="auto"/>
          <w:highlight w:val="none"/>
        </w:rPr>
      </w:pPr>
    </w:p>
    <w:p>
      <w:pPr>
        <w:pStyle w:val="16"/>
        <w:ind w:firstLine="0"/>
        <w:jc w:val="center"/>
        <w:rPr>
          <w:rFonts w:ascii="宋体" w:hAnsi="宋体"/>
          <w:color w:val="auto"/>
          <w:highlight w:val="none"/>
        </w:rPr>
      </w:pPr>
    </w:p>
    <w:p>
      <w:pPr>
        <w:pStyle w:val="16"/>
        <w:ind w:firstLine="0"/>
        <w:jc w:val="center"/>
        <w:rPr>
          <w:rFonts w:ascii="宋体" w:hAnsi="宋体"/>
          <w:color w:val="auto"/>
          <w:highlight w:val="none"/>
        </w:rPr>
      </w:pPr>
    </w:p>
    <w:p>
      <w:pPr>
        <w:pStyle w:val="16"/>
        <w:ind w:firstLine="0"/>
        <w:jc w:val="center"/>
        <w:rPr>
          <w:rFonts w:ascii="宋体" w:hAnsi="宋体"/>
          <w:color w:val="auto"/>
          <w:highlight w:val="none"/>
        </w:rPr>
      </w:pPr>
    </w:p>
    <w:p>
      <w:pPr>
        <w:rPr>
          <w:rFonts w:ascii="宋体" w:hAnsi="宋体"/>
          <w:color w:val="auto"/>
          <w:highlight w:val="none"/>
        </w:rPr>
      </w:pPr>
      <w:r>
        <w:rPr>
          <w:rFonts w:hint="eastAsia" w:ascii="宋体" w:hAnsi="宋体" w:cs="宋体"/>
          <w:b/>
          <w:color w:val="auto"/>
          <w:szCs w:val="21"/>
          <w:highlight w:val="none"/>
        </w:rPr>
        <w:t>（若为联合体投标，联合体各方须单独提供并盖章）</w:t>
      </w:r>
      <w:r>
        <w:rPr>
          <w:rFonts w:ascii="宋体" w:hAnsi="宋体"/>
          <w:color w:val="auto"/>
          <w:highlight w:val="none"/>
        </w:rPr>
        <w:br w:type="page"/>
      </w:r>
    </w:p>
    <w:p>
      <w:pPr>
        <w:autoSpaceDE w:val="0"/>
        <w:autoSpaceDN w:val="0"/>
        <w:jc w:val="center"/>
        <w:rPr>
          <w:rFonts w:ascii="宋体" w:hAnsi="宋体" w:cs="宋体"/>
          <w:b/>
          <w:color w:val="auto"/>
          <w:kern w:val="0"/>
          <w:sz w:val="28"/>
          <w:szCs w:val="28"/>
          <w:highlight w:val="none"/>
        </w:rPr>
      </w:pPr>
    </w:p>
    <w:p>
      <w:pPr>
        <w:pStyle w:val="5"/>
        <w:spacing w:line="380" w:lineRule="exact"/>
        <w:ind w:left="0" w:firstLine="0"/>
        <w:rPr>
          <w:rFonts w:ascii="宋体" w:hAnsi="宋体"/>
          <w:color w:val="auto"/>
          <w:sz w:val="28"/>
          <w:szCs w:val="28"/>
          <w:highlight w:val="none"/>
        </w:rPr>
      </w:pPr>
      <w:r>
        <w:rPr>
          <w:rFonts w:hint="eastAsia" w:ascii="宋体" w:hAnsi="宋体"/>
          <w:color w:val="auto"/>
          <w:sz w:val="28"/>
          <w:szCs w:val="28"/>
          <w:highlight w:val="none"/>
        </w:rPr>
        <w:t>（三）落实政府采购政策需满足的资格要求</w:t>
      </w:r>
    </w:p>
    <w:p>
      <w:pPr>
        <w:spacing w:line="360" w:lineRule="auto"/>
        <w:rPr>
          <w:rFonts w:ascii="宋体" w:hAnsi="宋体" w:cs="仿宋_GB2312"/>
          <w:color w:val="auto"/>
          <w:sz w:val="24"/>
          <w:highlight w:val="none"/>
        </w:rPr>
      </w:pPr>
    </w:p>
    <w:p>
      <w:pPr>
        <w:spacing w:line="360" w:lineRule="auto"/>
        <w:jc w:val="center"/>
        <w:rPr>
          <w:rFonts w:ascii="宋体" w:hAnsi="宋体" w:cs="仿宋_GB2312"/>
          <w:b/>
          <w:bCs/>
          <w:color w:val="auto"/>
          <w:sz w:val="24"/>
          <w:highlight w:val="none"/>
        </w:rPr>
      </w:pPr>
      <w:r>
        <w:rPr>
          <w:rFonts w:hint="eastAsia" w:ascii="宋体" w:hAnsi="宋体" w:cs="仿宋_GB2312"/>
          <w:b/>
          <w:bCs/>
          <w:color w:val="auto"/>
          <w:sz w:val="24"/>
          <w:highlight w:val="none"/>
        </w:rPr>
        <w:t>（根据招标公告</w:t>
      </w:r>
      <w:r>
        <w:rPr>
          <w:rFonts w:hint="eastAsia" w:ascii="宋体" w:hAnsi="宋体"/>
          <w:b/>
          <w:bCs/>
          <w:color w:val="auto"/>
          <w:sz w:val="24"/>
          <w:highlight w:val="none"/>
        </w:rPr>
        <w:t>落实政府采购政策需满足的资格要求选择提供相应的材料；未要求的，无需提供</w:t>
      </w:r>
      <w:r>
        <w:rPr>
          <w:rFonts w:hint="eastAsia" w:ascii="宋体" w:hAnsi="宋体" w:cs="仿宋_GB2312"/>
          <w:b/>
          <w:bCs/>
          <w:color w:val="auto"/>
          <w:sz w:val="24"/>
          <w:highlight w:val="none"/>
        </w:rPr>
        <w:t>）</w:t>
      </w:r>
    </w:p>
    <w:p>
      <w:pPr>
        <w:spacing w:line="360" w:lineRule="auto"/>
        <w:rPr>
          <w:rFonts w:ascii="宋体" w:hAnsi="宋体" w:cs="仿宋_GB2312"/>
          <w:color w:val="auto"/>
          <w:szCs w:val="21"/>
          <w:highlight w:val="none"/>
        </w:rPr>
      </w:pPr>
    </w:p>
    <w:p>
      <w:pPr>
        <w:spacing w:line="360" w:lineRule="auto"/>
        <w:rPr>
          <w:rFonts w:ascii="宋体" w:hAnsi="宋体" w:cs="仿宋_GB2312"/>
          <w:color w:val="auto"/>
          <w:szCs w:val="21"/>
          <w:highlight w:val="none"/>
        </w:rPr>
      </w:pPr>
    </w:p>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A.专门面向中小企业，服务全部由符合政策要求的中小企业（或小微企业）承接的，提供相应的中小企业声明函（附件1）</w:t>
      </w:r>
    </w:p>
    <w:p>
      <w:pPr>
        <w:spacing w:line="360" w:lineRule="auto"/>
        <w:rPr>
          <w:rFonts w:ascii="宋体" w:hAnsi="宋体" w:cs="仿宋_GB2312"/>
          <w:color w:val="auto"/>
          <w:szCs w:val="21"/>
          <w:highlight w:val="none"/>
        </w:rPr>
      </w:pPr>
    </w:p>
    <w:p>
      <w:pPr>
        <w:spacing w:line="360" w:lineRule="auto"/>
        <w:rPr>
          <w:rFonts w:ascii="宋体" w:hAnsi="宋体" w:cs="仿宋_GB2312"/>
          <w:color w:val="auto"/>
          <w:szCs w:val="21"/>
          <w:highlight w:val="none"/>
        </w:rPr>
      </w:pPr>
    </w:p>
    <w:p>
      <w:pPr>
        <w:rPr>
          <w:rFonts w:ascii="宋体" w:hAnsi="宋体" w:cs="仿宋_GB2312"/>
          <w:color w:val="auto"/>
          <w:szCs w:val="21"/>
          <w:highlight w:val="none"/>
        </w:rPr>
      </w:pPr>
      <w:r>
        <w:rPr>
          <w:rFonts w:hint="eastAsia" w:ascii="宋体" w:hAnsi="宋体" w:cs="仿宋_GB2312"/>
          <w:color w:val="auto"/>
          <w:szCs w:val="21"/>
          <w:highlight w:val="none"/>
        </w:rPr>
        <w:br w:type="page"/>
      </w:r>
    </w:p>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B.要求以联合体形式参加的，提供联合协议和中小企业声明函（附件1），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pStyle w:val="16"/>
        <w:ind w:firstLine="0"/>
        <w:jc w:val="center"/>
        <w:rPr>
          <w:rFonts w:ascii="宋体" w:hAnsi="宋体"/>
          <w:color w:val="auto"/>
          <w:highlight w:val="none"/>
        </w:rPr>
      </w:pPr>
    </w:p>
    <w:p>
      <w:pPr>
        <w:autoSpaceDE w:val="0"/>
        <w:autoSpaceDN w:val="0"/>
        <w:jc w:val="center"/>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联合协议</w:t>
      </w:r>
    </w:p>
    <w:p>
      <w:pPr>
        <w:widowControl/>
        <w:spacing w:line="48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（以联合体形式投标的，提供联合协议；本项目不接受联合体投标或者投标人不以联合体形式投标的，则不需要提供）</w:t>
      </w:r>
    </w:p>
    <w:p>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（联合体所有成员名称）</w:t>
      </w:r>
      <w:r>
        <w:rPr>
          <w:rFonts w:hint="eastAsia" w:ascii="宋体" w:hAnsi="宋体" w:cs="宋体"/>
          <w:color w:val="auto"/>
          <w:kern w:val="0"/>
          <w:szCs w:val="21"/>
          <w:highlight w:val="none"/>
        </w:rPr>
        <w:t>自愿</w:t>
      </w:r>
      <w:r>
        <w:rPr>
          <w:rFonts w:hint="eastAsia" w:ascii="宋体" w:hAnsi="宋体" w:cs="宋体"/>
          <w:color w:val="auto"/>
          <w:kern w:val="0"/>
          <w:szCs w:val="21"/>
          <w:highlight w:val="none"/>
          <w:lang w:val="zh-CN"/>
        </w:rPr>
        <w:t>组成一个联合体，以一个投标人的身份</w:t>
      </w:r>
      <w:r>
        <w:rPr>
          <w:rFonts w:hint="eastAsia" w:ascii="宋体" w:hAnsi="宋体" w:cs="宋体"/>
          <w:color w:val="auto"/>
          <w:kern w:val="0"/>
          <w:szCs w:val="21"/>
          <w:highlight w:val="none"/>
        </w:rPr>
        <w:t>参加</w:t>
      </w:r>
      <w:r>
        <w:rPr>
          <w:rFonts w:hint="eastAsia" w:ascii="宋体" w:hAnsi="宋体" w:cs="宋体"/>
          <w:color w:val="auto"/>
          <w:szCs w:val="21"/>
          <w:highlight w:val="none"/>
        </w:rPr>
        <w:t>项目【招标编号：        】</w:t>
      </w:r>
      <w:r>
        <w:rPr>
          <w:rFonts w:hint="eastAsia" w:ascii="宋体" w:hAnsi="宋体" w:cs="宋体"/>
          <w:color w:val="auto"/>
          <w:kern w:val="0"/>
          <w:szCs w:val="21"/>
          <w:highlight w:val="none"/>
          <w:lang w:val="zh-CN"/>
        </w:rPr>
        <w:t xml:space="preserve">投标。 </w:t>
      </w:r>
    </w:p>
    <w:p>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一、各方一致决定，</w:t>
      </w:r>
      <w:r>
        <w:rPr>
          <w:rFonts w:hint="eastAsia" w:ascii="宋体" w:hAnsi="宋体" w:cs="宋体"/>
          <w:color w:val="auto"/>
          <w:kern w:val="0"/>
          <w:szCs w:val="21"/>
          <w:highlight w:val="none"/>
          <w:u w:val="single"/>
        </w:rPr>
        <w:t>（某联合体成员名称）</w:t>
      </w:r>
      <w:r>
        <w:rPr>
          <w:rFonts w:hint="eastAsia" w:ascii="宋体" w:hAnsi="宋体" w:cs="宋体"/>
          <w:color w:val="auto"/>
          <w:kern w:val="0"/>
          <w:szCs w:val="21"/>
          <w:highlight w:val="none"/>
        </w:rPr>
        <w:t>为联合体</w:t>
      </w:r>
      <w:r>
        <w:rPr>
          <w:rFonts w:hint="eastAsia" w:ascii="宋体" w:hAnsi="宋体" w:cs="宋体"/>
          <w:color w:val="auto"/>
          <w:kern w:val="0"/>
          <w:szCs w:val="21"/>
          <w:highlight w:val="none"/>
          <w:lang w:val="zh-CN"/>
        </w:rPr>
        <w:t>牵头人</w:t>
      </w:r>
      <w:r>
        <w:rPr>
          <w:rFonts w:hint="eastAsia" w:ascii="宋体" w:hAnsi="宋体" w:cs="宋体"/>
          <w:color w:val="auto"/>
          <w:szCs w:val="21"/>
          <w:highlight w:val="none"/>
        </w:rPr>
        <w:t>，代表所有联合体成员负责投标和合同实施阶段的主办、协调工作</w:t>
      </w:r>
      <w:r>
        <w:rPr>
          <w:rFonts w:hint="eastAsia" w:ascii="宋体" w:hAnsi="宋体" w:cs="宋体"/>
          <w:color w:val="auto"/>
          <w:kern w:val="0"/>
          <w:szCs w:val="21"/>
          <w:highlight w:val="none"/>
          <w:lang w:val="zh-CN"/>
        </w:rPr>
        <w:t>。</w:t>
      </w:r>
    </w:p>
    <w:p>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w:t>
      </w:r>
      <w:r>
        <w:rPr>
          <w:rFonts w:hint="eastAsia" w:ascii="宋体" w:hAnsi="宋体" w:cs="宋体"/>
          <w:color w:val="auto"/>
          <w:szCs w:val="21"/>
          <w:highlight w:val="none"/>
        </w:rPr>
        <w:t>所有联合体成员各方签署授权书，授权书载明的</w:t>
      </w:r>
      <w:r>
        <w:rPr>
          <w:rFonts w:hint="eastAsia" w:ascii="宋体" w:hAnsi="宋体" w:cs="宋体"/>
          <w:color w:val="auto"/>
          <w:kern w:val="0"/>
          <w:szCs w:val="21"/>
          <w:highlight w:val="none"/>
          <w:lang w:val="zh-CN"/>
        </w:rPr>
        <w:t>授权代表根据招标文件规定及投标内容而对采购人、采购机构所作的任何合法承诺，包括书面澄清及相应等均对联合投标各方产生约束力。</w:t>
      </w:r>
    </w:p>
    <w:p>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三、本次联合投标中，分工如下：</w:t>
      </w:r>
    </w:p>
    <w:p>
      <w:pPr>
        <w:snapToGrid w:val="0"/>
        <w:spacing w:line="480" w:lineRule="exact"/>
        <w:ind w:firstLine="576"/>
        <w:rPr>
          <w:rFonts w:ascii="宋体" w:hAnsi="宋体" w:cs="宋体"/>
          <w:color w:val="auto"/>
          <w:kern w:val="0"/>
          <w:szCs w:val="21"/>
          <w:highlight w:val="none"/>
          <w:lang w:val="zh-CN"/>
        </w:rPr>
      </w:pPr>
      <w:bookmarkStart w:id="209" w:name="_Hlk101134295"/>
      <w:r>
        <w:rPr>
          <w:rFonts w:hint="eastAsia" w:ascii="宋体" w:hAnsi="宋体" w:cs="宋体"/>
          <w:color w:val="auto"/>
          <w:kern w:val="0"/>
          <w:szCs w:val="21"/>
          <w:highlight w:val="none"/>
          <w:u w:val="single"/>
        </w:rPr>
        <w:t>（联合体成员1）</w:t>
      </w:r>
      <w:r>
        <w:rPr>
          <w:rFonts w:hint="eastAsia" w:ascii="宋体" w:hAnsi="宋体" w:cs="宋体"/>
          <w:color w:val="auto"/>
          <w:kern w:val="0"/>
          <w:szCs w:val="21"/>
          <w:highlight w:val="none"/>
          <w:lang w:val="zh-CN"/>
        </w:rPr>
        <w:t>承担的工作和义务为：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w:t>
      </w:r>
    </w:p>
    <w:p>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w:t>
      </w:r>
      <w:r>
        <w:rPr>
          <w:rFonts w:ascii="宋体" w:hAnsi="宋体" w:cs="宋体"/>
          <w:color w:val="auto"/>
          <w:kern w:val="0"/>
          <w:szCs w:val="21"/>
          <w:highlight w:val="none"/>
          <w:u w:val="single"/>
        </w:rPr>
        <w:t>2</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lang w:val="zh-CN"/>
        </w:rPr>
        <w:t>承担的工作和义务为：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w:t>
      </w:r>
    </w:p>
    <w:p>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p>
    <w:bookmarkEnd w:id="209"/>
    <w:p>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四、联合体成员中小企业合同份额（如果有）。</w:t>
      </w:r>
    </w:p>
    <w:p>
      <w:pPr>
        <w:snapToGrid w:val="0"/>
        <w:spacing w:line="480" w:lineRule="exact"/>
        <w:ind w:firstLine="576"/>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u w:val="single"/>
        </w:rPr>
        <w:t>（联合体成员</w:t>
      </w:r>
      <w:r>
        <w:rPr>
          <w:rFonts w:ascii="宋体" w:hAnsi="宋体" w:cs="宋体"/>
          <w:color w:val="auto"/>
          <w:kern w:val="0"/>
          <w:szCs w:val="21"/>
          <w:highlight w:val="none"/>
          <w:u w:val="single"/>
        </w:rPr>
        <w:t>X,</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提供的全部服务由小微企业承接，其合同份额占到合同总金额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%以上；</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（未预留份额专门面向中小企业采购的的采购项目，以及预留份额中的非预留部分采购包，接受联合体投标的，联合协议约定小微企业的合同份额占到合同总金额30%以上的，对联合体报价给予4%的扣除。</w:t>
      </w:r>
      <w:r>
        <w:rPr>
          <w:rFonts w:hint="eastAsia" w:ascii="宋体" w:hAnsi="宋体" w:cs="宋体"/>
          <w:b/>
          <w:color w:val="auto"/>
          <w:kern w:val="0"/>
          <w:szCs w:val="21"/>
          <w:highlight w:val="none"/>
        </w:rPr>
        <w:t>投标人</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szCs w:val="21"/>
          <w:highlight w:val="none"/>
        </w:rPr>
        <w:t>2、中小企业合同金额达到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%，小微企业合同金额达到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Cs w:val="21"/>
          <w:highlight w:val="none"/>
          <w:lang w:val="zh-CN"/>
        </w:rPr>
        <w:t>）</w:t>
      </w:r>
    </w:p>
    <w:p>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五、如果中标，</w:t>
      </w:r>
      <w:r>
        <w:rPr>
          <w:rFonts w:hint="eastAsia" w:ascii="宋体" w:hAnsi="宋体" w:cs="宋体"/>
          <w:color w:val="auto"/>
          <w:szCs w:val="21"/>
          <w:highlight w:val="none"/>
        </w:rPr>
        <w:t>联合体各成员方共同与采购人签订合同，并就采购合同约定的事项对采购人承担连带责任。</w:t>
      </w:r>
    </w:p>
    <w:p>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六、有关本次联合投标的其他事宜：</w:t>
      </w:r>
    </w:p>
    <w:p>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1、联合体各方不再单独参加或者与其他供应商另外组成联合体参加同一合同项下的政府采购活动。</w:t>
      </w:r>
    </w:p>
    <w:p>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2、联合体中有同类资质的各方按照联合体分工承担相同工作的，按照资质等级较低的供应商确定资质等级。</w:t>
      </w:r>
    </w:p>
    <w:p>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3、本协议提交采购人、采购机构后，联合体各方不得以任何形式对上述内容进行修改或撤销。</w:t>
      </w:r>
    </w:p>
    <w:p>
      <w:pPr>
        <w:snapToGrid w:val="0"/>
        <w:spacing w:line="480" w:lineRule="exact"/>
        <w:ind w:firstLine="5040" w:firstLineChars="24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联合体成员名称(公章)：</w:t>
      </w:r>
    </w:p>
    <w:p>
      <w:pPr>
        <w:pStyle w:val="96"/>
        <w:rPr>
          <w:b/>
          <w:bCs/>
          <w:color w:val="auto"/>
          <w:highlight w:val="none"/>
        </w:rPr>
      </w:pPr>
      <w:bookmarkStart w:id="210" w:name="_Toc136017655"/>
      <w:bookmarkStart w:id="211" w:name="_Toc32382"/>
      <w:bookmarkStart w:id="212" w:name="_Toc136345116"/>
      <w:r>
        <w:rPr>
          <w:rFonts w:hint="eastAsia"/>
          <w:color w:val="auto"/>
          <w:highlight w:val="none"/>
        </w:rPr>
        <w:t xml:space="preserve">                                   </w:t>
      </w:r>
    </w:p>
    <w:p>
      <w:pPr>
        <w:snapToGrid w:val="0"/>
        <w:spacing w:line="480" w:lineRule="exact"/>
        <w:ind w:firstLine="1470" w:firstLineChars="700"/>
        <w:jc w:val="left"/>
        <w:rPr>
          <w:rFonts w:ascii="宋体" w:hAnsi="宋体" w:cs="宋体"/>
          <w:b/>
          <w:bCs/>
          <w:color w:val="auto"/>
          <w:kern w:val="0"/>
          <w:szCs w:val="21"/>
          <w:highlight w:val="none"/>
          <w:lang w:val="zh-CN"/>
        </w:rPr>
      </w:pPr>
      <w:r>
        <w:rPr>
          <w:rFonts w:hint="eastAsia" w:ascii="宋体" w:hAnsi="宋体" w:cs="宋体"/>
          <w:color w:val="auto"/>
          <w:kern w:val="0"/>
          <w:szCs w:val="21"/>
          <w:highlight w:val="none"/>
          <w:lang w:val="zh-CN"/>
        </w:rPr>
        <w:t xml:space="preserve">                                   联合体成员名称(公章)：</w:t>
      </w:r>
      <w:bookmarkEnd w:id="210"/>
      <w:bookmarkEnd w:id="211"/>
      <w:bookmarkEnd w:id="212"/>
    </w:p>
    <w:p>
      <w:pPr>
        <w:spacing w:line="480" w:lineRule="exact"/>
        <w:rPr>
          <w:color w:val="auto"/>
          <w:szCs w:val="21"/>
          <w:highlight w:val="none"/>
          <w:lang w:val="zh-CN"/>
        </w:rPr>
      </w:pPr>
    </w:p>
    <w:p>
      <w:pPr>
        <w:snapToGrid w:val="0"/>
        <w:spacing w:line="480" w:lineRule="exact"/>
        <w:rPr>
          <w:rFonts w:ascii="宋体" w:hAnsi="宋体" w:cs="宋体"/>
          <w:color w:val="auto"/>
          <w:kern w:val="0"/>
          <w:szCs w:val="21"/>
          <w:highlight w:val="none"/>
        </w:rPr>
      </w:pPr>
      <w:r>
        <w:rPr>
          <w:rFonts w:hint="eastAsia" w:ascii="宋体" w:hAnsi="宋体" w:cs="宋体"/>
          <w:color w:val="auto"/>
          <w:kern w:val="0"/>
          <w:szCs w:val="21"/>
          <w:highlight w:val="none"/>
          <w:lang w:val="zh-CN"/>
        </w:rPr>
        <w:t xml:space="preserve">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pPr>
        <w:pStyle w:val="96"/>
        <w:rPr>
          <w:b/>
          <w:bCs/>
          <w:color w:val="auto"/>
          <w:highlight w:val="none"/>
        </w:rPr>
      </w:pPr>
      <w:bookmarkStart w:id="213" w:name="_Toc136345117"/>
      <w:bookmarkStart w:id="214" w:name="_Toc13376"/>
      <w:bookmarkStart w:id="215" w:name="_Toc136017656"/>
      <w:r>
        <w:rPr>
          <w:rFonts w:hint="eastAsia"/>
          <w:color w:val="auto"/>
          <w:highlight w:val="none"/>
          <w:lang w:val="zh-CN"/>
        </w:rPr>
        <w:t>注</w:t>
      </w:r>
      <w:r>
        <w:rPr>
          <w:rFonts w:hint="eastAsia"/>
          <w:color w:val="auto"/>
          <w:highlight w:val="none"/>
        </w:rPr>
        <w:t>：</w:t>
      </w:r>
      <w:r>
        <w:rPr>
          <w:rFonts w:hint="eastAsia"/>
          <w:color w:val="auto"/>
          <w:highlight w:val="none"/>
          <w:lang w:val="zh-CN"/>
        </w:rPr>
        <w:t>按本格式和要求提供。</w:t>
      </w:r>
      <w:bookmarkEnd w:id="213"/>
      <w:bookmarkEnd w:id="214"/>
      <w:bookmarkEnd w:id="215"/>
    </w:p>
    <w:p>
      <w:pPr>
        <w:rPr>
          <w:rFonts w:ascii="宋体" w:hAnsi="宋体" w:cs="宋体"/>
          <w:color w:val="auto"/>
          <w:kern w:val="0"/>
          <w:szCs w:val="21"/>
          <w:highlight w:val="none"/>
        </w:rPr>
      </w:pPr>
    </w:p>
    <w:p>
      <w:pPr>
        <w:spacing w:line="360" w:lineRule="auto"/>
        <w:rPr>
          <w:rFonts w:ascii="宋体" w:hAnsi="宋体" w:cs="仿宋_GB2312"/>
          <w:color w:val="auto"/>
          <w:szCs w:val="21"/>
          <w:highlight w:val="none"/>
        </w:rPr>
      </w:pPr>
    </w:p>
    <w:p>
      <w:pPr>
        <w:spacing w:line="360" w:lineRule="auto"/>
        <w:rPr>
          <w:rFonts w:ascii="宋体" w:hAnsi="宋体" w:cs="仿宋_GB2312"/>
          <w:color w:val="auto"/>
          <w:szCs w:val="21"/>
          <w:highlight w:val="none"/>
        </w:rPr>
      </w:pPr>
    </w:p>
    <w:p>
      <w:pPr>
        <w:rPr>
          <w:rFonts w:ascii="宋体" w:hAnsi="宋体" w:cs="仿宋_GB2312"/>
          <w:color w:val="auto"/>
          <w:szCs w:val="21"/>
          <w:highlight w:val="none"/>
        </w:rPr>
      </w:pPr>
      <w:r>
        <w:rPr>
          <w:rFonts w:hint="eastAsia" w:ascii="宋体" w:hAnsi="宋体" w:cs="仿宋_GB2312"/>
          <w:color w:val="auto"/>
          <w:szCs w:val="21"/>
          <w:highlight w:val="none"/>
        </w:rPr>
        <w:br w:type="page"/>
      </w:r>
    </w:p>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C.要求合同分包的，提供分包意向协议和中小企业声明函（附件1），分包意向协议中中小企业合同金额应当达到招标公告载明的比例；如果投标人本身提供所有标的均由中小企业制造或承接的，视同符合了资格条件，无需再向中小企业分包，无需提供分包意向协议。</w:t>
      </w:r>
    </w:p>
    <w:p>
      <w:pPr>
        <w:widowControl/>
        <w:spacing w:line="48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分包意向协议</w:t>
      </w:r>
    </w:p>
    <w:p>
      <w:pPr>
        <w:widowControl/>
        <w:spacing w:line="48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（中标后以分包方式履行合同的，提供分包意向协议；采购人不同意分包或者投标人中标后不以分包方式履行合同的，则不需要提供。）</w:t>
      </w:r>
    </w:p>
    <w:p>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若成为</w:t>
      </w:r>
      <w:r>
        <w:rPr>
          <w:rFonts w:hint="eastAsia" w:ascii="宋体" w:hAnsi="宋体" w:cs="宋体"/>
          <w:color w:val="auto"/>
          <w:szCs w:val="21"/>
          <w:highlight w:val="none"/>
        </w:rPr>
        <w:t>项目【招标编号：       】</w:t>
      </w:r>
      <w:r>
        <w:rPr>
          <w:rFonts w:hint="eastAsia" w:ascii="宋体" w:hAnsi="宋体" w:cs="宋体"/>
          <w:color w:val="auto"/>
          <w:kern w:val="0"/>
          <w:szCs w:val="21"/>
          <w:highlight w:val="none"/>
          <w:lang w:val="zh-CN"/>
        </w:rPr>
        <w:t>的中标人，将依法采取分包方式履行合同。</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与</w:t>
      </w:r>
      <w:r>
        <w:rPr>
          <w:rFonts w:hint="eastAsia" w:ascii="宋体" w:hAnsi="宋体" w:cs="宋体"/>
          <w:color w:val="auto"/>
          <w:kern w:val="0"/>
          <w:szCs w:val="21"/>
          <w:highlight w:val="none"/>
          <w:u w:val="single"/>
        </w:rPr>
        <w:t>（所有分包供应商名称）</w:t>
      </w:r>
      <w:r>
        <w:rPr>
          <w:rFonts w:hint="eastAsia" w:ascii="宋体" w:hAnsi="宋体" w:cs="宋体"/>
          <w:color w:val="auto"/>
          <w:kern w:val="0"/>
          <w:szCs w:val="21"/>
          <w:highlight w:val="none"/>
        </w:rPr>
        <w:t>达成分包意向协议</w:t>
      </w:r>
      <w:r>
        <w:rPr>
          <w:rFonts w:hint="eastAsia" w:ascii="宋体" w:hAnsi="宋体" w:cs="宋体"/>
          <w:color w:val="auto"/>
          <w:kern w:val="0"/>
          <w:szCs w:val="21"/>
          <w:highlight w:val="none"/>
          <w:lang w:val="zh-CN"/>
        </w:rPr>
        <w:t xml:space="preserve">。 </w:t>
      </w:r>
    </w:p>
    <w:p>
      <w:pPr>
        <w:widowControl/>
        <w:numPr>
          <w:ilvl w:val="0"/>
          <w:numId w:val="12"/>
        </w:numPr>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分包标的及数量</w:t>
      </w:r>
    </w:p>
    <w:p>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将</w:t>
      </w:r>
      <w:r>
        <w:rPr>
          <w:rFonts w:ascii="宋体" w:hAnsi="宋体" w:cs="宋体"/>
          <w:color w:val="auto"/>
          <w:kern w:val="0"/>
          <w:szCs w:val="21"/>
          <w:highlight w:val="none"/>
          <w:u w:val="single"/>
        </w:rPr>
        <w:t xml:space="preserve"> XX工作内容   </w:t>
      </w:r>
      <w:r>
        <w:rPr>
          <w:rFonts w:hint="eastAsia" w:ascii="宋体" w:hAnsi="宋体" w:cs="宋体"/>
          <w:color w:val="auto"/>
          <w:szCs w:val="21"/>
          <w:highlight w:val="none"/>
        </w:rPr>
        <w:t>分包给</w:t>
      </w:r>
      <w:r>
        <w:rPr>
          <w:rFonts w:hint="eastAsia" w:ascii="宋体" w:hAnsi="宋体" w:cs="宋体"/>
          <w:color w:val="auto"/>
          <w:kern w:val="0"/>
          <w:szCs w:val="21"/>
          <w:highlight w:val="none"/>
          <w:u w:val="single"/>
        </w:rPr>
        <w:t>（分包供应商1名称）</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u w:val="single"/>
        </w:rPr>
        <w:t>（分包供应商2名称），</w:t>
      </w:r>
      <w:r>
        <w:rPr>
          <w:rFonts w:hint="eastAsia" w:ascii="宋体" w:hAnsi="宋体" w:cs="宋体"/>
          <w:color w:val="auto"/>
          <w:kern w:val="0"/>
          <w:szCs w:val="21"/>
          <w:highlight w:val="none"/>
          <w:lang w:val="zh-CN"/>
        </w:rPr>
        <w:t>具备承</w:t>
      </w:r>
      <w:r>
        <w:rPr>
          <w:rFonts w:hint="eastAsia" w:ascii="宋体" w:hAnsi="宋体" w:cs="宋体"/>
          <w:color w:val="auto"/>
          <w:kern w:val="0"/>
          <w:szCs w:val="21"/>
          <w:highlight w:val="none"/>
        </w:rPr>
        <w:t>担</w:t>
      </w:r>
      <w:r>
        <w:rPr>
          <w:rFonts w:hint="eastAsia" w:ascii="宋体" w:hAnsi="宋体" w:cs="宋体"/>
          <w:color w:val="auto"/>
          <w:kern w:val="0"/>
          <w:szCs w:val="21"/>
          <w:highlight w:val="none"/>
          <w:u w:val="single"/>
          <w:lang w:val="zh-CN"/>
        </w:rPr>
        <w:t>XX工作内容</w:t>
      </w:r>
      <w:r>
        <w:rPr>
          <w:rFonts w:hint="eastAsia" w:ascii="宋体" w:hAnsi="宋体" w:cs="宋体"/>
          <w:color w:val="auto"/>
          <w:kern w:val="0"/>
          <w:szCs w:val="21"/>
          <w:highlight w:val="none"/>
          <w:lang w:val="zh-CN"/>
        </w:rPr>
        <w:t>相应资质条件且不得再次分包；</w:t>
      </w:r>
    </w:p>
    <w:p>
      <w:pPr>
        <w:widowControl/>
        <w:spacing w:line="4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numPr>
          <w:ilvl w:val="0"/>
          <w:numId w:val="12"/>
        </w:numPr>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分包供应商中小企业合同份额（如果有）</w:t>
      </w:r>
    </w:p>
    <w:p>
      <w:pPr>
        <w:widowControl/>
        <w:numPr>
          <w:ilvl w:val="0"/>
          <w:numId w:val="13"/>
        </w:numPr>
        <w:spacing w:line="480" w:lineRule="exact"/>
        <w:ind w:firstLine="420" w:firstLineChars="200"/>
        <w:jc w:val="left"/>
        <w:rPr>
          <w:rFonts w:ascii="宋体" w:hAnsi="宋体" w:cs="宋体"/>
          <w:b/>
          <w:bCs/>
          <w:color w:val="auto"/>
          <w:kern w:val="0"/>
          <w:szCs w:val="21"/>
          <w:highlight w:val="none"/>
          <w:lang w:val="zh-CN"/>
        </w:rPr>
      </w:pPr>
      <w:r>
        <w:rPr>
          <w:rFonts w:hint="eastAsia" w:ascii="宋体" w:hAnsi="宋体" w:cs="宋体"/>
          <w:color w:val="auto"/>
          <w:kern w:val="0"/>
          <w:szCs w:val="21"/>
          <w:highlight w:val="none"/>
          <w:u w:val="single"/>
        </w:rPr>
        <w:t>（分包供应商X</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……）提供的服务全部由小微企业承接，</w:t>
      </w:r>
      <w:r>
        <w:rPr>
          <w:rFonts w:hint="eastAsia" w:ascii="宋体" w:hAnsi="宋体" w:cs="宋体"/>
          <w:color w:val="auto"/>
          <w:kern w:val="0"/>
          <w:szCs w:val="21"/>
          <w:highlight w:val="none"/>
        </w:rPr>
        <w:t>其合同份额占到合同总金额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%以上</w:t>
      </w:r>
      <w:r>
        <w:rPr>
          <w:rFonts w:hint="eastAsia" w:ascii="宋体" w:hAnsi="宋体" w:cs="宋体"/>
          <w:color w:val="auto"/>
          <w:szCs w:val="21"/>
          <w:highlight w:val="none"/>
        </w:rPr>
        <w:t>。</w:t>
      </w:r>
      <w:r>
        <w:rPr>
          <w:rFonts w:hint="eastAsia" w:ascii="宋体" w:hAnsi="宋体" w:cs="宋体"/>
          <w:b/>
          <w:color w:val="auto"/>
          <w:kern w:val="0"/>
          <w:szCs w:val="21"/>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Cs w:val="21"/>
          <w:highlight w:val="none"/>
          <w:u w:val="single"/>
        </w:rPr>
        <w:t>4</w:t>
      </w:r>
      <w:r>
        <w:rPr>
          <w:rFonts w:hint="eastAsia" w:ascii="宋体" w:hAnsi="宋体" w:cs="宋体"/>
          <w:b/>
          <w:color w:val="auto"/>
          <w:kern w:val="0"/>
          <w:szCs w:val="21"/>
          <w:highlight w:val="none"/>
          <w:u w:val="single"/>
          <w:lang w:val="zh-CN"/>
        </w:rPr>
        <w:t>%</w:t>
      </w:r>
      <w:r>
        <w:rPr>
          <w:rFonts w:hint="eastAsia" w:ascii="宋体" w:hAnsi="宋体" w:cs="宋体"/>
          <w:b/>
          <w:color w:val="auto"/>
          <w:kern w:val="0"/>
          <w:szCs w:val="21"/>
          <w:highlight w:val="none"/>
          <w:lang w:val="zh-CN"/>
        </w:rPr>
        <w:t>的扣除。供应商</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pPr>
        <w:widowControl/>
        <w:numPr>
          <w:ilvl w:val="0"/>
          <w:numId w:val="13"/>
        </w:numPr>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szCs w:val="21"/>
          <w:highlight w:val="none"/>
        </w:rPr>
        <w:t>中小企业合同金额达到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%，小微企业合同金额达到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要求合同分包形式参加的项目或采购包，供应商按招标文件第一部分招标公告申请人的资格要求中规定的</w:t>
      </w:r>
      <w:r>
        <w:rPr>
          <w:rFonts w:hint="eastAsia" w:ascii="宋体" w:hAnsi="宋体" w:cs="宋体"/>
          <w:b/>
          <w:color w:val="auto"/>
          <w:kern w:val="0"/>
          <w:szCs w:val="21"/>
          <w:highlight w:val="none"/>
          <w:lang w:val="zh-CN"/>
        </w:rPr>
        <w:t>分包意向协议</w:t>
      </w:r>
      <w:r>
        <w:rPr>
          <w:rFonts w:hint="eastAsia" w:ascii="宋体" w:hAnsi="宋体" w:cs="宋体"/>
          <w:b/>
          <w:bCs/>
          <w:color w:val="auto"/>
          <w:szCs w:val="21"/>
          <w:highlight w:val="none"/>
        </w:rPr>
        <w:t>中中小企业、小微企业合同金额应当达到的比例要求填写。</w:t>
      </w:r>
      <w:r>
        <w:rPr>
          <w:rFonts w:hint="eastAsia" w:ascii="宋体" w:hAnsi="宋体" w:cs="宋体"/>
          <w:b/>
          <w:bCs/>
          <w:color w:val="auto"/>
          <w:kern w:val="0"/>
          <w:szCs w:val="21"/>
          <w:highlight w:val="none"/>
          <w:lang w:val="zh-CN"/>
        </w:rPr>
        <w:t>）</w:t>
      </w:r>
    </w:p>
    <w:p>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三、分包工作履行期限、地点、方式</w:t>
      </w:r>
    </w:p>
    <w:p>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四、质量</w:t>
      </w:r>
    </w:p>
    <w:p>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五、价款或者报酬</w:t>
      </w:r>
    </w:p>
    <w:p>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六、违约责任</w:t>
      </w:r>
    </w:p>
    <w:p>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七、争议解决的办法</w:t>
      </w:r>
    </w:p>
    <w:p>
      <w:pPr>
        <w:widowControl/>
        <w:spacing w:line="480" w:lineRule="exact"/>
        <w:ind w:firstLine="420" w:firstLineChars="200"/>
        <w:jc w:val="left"/>
        <w:rPr>
          <w:rFonts w:ascii="宋体" w:hAnsi="宋体" w:cs="宋体"/>
          <w:color w:val="auto"/>
          <w:szCs w:val="21"/>
          <w:highlight w:val="none"/>
          <w:lang w:val="zh-CN"/>
        </w:rPr>
      </w:pPr>
      <w:r>
        <w:rPr>
          <w:rFonts w:hint="eastAsia" w:ascii="宋体" w:hAnsi="宋体" w:cs="宋体"/>
          <w:color w:val="auto"/>
          <w:kern w:val="0"/>
          <w:szCs w:val="21"/>
          <w:highlight w:val="none"/>
          <w:lang w:val="zh-CN"/>
        </w:rPr>
        <w:t>八、其他</w:t>
      </w:r>
    </w:p>
    <w:p>
      <w:pPr>
        <w:snapToGrid w:val="0"/>
        <w:spacing w:line="360" w:lineRule="auto"/>
        <w:ind w:firstLine="5250" w:firstLineChars="25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w:t>
      </w:r>
      <w:r>
        <w:rPr>
          <w:rFonts w:hint="eastAsia" w:ascii="宋体" w:hAnsi="宋体" w:cs="宋体"/>
          <w:color w:val="auto"/>
          <w:kern w:val="0"/>
          <w:szCs w:val="21"/>
          <w:highlight w:val="none"/>
        </w:rPr>
        <w:t>公章</w:t>
      </w:r>
      <w:r>
        <w:rPr>
          <w:rFonts w:hint="eastAsia" w:ascii="宋体" w:hAnsi="宋体" w:cs="宋体"/>
          <w:color w:val="auto"/>
          <w:kern w:val="0"/>
          <w:szCs w:val="21"/>
          <w:highlight w:val="none"/>
          <w:lang w:val="zh-CN"/>
        </w:rPr>
        <w:t>)：</w:t>
      </w:r>
    </w:p>
    <w:p>
      <w:pPr>
        <w:snapToGrid w:val="0"/>
        <w:spacing w:line="360" w:lineRule="auto"/>
        <w:ind w:firstLine="5250" w:firstLineChars="25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分包供应商名称：</w:t>
      </w:r>
    </w:p>
    <w:p>
      <w:pPr>
        <w:snapToGrid w:val="0"/>
        <w:spacing w:line="360" w:lineRule="auto"/>
        <w:ind w:firstLine="5250" w:firstLineChars="25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p>
    <w:p>
      <w:pPr>
        <w:snapToGrid w:val="0"/>
        <w:spacing w:line="360" w:lineRule="auto"/>
        <w:ind w:left="5355" w:leftChars="2500" w:hanging="105" w:hangingChars="50"/>
        <w:jc w:val="left"/>
        <w:rPr>
          <w:rFonts w:ascii="宋体" w:hAnsi="宋体"/>
          <w:color w:val="auto"/>
          <w:sz w:val="28"/>
          <w:szCs w:val="28"/>
          <w:highlight w:val="none"/>
        </w:rPr>
      </w:pPr>
      <w:r>
        <w:rPr>
          <w:rFonts w:hint="eastAsia" w:ascii="宋体" w:hAnsi="宋体" w:cs="宋体"/>
          <w:color w:val="auto"/>
          <w:kern w:val="0"/>
          <w:szCs w:val="21"/>
          <w:highlight w:val="none"/>
          <w:lang w:val="zh-CN"/>
        </w:rPr>
        <w:t>日期：  年  月   日</w:t>
      </w:r>
    </w:p>
    <w:p>
      <w:pPr>
        <w:pStyle w:val="96"/>
        <w:rPr>
          <w:color w:val="auto"/>
          <w:highlight w:val="none"/>
        </w:rPr>
      </w:pPr>
    </w:p>
    <w:p>
      <w:pPr>
        <w:pStyle w:val="5"/>
        <w:spacing w:line="380" w:lineRule="exact"/>
        <w:rPr>
          <w:rFonts w:ascii="宋体" w:hAnsi="宋体"/>
          <w:color w:val="auto"/>
          <w:sz w:val="28"/>
          <w:szCs w:val="28"/>
          <w:highlight w:val="none"/>
        </w:rPr>
      </w:pPr>
      <w:bookmarkStart w:id="216" w:name="_Toc5191"/>
      <w:bookmarkStart w:id="217" w:name="_Toc136345118"/>
      <w:bookmarkStart w:id="218" w:name="_Toc136017657"/>
      <w:r>
        <w:rPr>
          <w:rFonts w:hint="eastAsia" w:ascii="宋体" w:hAnsi="宋体"/>
          <w:color w:val="auto"/>
          <w:sz w:val="28"/>
          <w:szCs w:val="28"/>
          <w:highlight w:val="none"/>
        </w:rPr>
        <w:t>（四）投标人的特定条件的证明文件</w:t>
      </w:r>
      <w:bookmarkEnd w:id="216"/>
      <w:bookmarkEnd w:id="217"/>
      <w:bookmarkEnd w:id="218"/>
    </w:p>
    <w:p>
      <w:pPr>
        <w:pStyle w:val="96"/>
        <w:rPr>
          <w:b/>
          <w:bCs/>
          <w:color w:val="auto"/>
          <w:highlight w:val="none"/>
        </w:rPr>
      </w:pPr>
      <w:bookmarkStart w:id="219" w:name="_Toc5570"/>
      <w:bookmarkStart w:id="220" w:name="_Toc136017658"/>
      <w:bookmarkStart w:id="221" w:name="_Toc136345119"/>
      <w:r>
        <w:rPr>
          <w:rFonts w:hint="eastAsia"/>
          <w:color w:val="auto"/>
          <w:highlight w:val="none"/>
        </w:rPr>
        <w:t>（根据招标公告本项目的特定资格要求提供相应的材料；未要求的，无需提供）</w:t>
      </w:r>
      <w:bookmarkEnd w:id="219"/>
      <w:bookmarkEnd w:id="220"/>
      <w:bookmarkEnd w:id="221"/>
    </w:p>
    <w:p>
      <w:pPr>
        <w:widowControl/>
        <w:jc w:val="left"/>
        <w:rPr>
          <w:rFonts w:ascii="宋体" w:hAnsi="宋体"/>
          <w:b/>
          <w:bCs/>
          <w:color w:val="auto"/>
          <w:sz w:val="24"/>
          <w:szCs w:val="24"/>
          <w:highlight w:val="none"/>
        </w:rPr>
      </w:pPr>
    </w:p>
    <w:p>
      <w:pPr>
        <w:widowControl/>
        <w:ind w:firstLine="1446" w:firstLineChars="600"/>
        <w:jc w:val="left"/>
        <w:rPr>
          <w:rFonts w:ascii="宋体" w:hAnsi="宋体"/>
          <w:b/>
          <w:color w:val="auto"/>
          <w:sz w:val="24"/>
          <w:szCs w:val="24"/>
          <w:highlight w:val="none"/>
        </w:rPr>
      </w:pPr>
    </w:p>
    <w:p>
      <w:pPr>
        <w:widowControl/>
        <w:spacing w:line="360" w:lineRule="auto"/>
        <w:jc w:val="left"/>
        <w:rPr>
          <w:rFonts w:ascii="宋体" w:hAnsi="宋体"/>
          <w:bCs/>
          <w:color w:val="auto"/>
          <w:sz w:val="24"/>
          <w:szCs w:val="24"/>
          <w:highlight w:val="none"/>
        </w:rPr>
      </w:pPr>
    </w:p>
    <w:p>
      <w:pPr>
        <w:widowControl/>
        <w:spacing w:line="360" w:lineRule="auto"/>
        <w:jc w:val="left"/>
        <w:rPr>
          <w:rFonts w:ascii="宋体" w:hAnsi="宋体"/>
          <w:bCs/>
          <w:color w:val="auto"/>
          <w:sz w:val="24"/>
          <w:szCs w:val="24"/>
          <w:highlight w:val="none"/>
        </w:rPr>
        <w:sectPr>
          <w:headerReference r:id="rId15" w:type="default"/>
          <w:footerReference r:id="rId16" w:type="default"/>
          <w:pgSz w:w="11907" w:h="16840"/>
          <w:pgMar w:top="1304" w:right="1588" w:bottom="1418" w:left="1588" w:header="720" w:footer="720" w:gutter="0"/>
          <w:pgNumType w:fmt="decimal"/>
          <w:cols w:space="720" w:num="1"/>
          <w:docGrid w:linePitch="285" w:charSpace="0"/>
        </w:sectPr>
      </w:pPr>
      <w:r>
        <w:rPr>
          <w:rFonts w:ascii="宋体" w:hAnsi="宋体"/>
          <w:bCs/>
          <w:color w:val="auto"/>
          <w:sz w:val="24"/>
          <w:szCs w:val="24"/>
          <w:highlight w:val="none"/>
        </w:rPr>
        <w:br w:type="textWrapping"/>
      </w:r>
    </w:p>
    <w:p>
      <w:pPr>
        <w:pStyle w:val="4"/>
        <w:spacing w:line="380" w:lineRule="exact"/>
        <w:rPr>
          <w:rFonts w:ascii="宋体" w:hAnsi="宋体" w:cs="宋体"/>
          <w:color w:val="auto"/>
          <w:kern w:val="0"/>
          <w:sz w:val="24"/>
          <w:highlight w:val="none"/>
        </w:rPr>
      </w:pPr>
      <w:r>
        <w:rPr>
          <w:rFonts w:hint="eastAsia" w:ascii="宋体" w:hAnsi="宋体"/>
          <w:color w:val="auto"/>
          <w:sz w:val="24"/>
          <w:szCs w:val="24"/>
          <w:highlight w:val="none"/>
        </w:rPr>
        <w:t xml:space="preserve">商务技术文件组成： </w:t>
      </w:r>
    </w:p>
    <w:p>
      <w:pPr>
        <w:widowControl/>
        <w:spacing w:line="360" w:lineRule="auto"/>
        <w:ind w:firstLine="420" w:firstLineChars="200"/>
        <w:jc w:val="left"/>
        <w:rPr>
          <w:color w:val="auto"/>
          <w:highlight w:val="none"/>
        </w:rPr>
      </w:pPr>
      <w:r>
        <w:rPr>
          <w:rFonts w:hint="eastAsia"/>
          <w:color w:val="auto"/>
          <w:highlight w:val="none"/>
        </w:rPr>
        <w:t>（1）单位负责人的身份证明或单位负责人授权书（投标人的代表若不为单位负责人的，必须提交单位负责人授权书），并提供单位负责人和授权代表的身份证正反两面复印件；</w:t>
      </w:r>
    </w:p>
    <w:p>
      <w:pPr>
        <w:widowControl/>
        <w:spacing w:line="360" w:lineRule="auto"/>
        <w:ind w:firstLine="420" w:firstLineChars="200"/>
        <w:jc w:val="left"/>
        <w:rPr>
          <w:color w:val="auto"/>
          <w:highlight w:val="none"/>
        </w:rPr>
      </w:pPr>
      <w:r>
        <w:rPr>
          <w:rFonts w:hint="eastAsia"/>
          <w:color w:val="auto"/>
          <w:highlight w:val="none"/>
        </w:rPr>
        <w:t>（2）投标人基本情况表；</w:t>
      </w:r>
    </w:p>
    <w:p>
      <w:pPr>
        <w:widowControl/>
        <w:spacing w:line="360" w:lineRule="auto"/>
        <w:ind w:firstLine="420" w:firstLineChars="200"/>
        <w:jc w:val="left"/>
        <w:rPr>
          <w:color w:val="auto"/>
          <w:highlight w:val="none"/>
        </w:rPr>
      </w:pPr>
      <w:r>
        <w:rPr>
          <w:rFonts w:hint="eastAsia"/>
          <w:color w:val="auto"/>
          <w:highlight w:val="none"/>
        </w:rPr>
        <w:t>（3）联合协议（如有）；</w:t>
      </w:r>
    </w:p>
    <w:p>
      <w:pPr>
        <w:widowControl/>
        <w:spacing w:line="360" w:lineRule="auto"/>
        <w:ind w:firstLine="420" w:firstLineChars="200"/>
        <w:jc w:val="left"/>
        <w:rPr>
          <w:color w:val="auto"/>
          <w:highlight w:val="none"/>
        </w:rPr>
      </w:pPr>
      <w:r>
        <w:rPr>
          <w:rFonts w:hint="eastAsia"/>
          <w:color w:val="auto"/>
          <w:highlight w:val="none"/>
        </w:rPr>
        <w:t>（4）分包意向协议（如有）；</w:t>
      </w:r>
    </w:p>
    <w:p>
      <w:pPr>
        <w:widowControl/>
        <w:spacing w:line="360" w:lineRule="auto"/>
        <w:ind w:firstLine="420" w:firstLineChars="200"/>
        <w:jc w:val="left"/>
        <w:rPr>
          <w:color w:val="auto"/>
          <w:highlight w:val="none"/>
        </w:rPr>
      </w:pPr>
      <w:r>
        <w:rPr>
          <w:rFonts w:hint="eastAsia"/>
          <w:color w:val="auto"/>
          <w:highlight w:val="none"/>
        </w:rPr>
        <w:t>（5）技术条款偏离表；</w:t>
      </w:r>
    </w:p>
    <w:p>
      <w:pPr>
        <w:widowControl/>
        <w:spacing w:line="360" w:lineRule="auto"/>
        <w:ind w:firstLine="420" w:firstLineChars="200"/>
        <w:jc w:val="left"/>
        <w:rPr>
          <w:color w:val="auto"/>
          <w:highlight w:val="none"/>
        </w:rPr>
      </w:pPr>
      <w:r>
        <w:rPr>
          <w:rFonts w:hint="eastAsia"/>
          <w:color w:val="auto"/>
          <w:highlight w:val="none"/>
        </w:rPr>
        <w:t>（6）商务条款偏离表；</w:t>
      </w:r>
    </w:p>
    <w:p>
      <w:pPr>
        <w:widowControl/>
        <w:spacing w:line="360" w:lineRule="auto"/>
        <w:ind w:firstLine="420" w:firstLineChars="200"/>
        <w:jc w:val="left"/>
        <w:rPr>
          <w:rFonts w:ascii="宋体" w:hAnsi="宋体" w:cs="宋体"/>
          <w:color w:val="auto"/>
          <w:kern w:val="0"/>
          <w:szCs w:val="21"/>
          <w:highlight w:val="none"/>
        </w:rPr>
      </w:pPr>
      <w:r>
        <w:rPr>
          <w:rFonts w:hint="eastAsia"/>
          <w:color w:val="auto"/>
          <w:highlight w:val="none"/>
        </w:rPr>
        <w:t>（7）第五部分“评标办法”中“评分标准”要求提供的资料（如有需提供）。</w:t>
      </w:r>
    </w:p>
    <w:p>
      <w:pPr>
        <w:widowControl/>
        <w:spacing w:line="360" w:lineRule="auto"/>
        <w:ind w:firstLine="480" w:firstLineChars="200"/>
        <w:jc w:val="left"/>
        <w:rPr>
          <w:rFonts w:ascii="宋体" w:hAnsi="宋体" w:cs="宋体"/>
          <w:color w:val="auto"/>
          <w:kern w:val="0"/>
          <w:sz w:val="24"/>
          <w:highlight w:val="none"/>
        </w:rPr>
      </w:pPr>
    </w:p>
    <w:p>
      <w:pPr>
        <w:widowControl/>
        <w:ind w:firstLine="484" w:firstLineChars="202"/>
        <w:jc w:val="left"/>
        <w:rPr>
          <w:rFonts w:ascii="宋体" w:hAnsi="宋体"/>
          <w:b/>
          <w:color w:val="auto"/>
          <w:sz w:val="24"/>
          <w:szCs w:val="24"/>
          <w:highlight w:val="none"/>
        </w:rPr>
      </w:pPr>
      <w:r>
        <w:rPr>
          <w:rFonts w:ascii="宋体" w:hAnsi="宋体"/>
          <w:bCs/>
          <w:color w:val="auto"/>
          <w:sz w:val="24"/>
          <w:szCs w:val="24"/>
          <w:highlight w:val="none"/>
        </w:rPr>
        <w:br w:type="page"/>
      </w:r>
    </w:p>
    <w:p>
      <w:pPr>
        <w:pStyle w:val="96"/>
        <w:rPr>
          <w:color w:val="auto"/>
          <w:highlight w:val="none"/>
        </w:rPr>
      </w:pPr>
    </w:p>
    <w:p>
      <w:pPr>
        <w:pStyle w:val="5"/>
        <w:spacing w:line="380" w:lineRule="exact"/>
        <w:ind w:left="0" w:firstLine="0"/>
        <w:rPr>
          <w:rFonts w:ascii="宋体" w:hAnsi="宋体"/>
          <w:color w:val="auto"/>
          <w:sz w:val="28"/>
          <w:szCs w:val="28"/>
          <w:highlight w:val="none"/>
        </w:rPr>
      </w:pPr>
      <w:bookmarkStart w:id="222" w:name="_Toc31823"/>
      <w:bookmarkStart w:id="223" w:name="_Toc136017659"/>
      <w:bookmarkStart w:id="224" w:name="_Toc136345120"/>
      <w:r>
        <w:rPr>
          <w:rFonts w:hint="eastAsia" w:ascii="宋体" w:hAnsi="宋体"/>
          <w:color w:val="auto"/>
          <w:sz w:val="28"/>
          <w:szCs w:val="28"/>
          <w:highlight w:val="none"/>
        </w:rPr>
        <w:t>（一）单位负责人授权书</w:t>
      </w:r>
      <w:bookmarkEnd w:id="222"/>
      <w:bookmarkEnd w:id="223"/>
      <w:bookmarkEnd w:id="224"/>
    </w:p>
    <w:p>
      <w:pPr>
        <w:pStyle w:val="16"/>
        <w:ind w:firstLine="0"/>
        <w:jc w:val="center"/>
        <w:rPr>
          <w:rFonts w:ascii="宋体" w:hAnsi="宋体"/>
          <w:color w:val="auto"/>
          <w:highlight w:val="none"/>
        </w:rPr>
      </w:pPr>
      <w:r>
        <w:rPr>
          <w:rFonts w:hint="eastAsia" w:ascii="宋体" w:hAnsi="宋体" w:cs="宋体"/>
          <w:bCs/>
          <w:color w:val="auto"/>
          <w:sz w:val="24"/>
          <w:highlight w:val="none"/>
        </w:rPr>
        <w:t>（单位负责人来投标的，此表不用）</w:t>
      </w:r>
    </w:p>
    <w:p>
      <w:pPr>
        <w:pStyle w:val="16"/>
        <w:ind w:firstLine="0"/>
        <w:rPr>
          <w:rFonts w:ascii="宋体" w:hAnsi="宋体"/>
          <w:color w:val="auto"/>
          <w:sz w:val="21"/>
          <w:szCs w:val="21"/>
          <w:highlight w:val="none"/>
        </w:rPr>
      </w:pPr>
      <w:r>
        <w:rPr>
          <w:rFonts w:hint="eastAsia" w:ascii="宋体" w:hAnsi="宋体"/>
          <w:color w:val="auto"/>
          <w:sz w:val="21"/>
          <w:szCs w:val="21"/>
          <w:highlight w:val="none"/>
          <w:u w:val="single"/>
        </w:rPr>
        <w:t xml:space="preserve">  致 （</w:t>
      </w:r>
      <w:r>
        <w:rPr>
          <w:rFonts w:hint="eastAsia" w:ascii="宋体" w:hAnsi="宋体"/>
          <w:i/>
          <w:color w:val="auto"/>
          <w:sz w:val="21"/>
          <w:szCs w:val="21"/>
          <w:highlight w:val="none"/>
          <w:u w:val="single"/>
        </w:rPr>
        <w:t>采购代理机构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pStyle w:val="16"/>
        <w:ind w:firstLine="0"/>
        <w:rPr>
          <w:rFonts w:ascii="宋体" w:hAnsi="宋体"/>
          <w:color w:val="auto"/>
          <w:sz w:val="21"/>
          <w:szCs w:val="21"/>
          <w:highlight w:val="none"/>
        </w:rPr>
      </w:pPr>
    </w:p>
    <w:p>
      <w:pPr>
        <w:snapToGrid w:val="0"/>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现</w:t>
      </w:r>
      <w:r>
        <w:rPr>
          <w:rFonts w:hint="eastAsia" w:ascii="宋体" w:hAnsi="宋体" w:cs="仿宋_GB2312"/>
          <w:color w:val="auto"/>
          <w:kern w:val="0"/>
          <w:szCs w:val="21"/>
          <w:highlight w:val="none"/>
          <w:lang w:val="zh-CN"/>
        </w:rPr>
        <w:t>委托（</w:t>
      </w:r>
      <w:r>
        <w:rPr>
          <w:rFonts w:hint="eastAsia"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lang w:val="zh-CN"/>
        </w:rPr>
        <w:t>姓名</w:t>
      </w:r>
      <w:r>
        <w:rPr>
          <w:rFonts w:hint="eastAsia"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lang w:val="zh-CN"/>
        </w:rPr>
        <w:t>）为我方代理人（身份证号码：</w:t>
      </w:r>
      <w:r>
        <w:rPr>
          <w:rFonts w:hint="eastAsia"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lang w:val="zh-CN"/>
        </w:rPr>
        <w:t>，手机：</w:t>
      </w:r>
      <w:r>
        <w:rPr>
          <w:rFonts w:hint="eastAsia"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lang w:val="zh-CN"/>
        </w:rPr>
        <w:t>），以我方名义处理</w:t>
      </w:r>
      <w:r>
        <w:rPr>
          <w:rFonts w:hint="eastAsia" w:ascii="宋体" w:hAnsi="宋体"/>
          <w:color w:val="auto"/>
          <w:szCs w:val="21"/>
          <w:highlight w:val="none"/>
        </w:rPr>
        <w:t>项目</w:t>
      </w:r>
      <w:r>
        <w:rPr>
          <w:rFonts w:hint="eastAsia" w:ascii="宋体" w:hAnsi="宋体" w:cs="仿宋_GB2312"/>
          <w:color w:val="auto"/>
          <w:szCs w:val="21"/>
          <w:highlight w:val="none"/>
        </w:rPr>
        <w:t>【招标编号：</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w:t>
      </w:r>
      <w:r>
        <w:rPr>
          <w:rFonts w:hint="eastAsia" w:ascii="宋体" w:hAnsi="宋体" w:cs="仿宋_GB2312"/>
          <w:color w:val="auto"/>
          <w:kern w:val="0"/>
          <w:szCs w:val="21"/>
          <w:highlight w:val="none"/>
          <w:lang w:val="zh-CN"/>
        </w:rPr>
        <w:t>政府采购投标的一切事项，其法律后果由我方承担。</w:t>
      </w:r>
    </w:p>
    <w:p>
      <w:pPr>
        <w:snapToGrid w:val="0"/>
        <w:spacing w:line="360" w:lineRule="auto"/>
        <w:rPr>
          <w:rFonts w:ascii="宋体" w:hAnsi="宋体" w:cs="仿宋_GB2312"/>
          <w:color w:val="auto"/>
          <w:kern w:val="0"/>
          <w:szCs w:val="21"/>
          <w:highlight w:val="none"/>
        </w:rPr>
      </w:pPr>
      <w:r>
        <w:rPr>
          <w:rFonts w:hint="eastAsia" w:ascii="宋体" w:hAnsi="宋体" w:cs="仿宋_GB2312"/>
          <w:color w:val="auto"/>
          <w:kern w:val="0"/>
          <w:szCs w:val="21"/>
          <w:highlight w:val="none"/>
          <w:lang w:val="zh-CN"/>
        </w:rPr>
        <w:t>委托期限</w:t>
      </w:r>
      <w:r>
        <w:rPr>
          <w:rFonts w:hint="eastAsia" w:ascii="宋体" w:hAnsi="宋体" w:cs="仿宋_GB2312"/>
          <w:color w:val="auto"/>
          <w:kern w:val="0"/>
          <w:szCs w:val="21"/>
          <w:highlight w:val="none"/>
        </w:rPr>
        <w:t>：</w:t>
      </w:r>
      <w:r>
        <w:rPr>
          <w:rFonts w:hint="eastAsia" w:ascii="宋体" w:hAnsi="宋体" w:cs="仿宋_GB2312"/>
          <w:color w:val="auto"/>
          <w:kern w:val="0"/>
          <w:szCs w:val="21"/>
          <w:highlight w:val="none"/>
          <w:lang w:val="zh-CN"/>
        </w:rPr>
        <w:t>自</w:t>
      </w:r>
      <w:r>
        <w:rPr>
          <w:rFonts w:hint="eastAsia"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lang w:val="zh-CN"/>
        </w:rPr>
        <w:t>年</w:t>
      </w:r>
      <w:r>
        <w:rPr>
          <w:rFonts w:hint="eastAsia"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lang w:val="zh-CN"/>
        </w:rPr>
        <w:t>日起至</w:t>
      </w:r>
      <w:r>
        <w:rPr>
          <w:rFonts w:hint="eastAsia"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lang w:val="zh-CN"/>
        </w:rPr>
        <w:t>年</w:t>
      </w:r>
      <w:r>
        <w:rPr>
          <w:rFonts w:hint="eastAsia"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lang w:val="zh-CN"/>
        </w:rPr>
        <w:t>日止。</w:t>
      </w:r>
    </w:p>
    <w:p>
      <w:pPr>
        <w:pStyle w:val="16"/>
        <w:ind w:firstLine="420"/>
        <w:rPr>
          <w:color w:val="auto"/>
          <w:highlight w:val="none"/>
        </w:rPr>
      </w:pPr>
      <w:r>
        <w:rPr>
          <w:rFonts w:hint="eastAsia" w:ascii="宋体" w:hAnsi="宋体" w:cs="仿宋_GB2312"/>
          <w:color w:val="auto"/>
          <w:sz w:val="21"/>
          <w:szCs w:val="21"/>
          <w:highlight w:val="none"/>
          <w:lang w:val="zh-CN"/>
        </w:rPr>
        <w:t>特此告知。</w:t>
      </w:r>
    </w:p>
    <w:p>
      <w:pPr>
        <w:pStyle w:val="33"/>
        <w:ind w:left="0" w:leftChars="0" w:firstLine="0" w:firstLineChars="0"/>
        <w:rPr>
          <w:color w:val="auto"/>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附：</w:t>
      </w:r>
    </w:p>
    <w:p>
      <w:pPr>
        <w:pStyle w:val="2"/>
        <w:spacing w:line="440" w:lineRule="exact"/>
        <w:rPr>
          <w:rFonts w:ascii="宋体" w:hAnsi="宋体" w:cs="宋体"/>
          <w:color w:val="auto"/>
          <w:sz w:val="21"/>
          <w:szCs w:val="21"/>
          <w:highlight w:val="none"/>
          <w:u w:val="single"/>
        </w:rPr>
      </w:pPr>
      <w:r>
        <w:rPr>
          <w:rFonts w:hint="eastAsia" w:ascii="宋体" w:hAnsi="宋体" w:cs="宋体"/>
          <w:color w:val="auto"/>
          <w:sz w:val="21"/>
          <w:szCs w:val="21"/>
          <w:highlight w:val="none"/>
        </w:rPr>
        <w:t>授权代表姓名：    性别：    年龄：   。</w:t>
      </w:r>
    </w:p>
    <w:p>
      <w:pPr>
        <w:spacing w:line="440" w:lineRule="exact"/>
        <w:rPr>
          <w:rFonts w:ascii="宋体" w:hAnsi="宋体" w:cs="宋体"/>
          <w:color w:val="auto"/>
          <w:szCs w:val="21"/>
          <w:highlight w:val="none"/>
          <w:u w:val="single"/>
        </w:rPr>
      </w:pPr>
      <w:r>
        <w:rPr>
          <w:rFonts w:hint="eastAsia" w:ascii="宋体" w:hAnsi="宋体" w:cs="宋体"/>
          <w:color w:val="auto"/>
          <w:szCs w:val="21"/>
          <w:highlight w:val="none"/>
        </w:rPr>
        <w:t xml:space="preserve">部门：     职务：     联系电话： </w:t>
      </w:r>
    </w:p>
    <w:p>
      <w:pPr>
        <w:pStyle w:val="16"/>
        <w:ind w:firstLine="0"/>
        <w:rPr>
          <w:rFonts w:ascii="宋体" w:hAnsi="宋体"/>
          <w:color w:val="auto"/>
          <w:sz w:val="21"/>
          <w:szCs w:val="21"/>
          <w:highlight w:val="none"/>
        </w:rPr>
      </w:pPr>
    </w:p>
    <w:p>
      <w:pPr>
        <w:pStyle w:val="16"/>
        <w:ind w:firstLine="0"/>
        <w:rPr>
          <w:rFonts w:ascii="宋体" w:hAnsi="宋体"/>
          <w:color w:val="auto"/>
          <w:sz w:val="21"/>
          <w:szCs w:val="21"/>
          <w:highlight w:val="none"/>
        </w:rPr>
      </w:pPr>
      <w:r>
        <w:rPr>
          <w:rFonts w:hint="eastAsia" w:ascii="宋体" w:hAnsi="宋体"/>
          <w:color w:val="auto"/>
          <w:sz w:val="21"/>
          <w:szCs w:val="21"/>
          <w:highlight w:val="none"/>
        </w:rPr>
        <w:t xml:space="preserve">                                          投标人（联合体成员）单位全称（公章）：</w:t>
      </w:r>
    </w:p>
    <w:p>
      <w:pPr>
        <w:pStyle w:val="16"/>
        <w:ind w:firstLine="4410" w:firstLineChars="2100"/>
        <w:rPr>
          <w:rFonts w:ascii="宋体" w:hAnsi="宋体"/>
          <w:color w:val="auto"/>
          <w:sz w:val="21"/>
          <w:szCs w:val="21"/>
          <w:highlight w:val="none"/>
        </w:rPr>
      </w:pPr>
      <w:r>
        <w:rPr>
          <w:rFonts w:hint="eastAsia" w:ascii="宋体" w:hAnsi="宋体"/>
          <w:color w:val="auto"/>
          <w:sz w:val="21"/>
          <w:szCs w:val="21"/>
          <w:highlight w:val="none"/>
        </w:rPr>
        <w:t>单位负责人（签字或印章）：</w:t>
      </w:r>
    </w:p>
    <w:p>
      <w:pPr>
        <w:pStyle w:val="16"/>
        <w:ind w:firstLine="0"/>
        <w:rPr>
          <w:rFonts w:ascii="宋体" w:hAnsi="宋体"/>
          <w:color w:val="auto"/>
          <w:sz w:val="21"/>
          <w:szCs w:val="21"/>
          <w:highlight w:val="none"/>
        </w:rPr>
      </w:pPr>
    </w:p>
    <w:p>
      <w:pPr>
        <w:pStyle w:val="16"/>
        <w:ind w:firstLine="0"/>
        <w:rPr>
          <w:rFonts w:ascii="宋体" w:hAnsi="宋体"/>
          <w:color w:val="auto"/>
          <w:sz w:val="21"/>
          <w:szCs w:val="21"/>
          <w:highlight w:val="none"/>
        </w:rPr>
      </w:pPr>
      <w:r>
        <w:rPr>
          <w:rFonts w:hint="eastAsia" w:ascii="宋体" w:hAnsi="宋体"/>
          <w:color w:val="auto"/>
          <w:sz w:val="21"/>
          <w:szCs w:val="21"/>
          <w:highlight w:val="none"/>
        </w:rPr>
        <w:t xml:space="preserve">                                          投标人（联合体成员）单位全称（公章）：</w:t>
      </w:r>
    </w:p>
    <w:p>
      <w:pPr>
        <w:pStyle w:val="16"/>
        <w:ind w:firstLine="4410" w:firstLineChars="2100"/>
        <w:rPr>
          <w:rFonts w:ascii="宋体" w:hAnsi="宋体"/>
          <w:color w:val="auto"/>
          <w:sz w:val="21"/>
          <w:szCs w:val="21"/>
          <w:highlight w:val="none"/>
        </w:rPr>
      </w:pPr>
      <w:r>
        <w:rPr>
          <w:rFonts w:hint="eastAsia" w:ascii="宋体" w:hAnsi="宋体"/>
          <w:color w:val="auto"/>
          <w:sz w:val="21"/>
          <w:szCs w:val="21"/>
          <w:highlight w:val="none"/>
        </w:rPr>
        <w:t>单位负责人（签字或印章）：</w:t>
      </w:r>
    </w:p>
    <w:p>
      <w:pPr>
        <w:pStyle w:val="16"/>
        <w:ind w:firstLine="0"/>
        <w:rPr>
          <w:rFonts w:ascii="宋体" w:hAnsi="宋体"/>
          <w:color w:val="auto"/>
          <w:sz w:val="21"/>
          <w:szCs w:val="21"/>
          <w:highlight w:val="none"/>
        </w:rPr>
      </w:pPr>
    </w:p>
    <w:p>
      <w:pPr>
        <w:pStyle w:val="16"/>
        <w:ind w:firstLine="0"/>
        <w:rPr>
          <w:rFonts w:ascii="宋体" w:hAnsi="宋体"/>
          <w:color w:val="auto"/>
          <w:sz w:val="21"/>
          <w:szCs w:val="21"/>
          <w:highlight w:val="none"/>
        </w:rPr>
      </w:pPr>
      <w:r>
        <w:rPr>
          <w:rFonts w:hint="eastAsia" w:ascii="宋体" w:hAnsi="宋体"/>
          <w:color w:val="auto"/>
          <w:sz w:val="21"/>
          <w:szCs w:val="21"/>
          <w:highlight w:val="none"/>
        </w:rPr>
        <w:t xml:space="preserve">                                          日  期：</w:t>
      </w:r>
    </w:p>
    <w:p>
      <w:pPr>
        <w:ind w:firstLine="417" w:firstLineChars="198"/>
        <w:rPr>
          <w:rFonts w:ascii="宋体" w:hAnsi="宋体"/>
          <w:b/>
          <w:color w:val="auto"/>
          <w:szCs w:val="21"/>
          <w:highlight w:val="none"/>
        </w:rPr>
      </w:pPr>
    </w:p>
    <w:p>
      <w:pPr>
        <w:rPr>
          <w:rFonts w:ascii="宋体" w:hAnsi="宋体"/>
          <w:b/>
          <w:color w:val="auto"/>
          <w:szCs w:val="21"/>
          <w:highlight w:val="none"/>
        </w:rPr>
      </w:pPr>
    </w:p>
    <w:p>
      <w:pPr>
        <w:rPr>
          <w:rFonts w:ascii="宋体" w:hAnsi="宋体"/>
          <w:b/>
          <w:color w:val="auto"/>
          <w:szCs w:val="21"/>
          <w:highlight w:val="none"/>
        </w:rPr>
      </w:pPr>
      <w:r>
        <w:rPr>
          <w:rFonts w:hint="eastAsia" w:ascii="宋体" w:hAnsi="宋体"/>
          <w:b/>
          <w:color w:val="auto"/>
          <w:szCs w:val="21"/>
          <w:highlight w:val="none"/>
        </w:rPr>
        <w:t>附：被授权人身份证复印件</w:t>
      </w:r>
    </w:p>
    <w:p>
      <w:pPr>
        <w:widowControl/>
        <w:jc w:val="left"/>
        <w:rPr>
          <w:rFonts w:ascii="宋体" w:hAnsi="宋体"/>
          <w:b/>
          <w:color w:val="auto"/>
          <w:szCs w:val="21"/>
          <w:highlight w:val="none"/>
        </w:rPr>
      </w:pPr>
    </w:p>
    <w:p>
      <w:pPr>
        <w:widowControl/>
        <w:jc w:val="left"/>
        <w:rPr>
          <w:rFonts w:ascii="宋体" w:hAnsi="宋体"/>
          <w:b/>
          <w:color w:val="auto"/>
          <w:szCs w:val="21"/>
          <w:highlight w:val="none"/>
        </w:rPr>
      </w:pPr>
    </w:p>
    <w:p>
      <w:pPr>
        <w:widowControl/>
        <w:jc w:val="left"/>
        <w:rPr>
          <w:rFonts w:ascii="宋体" w:hAnsi="宋体"/>
          <w:b/>
          <w:color w:val="auto"/>
          <w:szCs w:val="21"/>
          <w:highlight w:val="none"/>
        </w:rPr>
      </w:pPr>
      <w:r>
        <w:rPr>
          <w:rFonts w:hint="eastAsia" w:ascii="宋体" w:hAnsi="宋体" w:cs="宋体"/>
          <w:b/>
          <w:color w:val="auto"/>
          <w:szCs w:val="21"/>
          <w:highlight w:val="none"/>
        </w:rPr>
        <w:t>（若为联合体投标，联合体须同时盖章提供）</w:t>
      </w:r>
      <w:r>
        <w:rPr>
          <w:rFonts w:ascii="宋体" w:hAnsi="宋体"/>
          <w:b/>
          <w:color w:val="auto"/>
          <w:szCs w:val="21"/>
          <w:highlight w:val="none"/>
        </w:rPr>
        <w:br w:type="page"/>
      </w:r>
    </w:p>
    <w:p>
      <w:pPr>
        <w:pStyle w:val="96"/>
        <w:rPr>
          <w:color w:val="auto"/>
          <w:highlight w:val="none"/>
        </w:rPr>
      </w:pPr>
    </w:p>
    <w:p>
      <w:pPr>
        <w:pStyle w:val="96"/>
        <w:ind w:firstLine="482"/>
        <w:jc w:val="center"/>
        <w:rPr>
          <w:b/>
          <w:bCs/>
          <w:color w:val="auto"/>
          <w:highlight w:val="none"/>
        </w:rPr>
      </w:pPr>
      <w:bookmarkStart w:id="225" w:name="_Toc136345121"/>
      <w:bookmarkStart w:id="226" w:name="_Toc22681"/>
      <w:bookmarkStart w:id="227" w:name="_Toc136017660"/>
      <w:r>
        <w:rPr>
          <w:rFonts w:hint="eastAsia"/>
          <w:b/>
          <w:bCs/>
          <w:color w:val="auto"/>
          <w:highlight w:val="none"/>
        </w:rPr>
        <w:t>单位负责人身份证明</w:t>
      </w:r>
      <w:bookmarkEnd w:id="225"/>
      <w:bookmarkEnd w:id="226"/>
      <w:bookmarkEnd w:id="227"/>
    </w:p>
    <w:p>
      <w:pPr>
        <w:pStyle w:val="16"/>
        <w:ind w:firstLine="0"/>
        <w:jc w:val="center"/>
        <w:rPr>
          <w:rFonts w:ascii="宋体" w:hAnsi="宋体" w:cs="宋体"/>
          <w:bCs/>
          <w:color w:val="auto"/>
          <w:sz w:val="24"/>
          <w:highlight w:val="none"/>
        </w:rPr>
      </w:pPr>
      <w:r>
        <w:rPr>
          <w:rFonts w:hint="eastAsia" w:ascii="宋体" w:hAnsi="宋体" w:cs="宋体"/>
          <w:bCs/>
          <w:color w:val="auto"/>
          <w:sz w:val="24"/>
          <w:highlight w:val="none"/>
        </w:rPr>
        <w:t>（单位负责人不来投标的，此表不用）</w:t>
      </w:r>
    </w:p>
    <w:p>
      <w:pPr>
        <w:spacing w:line="480" w:lineRule="auto"/>
        <w:ind w:firstLine="420" w:firstLineChars="200"/>
        <w:rPr>
          <w:rFonts w:ascii="宋体" w:hAnsi="宋体" w:cs="宋体"/>
          <w:color w:val="auto"/>
          <w:szCs w:val="21"/>
          <w:highlight w:val="none"/>
        </w:rPr>
      </w:pP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单位性质：</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经营期限：</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姓名：     性别：    年龄：</w:t>
      </w:r>
      <w:r>
        <w:rPr>
          <w:rFonts w:hint="eastAsia" w:ascii="宋体" w:hAnsi="宋体" w:cs="宋体"/>
          <w:color w:val="auto"/>
          <w:szCs w:val="21"/>
          <w:highlight w:val="none"/>
          <w:u w:val="single"/>
        </w:rPr>
        <w:t xml:space="preserve">    周岁  </w:t>
      </w:r>
      <w:r>
        <w:rPr>
          <w:rFonts w:hint="eastAsia" w:ascii="宋体" w:hAnsi="宋体" w:cs="宋体"/>
          <w:color w:val="auto"/>
          <w:szCs w:val="21"/>
          <w:highlight w:val="none"/>
        </w:rPr>
        <w:t xml:space="preserve">职务：_ </w:t>
      </w:r>
    </w:p>
    <w:p>
      <w:pPr>
        <w:spacing w:line="48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身份证号码：</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（投标人名称）</w:t>
      </w:r>
      <w:r>
        <w:rPr>
          <w:rFonts w:hint="eastAsia" w:ascii="宋体" w:hAnsi="宋体" w:cs="宋体"/>
          <w:color w:val="auto"/>
          <w:szCs w:val="21"/>
          <w:highlight w:val="none"/>
        </w:rPr>
        <w:t>的法定代表人（或单位负责人）。</w:t>
      </w:r>
    </w:p>
    <w:p>
      <w:pPr>
        <w:spacing w:line="48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特此证明。</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投标人：（盖单位公章）</w:t>
      </w:r>
    </w:p>
    <w:p>
      <w:pPr>
        <w:spacing w:line="360" w:lineRule="auto"/>
        <w:ind w:firstLine="4515" w:firstLineChars="2150"/>
        <w:rPr>
          <w:rFonts w:ascii="宋体" w:hAnsi="宋体" w:cs="宋体"/>
          <w:color w:val="auto"/>
          <w:szCs w:val="21"/>
          <w:highlight w:val="none"/>
          <w:u w:val="single"/>
        </w:rPr>
      </w:pPr>
    </w:p>
    <w:p>
      <w:pPr>
        <w:spacing w:line="360" w:lineRule="auto"/>
        <w:ind w:firstLine="7245" w:firstLineChars="3450"/>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s="宋体"/>
          <w:color w:val="auto"/>
          <w:sz w:val="24"/>
          <w:highlight w:val="none"/>
        </w:rPr>
      </w:pPr>
    </w:p>
    <w:p>
      <w:pPr>
        <w:spacing w:line="360" w:lineRule="auto"/>
        <w:rPr>
          <w:rFonts w:ascii="宋体" w:hAnsi="宋体" w:cs="宋体"/>
          <w:b/>
          <w:color w:val="auto"/>
          <w:szCs w:val="21"/>
          <w:highlight w:val="none"/>
        </w:rPr>
      </w:pP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附法定代表人身份证复印件（正反面）：</w:t>
      </w:r>
    </w:p>
    <w:p>
      <w:pPr>
        <w:rPr>
          <w:rFonts w:ascii="宋体" w:hAnsi="宋体" w:cs="宋体"/>
          <w:color w:val="auto"/>
          <w:highlight w:val="none"/>
        </w:rPr>
      </w:pPr>
    </w:p>
    <w:p>
      <w:pPr>
        <w:rPr>
          <w:rFonts w:ascii="宋体" w:hAnsi="宋体" w:cs="宋体"/>
          <w:b/>
          <w:color w:val="auto"/>
          <w:sz w:val="32"/>
          <w:szCs w:val="32"/>
          <w:highlight w:val="none"/>
        </w:rPr>
      </w:pPr>
    </w:p>
    <w:p>
      <w:pPr>
        <w:rPr>
          <w:rFonts w:ascii="宋体" w:hAnsi="宋体" w:cs="宋体"/>
          <w:b/>
          <w:color w:val="auto"/>
          <w:sz w:val="32"/>
          <w:szCs w:val="32"/>
          <w:highlight w:val="none"/>
        </w:rPr>
      </w:pPr>
    </w:p>
    <w:p>
      <w:pPr>
        <w:ind w:firstLine="205" w:firstLineChars="98"/>
        <w:rPr>
          <w:rFonts w:ascii="宋体" w:hAnsi="宋体"/>
          <w:color w:val="auto"/>
          <w:highlight w:val="none"/>
        </w:rPr>
      </w:pPr>
    </w:p>
    <w:p>
      <w:pPr>
        <w:rPr>
          <w:rFonts w:ascii="宋体" w:hAnsi="宋体"/>
          <w:color w:val="auto"/>
          <w:highlight w:val="none"/>
        </w:rPr>
        <w:sectPr>
          <w:pgSz w:w="11907" w:h="16840"/>
          <w:pgMar w:top="1304" w:right="1588" w:bottom="1418" w:left="1588" w:header="720" w:footer="720" w:gutter="0"/>
          <w:pgNumType w:fmt="decimal"/>
          <w:cols w:space="720" w:num="1"/>
          <w:docGrid w:linePitch="285" w:charSpace="0"/>
        </w:sectPr>
      </w:pPr>
    </w:p>
    <w:p>
      <w:pPr>
        <w:rPr>
          <w:rFonts w:ascii="宋体" w:hAnsi="宋体"/>
          <w:color w:val="auto"/>
          <w:highlight w:val="none"/>
        </w:rPr>
      </w:pPr>
    </w:p>
    <w:p>
      <w:pPr>
        <w:pStyle w:val="5"/>
        <w:spacing w:line="380" w:lineRule="exact"/>
        <w:ind w:left="0" w:firstLine="0"/>
        <w:rPr>
          <w:rFonts w:ascii="宋体" w:hAnsi="宋体"/>
          <w:color w:val="auto"/>
          <w:sz w:val="28"/>
          <w:szCs w:val="28"/>
          <w:highlight w:val="none"/>
        </w:rPr>
      </w:pPr>
      <w:bookmarkStart w:id="228" w:name="_Toc24856"/>
      <w:bookmarkStart w:id="229" w:name="_Toc136345122"/>
      <w:bookmarkStart w:id="230" w:name="_Toc136017661"/>
      <w:r>
        <w:rPr>
          <w:rFonts w:hint="eastAsia" w:ascii="宋体" w:hAnsi="宋体"/>
          <w:color w:val="auto"/>
          <w:sz w:val="28"/>
          <w:szCs w:val="28"/>
          <w:highlight w:val="none"/>
        </w:rPr>
        <w:t>（二）投标人基本情况表</w:t>
      </w:r>
      <w:bookmarkEnd w:id="228"/>
      <w:bookmarkEnd w:id="229"/>
      <w:bookmarkEnd w:id="230"/>
    </w:p>
    <w:tbl>
      <w:tblPr>
        <w:tblStyle w:val="34"/>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851"/>
        <w:gridCol w:w="1276"/>
        <w:gridCol w:w="1220"/>
        <w:gridCol w:w="892"/>
        <w:gridCol w:w="376"/>
        <w:gridCol w:w="794"/>
        <w:gridCol w:w="545"/>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61" w:type="dxa"/>
            <w:vAlign w:val="center"/>
          </w:tcPr>
          <w:p>
            <w:pPr>
              <w:pStyle w:val="97"/>
              <w:jc w:val="center"/>
              <w:rPr>
                <w:color w:val="auto"/>
                <w:sz w:val="24"/>
                <w:szCs w:val="24"/>
                <w:highlight w:val="none"/>
                <w:lang w:val="en-US"/>
              </w:rPr>
            </w:pPr>
            <w:r>
              <w:rPr>
                <w:rFonts w:hint="eastAsia"/>
                <w:color w:val="auto"/>
                <w:sz w:val="24"/>
                <w:szCs w:val="24"/>
                <w:highlight w:val="none"/>
                <w:lang w:val="en-US"/>
              </w:rPr>
              <w:t>投标人名称</w:t>
            </w:r>
          </w:p>
        </w:tc>
        <w:tc>
          <w:tcPr>
            <w:tcW w:w="7149" w:type="dxa"/>
            <w:gridSpan w:val="8"/>
            <w:vAlign w:val="center"/>
          </w:tcPr>
          <w:p>
            <w:pPr>
              <w:pStyle w:val="97"/>
              <w:jc w:val="center"/>
              <w:rPr>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61" w:type="dxa"/>
            <w:vAlign w:val="center"/>
          </w:tcPr>
          <w:p>
            <w:pPr>
              <w:pStyle w:val="97"/>
              <w:jc w:val="center"/>
              <w:rPr>
                <w:color w:val="auto"/>
                <w:sz w:val="24"/>
                <w:szCs w:val="24"/>
                <w:highlight w:val="none"/>
                <w:lang w:val="en-US"/>
              </w:rPr>
            </w:pPr>
            <w:r>
              <w:rPr>
                <w:rFonts w:hint="eastAsia"/>
                <w:color w:val="auto"/>
                <w:sz w:val="24"/>
                <w:szCs w:val="24"/>
                <w:highlight w:val="none"/>
                <w:lang w:val="en-US"/>
              </w:rPr>
              <w:t>注册地址</w:t>
            </w:r>
          </w:p>
        </w:tc>
        <w:tc>
          <w:tcPr>
            <w:tcW w:w="3347" w:type="dxa"/>
            <w:gridSpan w:val="3"/>
            <w:vAlign w:val="center"/>
          </w:tcPr>
          <w:p>
            <w:pPr>
              <w:pStyle w:val="97"/>
              <w:jc w:val="center"/>
              <w:rPr>
                <w:color w:val="auto"/>
                <w:sz w:val="24"/>
                <w:szCs w:val="24"/>
                <w:highlight w:val="none"/>
                <w:lang w:val="en-US"/>
              </w:rPr>
            </w:pPr>
          </w:p>
        </w:tc>
        <w:tc>
          <w:tcPr>
            <w:tcW w:w="1268" w:type="dxa"/>
            <w:gridSpan w:val="2"/>
            <w:vAlign w:val="center"/>
          </w:tcPr>
          <w:p>
            <w:pPr>
              <w:pStyle w:val="97"/>
              <w:jc w:val="center"/>
              <w:rPr>
                <w:color w:val="auto"/>
                <w:sz w:val="24"/>
                <w:szCs w:val="24"/>
                <w:highlight w:val="none"/>
                <w:lang w:val="en-US"/>
              </w:rPr>
            </w:pPr>
            <w:r>
              <w:rPr>
                <w:rFonts w:hint="eastAsia"/>
                <w:color w:val="auto"/>
                <w:sz w:val="24"/>
                <w:szCs w:val="24"/>
                <w:highlight w:val="none"/>
                <w:lang w:val="en-US"/>
              </w:rPr>
              <w:t>邮政编码</w:t>
            </w:r>
          </w:p>
        </w:tc>
        <w:tc>
          <w:tcPr>
            <w:tcW w:w="2534" w:type="dxa"/>
            <w:gridSpan w:val="3"/>
            <w:vAlign w:val="center"/>
          </w:tcPr>
          <w:p>
            <w:pPr>
              <w:pStyle w:val="97"/>
              <w:jc w:val="center"/>
              <w:rPr>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061" w:type="dxa"/>
            <w:vMerge w:val="restart"/>
            <w:vAlign w:val="center"/>
          </w:tcPr>
          <w:p>
            <w:pPr>
              <w:pStyle w:val="97"/>
              <w:jc w:val="center"/>
              <w:rPr>
                <w:color w:val="auto"/>
                <w:sz w:val="24"/>
                <w:szCs w:val="24"/>
                <w:highlight w:val="none"/>
                <w:lang w:val="en-US"/>
              </w:rPr>
            </w:pPr>
            <w:r>
              <w:rPr>
                <w:rFonts w:hint="eastAsia"/>
                <w:color w:val="auto"/>
                <w:sz w:val="24"/>
                <w:szCs w:val="24"/>
                <w:highlight w:val="none"/>
                <w:lang w:val="en-US"/>
              </w:rPr>
              <w:t>联系方式</w:t>
            </w:r>
          </w:p>
        </w:tc>
        <w:tc>
          <w:tcPr>
            <w:tcW w:w="851" w:type="dxa"/>
            <w:vAlign w:val="center"/>
          </w:tcPr>
          <w:p>
            <w:pPr>
              <w:pStyle w:val="97"/>
              <w:jc w:val="center"/>
              <w:rPr>
                <w:color w:val="auto"/>
                <w:sz w:val="24"/>
                <w:szCs w:val="24"/>
                <w:highlight w:val="none"/>
                <w:lang w:val="en-US"/>
              </w:rPr>
            </w:pPr>
            <w:r>
              <w:rPr>
                <w:rFonts w:hint="eastAsia"/>
                <w:color w:val="auto"/>
                <w:sz w:val="24"/>
                <w:szCs w:val="24"/>
                <w:highlight w:val="none"/>
                <w:lang w:val="en-US"/>
              </w:rPr>
              <w:t>联系人</w:t>
            </w:r>
          </w:p>
        </w:tc>
        <w:tc>
          <w:tcPr>
            <w:tcW w:w="2496" w:type="dxa"/>
            <w:gridSpan w:val="2"/>
            <w:vAlign w:val="center"/>
          </w:tcPr>
          <w:p>
            <w:pPr>
              <w:pStyle w:val="97"/>
              <w:jc w:val="center"/>
              <w:rPr>
                <w:color w:val="auto"/>
                <w:sz w:val="24"/>
                <w:szCs w:val="24"/>
                <w:highlight w:val="none"/>
                <w:lang w:val="en-US"/>
              </w:rPr>
            </w:pPr>
          </w:p>
        </w:tc>
        <w:tc>
          <w:tcPr>
            <w:tcW w:w="1268" w:type="dxa"/>
            <w:gridSpan w:val="2"/>
            <w:vAlign w:val="center"/>
          </w:tcPr>
          <w:p>
            <w:pPr>
              <w:pStyle w:val="97"/>
              <w:jc w:val="center"/>
              <w:rPr>
                <w:color w:val="auto"/>
                <w:sz w:val="24"/>
                <w:szCs w:val="24"/>
                <w:highlight w:val="none"/>
                <w:lang w:val="en-US"/>
              </w:rPr>
            </w:pPr>
            <w:r>
              <w:rPr>
                <w:rFonts w:hint="eastAsia"/>
                <w:color w:val="auto"/>
                <w:sz w:val="24"/>
                <w:szCs w:val="24"/>
                <w:highlight w:val="none"/>
                <w:lang w:val="en-US"/>
              </w:rPr>
              <w:t>电话</w:t>
            </w:r>
          </w:p>
        </w:tc>
        <w:tc>
          <w:tcPr>
            <w:tcW w:w="2534" w:type="dxa"/>
            <w:gridSpan w:val="3"/>
            <w:vAlign w:val="center"/>
          </w:tcPr>
          <w:p>
            <w:pPr>
              <w:pStyle w:val="97"/>
              <w:jc w:val="center"/>
              <w:rPr>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061" w:type="dxa"/>
            <w:vMerge w:val="continue"/>
            <w:vAlign w:val="center"/>
          </w:tcPr>
          <w:p>
            <w:pPr>
              <w:pStyle w:val="97"/>
              <w:jc w:val="center"/>
              <w:rPr>
                <w:color w:val="auto"/>
                <w:sz w:val="24"/>
                <w:szCs w:val="24"/>
                <w:highlight w:val="none"/>
                <w:lang w:val="en-US"/>
              </w:rPr>
            </w:pPr>
          </w:p>
        </w:tc>
        <w:tc>
          <w:tcPr>
            <w:tcW w:w="851" w:type="dxa"/>
            <w:vAlign w:val="center"/>
          </w:tcPr>
          <w:p>
            <w:pPr>
              <w:pStyle w:val="97"/>
              <w:jc w:val="center"/>
              <w:rPr>
                <w:color w:val="auto"/>
                <w:sz w:val="24"/>
                <w:szCs w:val="24"/>
                <w:highlight w:val="none"/>
                <w:lang w:val="en-US"/>
              </w:rPr>
            </w:pPr>
            <w:r>
              <w:rPr>
                <w:rFonts w:hint="eastAsia"/>
                <w:color w:val="auto"/>
                <w:sz w:val="24"/>
                <w:szCs w:val="24"/>
                <w:highlight w:val="none"/>
                <w:lang w:val="en-US"/>
              </w:rPr>
              <w:t>传真</w:t>
            </w:r>
          </w:p>
        </w:tc>
        <w:tc>
          <w:tcPr>
            <w:tcW w:w="2496" w:type="dxa"/>
            <w:gridSpan w:val="2"/>
            <w:vAlign w:val="center"/>
          </w:tcPr>
          <w:p>
            <w:pPr>
              <w:pStyle w:val="97"/>
              <w:jc w:val="center"/>
              <w:rPr>
                <w:color w:val="auto"/>
                <w:sz w:val="24"/>
                <w:szCs w:val="24"/>
                <w:highlight w:val="none"/>
                <w:lang w:val="en-US"/>
              </w:rPr>
            </w:pPr>
          </w:p>
        </w:tc>
        <w:tc>
          <w:tcPr>
            <w:tcW w:w="1268" w:type="dxa"/>
            <w:gridSpan w:val="2"/>
            <w:vAlign w:val="center"/>
          </w:tcPr>
          <w:p>
            <w:pPr>
              <w:pStyle w:val="97"/>
              <w:jc w:val="center"/>
              <w:rPr>
                <w:color w:val="auto"/>
                <w:sz w:val="24"/>
                <w:szCs w:val="24"/>
                <w:highlight w:val="none"/>
                <w:lang w:val="en-US"/>
              </w:rPr>
            </w:pPr>
            <w:r>
              <w:rPr>
                <w:rFonts w:hint="eastAsia"/>
                <w:color w:val="auto"/>
                <w:sz w:val="24"/>
                <w:szCs w:val="24"/>
                <w:highlight w:val="none"/>
                <w:lang w:val="en-US"/>
              </w:rPr>
              <w:t>电子邮址</w:t>
            </w:r>
          </w:p>
        </w:tc>
        <w:tc>
          <w:tcPr>
            <w:tcW w:w="2534" w:type="dxa"/>
            <w:gridSpan w:val="3"/>
            <w:vAlign w:val="center"/>
          </w:tcPr>
          <w:p>
            <w:pPr>
              <w:pStyle w:val="97"/>
              <w:jc w:val="center"/>
              <w:rPr>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61" w:type="dxa"/>
            <w:vAlign w:val="center"/>
          </w:tcPr>
          <w:p>
            <w:pPr>
              <w:pStyle w:val="97"/>
              <w:jc w:val="center"/>
              <w:rPr>
                <w:color w:val="auto"/>
                <w:sz w:val="24"/>
                <w:szCs w:val="24"/>
                <w:highlight w:val="none"/>
                <w:lang w:val="en-US"/>
              </w:rPr>
            </w:pPr>
            <w:r>
              <w:rPr>
                <w:rFonts w:hint="eastAsia"/>
                <w:color w:val="auto"/>
                <w:sz w:val="24"/>
                <w:szCs w:val="24"/>
                <w:highlight w:val="none"/>
                <w:lang w:val="en-US"/>
              </w:rPr>
              <w:t>法定代表人</w:t>
            </w:r>
          </w:p>
        </w:tc>
        <w:tc>
          <w:tcPr>
            <w:tcW w:w="851" w:type="dxa"/>
            <w:vAlign w:val="center"/>
          </w:tcPr>
          <w:p>
            <w:pPr>
              <w:pStyle w:val="97"/>
              <w:jc w:val="center"/>
              <w:rPr>
                <w:color w:val="auto"/>
                <w:sz w:val="24"/>
                <w:szCs w:val="24"/>
                <w:highlight w:val="none"/>
                <w:lang w:val="en-US"/>
              </w:rPr>
            </w:pPr>
            <w:r>
              <w:rPr>
                <w:rFonts w:hint="eastAsia"/>
                <w:color w:val="auto"/>
                <w:sz w:val="24"/>
                <w:szCs w:val="24"/>
                <w:highlight w:val="none"/>
                <w:lang w:val="en-US"/>
              </w:rPr>
              <w:t>姓名</w:t>
            </w:r>
          </w:p>
        </w:tc>
        <w:tc>
          <w:tcPr>
            <w:tcW w:w="1276" w:type="dxa"/>
            <w:vAlign w:val="center"/>
          </w:tcPr>
          <w:p>
            <w:pPr>
              <w:pStyle w:val="97"/>
              <w:jc w:val="center"/>
              <w:rPr>
                <w:color w:val="auto"/>
                <w:sz w:val="24"/>
                <w:szCs w:val="24"/>
                <w:highlight w:val="none"/>
                <w:lang w:val="en-US"/>
              </w:rPr>
            </w:pPr>
          </w:p>
        </w:tc>
        <w:tc>
          <w:tcPr>
            <w:tcW w:w="1220" w:type="dxa"/>
            <w:vAlign w:val="center"/>
          </w:tcPr>
          <w:p>
            <w:pPr>
              <w:pStyle w:val="97"/>
              <w:jc w:val="center"/>
              <w:rPr>
                <w:color w:val="auto"/>
                <w:sz w:val="24"/>
                <w:szCs w:val="24"/>
                <w:highlight w:val="none"/>
                <w:lang w:val="en-US"/>
              </w:rPr>
            </w:pPr>
            <w:r>
              <w:rPr>
                <w:rFonts w:hint="eastAsia"/>
                <w:color w:val="auto"/>
                <w:sz w:val="24"/>
                <w:szCs w:val="24"/>
                <w:highlight w:val="none"/>
                <w:lang w:val="en-US"/>
              </w:rPr>
              <w:t>技术职称</w:t>
            </w:r>
          </w:p>
        </w:tc>
        <w:tc>
          <w:tcPr>
            <w:tcW w:w="1268" w:type="dxa"/>
            <w:gridSpan w:val="2"/>
            <w:vAlign w:val="center"/>
          </w:tcPr>
          <w:p>
            <w:pPr>
              <w:pStyle w:val="97"/>
              <w:jc w:val="center"/>
              <w:rPr>
                <w:color w:val="auto"/>
                <w:sz w:val="24"/>
                <w:szCs w:val="24"/>
                <w:highlight w:val="none"/>
                <w:lang w:val="en-US"/>
              </w:rPr>
            </w:pPr>
          </w:p>
        </w:tc>
        <w:tc>
          <w:tcPr>
            <w:tcW w:w="794" w:type="dxa"/>
            <w:vAlign w:val="center"/>
          </w:tcPr>
          <w:p>
            <w:pPr>
              <w:pStyle w:val="97"/>
              <w:jc w:val="center"/>
              <w:rPr>
                <w:color w:val="auto"/>
                <w:sz w:val="24"/>
                <w:szCs w:val="24"/>
                <w:highlight w:val="none"/>
                <w:lang w:val="en-US"/>
              </w:rPr>
            </w:pPr>
            <w:r>
              <w:rPr>
                <w:rFonts w:hint="eastAsia"/>
                <w:color w:val="auto"/>
                <w:sz w:val="24"/>
                <w:szCs w:val="24"/>
                <w:highlight w:val="none"/>
                <w:lang w:val="en-US"/>
              </w:rPr>
              <w:t>电话</w:t>
            </w:r>
          </w:p>
        </w:tc>
        <w:tc>
          <w:tcPr>
            <w:tcW w:w="1740" w:type="dxa"/>
            <w:gridSpan w:val="2"/>
            <w:vAlign w:val="center"/>
          </w:tcPr>
          <w:p>
            <w:pPr>
              <w:pStyle w:val="97"/>
              <w:jc w:val="center"/>
              <w:rPr>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61" w:type="dxa"/>
            <w:vAlign w:val="center"/>
          </w:tcPr>
          <w:p>
            <w:pPr>
              <w:pStyle w:val="97"/>
              <w:jc w:val="center"/>
              <w:rPr>
                <w:color w:val="auto"/>
                <w:sz w:val="24"/>
                <w:szCs w:val="24"/>
                <w:highlight w:val="none"/>
                <w:lang w:val="en-US"/>
              </w:rPr>
            </w:pPr>
            <w:r>
              <w:rPr>
                <w:rFonts w:hint="eastAsia"/>
                <w:color w:val="auto"/>
                <w:sz w:val="24"/>
                <w:szCs w:val="24"/>
                <w:highlight w:val="none"/>
                <w:lang w:val="en-US"/>
              </w:rPr>
              <w:t>技术负责人</w:t>
            </w:r>
          </w:p>
        </w:tc>
        <w:tc>
          <w:tcPr>
            <w:tcW w:w="851" w:type="dxa"/>
            <w:vAlign w:val="center"/>
          </w:tcPr>
          <w:p>
            <w:pPr>
              <w:pStyle w:val="97"/>
              <w:jc w:val="center"/>
              <w:rPr>
                <w:color w:val="auto"/>
                <w:sz w:val="24"/>
                <w:szCs w:val="24"/>
                <w:highlight w:val="none"/>
                <w:lang w:val="en-US"/>
              </w:rPr>
            </w:pPr>
            <w:r>
              <w:rPr>
                <w:rFonts w:hint="eastAsia"/>
                <w:color w:val="auto"/>
                <w:sz w:val="24"/>
                <w:szCs w:val="24"/>
                <w:highlight w:val="none"/>
                <w:lang w:val="en-US"/>
              </w:rPr>
              <w:t>姓名</w:t>
            </w:r>
          </w:p>
        </w:tc>
        <w:tc>
          <w:tcPr>
            <w:tcW w:w="1276" w:type="dxa"/>
            <w:vAlign w:val="center"/>
          </w:tcPr>
          <w:p>
            <w:pPr>
              <w:pStyle w:val="97"/>
              <w:jc w:val="center"/>
              <w:rPr>
                <w:color w:val="auto"/>
                <w:sz w:val="24"/>
                <w:szCs w:val="24"/>
                <w:highlight w:val="none"/>
                <w:lang w:val="en-US"/>
              </w:rPr>
            </w:pPr>
          </w:p>
        </w:tc>
        <w:tc>
          <w:tcPr>
            <w:tcW w:w="1220" w:type="dxa"/>
            <w:vAlign w:val="center"/>
          </w:tcPr>
          <w:p>
            <w:pPr>
              <w:pStyle w:val="97"/>
              <w:jc w:val="center"/>
              <w:rPr>
                <w:color w:val="auto"/>
                <w:sz w:val="24"/>
                <w:szCs w:val="24"/>
                <w:highlight w:val="none"/>
                <w:lang w:val="en-US"/>
              </w:rPr>
            </w:pPr>
            <w:r>
              <w:rPr>
                <w:rFonts w:hint="eastAsia"/>
                <w:color w:val="auto"/>
                <w:sz w:val="24"/>
                <w:szCs w:val="24"/>
                <w:highlight w:val="none"/>
                <w:lang w:val="en-US"/>
              </w:rPr>
              <w:t>技术职称</w:t>
            </w:r>
          </w:p>
        </w:tc>
        <w:tc>
          <w:tcPr>
            <w:tcW w:w="1268" w:type="dxa"/>
            <w:gridSpan w:val="2"/>
            <w:vAlign w:val="center"/>
          </w:tcPr>
          <w:p>
            <w:pPr>
              <w:pStyle w:val="97"/>
              <w:jc w:val="center"/>
              <w:rPr>
                <w:color w:val="auto"/>
                <w:sz w:val="24"/>
                <w:szCs w:val="24"/>
                <w:highlight w:val="none"/>
                <w:lang w:val="en-US"/>
              </w:rPr>
            </w:pPr>
          </w:p>
        </w:tc>
        <w:tc>
          <w:tcPr>
            <w:tcW w:w="794" w:type="dxa"/>
            <w:vAlign w:val="center"/>
          </w:tcPr>
          <w:p>
            <w:pPr>
              <w:pStyle w:val="97"/>
              <w:jc w:val="center"/>
              <w:rPr>
                <w:color w:val="auto"/>
                <w:sz w:val="24"/>
                <w:szCs w:val="24"/>
                <w:highlight w:val="none"/>
                <w:lang w:val="en-US"/>
              </w:rPr>
            </w:pPr>
            <w:r>
              <w:rPr>
                <w:rFonts w:hint="eastAsia"/>
                <w:color w:val="auto"/>
                <w:sz w:val="24"/>
                <w:szCs w:val="24"/>
                <w:highlight w:val="none"/>
                <w:lang w:val="en-US"/>
              </w:rPr>
              <w:t>电话</w:t>
            </w:r>
          </w:p>
        </w:tc>
        <w:tc>
          <w:tcPr>
            <w:tcW w:w="1740" w:type="dxa"/>
            <w:gridSpan w:val="2"/>
            <w:vAlign w:val="center"/>
          </w:tcPr>
          <w:p>
            <w:pPr>
              <w:pStyle w:val="97"/>
              <w:jc w:val="center"/>
              <w:rPr>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061" w:type="dxa"/>
            <w:vAlign w:val="center"/>
          </w:tcPr>
          <w:p>
            <w:pPr>
              <w:pStyle w:val="97"/>
              <w:jc w:val="center"/>
              <w:rPr>
                <w:color w:val="auto"/>
                <w:sz w:val="24"/>
                <w:szCs w:val="24"/>
                <w:highlight w:val="none"/>
                <w:lang w:val="en-US"/>
              </w:rPr>
            </w:pPr>
            <w:r>
              <w:rPr>
                <w:rFonts w:hint="eastAsia"/>
                <w:color w:val="auto"/>
                <w:sz w:val="24"/>
                <w:szCs w:val="24"/>
                <w:highlight w:val="none"/>
                <w:lang w:val="en-US"/>
              </w:rPr>
              <w:t>成立时间</w:t>
            </w:r>
          </w:p>
        </w:tc>
        <w:tc>
          <w:tcPr>
            <w:tcW w:w="3347" w:type="dxa"/>
            <w:gridSpan w:val="3"/>
            <w:vAlign w:val="center"/>
          </w:tcPr>
          <w:p>
            <w:pPr>
              <w:pStyle w:val="97"/>
              <w:jc w:val="center"/>
              <w:rPr>
                <w:color w:val="auto"/>
                <w:sz w:val="24"/>
                <w:szCs w:val="24"/>
                <w:highlight w:val="none"/>
                <w:lang w:val="en-US"/>
              </w:rPr>
            </w:pPr>
          </w:p>
        </w:tc>
        <w:tc>
          <w:tcPr>
            <w:tcW w:w="3802" w:type="dxa"/>
            <w:gridSpan w:val="5"/>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061" w:type="dxa"/>
            <w:vMerge w:val="restart"/>
            <w:vAlign w:val="center"/>
          </w:tcPr>
          <w:p>
            <w:pPr>
              <w:pStyle w:val="97"/>
              <w:jc w:val="center"/>
              <w:rPr>
                <w:color w:val="auto"/>
                <w:sz w:val="24"/>
                <w:szCs w:val="24"/>
                <w:highlight w:val="none"/>
                <w:lang w:val="en-US"/>
              </w:rPr>
            </w:pPr>
            <w:r>
              <w:rPr>
                <w:color w:val="auto"/>
                <w:sz w:val="24"/>
                <w:szCs w:val="24"/>
                <w:highlight w:val="none"/>
                <w:lang w:val="en-US"/>
              </w:rPr>
              <w:t>资质</w:t>
            </w:r>
            <w:r>
              <w:rPr>
                <w:rFonts w:hint="eastAsia"/>
                <w:color w:val="auto"/>
                <w:sz w:val="24"/>
                <w:szCs w:val="24"/>
                <w:highlight w:val="none"/>
                <w:lang w:val="en-US"/>
              </w:rPr>
              <w:t>资格与业务范围</w:t>
            </w:r>
          </w:p>
        </w:tc>
        <w:tc>
          <w:tcPr>
            <w:tcW w:w="3347" w:type="dxa"/>
            <w:gridSpan w:val="3"/>
            <w:vMerge w:val="restart"/>
            <w:vAlign w:val="center"/>
          </w:tcPr>
          <w:p>
            <w:pPr>
              <w:pStyle w:val="97"/>
              <w:jc w:val="center"/>
              <w:rPr>
                <w:color w:val="auto"/>
                <w:sz w:val="24"/>
                <w:szCs w:val="24"/>
                <w:highlight w:val="none"/>
                <w:lang w:val="en-US"/>
              </w:rPr>
            </w:pPr>
          </w:p>
        </w:tc>
        <w:tc>
          <w:tcPr>
            <w:tcW w:w="892" w:type="dxa"/>
            <w:vMerge w:val="restart"/>
            <w:vAlign w:val="center"/>
          </w:tcPr>
          <w:p>
            <w:pPr>
              <w:pStyle w:val="97"/>
              <w:jc w:val="center"/>
              <w:rPr>
                <w:color w:val="auto"/>
                <w:sz w:val="24"/>
                <w:szCs w:val="24"/>
                <w:highlight w:val="none"/>
                <w:lang w:val="en-US"/>
              </w:rPr>
            </w:pPr>
            <w:r>
              <w:rPr>
                <w:rFonts w:hint="eastAsia"/>
                <w:color w:val="auto"/>
                <w:sz w:val="24"/>
                <w:szCs w:val="24"/>
                <w:highlight w:val="none"/>
                <w:lang w:val="en-US"/>
              </w:rPr>
              <w:t>其中</w:t>
            </w:r>
          </w:p>
        </w:tc>
        <w:tc>
          <w:tcPr>
            <w:tcW w:w="1715" w:type="dxa"/>
            <w:gridSpan w:val="3"/>
            <w:vAlign w:val="center"/>
          </w:tcPr>
          <w:p>
            <w:pPr>
              <w:pStyle w:val="97"/>
              <w:jc w:val="center"/>
              <w:rPr>
                <w:color w:val="auto"/>
                <w:sz w:val="24"/>
                <w:szCs w:val="24"/>
                <w:highlight w:val="none"/>
                <w:lang w:val="en-US"/>
              </w:rPr>
            </w:pPr>
            <w:r>
              <w:rPr>
                <w:rFonts w:hint="eastAsia"/>
                <w:color w:val="auto"/>
                <w:sz w:val="24"/>
                <w:szCs w:val="24"/>
                <w:highlight w:val="none"/>
                <w:lang w:val="en-US"/>
              </w:rPr>
              <w:t>高级职称</w:t>
            </w:r>
          </w:p>
        </w:tc>
        <w:tc>
          <w:tcPr>
            <w:tcW w:w="1195" w:type="dxa"/>
            <w:vAlign w:val="center"/>
          </w:tcPr>
          <w:p>
            <w:pPr>
              <w:pStyle w:val="97"/>
              <w:jc w:val="center"/>
              <w:rPr>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61" w:type="dxa"/>
            <w:vMerge w:val="continue"/>
            <w:vAlign w:val="center"/>
          </w:tcPr>
          <w:p>
            <w:pPr>
              <w:pStyle w:val="97"/>
              <w:jc w:val="center"/>
              <w:rPr>
                <w:color w:val="auto"/>
                <w:sz w:val="24"/>
                <w:szCs w:val="24"/>
                <w:highlight w:val="none"/>
                <w:lang w:val="en-US"/>
              </w:rPr>
            </w:pPr>
          </w:p>
        </w:tc>
        <w:tc>
          <w:tcPr>
            <w:tcW w:w="3347" w:type="dxa"/>
            <w:gridSpan w:val="3"/>
            <w:vMerge w:val="continue"/>
            <w:vAlign w:val="center"/>
          </w:tcPr>
          <w:p>
            <w:pPr>
              <w:pStyle w:val="97"/>
              <w:jc w:val="center"/>
              <w:rPr>
                <w:color w:val="auto"/>
                <w:sz w:val="24"/>
                <w:szCs w:val="24"/>
                <w:highlight w:val="none"/>
                <w:lang w:val="en-US"/>
              </w:rPr>
            </w:pPr>
          </w:p>
        </w:tc>
        <w:tc>
          <w:tcPr>
            <w:tcW w:w="892" w:type="dxa"/>
            <w:vMerge w:val="continue"/>
            <w:vAlign w:val="center"/>
          </w:tcPr>
          <w:p>
            <w:pPr>
              <w:pStyle w:val="97"/>
              <w:jc w:val="center"/>
              <w:rPr>
                <w:color w:val="auto"/>
                <w:sz w:val="24"/>
                <w:szCs w:val="24"/>
                <w:highlight w:val="none"/>
                <w:lang w:val="en-US"/>
              </w:rPr>
            </w:pPr>
          </w:p>
        </w:tc>
        <w:tc>
          <w:tcPr>
            <w:tcW w:w="1715" w:type="dxa"/>
            <w:gridSpan w:val="3"/>
            <w:vAlign w:val="center"/>
          </w:tcPr>
          <w:p>
            <w:pPr>
              <w:pStyle w:val="97"/>
              <w:jc w:val="center"/>
              <w:rPr>
                <w:color w:val="auto"/>
                <w:sz w:val="24"/>
                <w:szCs w:val="24"/>
                <w:highlight w:val="none"/>
                <w:lang w:val="en-US"/>
              </w:rPr>
            </w:pPr>
            <w:r>
              <w:rPr>
                <w:rFonts w:hint="eastAsia"/>
                <w:color w:val="auto"/>
                <w:sz w:val="24"/>
                <w:szCs w:val="24"/>
                <w:highlight w:val="none"/>
                <w:lang w:val="en-US"/>
              </w:rPr>
              <w:t>中级职称</w:t>
            </w:r>
          </w:p>
        </w:tc>
        <w:tc>
          <w:tcPr>
            <w:tcW w:w="1195" w:type="dxa"/>
            <w:vAlign w:val="center"/>
          </w:tcPr>
          <w:p>
            <w:pPr>
              <w:pStyle w:val="97"/>
              <w:jc w:val="center"/>
              <w:rPr>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2061" w:type="dxa"/>
            <w:vAlign w:val="center"/>
          </w:tcPr>
          <w:p>
            <w:pPr>
              <w:pStyle w:val="97"/>
              <w:jc w:val="center"/>
              <w:rPr>
                <w:color w:val="auto"/>
                <w:sz w:val="24"/>
                <w:szCs w:val="24"/>
                <w:highlight w:val="none"/>
                <w:lang w:val="en-US"/>
              </w:rPr>
            </w:pPr>
            <w:r>
              <w:rPr>
                <w:rFonts w:hint="eastAsia"/>
                <w:color w:val="auto"/>
                <w:sz w:val="24"/>
                <w:szCs w:val="24"/>
                <w:highlight w:val="none"/>
                <w:lang w:val="en-US"/>
              </w:rPr>
              <w:t>营业执照号</w:t>
            </w:r>
          </w:p>
        </w:tc>
        <w:tc>
          <w:tcPr>
            <w:tcW w:w="3347" w:type="dxa"/>
            <w:gridSpan w:val="3"/>
            <w:vAlign w:val="center"/>
          </w:tcPr>
          <w:p>
            <w:pPr>
              <w:pStyle w:val="97"/>
              <w:jc w:val="center"/>
              <w:rPr>
                <w:color w:val="auto"/>
                <w:sz w:val="24"/>
                <w:szCs w:val="24"/>
                <w:highlight w:val="none"/>
                <w:lang w:val="en-US"/>
              </w:rPr>
            </w:pPr>
          </w:p>
        </w:tc>
        <w:tc>
          <w:tcPr>
            <w:tcW w:w="892" w:type="dxa"/>
            <w:vMerge w:val="continue"/>
            <w:vAlign w:val="center"/>
          </w:tcPr>
          <w:p>
            <w:pPr>
              <w:pStyle w:val="97"/>
              <w:jc w:val="center"/>
              <w:rPr>
                <w:color w:val="auto"/>
                <w:sz w:val="24"/>
                <w:szCs w:val="24"/>
                <w:highlight w:val="none"/>
                <w:lang w:val="en-US"/>
              </w:rPr>
            </w:pPr>
          </w:p>
        </w:tc>
        <w:tc>
          <w:tcPr>
            <w:tcW w:w="1715" w:type="dxa"/>
            <w:gridSpan w:val="3"/>
            <w:vAlign w:val="center"/>
          </w:tcPr>
          <w:p>
            <w:pPr>
              <w:pStyle w:val="97"/>
              <w:jc w:val="center"/>
              <w:rPr>
                <w:color w:val="auto"/>
                <w:sz w:val="24"/>
                <w:szCs w:val="24"/>
                <w:highlight w:val="none"/>
                <w:lang w:val="en-US"/>
              </w:rPr>
            </w:pPr>
            <w:r>
              <w:rPr>
                <w:rFonts w:hint="eastAsia"/>
                <w:color w:val="auto"/>
                <w:sz w:val="24"/>
                <w:szCs w:val="24"/>
                <w:highlight w:val="none"/>
                <w:lang w:val="en-US"/>
              </w:rPr>
              <w:t>各类注册人员</w:t>
            </w:r>
          </w:p>
        </w:tc>
        <w:tc>
          <w:tcPr>
            <w:tcW w:w="1195" w:type="dxa"/>
            <w:vAlign w:val="center"/>
          </w:tcPr>
          <w:p>
            <w:pPr>
              <w:pStyle w:val="97"/>
              <w:jc w:val="center"/>
              <w:rPr>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pPr>
              <w:pStyle w:val="97"/>
              <w:jc w:val="center"/>
              <w:rPr>
                <w:color w:val="auto"/>
                <w:sz w:val="24"/>
                <w:szCs w:val="24"/>
                <w:highlight w:val="none"/>
                <w:lang w:val="en-US"/>
              </w:rPr>
            </w:pPr>
            <w:r>
              <w:rPr>
                <w:rFonts w:hint="eastAsia"/>
                <w:color w:val="auto"/>
                <w:sz w:val="24"/>
                <w:szCs w:val="24"/>
                <w:highlight w:val="none"/>
                <w:lang w:val="en-US"/>
              </w:rPr>
              <w:t>注册资金</w:t>
            </w:r>
          </w:p>
        </w:tc>
        <w:tc>
          <w:tcPr>
            <w:tcW w:w="7149" w:type="dxa"/>
            <w:gridSpan w:val="8"/>
            <w:vAlign w:val="center"/>
          </w:tcPr>
          <w:p>
            <w:pPr>
              <w:pStyle w:val="97"/>
              <w:jc w:val="center"/>
              <w:rPr>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pPr>
              <w:pStyle w:val="97"/>
              <w:jc w:val="center"/>
              <w:rPr>
                <w:color w:val="auto"/>
                <w:sz w:val="24"/>
                <w:szCs w:val="24"/>
                <w:highlight w:val="none"/>
                <w:lang w:val="en-US"/>
              </w:rPr>
            </w:pPr>
            <w:r>
              <w:rPr>
                <w:rFonts w:hint="eastAsia"/>
                <w:color w:val="auto"/>
                <w:sz w:val="24"/>
                <w:szCs w:val="24"/>
                <w:highlight w:val="none"/>
                <w:lang w:val="en-US"/>
              </w:rPr>
              <w:t>基本账户开户银行</w:t>
            </w:r>
          </w:p>
        </w:tc>
        <w:tc>
          <w:tcPr>
            <w:tcW w:w="7149" w:type="dxa"/>
            <w:gridSpan w:val="8"/>
            <w:vAlign w:val="center"/>
          </w:tcPr>
          <w:p>
            <w:pPr>
              <w:pStyle w:val="97"/>
              <w:jc w:val="center"/>
              <w:rPr>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pPr>
              <w:pStyle w:val="97"/>
              <w:jc w:val="center"/>
              <w:rPr>
                <w:color w:val="auto"/>
                <w:sz w:val="24"/>
                <w:szCs w:val="24"/>
                <w:highlight w:val="none"/>
                <w:lang w:val="en-US"/>
              </w:rPr>
            </w:pPr>
            <w:r>
              <w:rPr>
                <w:rFonts w:hint="eastAsia"/>
                <w:color w:val="auto"/>
                <w:sz w:val="24"/>
                <w:szCs w:val="24"/>
                <w:highlight w:val="none"/>
                <w:lang w:val="en-US"/>
              </w:rPr>
              <w:t>基本账户账号</w:t>
            </w:r>
          </w:p>
        </w:tc>
        <w:tc>
          <w:tcPr>
            <w:tcW w:w="7149" w:type="dxa"/>
            <w:gridSpan w:val="8"/>
            <w:vAlign w:val="center"/>
          </w:tcPr>
          <w:p>
            <w:pPr>
              <w:pStyle w:val="97"/>
              <w:jc w:val="center"/>
              <w:rPr>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2061" w:type="dxa"/>
            <w:vAlign w:val="center"/>
          </w:tcPr>
          <w:p>
            <w:pPr>
              <w:pStyle w:val="97"/>
              <w:jc w:val="center"/>
              <w:rPr>
                <w:color w:val="auto"/>
                <w:sz w:val="24"/>
                <w:szCs w:val="24"/>
                <w:highlight w:val="none"/>
                <w:lang w:val="en-US"/>
              </w:rPr>
            </w:pPr>
            <w:r>
              <w:rPr>
                <w:rFonts w:hint="eastAsia"/>
                <w:color w:val="auto"/>
                <w:sz w:val="24"/>
                <w:szCs w:val="24"/>
                <w:highlight w:val="none"/>
                <w:lang w:val="en-US"/>
              </w:rPr>
              <w:t>经营范围</w:t>
            </w:r>
          </w:p>
        </w:tc>
        <w:tc>
          <w:tcPr>
            <w:tcW w:w="7149" w:type="dxa"/>
            <w:gridSpan w:val="8"/>
            <w:vAlign w:val="center"/>
          </w:tcPr>
          <w:p>
            <w:pPr>
              <w:pStyle w:val="97"/>
              <w:jc w:val="center"/>
              <w:rPr>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61" w:type="dxa"/>
            <w:vAlign w:val="center"/>
          </w:tcPr>
          <w:p>
            <w:pPr>
              <w:pStyle w:val="97"/>
              <w:jc w:val="center"/>
              <w:rPr>
                <w:color w:val="auto"/>
                <w:sz w:val="24"/>
                <w:szCs w:val="24"/>
                <w:highlight w:val="none"/>
                <w:lang w:val="en-US"/>
              </w:rPr>
            </w:pPr>
            <w:r>
              <w:rPr>
                <w:rFonts w:hint="eastAsia"/>
                <w:color w:val="auto"/>
                <w:sz w:val="24"/>
                <w:szCs w:val="24"/>
                <w:highlight w:val="none"/>
                <w:lang w:val="en-US"/>
              </w:rPr>
              <w:t>备注</w:t>
            </w:r>
          </w:p>
        </w:tc>
        <w:tc>
          <w:tcPr>
            <w:tcW w:w="7149" w:type="dxa"/>
            <w:gridSpan w:val="8"/>
            <w:vAlign w:val="center"/>
          </w:tcPr>
          <w:p>
            <w:pPr>
              <w:pStyle w:val="97"/>
              <w:jc w:val="center"/>
              <w:rPr>
                <w:color w:val="auto"/>
                <w:sz w:val="24"/>
                <w:szCs w:val="24"/>
                <w:highlight w:val="none"/>
                <w:lang w:val="en-US"/>
              </w:rPr>
            </w:pPr>
          </w:p>
        </w:tc>
      </w:tr>
    </w:tbl>
    <w:p>
      <w:pPr>
        <w:spacing w:line="380" w:lineRule="exact"/>
        <w:rPr>
          <w:rFonts w:ascii="宋体" w:hAnsi="宋体"/>
          <w:color w:val="auto"/>
          <w:sz w:val="22"/>
          <w:szCs w:val="22"/>
          <w:highlight w:val="none"/>
        </w:rPr>
      </w:pPr>
    </w:p>
    <w:p>
      <w:pPr>
        <w:spacing w:line="380" w:lineRule="exact"/>
        <w:rPr>
          <w:rFonts w:ascii="宋体" w:hAnsi="宋体"/>
          <w:color w:val="auto"/>
          <w:sz w:val="22"/>
          <w:szCs w:val="22"/>
          <w:highlight w:val="none"/>
        </w:rPr>
      </w:pPr>
      <w:r>
        <w:rPr>
          <w:rFonts w:hint="eastAsia" w:ascii="宋体" w:hAnsi="宋体"/>
          <w:color w:val="auto"/>
          <w:sz w:val="22"/>
          <w:szCs w:val="22"/>
          <w:highlight w:val="none"/>
        </w:rPr>
        <w:t>投标人（公章）：</w:t>
      </w:r>
    </w:p>
    <w:p>
      <w:pPr>
        <w:spacing w:line="380" w:lineRule="exact"/>
        <w:rPr>
          <w:rFonts w:ascii="宋体" w:hAnsi="宋体"/>
          <w:color w:val="auto"/>
          <w:sz w:val="22"/>
          <w:szCs w:val="22"/>
          <w:highlight w:val="none"/>
          <w:u w:val="single"/>
        </w:rPr>
      </w:pPr>
      <w:r>
        <w:rPr>
          <w:rFonts w:hint="eastAsia" w:ascii="宋体" w:hAnsi="宋体"/>
          <w:color w:val="auto"/>
          <w:sz w:val="22"/>
          <w:szCs w:val="22"/>
          <w:highlight w:val="none"/>
        </w:rPr>
        <w:t>投标人代表（签字或印章）：</w:t>
      </w:r>
    </w:p>
    <w:p>
      <w:pPr>
        <w:spacing w:line="380" w:lineRule="exact"/>
        <w:rPr>
          <w:rFonts w:ascii="宋体" w:hAnsi="宋体"/>
          <w:color w:val="auto"/>
          <w:sz w:val="22"/>
          <w:szCs w:val="22"/>
          <w:highlight w:val="none"/>
          <w:u w:val="single"/>
        </w:rPr>
      </w:pPr>
      <w:r>
        <w:rPr>
          <w:rFonts w:hint="eastAsia" w:ascii="宋体" w:hAnsi="宋体"/>
          <w:color w:val="auto"/>
          <w:sz w:val="22"/>
          <w:szCs w:val="22"/>
          <w:highlight w:val="none"/>
        </w:rPr>
        <w:t>日期：</w:t>
      </w:r>
    </w:p>
    <w:p>
      <w:pPr>
        <w:rPr>
          <w:rFonts w:ascii="宋体" w:hAnsi="宋体"/>
          <w:color w:val="auto"/>
          <w:highlight w:val="none"/>
        </w:rPr>
      </w:pPr>
    </w:p>
    <w:p>
      <w:pPr>
        <w:rPr>
          <w:rFonts w:ascii="宋体" w:hAnsi="宋体"/>
          <w:color w:val="auto"/>
          <w:highlight w:val="none"/>
        </w:rPr>
      </w:pPr>
    </w:p>
    <w:p>
      <w:pPr>
        <w:rPr>
          <w:rFonts w:ascii="宋体" w:hAnsi="宋体" w:cs="宋体"/>
          <w:b/>
          <w:color w:val="auto"/>
          <w:szCs w:val="21"/>
          <w:highlight w:val="none"/>
        </w:rPr>
      </w:pPr>
      <w:r>
        <w:rPr>
          <w:rFonts w:hint="eastAsia" w:ascii="宋体" w:hAnsi="宋体" w:cs="宋体"/>
          <w:b/>
          <w:color w:val="auto"/>
          <w:szCs w:val="21"/>
          <w:highlight w:val="none"/>
        </w:rPr>
        <w:t>（若为联合体投标，联合体各方须单独提供并盖章）</w:t>
      </w:r>
    </w:p>
    <w:p>
      <w:pPr>
        <w:rPr>
          <w:rFonts w:ascii="宋体" w:hAnsi="宋体" w:cs="宋体"/>
          <w:b/>
          <w:color w:val="auto"/>
          <w:szCs w:val="21"/>
          <w:highlight w:val="none"/>
        </w:rPr>
      </w:pPr>
      <w:r>
        <w:rPr>
          <w:rFonts w:hint="eastAsia" w:ascii="宋体" w:hAnsi="宋体" w:cs="宋体"/>
          <w:b/>
          <w:color w:val="auto"/>
          <w:szCs w:val="21"/>
          <w:highlight w:val="none"/>
        </w:rPr>
        <w:br w:type="page"/>
      </w:r>
    </w:p>
    <w:p>
      <w:pPr>
        <w:pStyle w:val="5"/>
        <w:spacing w:line="380" w:lineRule="exact"/>
        <w:ind w:left="0" w:firstLine="0"/>
        <w:rPr>
          <w:rFonts w:ascii="宋体" w:hAnsi="宋体"/>
          <w:color w:val="auto"/>
          <w:sz w:val="28"/>
          <w:szCs w:val="28"/>
          <w:highlight w:val="none"/>
        </w:rPr>
      </w:pPr>
      <w:r>
        <w:rPr>
          <w:rFonts w:hint="eastAsia" w:ascii="宋体" w:hAnsi="宋体"/>
          <w:color w:val="auto"/>
          <w:sz w:val="28"/>
          <w:szCs w:val="28"/>
          <w:highlight w:val="none"/>
        </w:rPr>
        <w:t>（三）联合协议</w:t>
      </w:r>
    </w:p>
    <w:p>
      <w:pPr>
        <w:widowControl/>
        <w:spacing w:line="48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（以联合体形式投标的，提供联合协议；本项目不接受联合体投标或者投标人不以联合体形式投标的，则不需要提供；如资格文件中已提供《联合协议》的，商务技术文件中无需重复提供）</w:t>
      </w:r>
    </w:p>
    <w:p>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（联合体所有成员名称）</w:t>
      </w:r>
      <w:r>
        <w:rPr>
          <w:rFonts w:hint="eastAsia" w:ascii="宋体" w:hAnsi="宋体" w:cs="宋体"/>
          <w:color w:val="auto"/>
          <w:kern w:val="0"/>
          <w:szCs w:val="21"/>
          <w:highlight w:val="none"/>
        </w:rPr>
        <w:t>自愿</w:t>
      </w:r>
      <w:r>
        <w:rPr>
          <w:rFonts w:hint="eastAsia" w:ascii="宋体" w:hAnsi="宋体" w:cs="宋体"/>
          <w:color w:val="auto"/>
          <w:kern w:val="0"/>
          <w:szCs w:val="21"/>
          <w:highlight w:val="none"/>
          <w:lang w:val="zh-CN"/>
        </w:rPr>
        <w:t>组成一个联合体，以一个投标人的身份</w:t>
      </w:r>
      <w:r>
        <w:rPr>
          <w:rFonts w:hint="eastAsia" w:ascii="宋体" w:hAnsi="宋体" w:cs="宋体"/>
          <w:color w:val="auto"/>
          <w:kern w:val="0"/>
          <w:szCs w:val="21"/>
          <w:highlight w:val="none"/>
        </w:rPr>
        <w:t>参加</w:t>
      </w:r>
      <w:r>
        <w:rPr>
          <w:rFonts w:hint="eastAsia" w:ascii="宋体" w:hAnsi="宋体" w:cs="宋体"/>
          <w:color w:val="auto"/>
          <w:szCs w:val="21"/>
          <w:highlight w:val="none"/>
        </w:rPr>
        <w:t>项目【招标编号：        】</w:t>
      </w:r>
      <w:r>
        <w:rPr>
          <w:rFonts w:hint="eastAsia" w:ascii="宋体" w:hAnsi="宋体" w:cs="宋体"/>
          <w:color w:val="auto"/>
          <w:kern w:val="0"/>
          <w:szCs w:val="21"/>
          <w:highlight w:val="none"/>
          <w:lang w:val="zh-CN"/>
        </w:rPr>
        <w:t xml:space="preserve">投标。 </w:t>
      </w:r>
    </w:p>
    <w:p>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一、各方一致决定，</w:t>
      </w:r>
      <w:r>
        <w:rPr>
          <w:rFonts w:hint="eastAsia" w:ascii="宋体" w:hAnsi="宋体" w:cs="宋体"/>
          <w:color w:val="auto"/>
          <w:kern w:val="0"/>
          <w:szCs w:val="21"/>
          <w:highlight w:val="none"/>
          <w:u w:val="single"/>
        </w:rPr>
        <w:t>（某联合体成员名称）</w:t>
      </w:r>
      <w:r>
        <w:rPr>
          <w:rFonts w:hint="eastAsia" w:ascii="宋体" w:hAnsi="宋体" w:cs="宋体"/>
          <w:color w:val="auto"/>
          <w:kern w:val="0"/>
          <w:szCs w:val="21"/>
          <w:highlight w:val="none"/>
        </w:rPr>
        <w:t>为联合体</w:t>
      </w:r>
      <w:r>
        <w:rPr>
          <w:rFonts w:hint="eastAsia" w:ascii="宋体" w:hAnsi="宋体" w:cs="宋体"/>
          <w:color w:val="auto"/>
          <w:kern w:val="0"/>
          <w:szCs w:val="21"/>
          <w:highlight w:val="none"/>
          <w:lang w:val="zh-CN"/>
        </w:rPr>
        <w:t>牵头人</w:t>
      </w:r>
      <w:r>
        <w:rPr>
          <w:rFonts w:hint="eastAsia" w:ascii="宋体" w:hAnsi="宋体" w:cs="宋体"/>
          <w:color w:val="auto"/>
          <w:szCs w:val="21"/>
          <w:highlight w:val="none"/>
        </w:rPr>
        <w:t>，代表所有联合体成员负责投标和合同实施阶段的主办、协调工作</w:t>
      </w:r>
      <w:r>
        <w:rPr>
          <w:rFonts w:hint="eastAsia" w:ascii="宋体" w:hAnsi="宋体" w:cs="宋体"/>
          <w:color w:val="auto"/>
          <w:kern w:val="0"/>
          <w:szCs w:val="21"/>
          <w:highlight w:val="none"/>
          <w:lang w:val="zh-CN"/>
        </w:rPr>
        <w:t>。</w:t>
      </w:r>
    </w:p>
    <w:p>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w:t>
      </w:r>
      <w:r>
        <w:rPr>
          <w:rFonts w:hint="eastAsia" w:ascii="宋体" w:hAnsi="宋体" w:cs="宋体"/>
          <w:color w:val="auto"/>
          <w:szCs w:val="21"/>
          <w:highlight w:val="none"/>
        </w:rPr>
        <w:t>所有联合体成员各方签署授权书，授权书载明的</w:t>
      </w:r>
      <w:r>
        <w:rPr>
          <w:rFonts w:hint="eastAsia" w:ascii="宋体" w:hAnsi="宋体" w:cs="宋体"/>
          <w:color w:val="auto"/>
          <w:kern w:val="0"/>
          <w:szCs w:val="21"/>
          <w:highlight w:val="none"/>
          <w:lang w:val="zh-CN"/>
        </w:rPr>
        <w:t>授权代表根据招标文件规定及投标内容而对采购人、采购机构所作的任何合法承诺，包括书面澄清及相应等均对联合投标各方产生约束力。</w:t>
      </w:r>
    </w:p>
    <w:p>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三、本次联合投标中，分工如下：</w:t>
      </w:r>
    </w:p>
    <w:p>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（联合体成员1）</w:t>
      </w:r>
      <w:r>
        <w:rPr>
          <w:rFonts w:hint="eastAsia" w:ascii="宋体" w:hAnsi="宋体" w:cs="宋体"/>
          <w:color w:val="auto"/>
          <w:kern w:val="0"/>
          <w:szCs w:val="21"/>
          <w:highlight w:val="none"/>
          <w:lang w:val="zh-CN"/>
        </w:rPr>
        <w:t>承担的工作和义务为：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w:t>
      </w:r>
    </w:p>
    <w:p>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w:t>
      </w:r>
      <w:r>
        <w:rPr>
          <w:rFonts w:ascii="宋体" w:hAnsi="宋体" w:cs="宋体"/>
          <w:color w:val="auto"/>
          <w:kern w:val="0"/>
          <w:szCs w:val="21"/>
          <w:highlight w:val="none"/>
          <w:u w:val="single"/>
        </w:rPr>
        <w:t>2</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lang w:val="zh-CN"/>
        </w:rPr>
        <w:t>承担的工作和义务为：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w:t>
      </w:r>
    </w:p>
    <w:p>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p>
    <w:p>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四、联合体成员中小企业合同份额（如果有）。</w:t>
      </w:r>
    </w:p>
    <w:p>
      <w:pPr>
        <w:snapToGrid w:val="0"/>
        <w:spacing w:line="480" w:lineRule="exact"/>
        <w:ind w:firstLine="576"/>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u w:val="single"/>
        </w:rPr>
        <w:t>（联合体成员</w:t>
      </w:r>
      <w:r>
        <w:rPr>
          <w:rFonts w:ascii="宋体" w:hAnsi="宋体" w:cs="宋体"/>
          <w:color w:val="auto"/>
          <w:kern w:val="0"/>
          <w:szCs w:val="21"/>
          <w:highlight w:val="none"/>
          <w:u w:val="single"/>
        </w:rPr>
        <w:t>X,</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提供的全部服务由小微企业承接，其合同份额占到合同总金额%以上；</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（未预留份额专门面向中小企业采购的的采购项目，以及预留份额中的非预留部分采购包，接受联合体投标的，联合协议约定小微企业的合同份额占到合同总金额30%以上的，对联合体报价给予6%的扣除。</w:t>
      </w:r>
      <w:r>
        <w:rPr>
          <w:rFonts w:hint="eastAsia" w:ascii="宋体" w:hAnsi="宋体" w:cs="宋体"/>
          <w:b/>
          <w:color w:val="auto"/>
          <w:kern w:val="0"/>
          <w:szCs w:val="21"/>
          <w:highlight w:val="none"/>
        </w:rPr>
        <w:t>投标人</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szCs w:val="21"/>
          <w:highlight w:val="none"/>
        </w:rPr>
        <w:t>2、中小企业合同金额达到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%，小微企业合同金额达到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Cs w:val="21"/>
          <w:highlight w:val="none"/>
          <w:lang w:val="zh-CN"/>
        </w:rPr>
        <w:t>）</w:t>
      </w:r>
    </w:p>
    <w:p>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五、如果中标，</w:t>
      </w:r>
      <w:r>
        <w:rPr>
          <w:rFonts w:hint="eastAsia" w:ascii="宋体" w:hAnsi="宋体" w:cs="宋体"/>
          <w:color w:val="auto"/>
          <w:szCs w:val="21"/>
          <w:highlight w:val="none"/>
        </w:rPr>
        <w:t>联合体各成员方共同与采购人签订合同，并就采购合同约定的事项对采购人承担连带责任。</w:t>
      </w:r>
    </w:p>
    <w:p>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六、有关本次联合投标的其他事宜：</w:t>
      </w:r>
    </w:p>
    <w:p>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1、联合体各方不再单独参加或者与其他供应商另外组成联合体参加同一合同项下的政府采购活动。</w:t>
      </w:r>
    </w:p>
    <w:p>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2、联合体中有同类资质的各方按照联合体分工承担相同工作的，按照资质等级较低的供应商确定资质等级。</w:t>
      </w:r>
    </w:p>
    <w:p>
      <w:pPr>
        <w:snapToGrid w:val="0"/>
        <w:spacing w:line="480" w:lineRule="exact"/>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3、本协议提交采购人、采购机构后，联合体各方不得以任何形式对上述内容进行修改或撤销。</w:t>
      </w:r>
    </w:p>
    <w:p>
      <w:pPr>
        <w:snapToGrid w:val="0"/>
        <w:spacing w:line="480" w:lineRule="exact"/>
        <w:ind w:firstLine="5040" w:firstLineChars="24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联合体成员名称(公章)：</w:t>
      </w:r>
    </w:p>
    <w:p>
      <w:pPr>
        <w:snapToGrid w:val="0"/>
        <w:spacing w:line="480" w:lineRule="exact"/>
        <w:ind w:firstLine="5040" w:firstLineChars="2400"/>
        <w:rPr>
          <w:rFonts w:ascii="宋体" w:hAnsi="宋体" w:cs="宋体"/>
          <w:color w:val="auto"/>
          <w:kern w:val="0"/>
          <w:szCs w:val="21"/>
          <w:highlight w:val="none"/>
          <w:lang w:val="zh-CN"/>
        </w:rPr>
      </w:pPr>
      <w:bookmarkStart w:id="231" w:name="_Toc136345123"/>
      <w:bookmarkStart w:id="232" w:name="_Toc18425"/>
      <w:bookmarkStart w:id="233" w:name="_Toc136017662"/>
      <w:r>
        <w:rPr>
          <w:rFonts w:hint="eastAsia" w:ascii="宋体" w:hAnsi="宋体" w:cs="宋体"/>
          <w:color w:val="auto"/>
          <w:kern w:val="0"/>
          <w:szCs w:val="21"/>
          <w:highlight w:val="none"/>
          <w:lang w:val="zh-CN"/>
        </w:rPr>
        <w:t>联合体成员名称(公章)：</w:t>
      </w:r>
      <w:bookmarkEnd w:id="231"/>
      <w:bookmarkEnd w:id="232"/>
      <w:bookmarkEnd w:id="233"/>
    </w:p>
    <w:p>
      <w:pPr>
        <w:spacing w:line="480" w:lineRule="exact"/>
        <w:rPr>
          <w:color w:val="auto"/>
          <w:szCs w:val="21"/>
          <w:highlight w:val="none"/>
          <w:lang w:val="zh-CN"/>
        </w:rPr>
      </w:pPr>
    </w:p>
    <w:p>
      <w:pPr>
        <w:snapToGrid w:val="0"/>
        <w:spacing w:line="480" w:lineRule="exac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pPr>
        <w:pStyle w:val="96"/>
        <w:rPr>
          <w:b/>
          <w:bCs/>
          <w:color w:val="auto"/>
          <w:highlight w:val="none"/>
          <w:lang w:val="zh-CN"/>
        </w:rPr>
      </w:pPr>
      <w:bookmarkStart w:id="234" w:name="_Toc136017663"/>
      <w:bookmarkStart w:id="235" w:name="_Toc18667"/>
      <w:bookmarkStart w:id="236" w:name="_Toc136345124"/>
      <w:r>
        <w:rPr>
          <w:rFonts w:hint="eastAsia"/>
          <w:color w:val="auto"/>
          <w:highlight w:val="none"/>
          <w:lang w:val="zh-CN"/>
        </w:rPr>
        <w:t>注：按本格式和要求提供。</w:t>
      </w:r>
      <w:bookmarkEnd w:id="234"/>
      <w:bookmarkEnd w:id="235"/>
      <w:bookmarkEnd w:id="236"/>
    </w:p>
    <w:p>
      <w:pPr>
        <w:rPr>
          <w:color w:val="auto"/>
          <w:highlight w:val="none"/>
        </w:rPr>
      </w:pPr>
    </w:p>
    <w:p>
      <w:pPr>
        <w:rPr>
          <w:rFonts w:ascii="宋体" w:hAnsi="宋体"/>
          <w:color w:val="auto"/>
          <w:sz w:val="24"/>
          <w:szCs w:val="24"/>
          <w:highlight w:val="none"/>
        </w:rPr>
      </w:pPr>
      <w:r>
        <w:rPr>
          <w:rFonts w:hint="eastAsia" w:ascii="宋体" w:hAnsi="宋体"/>
          <w:color w:val="auto"/>
          <w:sz w:val="24"/>
          <w:szCs w:val="24"/>
          <w:highlight w:val="none"/>
        </w:rPr>
        <w:br w:type="page"/>
      </w:r>
    </w:p>
    <w:p>
      <w:pPr>
        <w:pStyle w:val="5"/>
        <w:spacing w:line="380" w:lineRule="exact"/>
        <w:ind w:left="0" w:firstLine="0"/>
        <w:rPr>
          <w:rFonts w:ascii="宋体" w:hAnsi="宋体"/>
          <w:bCs w:val="0"/>
          <w:color w:val="auto"/>
          <w:sz w:val="24"/>
          <w:szCs w:val="24"/>
          <w:highlight w:val="none"/>
        </w:rPr>
      </w:pPr>
      <w:r>
        <w:rPr>
          <w:rFonts w:hint="eastAsia" w:ascii="宋体" w:hAnsi="宋体"/>
          <w:color w:val="auto"/>
          <w:sz w:val="28"/>
          <w:szCs w:val="28"/>
          <w:highlight w:val="none"/>
        </w:rPr>
        <w:t>（四）分包意向协议</w:t>
      </w:r>
    </w:p>
    <w:p>
      <w:pPr>
        <w:widowControl/>
        <w:spacing w:line="48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（中标后以分包方式履行合同的，提供分包意向协议；采购人不同意分包或者投标人中标后不以分包方式履行合同的，则不需要提供。）</w:t>
      </w:r>
    </w:p>
    <w:p>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若成为</w:t>
      </w:r>
      <w:r>
        <w:rPr>
          <w:rFonts w:hint="eastAsia" w:ascii="宋体" w:hAnsi="宋体" w:cs="宋体"/>
          <w:color w:val="auto"/>
          <w:szCs w:val="21"/>
          <w:highlight w:val="none"/>
        </w:rPr>
        <w:t>项目【招标编号：       】</w:t>
      </w:r>
      <w:r>
        <w:rPr>
          <w:rFonts w:hint="eastAsia" w:ascii="宋体" w:hAnsi="宋体" w:cs="宋体"/>
          <w:color w:val="auto"/>
          <w:kern w:val="0"/>
          <w:szCs w:val="21"/>
          <w:highlight w:val="none"/>
          <w:lang w:val="zh-CN"/>
        </w:rPr>
        <w:t>的中标人，将依法采取分包方式履行合同。</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与</w:t>
      </w:r>
      <w:r>
        <w:rPr>
          <w:rFonts w:hint="eastAsia" w:ascii="宋体" w:hAnsi="宋体" w:cs="宋体"/>
          <w:color w:val="auto"/>
          <w:kern w:val="0"/>
          <w:szCs w:val="21"/>
          <w:highlight w:val="none"/>
          <w:u w:val="single"/>
        </w:rPr>
        <w:t>（所有分包供应商名称）</w:t>
      </w:r>
      <w:r>
        <w:rPr>
          <w:rFonts w:hint="eastAsia" w:ascii="宋体" w:hAnsi="宋体" w:cs="宋体"/>
          <w:color w:val="auto"/>
          <w:kern w:val="0"/>
          <w:szCs w:val="21"/>
          <w:highlight w:val="none"/>
        </w:rPr>
        <w:t>达成分包意向协议</w:t>
      </w:r>
      <w:r>
        <w:rPr>
          <w:rFonts w:hint="eastAsia" w:ascii="宋体" w:hAnsi="宋体" w:cs="宋体"/>
          <w:color w:val="auto"/>
          <w:kern w:val="0"/>
          <w:szCs w:val="21"/>
          <w:highlight w:val="none"/>
          <w:lang w:val="zh-CN"/>
        </w:rPr>
        <w:t xml:space="preserve">。 </w:t>
      </w:r>
    </w:p>
    <w:p>
      <w:pPr>
        <w:widowControl/>
        <w:numPr>
          <w:ilvl w:val="0"/>
          <w:numId w:val="12"/>
        </w:numPr>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分包标的及数量</w:t>
      </w:r>
    </w:p>
    <w:p>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将</w:t>
      </w:r>
      <w:r>
        <w:rPr>
          <w:rFonts w:ascii="宋体" w:hAnsi="宋体" w:cs="宋体"/>
          <w:color w:val="auto"/>
          <w:kern w:val="0"/>
          <w:szCs w:val="21"/>
          <w:highlight w:val="none"/>
          <w:u w:val="single"/>
        </w:rPr>
        <w:t xml:space="preserve"> XX工作内容   </w:t>
      </w:r>
      <w:r>
        <w:rPr>
          <w:rFonts w:hint="eastAsia" w:ascii="宋体" w:hAnsi="宋体" w:cs="宋体"/>
          <w:color w:val="auto"/>
          <w:szCs w:val="21"/>
          <w:highlight w:val="none"/>
        </w:rPr>
        <w:t>分包给</w:t>
      </w:r>
      <w:r>
        <w:rPr>
          <w:rFonts w:hint="eastAsia" w:ascii="宋体" w:hAnsi="宋体" w:cs="宋体"/>
          <w:color w:val="auto"/>
          <w:kern w:val="0"/>
          <w:szCs w:val="21"/>
          <w:highlight w:val="none"/>
          <w:u w:val="single"/>
        </w:rPr>
        <w:t>（分包供应商1名称）</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u w:val="single"/>
        </w:rPr>
        <w:t>（分包供应商2名称），</w:t>
      </w:r>
      <w:r>
        <w:rPr>
          <w:rFonts w:hint="eastAsia" w:ascii="宋体" w:hAnsi="宋体" w:cs="宋体"/>
          <w:color w:val="auto"/>
          <w:kern w:val="0"/>
          <w:szCs w:val="21"/>
          <w:highlight w:val="none"/>
          <w:lang w:val="zh-CN"/>
        </w:rPr>
        <w:t>具备承</w:t>
      </w:r>
      <w:r>
        <w:rPr>
          <w:rFonts w:hint="eastAsia" w:ascii="宋体" w:hAnsi="宋体" w:cs="宋体"/>
          <w:color w:val="auto"/>
          <w:kern w:val="0"/>
          <w:szCs w:val="21"/>
          <w:highlight w:val="none"/>
        </w:rPr>
        <w:t>担</w:t>
      </w:r>
      <w:r>
        <w:rPr>
          <w:rFonts w:hint="eastAsia" w:ascii="宋体" w:hAnsi="宋体" w:cs="宋体"/>
          <w:color w:val="auto"/>
          <w:kern w:val="0"/>
          <w:szCs w:val="21"/>
          <w:highlight w:val="none"/>
          <w:u w:val="single"/>
          <w:lang w:val="zh-CN"/>
        </w:rPr>
        <w:t>XX工作内容</w:t>
      </w:r>
      <w:r>
        <w:rPr>
          <w:rFonts w:hint="eastAsia" w:ascii="宋体" w:hAnsi="宋体" w:cs="宋体"/>
          <w:color w:val="auto"/>
          <w:kern w:val="0"/>
          <w:szCs w:val="21"/>
          <w:highlight w:val="none"/>
          <w:lang w:val="zh-CN"/>
        </w:rPr>
        <w:t>相应资质条件且不得再次分包；</w:t>
      </w:r>
    </w:p>
    <w:p>
      <w:pPr>
        <w:widowControl/>
        <w:spacing w:line="4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numPr>
          <w:ilvl w:val="0"/>
          <w:numId w:val="12"/>
        </w:numPr>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分包供应商中小企业合同份额（如果有）</w:t>
      </w:r>
    </w:p>
    <w:p>
      <w:pPr>
        <w:widowControl/>
        <w:numPr>
          <w:ilvl w:val="0"/>
          <w:numId w:val="13"/>
        </w:numPr>
        <w:spacing w:line="480" w:lineRule="exact"/>
        <w:ind w:firstLine="420" w:firstLineChars="200"/>
        <w:jc w:val="left"/>
        <w:rPr>
          <w:rFonts w:ascii="宋体" w:hAnsi="宋体" w:cs="宋体"/>
          <w:b/>
          <w:bCs/>
          <w:color w:val="auto"/>
          <w:kern w:val="0"/>
          <w:szCs w:val="21"/>
          <w:highlight w:val="none"/>
          <w:lang w:val="zh-CN"/>
        </w:rPr>
      </w:pPr>
      <w:r>
        <w:rPr>
          <w:rFonts w:hint="eastAsia" w:ascii="宋体" w:hAnsi="宋体" w:cs="宋体"/>
          <w:color w:val="auto"/>
          <w:kern w:val="0"/>
          <w:szCs w:val="21"/>
          <w:highlight w:val="none"/>
          <w:u w:val="single"/>
        </w:rPr>
        <w:t>（分包供应商X</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……）提供的服务全部由小微企业承接，</w:t>
      </w:r>
      <w:r>
        <w:rPr>
          <w:rFonts w:hint="eastAsia" w:ascii="宋体" w:hAnsi="宋体" w:cs="宋体"/>
          <w:color w:val="auto"/>
          <w:kern w:val="0"/>
          <w:szCs w:val="21"/>
          <w:highlight w:val="none"/>
        </w:rPr>
        <w:t>其合同份额占到合同总金额%以上</w:t>
      </w:r>
      <w:r>
        <w:rPr>
          <w:rFonts w:hint="eastAsia" w:ascii="宋体" w:hAnsi="宋体" w:cs="宋体"/>
          <w:color w:val="auto"/>
          <w:szCs w:val="21"/>
          <w:highlight w:val="none"/>
        </w:rPr>
        <w:t>。</w:t>
      </w:r>
      <w:r>
        <w:rPr>
          <w:rFonts w:hint="eastAsia" w:ascii="宋体" w:hAnsi="宋体" w:cs="宋体"/>
          <w:b/>
          <w:color w:val="auto"/>
          <w:kern w:val="0"/>
          <w:szCs w:val="21"/>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Cs w:val="21"/>
          <w:highlight w:val="none"/>
        </w:rPr>
        <w:t>4</w:t>
      </w:r>
      <w:r>
        <w:rPr>
          <w:rFonts w:hint="eastAsia" w:ascii="宋体" w:hAnsi="宋体" w:cs="宋体"/>
          <w:b/>
          <w:color w:val="auto"/>
          <w:kern w:val="0"/>
          <w:szCs w:val="21"/>
          <w:highlight w:val="none"/>
          <w:lang w:val="zh-CN"/>
        </w:rPr>
        <w:t>%的扣除。供应商</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pPr>
        <w:widowControl/>
        <w:numPr>
          <w:ilvl w:val="0"/>
          <w:numId w:val="13"/>
        </w:numPr>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szCs w:val="21"/>
          <w:highlight w:val="none"/>
        </w:rPr>
        <w:t>中小企业合同金额达到%，小微企业合同金额达到%</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要求合同分包形式参加的项目或采购包，供应商按招标文件第一部分招标公告申请人的资格要求中规定的</w:t>
      </w:r>
      <w:r>
        <w:rPr>
          <w:rFonts w:hint="eastAsia" w:ascii="宋体" w:hAnsi="宋体" w:cs="宋体"/>
          <w:b/>
          <w:color w:val="auto"/>
          <w:kern w:val="0"/>
          <w:szCs w:val="21"/>
          <w:highlight w:val="none"/>
          <w:lang w:val="zh-CN"/>
        </w:rPr>
        <w:t>分包意向协议</w:t>
      </w:r>
      <w:r>
        <w:rPr>
          <w:rFonts w:hint="eastAsia" w:ascii="宋体" w:hAnsi="宋体" w:cs="宋体"/>
          <w:b/>
          <w:bCs/>
          <w:color w:val="auto"/>
          <w:szCs w:val="21"/>
          <w:highlight w:val="none"/>
        </w:rPr>
        <w:t>中中小企业、小微企业合同金额应当达到的比例要求填写。</w:t>
      </w:r>
      <w:r>
        <w:rPr>
          <w:rFonts w:hint="eastAsia" w:ascii="宋体" w:hAnsi="宋体" w:cs="宋体"/>
          <w:b/>
          <w:bCs/>
          <w:color w:val="auto"/>
          <w:kern w:val="0"/>
          <w:szCs w:val="21"/>
          <w:highlight w:val="none"/>
          <w:lang w:val="zh-CN"/>
        </w:rPr>
        <w:t>）</w:t>
      </w:r>
    </w:p>
    <w:p>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三、分包工作履行期限、地点、方式</w:t>
      </w:r>
    </w:p>
    <w:p>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四、质量</w:t>
      </w:r>
    </w:p>
    <w:p>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五、价款或者报酬</w:t>
      </w:r>
    </w:p>
    <w:p>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六、违约责任</w:t>
      </w:r>
    </w:p>
    <w:p>
      <w:pPr>
        <w:widowControl/>
        <w:spacing w:line="48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七、争议解决的办法</w:t>
      </w:r>
    </w:p>
    <w:p>
      <w:pPr>
        <w:widowControl/>
        <w:spacing w:line="480" w:lineRule="exact"/>
        <w:ind w:firstLine="420" w:firstLineChars="200"/>
        <w:jc w:val="left"/>
        <w:rPr>
          <w:rFonts w:ascii="宋体" w:hAnsi="宋体" w:cs="宋体"/>
          <w:color w:val="auto"/>
          <w:szCs w:val="21"/>
          <w:highlight w:val="none"/>
          <w:lang w:val="zh-CN"/>
        </w:rPr>
      </w:pPr>
      <w:r>
        <w:rPr>
          <w:rFonts w:hint="eastAsia" w:ascii="宋体" w:hAnsi="宋体" w:cs="宋体"/>
          <w:color w:val="auto"/>
          <w:kern w:val="0"/>
          <w:szCs w:val="21"/>
          <w:highlight w:val="none"/>
          <w:lang w:val="zh-CN"/>
        </w:rPr>
        <w:t>八、其他</w:t>
      </w:r>
    </w:p>
    <w:p>
      <w:pPr>
        <w:snapToGrid w:val="0"/>
        <w:spacing w:line="360" w:lineRule="auto"/>
        <w:ind w:firstLine="5250" w:firstLineChars="2500"/>
        <w:jc w:val="left"/>
        <w:rPr>
          <w:rFonts w:ascii="宋体" w:hAnsi="宋体" w:cs="宋体"/>
          <w:color w:val="auto"/>
          <w:kern w:val="0"/>
          <w:szCs w:val="21"/>
          <w:highlight w:val="none"/>
          <w:lang w:val="zh-CN"/>
        </w:rPr>
      </w:pPr>
    </w:p>
    <w:p>
      <w:pPr>
        <w:pStyle w:val="2"/>
        <w:rPr>
          <w:color w:val="auto"/>
          <w:highlight w:val="none"/>
          <w:lang w:val="zh-CN"/>
        </w:rPr>
      </w:pPr>
    </w:p>
    <w:p>
      <w:pPr>
        <w:snapToGrid w:val="0"/>
        <w:spacing w:line="360" w:lineRule="auto"/>
        <w:ind w:firstLine="5250" w:firstLineChars="25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w:t>
      </w:r>
      <w:r>
        <w:rPr>
          <w:rFonts w:hint="eastAsia" w:ascii="宋体" w:hAnsi="宋体" w:cs="宋体"/>
          <w:color w:val="auto"/>
          <w:kern w:val="0"/>
          <w:szCs w:val="21"/>
          <w:highlight w:val="none"/>
        </w:rPr>
        <w:t>公章</w:t>
      </w:r>
      <w:r>
        <w:rPr>
          <w:rFonts w:hint="eastAsia" w:ascii="宋体" w:hAnsi="宋体" w:cs="宋体"/>
          <w:color w:val="auto"/>
          <w:kern w:val="0"/>
          <w:szCs w:val="21"/>
          <w:highlight w:val="none"/>
          <w:lang w:val="zh-CN"/>
        </w:rPr>
        <w:t>)：</w:t>
      </w:r>
    </w:p>
    <w:p>
      <w:pPr>
        <w:snapToGrid w:val="0"/>
        <w:spacing w:line="360" w:lineRule="auto"/>
        <w:ind w:firstLine="5250" w:firstLineChars="25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分包供应商名称：</w:t>
      </w:r>
    </w:p>
    <w:p>
      <w:pPr>
        <w:snapToGrid w:val="0"/>
        <w:spacing w:line="360" w:lineRule="auto"/>
        <w:ind w:firstLine="5250" w:firstLineChars="25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p>
    <w:p>
      <w:pPr>
        <w:spacing w:line="360" w:lineRule="auto"/>
        <w:jc w:val="center"/>
        <w:rPr>
          <w:color w:val="auto"/>
          <w:highlight w:val="none"/>
        </w:rPr>
      </w:pPr>
      <w:r>
        <w:rPr>
          <w:rFonts w:hint="eastAsia" w:ascii="宋体" w:hAnsi="宋体" w:cs="宋体"/>
          <w:color w:val="auto"/>
          <w:kern w:val="0"/>
          <w:szCs w:val="21"/>
          <w:highlight w:val="none"/>
          <w:lang w:val="zh-CN"/>
        </w:rPr>
        <w:t>日期：  年  月   日</w:t>
      </w:r>
    </w:p>
    <w:p>
      <w:pPr>
        <w:rPr>
          <w:rFonts w:ascii="宋体" w:hAnsi="宋体"/>
          <w:color w:val="auto"/>
          <w:highlight w:val="none"/>
        </w:rPr>
      </w:pPr>
      <w:r>
        <w:rPr>
          <w:rFonts w:ascii="宋体" w:hAnsi="宋体"/>
          <w:color w:val="auto"/>
          <w:highlight w:val="none"/>
        </w:rPr>
        <w:br w:type="page"/>
      </w:r>
    </w:p>
    <w:p>
      <w:pPr>
        <w:pStyle w:val="5"/>
        <w:spacing w:line="380" w:lineRule="exact"/>
        <w:ind w:left="0" w:firstLine="0"/>
        <w:rPr>
          <w:rFonts w:ascii="宋体" w:hAnsi="宋体"/>
          <w:color w:val="auto"/>
          <w:sz w:val="28"/>
          <w:szCs w:val="28"/>
          <w:highlight w:val="none"/>
        </w:rPr>
      </w:pPr>
      <w:bookmarkStart w:id="237" w:name="_Toc16708"/>
      <w:bookmarkStart w:id="238" w:name="_Toc136017664"/>
      <w:bookmarkStart w:id="239" w:name="_Toc136345125"/>
      <w:r>
        <w:rPr>
          <w:rFonts w:hint="eastAsia" w:ascii="宋体" w:hAnsi="宋体"/>
          <w:color w:val="auto"/>
          <w:sz w:val="28"/>
          <w:szCs w:val="28"/>
          <w:highlight w:val="none"/>
        </w:rPr>
        <w:t>（五）技术条款偏离表</w:t>
      </w:r>
      <w:bookmarkEnd w:id="237"/>
      <w:bookmarkEnd w:id="238"/>
      <w:bookmarkEnd w:id="239"/>
    </w:p>
    <w:p>
      <w:pPr>
        <w:spacing w:line="380" w:lineRule="exact"/>
        <w:rPr>
          <w:rFonts w:ascii="宋体" w:hAnsi="宋体"/>
          <w:color w:val="auto"/>
          <w:szCs w:val="21"/>
          <w:highlight w:val="none"/>
        </w:rPr>
      </w:pPr>
    </w:p>
    <w:tbl>
      <w:tblPr>
        <w:tblStyle w:val="34"/>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611"/>
        <w:gridCol w:w="1683"/>
        <w:gridCol w:w="4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59" w:type="dxa"/>
            <w:vAlign w:val="center"/>
          </w:tcPr>
          <w:p>
            <w:pPr>
              <w:adjustRightInd w:val="0"/>
              <w:snapToGrid w:val="0"/>
              <w:spacing w:line="400" w:lineRule="exact"/>
              <w:jc w:val="center"/>
              <w:rPr>
                <w:rFonts w:ascii="宋体"/>
                <w:color w:val="auto"/>
                <w:spacing w:val="20"/>
                <w:szCs w:val="21"/>
                <w:highlight w:val="none"/>
              </w:rPr>
            </w:pPr>
            <w:r>
              <w:rPr>
                <w:rFonts w:hint="eastAsia" w:ascii="宋体"/>
                <w:color w:val="auto"/>
                <w:spacing w:val="20"/>
                <w:szCs w:val="21"/>
                <w:highlight w:val="none"/>
              </w:rPr>
              <w:t>序号</w:t>
            </w:r>
          </w:p>
        </w:tc>
        <w:tc>
          <w:tcPr>
            <w:tcW w:w="1611" w:type="dxa"/>
            <w:vAlign w:val="center"/>
          </w:tcPr>
          <w:p>
            <w:pPr>
              <w:adjustRightInd w:val="0"/>
              <w:snapToGrid w:val="0"/>
              <w:spacing w:line="400" w:lineRule="exact"/>
              <w:jc w:val="center"/>
              <w:rPr>
                <w:rFonts w:ascii="宋体"/>
                <w:color w:val="auto"/>
                <w:spacing w:val="20"/>
                <w:szCs w:val="21"/>
                <w:highlight w:val="none"/>
              </w:rPr>
            </w:pPr>
            <w:r>
              <w:rPr>
                <w:rFonts w:hint="eastAsia" w:ascii="宋体"/>
                <w:color w:val="auto"/>
                <w:spacing w:val="20"/>
                <w:szCs w:val="21"/>
                <w:highlight w:val="none"/>
              </w:rPr>
              <w:t>招标要求</w:t>
            </w:r>
          </w:p>
        </w:tc>
        <w:tc>
          <w:tcPr>
            <w:tcW w:w="1683" w:type="dxa"/>
            <w:vAlign w:val="center"/>
          </w:tcPr>
          <w:p>
            <w:pPr>
              <w:adjustRightInd w:val="0"/>
              <w:snapToGrid w:val="0"/>
              <w:spacing w:line="400" w:lineRule="exact"/>
              <w:jc w:val="center"/>
              <w:rPr>
                <w:rFonts w:ascii="宋体"/>
                <w:color w:val="auto"/>
                <w:spacing w:val="20"/>
                <w:szCs w:val="21"/>
                <w:highlight w:val="none"/>
              </w:rPr>
            </w:pPr>
            <w:r>
              <w:rPr>
                <w:rFonts w:hint="eastAsia" w:ascii="宋体"/>
                <w:color w:val="auto"/>
                <w:spacing w:val="20"/>
                <w:szCs w:val="21"/>
                <w:highlight w:val="none"/>
              </w:rPr>
              <w:t>投标响应</w:t>
            </w:r>
          </w:p>
        </w:tc>
        <w:tc>
          <w:tcPr>
            <w:tcW w:w="4405" w:type="dxa"/>
            <w:vAlign w:val="center"/>
          </w:tcPr>
          <w:p>
            <w:pPr>
              <w:adjustRightInd w:val="0"/>
              <w:snapToGrid w:val="0"/>
              <w:spacing w:line="400" w:lineRule="exact"/>
              <w:jc w:val="center"/>
              <w:rPr>
                <w:rFonts w:ascii="宋体"/>
                <w:color w:val="auto"/>
                <w:spacing w:val="20"/>
                <w:szCs w:val="21"/>
                <w:highlight w:val="none"/>
              </w:rPr>
            </w:pPr>
            <w:r>
              <w:rPr>
                <w:rFonts w:hint="eastAsia" w:ascii="宋体"/>
                <w:color w:val="auto"/>
                <w:spacing w:val="20"/>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59" w:type="dxa"/>
            <w:vAlign w:val="center"/>
          </w:tcPr>
          <w:p>
            <w:pPr>
              <w:adjustRightInd w:val="0"/>
              <w:snapToGrid w:val="0"/>
              <w:spacing w:line="400" w:lineRule="exact"/>
              <w:jc w:val="center"/>
              <w:rPr>
                <w:rFonts w:ascii="宋体"/>
                <w:color w:val="auto"/>
                <w:spacing w:val="20"/>
                <w:szCs w:val="21"/>
                <w:highlight w:val="none"/>
              </w:rPr>
            </w:pPr>
          </w:p>
        </w:tc>
        <w:tc>
          <w:tcPr>
            <w:tcW w:w="1611" w:type="dxa"/>
            <w:vAlign w:val="center"/>
          </w:tcPr>
          <w:p>
            <w:pPr>
              <w:adjustRightInd w:val="0"/>
              <w:snapToGrid w:val="0"/>
              <w:spacing w:line="400" w:lineRule="exact"/>
              <w:jc w:val="center"/>
              <w:rPr>
                <w:rFonts w:ascii="宋体"/>
                <w:color w:val="auto"/>
                <w:spacing w:val="20"/>
                <w:szCs w:val="21"/>
                <w:highlight w:val="none"/>
              </w:rPr>
            </w:pPr>
          </w:p>
        </w:tc>
        <w:tc>
          <w:tcPr>
            <w:tcW w:w="1683" w:type="dxa"/>
            <w:vAlign w:val="center"/>
          </w:tcPr>
          <w:p>
            <w:pPr>
              <w:adjustRightInd w:val="0"/>
              <w:snapToGrid w:val="0"/>
              <w:spacing w:line="400" w:lineRule="exact"/>
              <w:jc w:val="center"/>
              <w:rPr>
                <w:rFonts w:ascii="宋体"/>
                <w:color w:val="auto"/>
                <w:spacing w:val="20"/>
                <w:szCs w:val="21"/>
                <w:highlight w:val="none"/>
              </w:rPr>
            </w:pPr>
          </w:p>
        </w:tc>
        <w:tc>
          <w:tcPr>
            <w:tcW w:w="4405" w:type="dxa"/>
            <w:vAlign w:val="center"/>
          </w:tcPr>
          <w:p>
            <w:pPr>
              <w:adjustRightInd w:val="0"/>
              <w:snapToGrid w:val="0"/>
              <w:spacing w:line="400" w:lineRule="exact"/>
              <w:jc w:val="center"/>
              <w:rPr>
                <w:rFonts w:asci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59" w:type="dxa"/>
            <w:vAlign w:val="center"/>
          </w:tcPr>
          <w:p>
            <w:pPr>
              <w:adjustRightInd w:val="0"/>
              <w:snapToGrid w:val="0"/>
              <w:spacing w:line="400" w:lineRule="exact"/>
              <w:jc w:val="center"/>
              <w:rPr>
                <w:rFonts w:ascii="宋体"/>
                <w:color w:val="auto"/>
                <w:spacing w:val="20"/>
                <w:szCs w:val="21"/>
                <w:highlight w:val="none"/>
              </w:rPr>
            </w:pPr>
          </w:p>
        </w:tc>
        <w:tc>
          <w:tcPr>
            <w:tcW w:w="1611" w:type="dxa"/>
            <w:vAlign w:val="center"/>
          </w:tcPr>
          <w:p>
            <w:pPr>
              <w:adjustRightInd w:val="0"/>
              <w:snapToGrid w:val="0"/>
              <w:spacing w:line="400" w:lineRule="exact"/>
              <w:jc w:val="center"/>
              <w:rPr>
                <w:rFonts w:ascii="宋体"/>
                <w:color w:val="auto"/>
                <w:spacing w:val="20"/>
                <w:szCs w:val="21"/>
                <w:highlight w:val="none"/>
              </w:rPr>
            </w:pPr>
          </w:p>
        </w:tc>
        <w:tc>
          <w:tcPr>
            <w:tcW w:w="1683" w:type="dxa"/>
            <w:vAlign w:val="center"/>
          </w:tcPr>
          <w:p>
            <w:pPr>
              <w:adjustRightInd w:val="0"/>
              <w:snapToGrid w:val="0"/>
              <w:spacing w:line="400" w:lineRule="exact"/>
              <w:jc w:val="center"/>
              <w:rPr>
                <w:rFonts w:ascii="宋体"/>
                <w:color w:val="auto"/>
                <w:spacing w:val="20"/>
                <w:szCs w:val="21"/>
                <w:highlight w:val="none"/>
              </w:rPr>
            </w:pPr>
          </w:p>
        </w:tc>
        <w:tc>
          <w:tcPr>
            <w:tcW w:w="4405" w:type="dxa"/>
            <w:vAlign w:val="center"/>
          </w:tcPr>
          <w:p>
            <w:pPr>
              <w:adjustRightInd w:val="0"/>
              <w:snapToGrid w:val="0"/>
              <w:spacing w:line="400" w:lineRule="exact"/>
              <w:jc w:val="center"/>
              <w:rPr>
                <w:rFonts w:asci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59" w:type="dxa"/>
            <w:vAlign w:val="center"/>
          </w:tcPr>
          <w:p>
            <w:pPr>
              <w:adjustRightInd w:val="0"/>
              <w:snapToGrid w:val="0"/>
              <w:spacing w:line="400" w:lineRule="exact"/>
              <w:jc w:val="center"/>
              <w:rPr>
                <w:rFonts w:ascii="宋体"/>
                <w:color w:val="auto"/>
                <w:spacing w:val="20"/>
                <w:szCs w:val="21"/>
                <w:highlight w:val="none"/>
              </w:rPr>
            </w:pPr>
          </w:p>
        </w:tc>
        <w:tc>
          <w:tcPr>
            <w:tcW w:w="1611" w:type="dxa"/>
            <w:vAlign w:val="center"/>
          </w:tcPr>
          <w:p>
            <w:pPr>
              <w:adjustRightInd w:val="0"/>
              <w:snapToGrid w:val="0"/>
              <w:spacing w:line="400" w:lineRule="exact"/>
              <w:jc w:val="center"/>
              <w:rPr>
                <w:rFonts w:ascii="宋体"/>
                <w:color w:val="auto"/>
                <w:spacing w:val="20"/>
                <w:szCs w:val="21"/>
                <w:highlight w:val="none"/>
              </w:rPr>
            </w:pPr>
          </w:p>
        </w:tc>
        <w:tc>
          <w:tcPr>
            <w:tcW w:w="1683" w:type="dxa"/>
            <w:vAlign w:val="center"/>
          </w:tcPr>
          <w:p>
            <w:pPr>
              <w:adjustRightInd w:val="0"/>
              <w:snapToGrid w:val="0"/>
              <w:spacing w:line="400" w:lineRule="exact"/>
              <w:jc w:val="center"/>
              <w:rPr>
                <w:rFonts w:ascii="宋体"/>
                <w:color w:val="auto"/>
                <w:spacing w:val="20"/>
                <w:szCs w:val="21"/>
                <w:highlight w:val="none"/>
              </w:rPr>
            </w:pPr>
          </w:p>
        </w:tc>
        <w:tc>
          <w:tcPr>
            <w:tcW w:w="4405" w:type="dxa"/>
            <w:vAlign w:val="center"/>
          </w:tcPr>
          <w:p>
            <w:pPr>
              <w:adjustRightInd w:val="0"/>
              <w:snapToGrid w:val="0"/>
              <w:spacing w:line="400" w:lineRule="exact"/>
              <w:jc w:val="center"/>
              <w:rPr>
                <w:rFonts w:asci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59" w:type="dxa"/>
            <w:vAlign w:val="center"/>
          </w:tcPr>
          <w:p>
            <w:pPr>
              <w:adjustRightInd w:val="0"/>
              <w:snapToGrid w:val="0"/>
              <w:spacing w:line="400" w:lineRule="exact"/>
              <w:jc w:val="center"/>
              <w:rPr>
                <w:rFonts w:ascii="宋体"/>
                <w:color w:val="auto"/>
                <w:spacing w:val="20"/>
                <w:szCs w:val="21"/>
                <w:highlight w:val="none"/>
              </w:rPr>
            </w:pPr>
          </w:p>
        </w:tc>
        <w:tc>
          <w:tcPr>
            <w:tcW w:w="1611" w:type="dxa"/>
            <w:vAlign w:val="center"/>
          </w:tcPr>
          <w:p>
            <w:pPr>
              <w:adjustRightInd w:val="0"/>
              <w:snapToGrid w:val="0"/>
              <w:spacing w:line="400" w:lineRule="exact"/>
              <w:jc w:val="center"/>
              <w:rPr>
                <w:rFonts w:ascii="宋体"/>
                <w:color w:val="auto"/>
                <w:spacing w:val="20"/>
                <w:szCs w:val="21"/>
                <w:highlight w:val="none"/>
              </w:rPr>
            </w:pPr>
          </w:p>
        </w:tc>
        <w:tc>
          <w:tcPr>
            <w:tcW w:w="1683" w:type="dxa"/>
            <w:vAlign w:val="center"/>
          </w:tcPr>
          <w:p>
            <w:pPr>
              <w:adjustRightInd w:val="0"/>
              <w:snapToGrid w:val="0"/>
              <w:spacing w:line="400" w:lineRule="exact"/>
              <w:jc w:val="center"/>
              <w:rPr>
                <w:rFonts w:ascii="宋体"/>
                <w:color w:val="auto"/>
                <w:spacing w:val="20"/>
                <w:szCs w:val="21"/>
                <w:highlight w:val="none"/>
              </w:rPr>
            </w:pPr>
          </w:p>
        </w:tc>
        <w:tc>
          <w:tcPr>
            <w:tcW w:w="4405" w:type="dxa"/>
            <w:vAlign w:val="center"/>
          </w:tcPr>
          <w:p>
            <w:pPr>
              <w:adjustRightInd w:val="0"/>
              <w:snapToGrid w:val="0"/>
              <w:spacing w:line="400" w:lineRule="exact"/>
              <w:jc w:val="center"/>
              <w:rPr>
                <w:rFonts w:asci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59" w:type="dxa"/>
            <w:vAlign w:val="center"/>
          </w:tcPr>
          <w:p>
            <w:pPr>
              <w:adjustRightInd w:val="0"/>
              <w:snapToGrid w:val="0"/>
              <w:spacing w:line="400" w:lineRule="exact"/>
              <w:jc w:val="center"/>
              <w:rPr>
                <w:rFonts w:ascii="宋体"/>
                <w:color w:val="auto"/>
                <w:spacing w:val="20"/>
                <w:szCs w:val="21"/>
                <w:highlight w:val="none"/>
              </w:rPr>
            </w:pPr>
          </w:p>
        </w:tc>
        <w:tc>
          <w:tcPr>
            <w:tcW w:w="1611" w:type="dxa"/>
            <w:vAlign w:val="center"/>
          </w:tcPr>
          <w:p>
            <w:pPr>
              <w:adjustRightInd w:val="0"/>
              <w:snapToGrid w:val="0"/>
              <w:spacing w:line="400" w:lineRule="exact"/>
              <w:jc w:val="center"/>
              <w:rPr>
                <w:rFonts w:ascii="宋体"/>
                <w:color w:val="auto"/>
                <w:spacing w:val="20"/>
                <w:szCs w:val="21"/>
                <w:highlight w:val="none"/>
              </w:rPr>
            </w:pPr>
          </w:p>
        </w:tc>
        <w:tc>
          <w:tcPr>
            <w:tcW w:w="1683" w:type="dxa"/>
            <w:vAlign w:val="center"/>
          </w:tcPr>
          <w:p>
            <w:pPr>
              <w:adjustRightInd w:val="0"/>
              <w:snapToGrid w:val="0"/>
              <w:spacing w:line="400" w:lineRule="exact"/>
              <w:jc w:val="center"/>
              <w:rPr>
                <w:rFonts w:ascii="宋体"/>
                <w:color w:val="auto"/>
                <w:spacing w:val="20"/>
                <w:szCs w:val="21"/>
                <w:highlight w:val="none"/>
              </w:rPr>
            </w:pPr>
          </w:p>
        </w:tc>
        <w:tc>
          <w:tcPr>
            <w:tcW w:w="4405" w:type="dxa"/>
            <w:vAlign w:val="center"/>
          </w:tcPr>
          <w:p>
            <w:pPr>
              <w:adjustRightInd w:val="0"/>
              <w:snapToGrid w:val="0"/>
              <w:spacing w:line="400" w:lineRule="exact"/>
              <w:jc w:val="center"/>
              <w:rPr>
                <w:rFonts w:ascii="宋体"/>
                <w:color w:val="auto"/>
                <w:spacing w:val="20"/>
                <w:szCs w:val="21"/>
                <w:highlight w:val="none"/>
              </w:rPr>
            </w:pPr>
          </w:p>
        </w:tc>
      </w:tr>
    </w:tbl>
    <w:p>
      <w:pPr>
        <w:spacing w:line="360" w:lineRule="auto"/>
        <w:rPr>
          <w:rFonts w:ascii="宋体" w:hAnsi="宋体"/>
          <w:color w:val="auto"/>
          <w:highlight w:val="none"/>
        </w:rPr>
      </w:pPr>
      <w:r>
        <w:rPr>
          <w:rFonts w:hint="eastAsia" w:ascii="宋体" w:hAnsi="宋体"/>
          <w:color w:val="auto"/>
          <w:highlight w:val="none"/>
        </w:rPr>
        <w:t>注：与招标文件第二部分“</w:t>
      </w:r>
      <w:r>
        <w:rPr>
          <w:rFonts w:hint="eastAsia" w:hAnsi="宋体" w:cs="宋体"/>
          <w:color w:val="auto"/>
          <w:szCs w:val="21"/>
          <w:highlight w:val="none"/>
        </w:rPr>
        <w:t>技术要求</w:t>
      </w:r>
      <w:r>
        <w:rPr>
          <w:rFonts w:hint="eastAsia" w:ascii="宋体" w:hAnsi="宋体"/>
          <w:color w:val="auto"/>
          <w:highlight w:val="none"/>
        </w:rPr>
        <w:t>”中招标需求逐项比较，如有偏离的，须在本表中列明，并提供详细的偏离说明。如投标人未在本表中列出偏离内容的，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pPr>
        <w:spacing w:line="380" w:lineRule="exact"/>
        <w:rPr>
          <w:rFonts w:ascii="宋体" w:hAnsi="宋体"/>
          <w:color w:val="auto"/>
          <w:sz w:val="22"/>
          <w:szCs w:val="22"/>
          <w:highlight w:val="none"/>
        </w:rPr>
      </w:pPr>
    </w:p>
    <w:p>
      <w:pPr>
        <w:spacing w:line="380" w:lineRule="exact"/>
        <w:rPr>
          <w:rFonts w:ascii="宋体" w:hAnsi="宋体"/>
          <w:color w:val="auto"/>
          <w:szCs w:val="21"/>
          <w:highlight w:val="none"/>
        </w:rPr>
      </w:pPr>
      <w:r>
        <w:rPr>
          <w:rFonts w:hint="eastAsia" w:ascii="宋体" w:hAnsi="宋体"/>
          <w:color w:val="auto"/>
          <w:szCs w:val="21"/>
          <w:highlight w:val="none"/>
        </w:rPr>
        <w:t>投标人（公章）：</w:t>
      </w:r>
    </w:p>
    <w:p>
      <w:pPr>
        <w:spacing w:line="380" w:lineRule="exact"/>
        <w:rPr>
          <w:rFonts w:ascii="宋体" w:hAnsi="宋体"/>
          <w:color w:val="auto"/>
          <w:szCs w:val="21"/>
          <w:highlight w:val="none"/>
          <w:u w:val="single"/>
        </w:rPr>
      </w:pPr>
      <w:r>
        <w:rPr>
          <w:rFonts w:hint="eastAsia" w:ascii="宋体" w:hAnsi="宋体"/>
          <w:color w:val="auto"/>
          <w:szCs w:val="21"/>
          <w:highlight w:val="none"/>
        </w:rPr>
        <w:t>投标人代表（签字或印章）：</w:t>
      </w:r>
    </w:p>
    <w:p>
      <w:pPr>
        <w:spacing w:line="380" w:lineRule="exact"/>
        <w:rPr>
          <w:rFonts w:ascii="宋体" w:hAnsi="宋体"/>
          <w:color w:val="auto"/>
          <w:szCs w:val="21"/>
          <w:highlight w:val="none"/>
          <w:u w:val="single"/>
        </w:rPr>
      </w:pPr>
      <w:r>
        <w:rPr>
          <w:rFonts w:hint="eastAsia" w:ascii="宋体" w:hAnsi="宋体"/>
          <w:color w:val="auto"/>
          <w:szCs w:val="21"/>
          <w:highlight w:val="none"/>
        </w:rPr>
        <w:t>日期：</w:t>
      </w:r>
    </w:p>
    <w:p>
      <w:pPr>
        <w:spacing w:line="380" w:lineRule="exact"/>
        <w:rPr>
          <w:rFonts w:ascii="宋体" w:hAnsi="宋体"/>
          <w:color w:val="auto"/>
          <w:sz w:val="24"/>
          <w:highlight w:val="none"/>
        </w:rPr>
      </w:pPr>
    </w:p>
    <w:p>
      <w:pPr>
        <w:pStyle w:val="4"/>
        <w:spacing w:line="380" w:lineRule="exact"/>
        <w:rPr>
          <w:rFonts w:ascii="宋体" w:hAnsi="宋体"/>
          <w:bCs w:val="0"/>
          <w:color w:val="auto"/>
          <w:sz w:val="24"/>
          <w:szCs w:val="24"/>
          <w:highlight w:val="none"/>
        </w:rPr>
        <w:sectPr>
          <w:pgSz w:w="11907" w:h="16840"/>
          <w:pgMar w:top="1304" w:right="1588" w:bottom="1560" w:left="1588" w:header="720" w:footer="720" w:gutter="0"/>
          <w:pgNumType w:fmt="decimal"/>
          <w:cols w:space="720" w:num="1"/>
          <w:docGrid w:linePitch="285" w:charSpace="0"/>
        </w:sectPr>
      </w:pPr>
      <w:bookmarkStart w:id="240" w:name="_Toc136345126"/>
      <w:bookmarkStart w:id="241" w:name="_Toc21217"/>
      <w:bookmarkStart w:id="242" w:name="_Toc136017665"/>
    </w:p>
    <w:p>
      <w:pPr>
        <w:pStyle w:val="5"/>
        <w:spacing w:line="380" w:lineRule="exact"/>
        <w:ind w:left="0" w:firstLine="0"/>
        <w:rPr>
          <w:rFonts w:ascii="宋体" w:hAnsi="宋体"/>
          <w:color w:val="auto"/>
          <w:sz w:val="28"/>
          <w:szCs w:val="28"/>
          <w:highlight w:val="none"/>
        </w:rPr>
      </w:pPr>
      <w:r>
        <w:rPr>
          <w:rFonts w:hint="eastAsia" w:ascii="宋体" w:hAnsi="宋体"/>
          <w:color w:val="auto"/>
          <w:sz w:val="28"/>
          <w:szCs w:val="28"/>
          <w:highlight w:val="none"/>
        </w:rPr>
        <w:t>（六）商务条款偏离表</w:t>
      </w:r>
      <w:bookmarkEnd w:id="240"/>
      <w:bookmarkEnd w:id="241"/>
      <w:bookmarkEnd w:id="242"/>
    </w:p>
    <w:tbl>
      <w:tblPr>
        <w:tblStyle w:val="34"/>
        <w:tblW w:w="87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3065"/>
        <w:gridCol w:w="2532"/>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33" w:type="dxa"/>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3065" w:type="dxa"/>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532" w:type="dxa"/>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227" w:type="dxa"/>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33" w:type="dxa"/>
            <w:vAlign w:val="center"/>
          </w:tcPr>
          <w:p>
            <w:pPr>
              <w:autoSpaceDE w:val="0"/>
              <w:autoSpaceDN w:val="0"/>
              <w:adjustRightInd w:val="0"/>
              <w:spacing w:line="400" w:lineRule="exact"/>
              <w:jc w:val="center"/>
              <w:rPr>
                <w:rFonts w:ascii="宋体"/>
                <w:bCs/>
                <w:color w:val="auto"/>
                <w:szCs w:val="21"/>
                <w:highlight w:val="none"/>
              </w:rPr>
            </w:pPr>
            <w:r>
              <w:rPr>
                <w:rFonts w:hint="eastAsia" w:ascii="宋体"/>
                <w:bCs/>
                <w:color w:val="auto"/>
                <w:szCs w:val="21"/>
                <w:highlight w:val="none"/>
              </w:rPr>
              <w:t>1</w:t>
            </w:r>
          </w:p>
        </w:tc>
        <w:tc>
          <w:tcPr>
            <w:tcW w:w="3065" w:type="dxa"/>
            <w:vAlign w:val="center"/>
          </w:tcPr>
          <w:p>
            <w:pPr>
              <w:autoSpaceDE w:val="0"/>
              <w:autoSpaceDN w:val="0"/>
              <w:adjustRightInd w:val="0"/>
              <w:spacing w:line="400" w:lineRule="exact"/>
              <w:rPr>
                <w:rFonts w:ascii="宋体" w:hAnsi="宋体" w:cs="Arial"/>
                <w:color w:val="auto"/>
                <w:szCs w:val="21"/>
                <w:highlight w:val="none"/>
              </w:rPr>
            </w:pPr>
          </w:p>
        </w:tc>
        <w:tc>
          <w:tcPr>
            <w:tcW w:w="2532" w:type="dxa"/>
            <w:vAlign w:val="center"/>
          </w:tcPr>
          <w:p>
            <w:pPr>
              <w:adjustRightInd w:val="0"/>
              <w:snapToGrid w:val="0"/>
              <w:spacing w:line="400" w:lineRule="exact"/>
              <w:jc w:val="center"/>
              <w:rPr>
                <w:rFonts w:ascii="宋体" w:hAnsi="宋体"/>
                <w:color w:val="auto"/>
                <w:szCs w:val="21"/>
                <w:highlight w:val="none"/>
              </w:rPr>
            </w:pPr>
          </w:p>
        </w:tc>
        <w:tc>
          <w:tcPr>
            <w:tcW w:w="2227" w:type="dxa"/>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33" w:type="dxa"/>
            <w:vAlign w:val="center"/>
          </w:tcPr>
          <w:p>
            <w:pPr>
              <w:autoSpaceDE w:val="0"/>
              <w:autoSpaceDN w:val="0"/>
              <w:adjustRightInd w:val="0"/>
              <w:spacing w:line="400" w:lineRule="exact"/>
              <w:jc w:val="center"/>
              <w:rPr>
                <w:rFonts w:ascii="宋体" w:hAnsi="宋体" w:cs="Arial"/>
                <w:color w:val="auto"/>
                <w:szCs w:val="21"/>
                <w:highlight w:val="none"/>
              </w:rPr>
            </w:pPr>
            <w:r>
              <w:rPr>
                <w:rFonts w:hint="eastAsia" w:ascii="宋体" w:hAnsi="宋体" w:cs="Arial"/>
                <w:color w:val="auto"/>
                <w:szCs w:val="21"/>
                <w:highlight w:val="none"/>
              </w:rPr>
              <w:t>2</w:t>
            </w:r>
          </w:p>
        </w:tc>
        <w:tc>
          <w:tcPr>
            <w:tcW w:w="3065" w:type="dxa"/>
            <w:vAlign w:val="center"/>
          </w:tcPr>
          <w:p>
            <w:pPr>
              <w:autoSpaceDE w:val="0"/>
              <w:autoSpaceDN w:val="0"/>
              <w:adjustRightInd w:val="0"/>
              <w:spacing w:line="400" w:lineRule="exact"/>
              <w:rPr>
                <w:rFonts w:ascii="宋体" w:hAnsi="宋体" w:cs="Arial"/>
                <w:color w:val="auto"/>
                <w:szCs w:val="21"/>
                <w:highlight w:val="none"/>
              </w:rPr>
            </w:pPr>
          </w:p>
        </w:tc>
        <w:tc>
          <w:tcPr>
            <w:tcW w:w="2532" w:type="dxa"/>
            <w:vAlign w:val="center"/>
          </w:tcPr>
          <w:p>
            <w:pPr>
              <w:adjustRightInd w:val="0"/>
              <w:snapToGrid w:val="0"/>
              <w:spacing w:line="400" w:lineRule="exact"/>
              <w:jc w:val="center"/>
              <w:rPr>
                <w:rFonts w:ascii="宋体" w:hAnsi="宋体"/>
                <w:color w:val="auto"/>
                <w:szCs w:val="21"/>
                <w:highlight w:val="none"/>
              </w:rPr>
            </w:pPr>
          </w:p>
        </w:tc>
        <w:tc>
          <w:tcPr>
            <w:tcW w:w="2227" w:type="dxa"/>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33" w:type="dxa"/>
            <w:vAlign w:val="center"/>
          </w:tcPr>
          <w:p>
            <w:pPr>
              <w:autoSpaceDE w:val="0"/>
              <w:autoSpaceDN w:val="0"/>
              <w:adjustRightInd w:val="0"/>
              <w:spacing w:line="400" w:lineRule="exact"/>
              <w:jc w:val="center"/>
              <w:rPr>
                <w:rFonts w:ascii="宋体" w:hAnsi="宋体" w:cs="Arial"/>
                <w:color w:val="auto"/>
                <w:szCs w:val="21"/>
                <w:highlight w:val="none"/>
              </w:rPr>
            </w:pPr>
            <w:r>
              <w:rPr>
                <w:rFonts w:hint="eastAsia" w:ascii="宋体" w:hAnsi="宋体" w:cs="Arial"/>
                <w:color w:val="auto"/>
                <w:szCs w:val="21"/>
                <w:highlight w:val="none"/>
              </w:rPr>
              <w:t>3</w:t>
            </w:r>
          </w:p>
        </w:tc>
        <w:tc>
          <w:tcPr>
            <w:tcW w:w="3065" w:type="dxa"/>
            <w:vAlign w:val="center"/>
          </w:tcPr>
          <w:p>
            <w:pPr>
              <w:autoSpaceDE w:val="0"/>
              <w:autoSpaceDN w:val="0"/>
              <w:adjustRightInd w:val="0"/>
              <w:spacing w:line="400" w:lineRule="exact"/>
              <w:rPr>
                <w:rFonts w:ascii="宋体" w:hAnsi="宋体" w:cs="Arial"/>
                <w:color w:val="auto"/>
                <w:szCs w:val="21"/>
                <w:highlight w:val="none"/>
              </w:rPr>
            </w:pPr>
          </w:p>
        </w:tc>
        <w:tc>
          <w:tcPr>
            <w:tcW w:w="2532" w:type="dxa"/>
            <w:vAlign w:val="center"/>
          </w:tcPr>
          <w:p>
            <w:pPr>
              <w:adjustRightInd w:val="0"/>
              <w:snapToGrid w:val="0"/>
              <w:spacing w:line="400" w:lineRule="exact"/>
              <w:jc w:val="center"/>
              <w:rPr>
                <w:rFonts w:ascii="宋体" w:hAnsi="宋体"/>
                <w:color w:val="auto"/>
                <w:szCs w:val="21"/>
                <w:highlight w:val="none"/>
              </w:rPr>
            </w:pPr>
          </w:p>
        </w:tc>
        <w:tc>
          <w:tcPr>
            <w:tcW w:w="2227" w:type="dxa"/>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33" w:type="dxa"/>
            <w:vAlign w:val="center"/>
          </w:tcPr>
          <w:p>
            <w:pPr>
              <w:autoSpaceDE w:val="0"/>
              <w:autoSpaceDN w:val="0"/>
              <w:adjustRightInd w:val="0"/>
              <w:spacing w:line="400" w:lineRule="exact"/>
              <w:jc w:val="center"/>
              <w:rPr>
                <w:rFonts w:ascii="宋体"/>
                <w:color w:val="auto"/>
                <w:szCs w:val="21"/>
                <w:highlight w:val="none"/>
                <w:lang w:val="zh-CN"/>
              </w:rPr>
            </w:pPr>
            <w:r>
              <w:rPr>
                <w:rFonts w:hint="eastAsia" w:ascii="宋体" w:hAnsi="宋体" w:cs="Arial"/>
                <w:color w:val="auto"/>
                <w:szCs w:val="21"/>
                <w:highlight w:val="none"/>
              </w:rPr>
              <w:t>4</w:t>
            </w:r>
          </w:p>
        </w:tc>
        <w:tc>
          <w:tcPr>
            <w:tcW w:w="3065" w:type="dxa"/>
            <w:vAlign w:val="center"/>
          </w:tcPr>
          <w:p>
            <w:pPr>
              <w:autoSpaceDE w:val="0"/>
              <w:autoSpaceDN w:val="0"/>
              <w:adjustRightInd w:val="0"/>
              <w:spacing w:line="400" w:lineRule="exact"/>
              <w:rPr>
                <w:rFonts w:ascii="宋体" w:hAnsi="宋体" w:cs="Arial"/>
                <w:color w:val="auto"/>
                <w:szCs w:val="21"/>
                <w:highlight w:val="none"/>
              </w:rPr>
            </w:pPr>
          </w:p>
        </w:tc>
        <w:tc>
          <w:tcPr>
            <w:tcW w:w="2532" w:type="dxa"/>
            <w:vAlign w:val="center"/>
          </w:tcPr>
          <w:p>
            <w:pPr>
              <w:adjustRightInd w:val="0"/>
              <w:snapToGrid w:val="0"/>
              <w:spacing w:line="400" w:lineRule="exact"/>
              <w:jc w:val="center"/>
              <w:rPr>
                <w:rFonts w:ascii="宋体" w:hAnsi="宋体"/>
                <w:color w:val="auto"/>
                <w:szCs w:val="21"/>
                <w:highlight w:val="none"/>
              </w:rPr>
            </w:pPr>
          </w:p>
        </w:tc>
        <w:tc>
          <w:tcPr>
            <w:tcW w:w="2227" w:type="dxa"/>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33" w:type="dxa"/>
            <w:vAlign w:val="center"/>
          </w:tcPr>
          <w:p>
            <w:pPr>
              <w:autoSpaceDE w:val="0"/>
              <w:autoSpaceDN w:val="0"/>
              <w:adjustRightInd w:val="0"/>
              <w:spacing w:line="400" w:lineRule="exact"/>
              <w:jc w:val="center"/>
              <w:rPr>
                <w:rFonts w:ascii="宋体"/>
                <w:color w:val="auto"/>
                <w:szCs w:val="21"/>
                <w:highlight w:val="none"/>
                <w:lang w:val="zh-CN"/>
              </w:rPr>
            </w:pPr>
            <w:r>
              <w:rPr>
                <w:rFonts w:hint="eastAsia" w:ascii="宋体" w:hAnsi="宋体" w:cs="Arial"/>
                <w:color w:val="auto"/>
                <w:szCs w:val="21"/>
                <w:highlight w:val="none"/>
              </w:rPr>
              <w:t>5</w:t>
            </w:r>
          </w:p>
        </w:tc>
        <w:tc>
          <w:tcPr>
            <w:tcW w:w="3065" w:type="dxa"/>
            <w:vAlign w:val="center"/>
          </w:tcPr>
          <w:p>
            <w:pPr>
              <w:autoSpaceDE w:val="0"/>
              <w:autoSpaceDN w:val="0"/>
              <w:adjustRightInd w:val="0"/>
              <w:spacing w:line="400" w:lineRule="exact"/>
              <w:rPr>
                <w:rFonts w:ascii="宋体" w:hAnsi="宋体" w:cs="Arial"/>
                <w:color w:val="auto"/>
                <w:szCs w:val="21"/>
                <w:highlight w:val="none"/>
              </w:rPr>
            </w:pPr>
          </w:p>
        </w:tc>
        <w:tc>
          <w:tcPr>
            <w:tcW w:w="2532" w:type="dxa"/>
            <w:vAlign w:val="center"/>
          </w:tcPr>
          <w:p>
            <w:pPr>
              <w:adjustRightInd w:val="0"/>
              <w:snapToGrid w:val="0"/>
              <w:spacing w:line="400" w:lineRule="exact"/>
              <w:jc w:val="center"/>
              <w:rPr>
                <w:rFonts w:ascii="宋体" w:hAnsi="宋体"/>
                <w:color w:val="auto"/>
                <w:szCs w:val="21"/>
                <w:highlight w:val="none"/>
              </w:rPr>
            </w:pPr>
          </w:p>
        </w:tc>
        <w:tc>
          <w:tcPr>
            <w:tcW w:w="2227" w:type="dxa"/>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33" w:type="dxa"/>
            <w:vAlign w:val="center"/>
          </w:tcPr>
          <w:p>
            <w:pPr>
              <w:autoSpaceDE w:val="0"/>
              <w:autoSpaceDN w:val="0"/>
              <w:adjustRightInd w:val="0"/>
              <w:spacing w:line="400" w:lineRule="exact"/>
              <w:jc w:val="center"/>
              <w:rPr>
                <w:rFonts w:ascii="宋体"/>
                <w:color w:val="auto"/>
                <w:szCs w:val="21"/>
                <w:highlight w:val="none"/>
                <w:lang w:val="zh-CN"/>
              </w:rPr>
            </w:pPr>
            <w:r>
              <w:rPr>
                <w:rFonts w:hint="eastAsia" w:ascii="宋体"/>
                <w:color w:val="auto"/>
                <w:szCs w:val="21"/>
                <w:highlight w:val="none"/>
              </w:rPr>
              <w:t>6</w:t>
            </w:r>
          </w:p>
        </w:tc>
        <w:tc>
          <w:tcPr>
            <w:tcW w:w="3065" w:type="dxa"/>
            <w:vAlign w:val="center"/>
          </w:tcPr>
          <w:p>
            <w:pPr>
              <w:autoSpaceDE w:val="0"/>
              <w:autoSpaceDN w:val="0"/>
              <w:adjustRightInd w:val="0"/>
              <w:spacing w:line="400" w:lineRule="exact"/>
              <w:rPr>
                <w:rFonts w:ascii="宋体" w:hAnsi="宋体" w:cs="Arial"/>
                <w:color w:val="auto"/>
                <w:szCs w:val="21"/>
                <w:highlight w:val="none"/>
              </w:rPr>
            </w:pPr>
          </w:p>
        </w:tc>
        <w:tc>
          <w:tcPr>
            <w:tcW w:w="2532" w:type="dxa"/>
            <w:vAlign w:val="center"/>
          </w:tcPr>
          <w:p>
            <w:pPr>
              <w:adjustRightInd w:val="0"/>
              <w:snapToGrid w:val="0"/>
              <w:spacing w:line="400" w:lineRule="exact"/>
              <w:jc w:val="center"/>
              <w:rPr>
                <w:rFonts w:ascii="宋体" w:hAnsi="宋体"/>
                <w:color w:val="auto"/>
                <w:szCs w:val="21"/>
                <w:highlight w:val="none"/>
              </w:rPr>
            </w:pPr>
          </w:p>
        </w:tc>
        <w:tc>
          <w:tcPr>
            <w:tcW w:w="2227" w:type="dxa"/>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33" w:type="dxa"/>
            <w:vAlign w:val="center"/>
          </w:tcPr>
          <w:p>
            <w:pPr>
              <w:autoSpaceDE w:val="0"/>
              <w:autoSpaceDN w:val="0"/>
              <w:adjustRightInd w:val="0"/>
              <w:spacing w:line="400" w:lineRule="exact"/>
              <w:jc w:val="center"/>
              <w:rPr>
                <w:rFonts w:ascii="宋体"/>
                <w:color w:val="auto"/>
                <w:szCs w:val="21"/>
                <w:highlight w:val="none"/>
                <w:lang w:val="zh-CN"/>
              </w:rPr>
            </w:pPr>
            <w:r>
              <w:rPr>
                <w:rFonts w:hint="eastAsia" w:ascii="宋体"/>
                <w:color w:val="auto"/>
                <w:szCs w:val="21"/>
                <w:highlight w:val="none"/>
              </w:rPr>
              <w:t>7</w:t>
            </w:r>
          </w:p>
        </w:tc>
        <w:tc>
          <w:tcPr>
            <w:tcW w:w="3065" w:type="dxa"/>
            <w:vAlign w:val="center"/>
          </w:tcPr>
          <w:p>
            <w:pPr>
              <w:autoSpaceDE w:val="0"/>
              <w:autoSpaceDN w:val="0"/>
              <w:adjustRightInd w:val="0"/>
              <w:spacing w:line="400" w:lineRule="exact"/>
              <w:rPr>
                <w:rFonts w:ascii="宋体" w:hAnsi="宋体" w:cs="Arial"/>
                <w:color w:val="auto"/>
                <w:szCs w:val="21"/>
                <w:highlight w:val="none"/>
              </w:rPr>
            </w:pPr>
          </w:p>
        </w:tc>
        <w:tc>
          <w:tcPr>
            <w:tcW w:w="2532" w:type="dxa"/>
            <w:vAlign w:val="center"/>
          </w:tcPr>
          <w:p>
            <w:pPr>
              <w:adjustRightInd w:val="0"/>
              <w:snapToGrid w:val="0"/>
              <w:spacing w:line="400" w:lineRule="exact"/>
              <w:jc w:val="center"/>
              <w:rPr>
                <w:rFonts w:ascii="宋体" w:hAnsi="宋体"/>
                <w:color w:val="auto"/>
                <w:szCs w:val="21"/>
                <w:highlight w:val="none"/>
              </w:rPr>
            </w:pPr>
          </w:p>
        </w:tc>
        <w:tc>
          <w:tcPr>
            <w:tcW w:w="2227" w:type="dxa"/>
            <w:vAlign w:val="center"/>
          </w:tcPr>
          <w:p>
            <w:pPr>
              <w:adjustRightInd w:val="0"/>
              <w:snapToGrid w:val="0"/>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33" w:type="dxa"/>
            <w:vAlign w:val="center"/>
          </w:tcPr>
          <w:p>
            <w:pPr>
              <w:autoSpaceDE w:val="0"/>
              <w:autoSpaceDN w:val="0"/>
              <w:adjustRightInd w:val="0"/>
              <w:spacing w:line="400" w:lineRule="exact"/>
              <w:jc w:val="center"/>
              <w:rPr>
                <w:rFonts w:ascii="宋体"/>
                <w:color w:val="auto"/>
                <w:szCs w:val="21"/>
                <w:highlight w:val="none"/>
              </w:rPr>
            </w:pPr>
            <w:r>
              <w:rPr>
                <w:rFonts w:hint="eastAsia" w:ascii="宋体"/>
                <w:color w:val="auto"/>
                <w:szCs w:val="21"/>
                <w:highlight w:val="none"/>
              </w:rPr>
              <w:t>8</w:t>
            </w:r>
          </w:p>
        </w:tc>
        <w:tc>
          <w:tcPr>
            <w:tcW w:w="3065" w:type="dxa"/>
            <w:vAlign w:val="center"/>
          </w:tcPr>
          <w:p>
            <w:pPr>
              <w:autoSpaceDE w:val="0"/>
              <w:autoSpaceDN w:val="0"/>
              <w:adjustRightInd w:val="0"/>
              <w:spacing w:line="400" w:lineRule="exact"/>
              <w:rPr>
                <w:rFonts w:ascii="宋体" w:hAnsi="宋体" w:cs="Arial"/>
                <w:color w:val="auto"/>
                <w:szCs w:val="21"/>
                <w:highlight w:val="none"/>
              </w:rPr>
            </w:pPr>
          </w:p>
        </w:tc>
        <w:tc>
          <w:tcPr>
            <w:tcW w:w="2532" w:type="dxa"/>
            <w:vAlign w:val="center"/>
          </w:tcPr>
          <w:p>
            <w:pPr>
              <w:adjustRightInd w:val="0"/>
              <w:snapToGrid w:val="0"/>
              <w:spacing w:line="400" w:lineRule="exact"/>
              <w:jc w:val="center"/>
              <w:rPr>
                <w:rFonts w:ascii="宋体" w:hAnsi="宋体"/>
                <w:color w:val="auto"/>
                <w:szCs w:val="21"/>
                <w:highlight w:val="none"/>
              </w:rPr>
            </w:pPr>
          </w:p>
        </w:tc>
        <w:tc>
          <w:tcPr>
            <w:tcW w:w="2227" w:type="dxa"/>
            <w:vAlign w:val="center"/>
          </w:tcPr>
          <w:p>
            <w:pPr>
              <w:adjustRightInd w:val="0"/>
              <w:snapToGrid w:val="0"/>
              <w:spacing w:line="400" w:lineRule="exact"/>
              <w:jc w:val="center"/>
              <w:rPr>
                <w:rFonts w:ascii="宋体" w:hAnsi="宋体"/>
                <w:color w:val="auto"/>
                <w:szCs w:val="21"/>
                <w:highlight w:val="none"/>
              </w:rPr>
            </w:pPr>
          </w:p>
        </w:tc>
      </w:tr>
    </w:tbl>
    <w:p>
      <w:pPr>
        <w:spacing w:line="360" w:lineRule="auto"/>
        <w:rPr>
          <w:rFonts w:ascii="宋体" w:hAnsi="宋体"/>
          <w:color w:val="auto"/>
          <w:highlight w:val="none"/>
        </w:rPr>
      </w:pPr>
      <w:r>
        <w:rPr>
          <w:rFonts w:hint="eastAsia" w:ascii="宋体" w:hAnsi="宋体"/>
          <w:color w:val="auto"/>
          <w:spacing w:val="20"/>
          <w:szCs w:val="21"/>
          <w:highlight w:val="none"/>
        </w:rPr>
        <w:t>注：</w:t>
      </w:r>
      <w:r>
        <w:rPr>
          <w:rFonts w:hint="eastAsia" w:ascii="宋体" w:hAnsi="宋体"/>
          <w:color w:val="auto"/>
          <w:szCs w:val="21"/>
          <w:highlight w:val="none"/>
        </w:rPr>
        <w:t>与</w:t>
      </w:r>
      <w:r>
        <w:rPr>
          <w:rFonts w:hint="eastAsia" w:ascii="宋体" w:hAnsi="宋体"/>
          <w:color w:val="auto"/>
          <w:highlight w:val="none"/>
        </w:rPr>
        <w:t>招标文件第二部分</w:t>
      </w:r>
      <w:r>
        <w:rPr>
          <w:rFonts w:hint="eastAsia" w:ascii="宋体" w:hAnsi="宋体"/>
          <w:color w:val="auto"/>
          <w:szCs w:val="21"/>
          <w:highlight w:val="none"/>
        </w:rPr>
        <w:t>“商务要求表”逐项比较，如有偏离的，须在本表中列明，并提供详细的偏离说明。如投标人未在本表中列出偏离内容的，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pPr>
        <w:spacing w:line="380" w:lineRule="exact"/>
        <w:rPr>
          <w:rFonts w:ascii="宋体" w:hAnsi="宋体"/>
          <w:color w:val="auto"/>
          <w:sz w:val="22"/>
          <w:szCs w:val="22"/>
          <w:highlight w:val="none"/>
        </w:rPr>
      </w:pPr>
    </w:p>
    <w:p>
      <w:pPr>
        <w:spacing w:line="380" w:lineRule="exact"/>
        <w:rPr>
          <w:rFonts w:ascii="宋体" w:hAnsi="宋体"/>
          <w:color w:val="auto"/>
          <w:sz w:val="22"/>
          <w:szCs w:val="22"/>
          <w:highlight w:val="none"/>
        </w:rPr>
      </w:pPr>
      <w:r>
        <w:rPr>
          <w:rFonts w:hint="eastAsia" w:ascii="宋体" w:hAnsi="宋体"/>
          <w:color w:val="auto"/>
          <w:sz w:val="22"/>
          <w:szCs w:val="22"/>
          <w:highlight w:val="none"/>
        </w:rPr>
        <w:t>投标人（公章）：</w:t>
      </w:r>
    </w:p>
    <w:p>
      <w:pPr>
        <w:spacing w:line="380" w:lineRule="exact"/>
        <w:rPr>
          <w:rFonts w:ascii="宋体" w:hAnsi="宋体"/>
          <w:color w:val="auto"/>
          <w:sz w:val="22"/>
          <w:szCs w:val="22"/>
          <w:highlight w:val="none"/>
          <w:u w:val="single"/>
        </w:rPr>
      </w:pPr>
      <w:r>
        <w:rPr>
          <w:rFonts w:hint="eastAsia" w:ascii="宋体" w:hAnsi="宋体"/>
          <w:color w:val="auto"/>
          <w:sz w:val="22"/>
          <w:szCs w:val="22"/>
          <w:highlight w:val="none"/>
        </w:rPr>
        <w:t>投标人代表（签字或印章）：</w:t>
      </w:r>
    </w:p>
    <w:p>
      <w:pPr>
        <w:spacing w:line="380" w:lineRule="exact"/>
        <w:rPr>
          <w:rFonts w:ascii="宋体" w:hAnsi="宋体"/>
          <w:color w:val="auto"/>
          <w:sz w:val="22"/>
          <w:szCs w:val="22"/>
          <w:highlight w:val="none"/>
          <w:u w:val="single"/>
        </w:rPr>
      </w:pPr>
      <w:r>
        <w:rPr>
          <w:rFonts w:hint="eastAsia" w:ascii="宋体" w:hAnsi="宋体"/>
          <w:color w:val="auto"/>
          <w:sz w:val="22"/>
          <w:szCs w:val="22"/>
          <w:highlight w:val="none"/>
        </w:rPr>
        <w:t>日期：</w:t>
      </w:r>
    </w:p>
    <w:p>
      <w:pPr>
        <w:spacing w:line="380" w:lineRule="exact"/>
        <w:rPr>
          <w:rFonts w:ascii="宋体" w:hAnsi="宋体"/>
          <w:color w:val="auto"/>
          <w:sz w:val="24"/>
          <w:highlight w:val="none"/>
          <w:u w:val="single"/>
        </w:rPr>
      </w:pPr>
    </w:p>
    <w:p>
      <w:pPr>
        <w:pStyle w:val="4"/>
        <w:spacing w:line="380" w:lineRule="exact"/>
        <w:rPr>
          <w:rFonts w:ascii="宋体" w:hAnsi="宋体"/>
          <w:color w:val="auto"/>
          <w:sz w:val="24"/>
          <w:szCs w:val="24"/>
          <w:highlight w:val="none"/>
        </w:rPr>
        <w:sectPr>
          <w:pgSz w:w="11907" w:h="16840"/>
          <w:pgMar w:top="1304" w:right="1588" w:bottom="1560" w:left="1588" w:header="720" w:footer="720" w:gutter="0"/>
          <w:pgNumType w:fmt="decimal"/>
          <w:cols w:space="720" w:num="1"/>
          <w:docGrid w:linePitch="285" w:charSpace="0"/>
        </w:sectPr>
      </w:pPr>
      <w:bookmarkStart w:id="243" w:name="_Toc10625"/>
      <w:bookmarkStart w:id="244" w:name="_Toc136017666"/>
      <w:bookmarkStart w:id="245" w:name="_Toc136345127"/>
    </w:p>
    <w:p>
      <w:pPr>
        <w:pStyle w:val="5"/>
        <w:spacing w:line="380" w:lineRule="exact"/>
        <w:ind w:left="0" w:firstLine="0"/>
        <w:rPr>
          <w:rFonts w:ascii="宋体" w:hAnsi="宋体"/>
          <w:color w:val="auto"/>
          <w:sz w:val="24"/>
          <w:szCs w:val="24"/>
          <w:highlight w:val="none"/>
        </w:rPr>
      </w:pPr>
      <w:r>
        <w:rPr>
          <w:rFonts w:hint="eastAsia" w:ascii="宋体" w:hAnsi="宋体"/>
          <w:color w:val="auto"/>
          <w:sz w:val="28"/>
          <w:szCs w:val="28"/>
          <w:highlight w:val="none"/>
        </w:rPr>
        <w:t>（七）第五部分“评标办法”中“评分标准”要求提供的资料（如有需提供）</w:t>
      </w:r>
      <w:bookmarkEnd w:id="243"/>
      <w:bookmarkEnd w:id="244"/>
      <w:bookmarkEnd w:id="245"/>
    </w:p>
    <w:p>
      <w:pPr>
        <w:jc w:val="center"/>
        <w:rPr>
          <w:rFonts w:ascii="宋体" w:hAnsi="宋体"/>
          <w:b/>
          <w:color w:val="auto"/>
          <w:sz w:val="24"/>
          <w:szCs w:val="24"/>
          <w:highlight w:val="none"/>
        </w:rPr>
      </w:pPr>
    </w:p>
    <w:p>
      <w:pPr>
        <w:jc w:val="center"/>
        <w:rPr>
          <w:rFonts w:ascii="宋体" w:hAnsi="宋体"/>
          <w:b/>
          <w:color w:val="auto"/>
          <w:sz w:val="24"/>
          <w:szCs w:val="24"/>
          <w:highlight w:val="none"/>
        </w:rPr>
      </w:pPr>
      <w:r>
        <w:rPr>
          <w:rFonts w:hint="eastAsia" w:ascii="宋体" w:hAnsi="宋体"/>
          <w:b/>
          <w:color w:val="auto"/>
          <w:sz w:val="24"/>
          <w:szCs w:val="24"/>
          <w:highlight w:val="none"/>
        </w:rPr>
        <w:t>1.1投标人自2023年1月1日以来业绩汇总表</w:t>
      </w:r>
    </w:p>
    <w:tbl>
      <w:tblPr>
        <w:tblStyle w:val="3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226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pPr>
              <w:pStyle w:val="97"/>
              <w:jc w:val="center"/>
              <w:rPr>
                <w:bCs w:val="0"/>
                <w:color w:val="auto"/>
                <w:sz w:val="24"/>
                <w:szCs w:val="24"/>
                <w:highlight w:val="none"/>
                <w:lang w:val="en-US"/>
              </w:rPr>
            </w:pPr>
            <w:r>
              <w:rPr>
                <w:rFonts w:hint="eastAsia"/>
                <w:bCs w:val="0"/>
                <w:color w:val="auto"/>
                <w:sz w:val="24"/>
                <w:szCs w:val="24"/>
                <w:highlight w:val="none"/>
                <w:lang w:val="en-US"/>
              </w:rPr>
              <w:t>项目序号</w:t>
            </w:r>
          </w:p>
        </w:tc>
        <w:tc>
          <w:tcPr>
            <w:tcW w:w="2268" w:type="dxa"/>
            <w:vAlign w:val="center"/>
          </w:tcPr>
          <w:p>
            <w:pPr>
              <w:pStyle w:val="97"/>
              <w:jc w:val="center"/>
              <w:rPr>
                <w:bCs w:val="0"/>
                <w:color w:val="auto"/>
                <w:sz w:val="24"/>
                <w:szCs w:val="24"/>
                <w:highlight w:val="none"/>
                <w:lang w:val="en-US"/>
              </w:rPr>
            </w:pPr>
            <w:r>
              <w:rPr>
                <w:rFonts w:hint="eastAsia"/>
                <w:bCs w:val="0"/>
                <w:color w:val="auto"/>
                <w:sz w:val="24"/>
                <w:szCs w:val="24"/>
                <w:highlight w:val="none"/>
                <w:lang w:val="en-US"/>
              </w:rPr>
              <w:t>项目名称</w:t>
            </w:r>
          </w:p>
        </w:tc>
        <w:tc>
          <w:tcPr>
            <w:tcW w:w="2268" w:type="dxa"/>
            <w:vAlign w:val="center"/>
          </w:tcPr>
          <w:p>
            <w:pPr>
              <w:pStyle w:val="97"/>
              <w:jc w:val="center"/>
              <w:rPr>
                <w:bCs w:val="0"/>
                <w:color w:val="auto"/>
                <w:sz w:val="24"/>
                <w:szCs w:val="24"/>
                <w:highlight w:val="none"/>
                <w:lang w:val="en-US"/>
              </w:rPr>
            </w:pPr>
            <w:r>
              <w:rPr>
                <w:rFonts w:hint="eastAsia"/>
                <w:bCs w:val="0"/>
                <w:color w:val="auto"/>
                <w:sz w:val="24"/>
                <w:szCs w:val="24"/>
                <w:highlight w:val="none"/>
                <w:lang w:val="en-US"/>
              </w:rPr>
              <w:t>发包人名称</w:t>
            </w:r>
          </w:p>
        </w:tc>
        <w:tc>
          <w:tcPr>
            <w:tcW w:w="2977" w:type="dxa"/>
            <w:vAlign w:val="center"/>
          </w:tcPr>
          <w:p>
            <w:pPr>
              <w:pStyle w:val="97"/>
              <w:jc w:val="center"/>
              <w:rPr>
                <w:bCs w:val="0"/>
                <w:color w:val="auto"/>
                <w:sz w:val="24"/>
                <w:szCs w:val="24"/>
                <w:highlight w:val="none"/>
                <w:lang w:val="en-US"/>
              </w:rPr>
            </w:pPr>
            <w:r>
              <w:rPr>
                <w:rFonts w:hint="eastAsia"/>
                <w:bCs w:val="0"/>
                <w:color w:val="auto"/>
                <w:sz w:val="24"/>
                <w:szCs w:val="24"/>
                <w:highlight w:val="none"/>
                <w:lang w:val="en-US"/>
              </w:rPr>
              <w:t>服务开始和完成日期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97"/>
              <w:jc w:val="center"/>
              <w:rPr>
                <w:bCs w:val="0"/>
                <w:color w:val="auto"/>
                <w:sz w:val="24"/>
                <w:szCs w:val="24"/>
                <w:highlight w:val="none"/>
                <w:lang w:val="en-US"/>
              </w:rPr>
            </w:pPr>
          </w:p>
        </w:tc>
        <w:tc>
          <w:tcPr>
            <w:tcW w:w="2268" w:type="dxa"/>
            <w:vAlign w:val="center"/>
          </w:tcPr>
          <w:p>
            <w:pPr>
              <w:pStyle w:val="97"/>
              <w:jc w:val="center"/>
              <w:rPr>
                <w:bCs w:val="0"/>
                <w:color w:val="auto"/>
                <w:sz w:val="24"/>
                <w:szCs w:val="24"/>
                <w:highlight w:val="none"/>
                <w:lang w:val="en-US"/>
              </w:rPr>
            </w:pPr>
          </w:p>
        </w:tc>
        <w:tc>
          <w:tcPr>
            <w:tcW w:w="2268" w:type="dxa"/>
            <w:vAlign w:val="center"/>
          </w:tcPr>
          <w:p>
            <w:pPr>
              <w:pStyle w:val="97"/>
              <w:jc w:val="center"/>
              <w:rPr>
                <w:bCs w:val="0"/>
                <w:color w:val="auto"/>
                <w:sz w:val="24"/>
                <w:szCs w:val="24"/>
                <w:highlight w:val="none"/>
                <w:lang w:val="en-US"/>
              </w:rPr>
            </w:pPr>
          </w:p>
        </w:tc>
        <w:tc>
          <w:tcPr>
            <w:tcW w:w="2977" w:type="dxa"/>
            <w:vAlign w:val="center"/>
          </w:tcPr>
          <w:p>
            <w:pPr>
              <w:pStyle w:val="97"/>
              <w:jc w:val="center"/>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97"/>
              <w:jc w:val="center"/>
              <w:rPr>
                <w:bCs w:val="0"/>
                <w:color w:val="auto"/>
                <w:sz w:val="24"/>
                <w:szCs w:val="24"/>
                <w:highlight w:val="none"/>
                <w:lang w:val="en-US"/>
              </w:rPr>
            </w:pPr>
          </w:p>
        </w:tc>
        <w:tc>
          <w:tcPr>
            <w:tcW w:w="2268" w:type="dxa"/>
            <w:vAlign w:val="center"/>
          </w:tcPr>
          <w:p>
            <w:pPr>
              <w:pStyle w:val="97"/>
              <w:jc w:val="center"/>
              <w:rPr>
                <w:bCs w:val="0"/>
                <w:color w:val="auto"/>
                <w:sz w:val="24"/>
                <w:szCs w:val="24"/>
                <w:highlight w:val="none"/>
                <w:lang w:val="en-US"/>
              </w:rPr>
            </w:pPr>
          </w:p>
        </w:tc>
        <w:tc>
          <w:tcPr>
            <w:tcW w:w="2268" w:type="dxa"/>
            <w:vAlign w:val="center"/>
          </w:tcPr>
          <w:p>
            <w:pPr>
              <w:pStyle w:val="97"/>
              <w:jc w:val="center"/>
              <w:rPr>
                <w:bCs w:val="0"/>
                <w:color w:val="auto"/>
                <w:sz w:val="24"/>
                <w:szCs w:val="24"/>
                <w:highlight w:val="none"/>
                <w:lang w:val="en-US"/>
              </w:rPr>
            </w:pPr>
          </w:p>
        </w:tc>
        <w:tc>
          <w:tcPr>
            <w:tcW w:w="2977" w:type="dxa"/>
            <w:vAlign w:val="center"/>
          </w:tcPr>
          <w:p>
            <w:pPr>
              <w:pStyle w:val="97"/>
              <w:jc w:val="center"/>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97"/>
              <w:jc w:val="center"/>
              <w:rPr>
                <w:bCs w:val="0"/>
                <w:color w:val="auto"/>
                <w:sz w:val="24"/>
                <w:szCs w:val="24"/>
                <w:highlight w:val="none"/>
                <w:lang w:val="en-US"/>
              </w:rPr>
            </w:pPr>
          </w:p>
        </w:tc>
        <w:tc>
          <w:tcPr>
            <w:tcW w:w="2268" w:type="dxa"/>
            <w:vAlign w:val="center"/>
          </w:tcPr>
          <w:p>
            <w:pPr>
              <w:pStyle w:val="97"/>
              <w:jc w:val="center"/>
              <w:rPr>
                <w:bCs w:val="0"/>
                <w:color w:val="auto"/>
                <w:sz w:val="24"/>
                <w:szCs w:val="24"/>
                <w:highlight w:val="none"/>
                <w:lang w:val="en-US"/>
              </w:rPr>
            </w:pPr>
          </w:p>
        </w:tc>
        <w:tc>
          <w:tcPr>
            <w:tcW w:w="2268" w:type="dxa"/>
            <w:vAlign w:val="center"/>
          </w:tcPr>
          <w:p>
            <w:pPr>
              <w:pStyle w:val="97"/>
              <w:jc w:val="center"/>
              <w:rPr>
                <w:bCs w:val="0"/>
                <w:color w:val="auto"/>
                <w:sz w:val="24"/>
                <w:szCs w:val="24"/>
                <w:highlight w:val="none"/>
                <w:lang w:val="en-US"/>
              </w:rPr>
            </w:pPr>
          </w:p>
        </w:tc>
        <w:tc>
          <w:tcPr>
            <w:tcW w:w="2977" w:type="dxa"/>
            <w:vAlign w:val="center"/>
          </w:tcPr>
          <w:p>
            <w:pPr>
              <w:pStyle w:val="97"/>
              <w:jc w:val="center"/>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97"/>
              <w:jc w:val="center"/>
              <w:rPr>
                <w:bCs w:val="0"/>
                <w:color w:val="auto"/>
                <w:sz w:val="24"/>
                <w:szCs w:val="24"/>
                <w:highlight w:val="none"/>
                <w:lang w:val="en-US"/>
              </w:rPr>
            </w:pPr>
          </w:p>
        </w:tc>
        <w:tc>
          <w:tcPr>
            <w:tcW w:w="2268" w:type="dxa"/>
            <w:vAlign w:val="center"/>
          </w:tcPr>
          <w:p>
            <w:pPr>
              <w:pStyle w:val="97"/>
              <w:jc w:val="center"/>
              <w:rPr>
                <w:bCs w:val="0"/>
                <w:color w:val="auto"/>
                <w:sz w:val="24"/>
                <w:szCs w:val="24"/>
                <w:highlight w:val="none"/>
                <w:lang w:val="en-US"/>
              </w:rPr>
            </w:pPr>
          </w:p>
        </w:tc>
        <w:tc>
          <w:tcPr>
            <w:tcW w:w="2268" w:type="dxa"/>
            <w:vAlign w:val="center"/>
          </w:tcPr>
          <w:p>
            <w:pPr>
              <w:pStyle w:val="97"/>
              <w:jc w:val="center"/>
              <w:rPr>
                <w:bCs w:val="0"/>
                <w:color w:val="auto"/>
                <w:sz w:val="24"/>
                <w:szCs w:val="24"/>
                <w:highlight w:val="none"/>
                <w:lang w:val="en-US"/>
              </w:rPr>
            </w:pPr>
          </w:p>
        </w:tc>
        <w:tc>
          <w:tcPr>
            <w:tcW w:w="2977" w:type="dxa"/>
            <w:vAlign w:val="center"/>
          </w:tcPr>
          <w:p>
            <w:pPr>
              <w:pStyle w:val="97"/>
              <w:jc w:val="center"/>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97"/>
              <w:jc w:val="center"/>
              <w:rPr>
                <w:bCs w:val="0"/>
                <w:color w:val="auto"/>
                <w:sz w:val="24"/>
                <w:szCs w:val="24"/>
                <w:highlight w:val="none"/>
                <w:lang w:val="en-US"/>
              </w:rPr>
            </w:pPr>
          </w:p>
        </w:tc>
        <w:tc>
          <w:tcPr>
            <w:tcW w:w="2268" w:type="dxa"/>
            <w:vAlign w:val="center"/>
          </w:tcPr>
          <w:p>
            <w:pPr>
              <w:pStyle w:val="97"/>
              <w:jc w:val="center"/>
              <w:rPr>
                <w:bCs w:val="0"/>
                <w:color w:val="auto"/>
                <w:sz w:val="24"/>
                <w:szCs w:val="24"/>
                <w:highlight w:val="none"/>
                <w:lang w:val="en-US"/>
              </w:rPr>
            </w:pPr>
          </w:p>
        </w:tc>
        <w:tc>
          <w:tcPr>
            <w:tcW w:w="2268" w:type="dxa"/>
            <w:vAlign w:val="center"/>
          </w:tcPr>
          <w:p>
            <w:pPr>
              <w:pStyle w:val="97"/>
              <w:jc w:val="center"/>
              <w:rPr>
                <w:bCs w:val="0"/>
                <w:color w:val="auto"/>
                <w:sz w:val="24"/>
                <w:szCs w:val="24"/>
                <w:highlight w:val="none"/>
                <w:lang w:val="en-US"/>
              </w:rPr>
            </w:pPr>
          </w:p>
        </w:tc>
        <w:tc>
          <w:tcPr>
            <w:tcW w:w="2977" w:type="dxa"/>
            <w:vAlign w:val="center"/>
          </w:tcPr>
          <w:p>
            <w:pPr>
              <w:pStyle w:val="97"/>
              <w:jc w:val="center"/>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97"/>
              <w:jc w:val="center"/>
              <w:rPr>
                <w:bCs w:val="0"/>
                <w:color w:val="auto"/>
                <w:sz w:val="24"/>
                <w:szCs w:val="24"/>
                <w:highlight w:val="none"/>
                <w:lang w:val="en-US"/>
              </w:rPr>
            </w:pPr>
          </w:p>
        </w:tc>
        <w:tc>
          <w:tcPr>
            <w:tcW w:w="2268" w:type="dxa"/>
            <w:vAlign w:val="center"/>
          </w:tcPr>
          <w:p>
            <w:pPr>
              <w:pStyle w:val="97"/>
              <w:jc w:val="center"/>
              <w:rPr>
                <w:bCs w:val="0"/>
                <w:color w:val="auto"/>
                <w:sz w:val="24"/>
                <w:szCs w:val="24"/>
                <w:highlight w:val="none"/>
                <w:lang w:val="en-US"/>
              </w:rPr>
            </w:pPr>
          </w:p>
        </w:tc>
        <w:tc>
          <w:tcPr>
            <w:tcW w:w="2268" w:type="dxa"/>
            <w:vAlign w:val="center"/>
          </w:tcPr>
          <w:p>
            <w:pPr>
              <w:pStyle w:val="97"/>
              <w:jc w:val="center"/>
              <w:rPr>
                <w:bCs w:val="0"/>
                <w:color w:val="auto"/>
                <w:sz w:val="24"/>
                <w:szCs w:val="24"/>
                <w:highlight w:val="none"/>
                <w:lang w:val="en-US"/>
              </w:rPr>
            </w:pPr>
          </w:p>
        </w:tc>
        <w:tc>
          <w:tcPr>
            <w:tcW w:w="2977" w:type="dxa"/>
            <w:vAlign w:val="center"/>
          </w:tcPr>
          <w:p>
            <w:pPr>
              <w:pStyle w:val="97"/>
              <w:jc w:val="center"/>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97"/>
              <w:jc w:val="center"/>
              <w:rPr>
                <w:bCs w:val="0"/>
                <w:color w:val="auto"/>
                <w:sz w:val="24"/>
                <w:szCs w:val="24"/>
                <w:highlight w:val="none"/>
                <w:lang w:val="en-US"/>
              </w:rPr>
            </w:pPr>
          </w:p>
        </w:tc>
        <w:tc>
          <w:tcPr>
            <w:tcW w:w="2268" w:type="dxa"/>
            <w:vAlign w:val="center"/>
          </w:tcPr>
          <w:p>
            <w:pPr>
              <w:pStyle w:val="97"/>
              <w:jc w:val="center"/>
              <w:rPr>
                <w:bCs w:val="0"/>
                <w:color w:val="auto"/>
                <w:sz w:val="24"/>
                <w:szCs w:val="24"/>
                <w:highlight w:val="none"/>
                <w:lang w:val="en-US"/>
              </w:rPr>
            </w:pPr>
          </w:p>
        </w:tc>
        <w:tc>
          <w:tcPr>
            <w:tcW w:w="2268" w:type="dxa"/>
            <w:vAlign w:val="center"/>
          </w:tcPr>
          <w:p>
            <w:pPr>
              <w:pStyle w:val="97"/>
              <w:jc w:val="center"/>
              <w:rPr>
                <w:bCs w:val="0"/>
                <w:color w:val="auto"/>
                <w:sz w:val="24"/>
                <w:szCs w:val="24"/>
                <w:highlight w:val="none"/>
                <w:lang w:val="en-US"/>
              </w:rPr>
            </w:pPr>
          </w:p>
        </w:tc>
        <w:tc>
          <w:tcPr>
            <w:tcW w:w="2977" w:type="dxa"/>
            <w:vAlign w:val="center"/>
          </w:tcPr>
          <w:p>
            <w:pPr>
              <w:pStyle w:val="97"/>
              <w:jc w:val="center"/>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pPr>
              <w:pStyle w:val="97"/>
              <w:jc w:val="center"/>
              <w:rPr>
                <w:bCs w:val="0"/>
                <w:color w:val="auto"/>
                <w:sz w:val="24"/>
                <w:szCs w:val="24"/>
                <w:highlight w:val="none"/>
                <w:lang w:val="en-US"/>
              </w:rPr>
            </w:pPr>
          </w:p>
        </w:tc>
        <w:tc>
          <w:tcPr>
            <w:tcW w:w="2268" w:type="dxa"/>
            <w:vAlign w:val="center"/>
          </w:tcPr>
          <w:p>
            <w:pPr>
              <w:pStyle w:val="97"/>
              <w:jc w:val="center"/>
              <w:rPr>
                <w:bCs w:val="0"/>
                <w:color w:val="auto"/>
                <w:sz w:val="24"/>
                <w:szCs w:val="24"/>
                <w:highlight w:val="none"/>
                <w:lang w:val="en-US"/>
              </w:rPr>
            </w:pPr>
          </w:p>
        </w:tc>
        <w:tc>
          <w:tcPr>
            <w:tcW w:w="2268" w:type="dxa"/>
            <w:vAlign w:val="center"/>
          </w:tcPr>
          <w:p>
            <w:pPr>
              <w:pStyle w:val="97"/>
              <w:jc w:val="center"/>
              <w:rPr>
                <w:bCs w:val="0"/>
                <w:color w:val="auto"/>
                <w:sz w:val="24"/>
                <w:szCs w:val="24"/>
                <w:highlight w:val="none"/>
                <w:lang w:val="en-US"/>
              </w:rPr>
            </w:pPr>
          </w:p>
        </w:tc>
        <w:tc>
          <w:tcPr>
            <w:tcW w:w="2977" w:type="dxa"/>
            <w:vAlign w:val="center"/>
          </w:tcPr>
          <w:p>
            <w:pPr>
              <w:pStyle w:val="97"/>
              <w:jc w:val="center"/>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242" w:type="dxa"/>
            <w:vAlign w:val="center"/>
          </w:tcPr>
          <w:p>
            <w:pPr>
              <w:pStyle w:val="97"/>
              <w:jc w:val="center"/>
              <w:rPr>
                <w:bCs w:val="0"/>
                <w:color w:val="auto"/>
                <w:sz w:val="24"/>
                <w:szCs w:val="24"/>
                <w:highlight w:val="none"/>
                <w:lang w:val="en-US"/>
              </w:rPr>
            </w:pPr>
          </w:p>
        </w:tc>
        <w:tc>
          <w:tcPr>
            <w:tcW w:w="2268" w:type="dxa"/>
            <w:vAlign w:val="center"/>
          </w:tcPr>
          <w:p>
            <w:pPr>
              <w:pStyle w:val="97"/>
              <w:jc w:val="center"/>
              <w:rPr>
                <w:bCs w:val="0"/>
                <w:color w:val="auto"/>
                <w:sz w:val="24"/>
                <w:szCs w:val="24"/>
                <w:highlight w:val="none"/>
                <w:lang w:val="en-US"/>
              </w:rPr>
            </w:pPr>
          </w:p>
        </w:tc>
        <w:tc>
          <w:tcPr>
            <w:tcW w:w="2268" w:type="dxa"/>
            <w:vAlign w:val="center"/>
          </w:tcPr>
          <w:p>
            <w:pPr>
              <w:pStyle w:val="97"/>
              <w:jc w:val="center"/>
              <w:rPr>
                <w:bCs w:val="0"/>
                <w:color w:val="auto"/>
                <w:sz w:val="24"/>
                <w:szCs w:val="24"/>
                <w:highlight w:val="none"/>
                <w:lang w:val="en-US"/>
              </w:rPr>
            </w:pPr>
          </w:p>
        </w:tc>
        <w:tc>
          <w:tcPr>
            <w:tcW w:w="2977" w:type="dxa"/>
            <w:vAlign w:val="center"/>
          </w:tcPr>
          <w:p>
            <w:pPr>
              <w:pStyle w:val="97"/>
              <w:jc w:val="center"/>
              <w:rPr>
                <w:bCs w:val="0"/>
                <w:color w:val="auto"/>
                <w:sz w:val="24"/>
                <w:szCs w:val="24"/>
                <w:highlight w:val="none"/>
                <w:lang w:val="en-US"/>
              </w:rPr>
            </w:pPr>
          </w:p>
        </w:tc>
      </w:tr>
    </w:tbl>
    <w:p>
      <w:pPr>
        <w:spacing w:line="380" w:lineRule="exact"/>
        <w:rPr>
          <w:rFonts w:ascii="宋体" w:hAnsi="宋体"/>
          <w:color w:val="auto"/>
          <w:sz w:val="22"/>
          <w:szCs w:val="22"/>
          <w:highlight w:val="none"/>
        </w:rPr>
      </w:pPr>
      <w:r>
        <w:rPr>
          <w:rFonts w:hint="eastAsia" w:ascii="宋体" w:hAnsi="宋体"/>
          <w:color w:val="auto"/>
          <w:sz w:val="22"/>
          <w:szCs w:val="22"/>
          <w:highlight w:val="none"/>
        </w:rPr>
        <w:t>投标人（公章）：</w:t>
      </w:r>
    </w:p>
    <w:p>
      <w:pPr>
        <w:spacing w:line="380" w:lineRule="exact"/>
        <w:rPr>
          <w:rFonts w:ascii="宋体" w:hAnsi="宋体"/>
          <w:color w:val="auto"/>
          <w:sz w:val="22"/>
          <w:szCs w:val="22"/>
          <w:highlight w:val="none"/>
          <w:u w:val="single"/>
        </w:rPr>
      </w:pPr>
      <w:r>
        <w:rPr>
          <w:rFonts w:hint="eastAsia" w:ascii="宋体" w:hAnsi="宋体"/>
          <w:color w:val="auto"/>
          <w:sz w:val="22"/>
          <w:szCs w:val="22"/>
          <w:highlight w:val="none"/>
        </w:rPr>
        <w:t>投标人代表（签字或印章）：</w:t>
      </w:r>
    </w:p>
    <w:p>
      <w:pPr>
        <w:spacing w:line="380" w:lineRule="exact"/>
        <w:rPr>
          <w:rFonts w:ascii="宋体" w:hAnsi="宋体"/>
          <w:color w:val="auto"/>
          <w:sz w:val="22"/>
          <w:szCs w:val="22"/>
          <w:highlight w:val="none"/>
          <w:u w:val="single"/>
        </w:rPr>
      </w:pPr>
      <w:r>
        <w:rPr>
          <w:rFonts w:hint="eastAsia" w:ascii="宋体"/>
          <w:color w:val="auto"/>
          <w:sz w:val="22"/>
          <w:szCs w:val="22"/>
          <w:highlight w:val="none"/>
        </w:rPr>
        <w:t>日期：</w:t>
      </w:r>
    </w:p>
    <w:p>
      <w:pPr>
        <w:spacing w:after="120" w:afterLines="50"/>
        <w:jc w:val="center"/>
        <w:rPr>
          <w:rFonts w:asci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1.2投标人自2023年1月1日以来业绩详细情况表</w:t>
      </w:r>
    </w:p>
    <w:p>
      <w:pPr>
        <w:spacing w:after="120" w:afterLines="50"/>
        <w:jc w:val="left"/>
        <w:rPr>
          <w:rFonts w:ascii="宋体"/>
          <w:b/>
          <w:color w:val="auto"/>
          <w:sz w:val="24"/>
          <w:szCs w:val="24"/>
          <w:highlight w:val="none"/>
        </w:rPr>
      </w:pPr>
      <w:r>
        <w:rPr>
          <w:rFonts w:hint="eastAsia" w:ascii="宋体" w:hAnsi="宋体"/>
          <w:b/>
          <w:color w:val="auto"/>
          <w:sz w:val="24"/>
          <w:szCs w:val="24"/>
          <w:highlight w:val="none"/>
        </w:rPr>
        <w:t>项目序号：</w:t>
      </w:r>
    </w:p>
    <w:tbl>
      <w:tblPr>
        <w:tblStyle w:val="34"/>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0"/>
        <w:gridCol w:w="6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750" w:type="dxa"/>
            <w:vAlign w:val="center"/>
          </w:tcPr>
          <w:p>
            <w:pPr>
              <w:pStyle w:val="97"/>
              <w:spacing w:line="380" w:lineRule="exact"/>
              <w:rPr>
                <w:bCs w:val="0"/>
                <w:color w:val="auto"/>
                <w:sz w:val="24"/>
                <w:szCs w:val="24"/>
                <w:highlight w:val="none"/>
                <w:lang w:val="en-US"/>
              </w:rPr>
            </w:pPr>
            <w:r>
              <w:rPr>
                <w:rFonts w:hint="eastAsia"/>
                <w:bCs w:val="0"/>
                <w:color w:val="auto"/>
                <w:sz w:val="24"/>
                <w:szCs w:val="24"/>
                <w:highlight w:val="none"/>
                <w:lang w:val="en-US"/>
              </w:rPr>
              <w:t>项目名称</w:t>
            </w:r>
          </w:p>
        </w:tc>
        <w:tc>
          <w:tcPr>
            <w:tcW w:w="6169" w:type="dxa"/>
          </w:tcPr>
          <w:p>
            <w:pPr>
              <w:pStyle w:val="97"/>
              <w:spacing w:line="380" w:lineRule="exact"/>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50" w:type="dxa"/>
            <w:vAlign w:val="center"/>
          </w:tcPr>
          <w:p>
            <w:pPr>
              <w:pStyle w:val="97"/>
              <w:spacing w:line="380" w:lineRule="exact"/>
              <w:rPr>
                <w:bCs w:val="0"/>
                <w:color w:val="auto"/>
                <w:sz w:val="24"/>
                <w:szCs w:val="24"/>
                <w:highlight w:val="none"/>
                <w:lang w:val="en-US"/>
              </w:rPr>
            </w:pPr>
            <w:r>
              <w:rPr>
                <w:rFonts w:hint="eastAsia"/>
                <w:bCs w:val="0"/>
                <w:color w:val="auto"/>
                <w:sz w:val="24"/>
                <w:szCs w:val="24"/>
                <w:highlight w:val="none"/>
                <w:lang w:val="en-US"/>
              </w:rPr>
              <w:t>项目所在地</w:t>
            </w:r>
          </w:p>
        </w:tc>
        <w:tc>
          <w:tcPr>
            <w:tcW w:w="6169" w:type="dxa"/>
          </w:tcPr>
          <w:p>
            <w:pPr>
              <w:pStyle w:val="97"/>
              <w:spacing w:line="380" w:lineRule="exact"/>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50" w:type="dxa"/>
            <w:vAlign w:val="center"/>
          </w:tcPr>
          <w:p>
            <w:pPr>
              <w:pStyle w:val="97"/>
              <w:spacing w:line="380" w:lineRule="exact"/>
              <w:rPr>
                <w:bCs w:val="0"/>
                <w:color w:val="auto"/>
                <w:sz w:val="24"/>
                <w:szCs w:val="24"/>
                <w:highlight w:val="none"/>
                <w:lang w:val="en-US"/>
              </w:rPr>
            </w:pPr>
            <w:r>
              <w:rPr>
                <w:rFonts w:hint="eastAsia"/>
                <w:bCs w:val="0"/>
                <w:color w:val="auto"/>
                <w:sz w:val="24"/>
                <w:szCs w:val="24"/>
                <w:highlight w:val="none"/>
                <w:lang w:val="en-US"/>
              </w:rPr>
              <w:t>发包人名称</w:t>
            </w:r>
          </w:p>
        </w:tc>
        <w:tc>
          <w:tcPr>
            <w:tcW w:w="6169" w:type="dxa"/>
          </w:tcPr>
          <w:p>
            <w:pPr>
              <w:pStyle w:val="97"/>
              <w:spacing w:line="380" w:lineRule="exact"/>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50" w:type="dxa"/>
            <w:vAlign w:val="center"/>
          </w:tcPr>
          <w:p>
            <w:pPr>
              <w:pStyle w:val="97"/>
              <w:spacing w:line="380" w:lineRule="exact"/>
              <w:rPr>
                <w:bCs w:val="0"/>
                <w:color w:val="auto"/>
                <w:sz w:val="24"/>
                <w:szCs w:val="24"/>
                <w:highlight w:val="none"/>
                <w:lang w:val="en-US"/>
              </w:rPr>
            </w:pPr>
            <w:r>
              <w:rPr>
                <w:rFonts w:hint="eastAsia"/>
                <w:bCs w:val="0"/>
                <w:color w:val="auto"/>
                <w:sz w:val="24"/>
                <w:szCs w:val="24"/>
                <w:highlight w:val="none"/>
                <w:lang w:val="en-US"/>
              </w:rPr>
              <w:t>发包人地址</w:t>
            </w:r>
          </w:p>
        </w:tc>
        <w:tc>
          <w:tcPr>
            <w:tcW w:w="6169" w:type="dxa"/>
          </w:tcPr>
          <w:p>
            <w:pPr>
              <w:pStyle w:val="97"/>
              <w:spacing w:line="380" w:lineRule="exact"/>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50" w:type="dxa"/>
            <w:vAlign w:val="center"/>
          </w:tcPr>
          <w:p>
            <w:pPr>
              <w:pStyle w:val="97"/>
              <w:spacing w:line="380" w:lineRule="exact"/>
              <w:rPr>
                <w:bCs w:val="0"/>
                <w:color w:val="auto"/>
                <w:sz w:val="24"/>
                <w:szCs w:val="24"/>
                <w:highlight w:val="none"/>
                <w:lang w:val="en-US"/>
              </w:rPr>
            </w:pPr>
            <w:r>
              <w:rPr>
                <w:rFonts w:hint="eastAsia"/>
                <w:bCs w:val="0"/>
                <w:color w:val="auto"/>
                <w:sz w:val="24"/>
                <w:szCs w:val="24"/>
                <w:highlight w:val="none"/>
                <w:lang w:val="en-US"/>
              </w:rPr>
              <w:t>发包人电话</w:t>
            </w:r>
          </w:p>
        </w:tc>
        <w:tc>
          <w:tcPr>
            <w:tcW w:w="6169" w:type="dxa"/>
          </w:tcPr>
          <w:p>
            <w:pPr>
              <w:pStyle w:val="97"/>
              <w:spacing w:line="380" w:lineRule="exact"/>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50" w:type="dxa"/>
            <w:vAlign w:val="center"/>
          </w:tcPr>
          <w:p>
            <w:pPr>
              <w:pStyle w:val="97"/>
              <w:spacing w:line="380" w:lineRule="exact"/>
              <w:rPr>
                <w:bCs w:val="0"/>
                <w:color w:val="auto"/>
                <w:sz w:val="24"/>
                <w:szCs w:val="24"/>
                <w:highlight w:val="none"/>
                <w:lang w:val="en-US"/>
              </w:rPr>
            </w:pPr>
            <w:r>
              <w:rPr>
                <w:rFonts w:hint="eastAsia"/>
                <w:bCs w:val="0"/>
                <w:color w:val="auto"/>
                <w:sz w:val="24"/>
                <w:szCs w:val="24"/>
                <w:highlight w:val="none"/>
                <w:lang w:val="en-US"/>
              </w:rPr>
              <w:t>主要服务内容</w:t>
            </w:r>
          </w:p>
        </w:tc>
        <w:tc>
          <w:tcPr>
            <w:tcW w:w="6169" w:type="dxa"/>
          </w:tcPr>
          <w:p>
            <w:pPr>
              <w:pStyle w:val="97"/>
              <w:spacing w:line="380" w:lineRule="exact"/>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750" w:type="dxa"/>
            <w:vAlign w:val="center"/>
          </w:tcPr>
          <w:p>
            <w:pPr>
              <w:pStyle w:val="97"/>
              <w:spacing w:line="380" w:lineRule="exact"/>
              <w:rPr>
                <w:bCs w:val="0"/>
                <w:color w:val="auto"/>
                <w:sz w:val="24"/>
                <w:szCs w:val="24"/>
                <w:highlight w:val="none"/>
                <w:lang w:val="en-US"/>
              </w:rPr>
            </w:pPr>
            <w:r>
              <w:rPr>
                <w:rFonts w:hint="eastAsia"/>
                <w:bCs w:val="0"/>
                <w:color w:val="auto"/>
                <w:sz w:val="24"/>
                <w:szCs w:val="24"/>
                <w:highlight w:val="none"/>
                <w:lang w:val="en-US"/>
              </w:rPr>
              <w:t>项目金额</w:t>
            </w:r>
          </w:p>
        </w:tc>
        <w:tc>
          <w:tcPr>
            <w:tcW w:w="6169" w:type="dxa"/>
          </w:tcPr>
          <w:p>
            <w:pPr>
              <w:pStyle w:val="97"/>
              <w:spacing w:line="380" w:lineRule="exact"/>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50" w:type="dxa"/>
            <w:vAlign w:val="center"/>
          </w:tcPr>
          <w:p>
            <w:pPr>
              <w:pStyle w:val="97"/>
              <w:spacing w:line="380" w:lineRule="exact"/>
              <w:rPr>
                <w:bCs w:val="0"/>
                <w:color w:val="auto"/>
                <w:sz w:val="24"/>
                <w:szCs w:val="24"/>
                <w:highlight w:val="none"/>
                <w:lang w:val="en-US"/>
              </w:rPr>
            </w:pPr>
            <w:r>
              <w:rPr>
                <w:rFonts w:hint="eastAsia"/>
                <w:bCs w:val="0"/>
                <w:color w:val="auto"/>
                <w:sz w:val="24"/>
                <w:szCs w:val="24"/>
                <w:highlight w:val="none"/>
                <w:lang w:val="en-US"/>
              </w:rPr>
              <w:t>项目负责人</w:t>
            </w:r>
          </w:p>
        </w:tc>
        <w:tc>
          <w:tcPr>
            <w:tcW w:w="6169" w:type="dxa"/>
          </w:tcPr>
          <w:p>
            <w:pPr>
              <w:pStyle w:val="97"/>
              <w:spacing w:line="380" w:lineRule="exact"/>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50" w:type="dxa"/>
            <w:vAlign w:val="center"/>
          </w:tcPr>
          <w:p>
            <w:pPr>
              <w:pStyle w:val="97"/>
              <w:spacing w:line="380" w:lineRule="exact"/>
              <w:rPr>
                <w:bCs w:val="0"/>
                <w:color w:val="auto"/>
                <w:sz w:val="24"/>
                <w:szCs w:val="24"/>
                <w:highlight w:val="none"/>
                <w:lang w:val="en-US"/>
              </w:rPr>
            </w:pPr>
            <w:r>
              <w:rPr>
                <w:rFonts w:hint="eastAsia"/>
                <w:bCs w:val="0"/>
                <w:color w:val="auto"/>
                <w:sz w:val="24"/>
                <w:szCs w:val="24"/>
                <w:highlight w:val="none"/>
                <w:lang w:val="en-US"/>
              </w:rPr>
              <w:t>服务开始和完成时间</w:t>
            </w:r>
          </w:p>
        </w:tc>
        <w:tc>
          <w:tcPr>
            <w:tcW w:w="6169" w:type="dxa"/>
          </w:tcPr>
          <w:p>
            <w:pPr>
              <w:pStyle w:val="97"/>
              <w:spacing w:line="380" w:lineRule="exact"/>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50" w:type="dxa"/>
            <w:vAlign w:val="center"/>
          </w:tcPr>
          <w:p>
            <w:pPr>
              <w:pStyle w:val="97"/>
              <w:spacing w:line="380" w:lineRule="exact"/>
              <w:rPr>
                <w:bCs w:val="0"/>
                <w:color w:val="auto"/>
                <w:sz w:val="24"/>
                <w:szCs w:val="24"/>
                <w:highlight w:val="none"/>
                <w:lang w:val="en-US"/>
              </w:rPr>
            </w:pPr>
            <w:r>
              <w:rPr>
                <w:rFonts w:hint="eastAsia"/>
                <w:bCs w:val="0"/>
                <w:color w:val="auto"/>
                <w:sz w:val="24"/>
                <w:szCs w:val="24"/>
                <w:highlight w:val="none"/>
                <w:lang w:val="en-US"/>
              </w:rPr>
              <w:t>服务完成情况</w:t>
            </w:r>
          </w:p>
        </w:tc>
        <w:tc>
          <w:tcPr>
            <w:tcW w:w="6169" w:type="dxa"/>
          </w:tcPr>
          <w:p>
            <w:pPr>
              <w:pStyle w:val="97"/>
              <w:spacing w:line="380" w:lineRule="exact"/>
              <w:rPr>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750" w:type="dxa"/>
            <w:vAlign w:val="center"/>
          </w:tcPr>
          <w:p>
            <w:pPr>
              <w:pStyle w:val="97"/>
              <w:spacing w:line="380" w:lineRule="exact"/>
              <w:rPr>
                <w:bCs w:val="0"/>
                <w:color w:val="auto"/>
                <w:sz w:val="24"/>
                <w:szCs w:val="24"/>
                <w:highlight w:val="none"/>
                <w:lang w:val="en-US"/>
              </w:rPr>
            </w:pPr>
            <w:r>
              <w:rPr>
                <w:rFonts w:hint="eastAsia"/>
                <w:bCs w:val="0"/>
                <w:color w:val="auto"/>
                <w:sz w:val="24"/>
                <w:szCs w:val="24"/>
                <w:highlight w:val="none"/>
                <w:lang w:val="en-US"/>
              </w:rPr>
              <w:t>备注</w:t>
            </w:r>
          </w:p>
        </w:tc>
        <w:tc>
          <w:tcPr>
            <w:tcW w:w="6169" w:type="dxa"/>
          </w:tcPr>
          <w:p>
            <w:pPr>
              <w:pStyle w:val="97"/>
              <w:spacing w:line="380" w:lineRule="exact"/>
              <w:rPr>
                <w:bCs w:val="0"/>
                <w:color w:val="auto"/>
                <w:sz w:val="24"/>
                <w:szCs w:val="24"/>
                <w:highlight w:val="none"/>
                <w:lang w:val="en-US"/>
              </w:rPr>
            </w:pPr>
          </w:p>
        </w:tc>
      </w:tr>
    </w:tbl>
    <w:p>
      <w:pPr>
        <w:pStyle w:val="98"/>
        <w:spacing w:line="240" w:lineRule="atLeast"/>
        <w:rPr>
          <w:color w:val="auto"/>
          <w:sz w:val="24"/>
          <w:szCs w:val="24"/>
          <w:highlight w:val="none"/>
        </w:rPr>
      </w:pPr>
      <w:r>
        <w:rPr>
          <w:rFonts w:hint="eastAsia"/>
          <w:color w:val="auto"/>
          <w:sz w:val="24"/>
          <w:szCs w:val="24"/>
          <w:highlight w:val="none"/>
        </w:rPr>
        <w:t>注：</w:t>
      </w:r>
      <w:r>
        <w:rPr>
          <w:rFonts w:hint="eastAsia"/>
          <w:color w:val="auto"/>
          <w:spacing w:val="0"/>
          <w:kern w:val="2"/>
          <w:sz w:val="24"/>
          <w:szCs w:val="24"/>
          <w:highlight w:val="none"/>
          <w:lang w:val="en-US"/>
        </w:rPr>
        <w:t>本表应与表1.1“</w:t>
      </w:r>
      <w:r>
        <w:rPr>
          <w:rFonts w:hint="eastAsia"/>
          <w:b/>
          <w:color w:val="auto"/>
          <w:sz w:val="24"/>
          <w:szCs w:val="24"/>
          <w:highlight w:val="none"/>
        </w:rPr>
        <w:t>投标人自20</w:t>
      </w:r>
      <w:r>
        <w:rPr>
          <w:rFonts w:hint="eastAsia"/>
          <w:b/>
          <w:color w:val="auto"/>
          <w:sz w:val="24"/>
          <w:szCs w:val="24"/>
          <w:highlight w:val="none"/>
          <w:lang w:val="en-US"/>
        </w:rPr>
        <w:t>23</w:t>
      </w:r>
      <w:r>
        <w:rPr>
          <w:rFonts w:hint="eastAsia"/>
          <w:b/>
          <w:color w:val="auto"/>
          <w:sz w:val="24"/>
          <w:szCs w:val="24"/>
          <w:highlight w:val="none"/>
        </w:rPr>
        <w:t>年1月1日以来业绩汇总表</w:t>
      </w:r>
      <w:r>
        <w:rPr>
          <w:rFonts w:hint="eastAsia"/>
          <w:color w:val="auto"/>
          <w:spacing w:val="0"/>
          <w:kern w:val="2"/>
          <w:sz w:val="24"/>
          <w:szCs w:val="24"/>
          <w:highlight w:val="none"/>
          <w:lang w:val="en-US"/>
        </w:rPr>
        <w:t>”相对应，</w:t>
      </w:r>
      <w:r>
        <w:rPr>
          <w:rFonts w:hint="eastAsia"/>
          <w:color w:val="auto"/>
          <w:sz w:val="24"/>
          <w:szCs w:val="24"/>
          <w:highlight w:val="none"/>
        </w:rPr>
        <w:t>后应附</w:t>
      </w:r>
      <w:r>
        <w:rPr>
          <w:rFonts w:hint="eastAsia"/>
          <w:b/>
          <w:color w:val="auto"/>
          <w:sz w:val="24"/>
          <w:szCs w:val="24"/>
          <w:highlight w:val="none"/>
        </w:rPr>
        <w:t>合同的复印件</w:t>
      </w:r>
      <w:r>
        <w:rPr>
          <w:rFonts w:hint="eastAsia"/>
          <w:color w:val="auto"/>
          <w:sz w:val="24"/>
          <w:szCs w:val="24"/>
          <w:highlight w:val="none"/>
        </w:rPr>
        <w:t>。</w:t>
      </w:r>
    </w:p>
    <w:p>
      <w:pPr>
        <w:spacing w:line="380" w:lineRule="exact"/>
        <w:rPr>
          <w:rFonts w:ascii="宋体" w:hAnsi="宋体"/>
          <w:color w:val="auto"/>
          <w:sz w:val="22"/>
          <w:szCs w:val="22"/>
          <w:highlight w:val="none"/>
        </w:rPr>
      </w:pPr>
    </w:p>
    <w:p>
      <w:pPr>
        <w:spacing w:line="380" w:lineRule="exact"/>
        <w:rPr>
          <w:rFonts w:ascii="宋体" w:hAnsi="宋体"/>
          <w:color w:val="auto"/>
          <w:sz w:val="22"/>
          <w:szCs w:val="22"/>
          <w:highlight w:val="none"/>
        </w:rPr>
      </w:pPr>
    </w:p>
    <w:p>
      <w:pPr>
        <w:spacing w:line="380" w:lineRule="exact"/>
        <w:rPr>
          <w:rFonts w:ascii="宋体" w:hAnsi="宋体"/>
          <w:color w:val="auto"/>
          <w:sz w:val="22"/>
          <w:szCs w:val="22"/>
          <w:highlight w:val="none"/>
        </w:rPr>
      </w:pPr>
      <w:r>
        <w:rPr>
          <w:rFonts w:hint="eastAsia" w:ascii="宋体" w:hAnsi="宋体"/>
          <w:color w:val="auto"/>
          <w:sz w:val="22"/>
          <w:szCs w:val="22"/>
          <w:highlight w:val="none"/>
        </w:rPr>
        <w:t>投标人（公章）：</w:t>
      </w:r>
    </w:p>
    <w:p>
      <w:pPr>
        <w:spacing w:line="380" w:lineRule="exact"/>
        <w:rPr>
          <w:rFonts w:ascii="宋体" w:hAnsi="宋体"/>
          <w:color w:val="auto"/>
          <w:sz w:val="22"/>
          <w:szCs w:val="22"/>
          <w:highlight w:val="none"/>
          <w:u w:val="single"/>
        </w:rPr>
      </w:pPr>
      <w:r>
        <w:rPr>
          <w:rFonts w:hint="eastAsia" w:ascii="宋体" w:hAnsi="宋体"/>
          <w:color w:val="auto"/>
          <w:sz w:val="22"/>
          <w:szCs w:val="22"/>
          <w:highlight w:val="none"/>
        </w:rPr>
        <w:t>投标人代表（签字或印章）：</w:t>
      </w:r>
    </w:p>
    <w:p>
      <w:pPr>
        <w:spacing w:line="380" w:lineRule="exact"/>
        <w:rPr>
          <w:rFonts w:ascii="宋体" w:hAnsi="宋体"/>
          <w:color w:val="auto"/>
          <w:sz w:val="22"/>
          <w:szCs w:val="22"/>
          <w:highlight w:val="none"/>
          <w:u w:val="single"/>
        </w:rPr>
      </w:pPr>
      <w:r>
        <w:rPr>
          <w:rFonts w:hint="eastAsia" w:ascii="宋体"/>
          <w:color w:val="auto"/>
          <w:sz w:val="22"/>
          <w:szCs w:val="22"/>
          <w:highlight w:val="none"/>
        </w:rPr>
        <w:t>日期：</w:t>
      </w:r>
    </w:p>
    <w:p>
      <w:pPr>
        <w:rPr>
          <w:color w:val="auto"/>
          <w:highlight w:val="none"/>
        </w:rPr>
      </w:pPr>
    </w:p>
    <w:p>
      <w:pPr>
        <w:rPr>
          <w:color w:val="auto"/>
          <w:highlight w:val="none"/>
        </w:rPr>
      </w:pPr>
    </w:p>
    <w:p>
      <w:pPr>
        <w:jc w:val="center"/>
        <w:rPr>
          <w:color w:val="auto"/>
          <w:highlight w:val="none"/>
        </w:rPr>
      </w:pPr>
    </w:p>
    <w:p>
      <w:pPr>
        <w:jc w:val="center"/>
        <w:rPr>
          <w:color w:val="auto"/>
          <w:highlight w:val="none"/>
        </w:rPr>
      </w:pPr>
    </w:p>
    <w:p>
      <w:pPr>
        <w:jc w:val="center"/>
        <w:rPr>
          <w:rFonts w:ascii="宋体" w:hAnsi="宋体"/>
          <w:b/>
          <w:color w:val="auto"/>
          <w:sz w:val="24"/>
          <w:szCs w:val="24"/>
          <w:highlight w:val="none"/>
        </w:rPr>
      </w:pPr>
      <w:r>
        <w:rPr>
          <w:rFonts w:ascii="宋体" w:hAnsi="宋体"/>
          <w:b/>
          <w:color w:val="auto"/>
          <w:sz w:val="24"/>
          <w:szCs w:val="24"/>
          <w:highlight w:val="none"/>
        </w:rPr>
        <w:br w:type="page"/>
      </w:r>
    </w:p>
    <w:p>
      <w:pPr>
        <w:spacing w:after="120" w:afterLines="50"/>
        <w:jc w:val="center"/>
        <w:rPr>
          <w:rFonts w:ascii="宋体" w:hAnsi="宋体"/>
          <w:b/>
          <w:color w:val="auto"/>
          <w:sz w:val="24"/>
          <w:szCs w:val="24"/>
          <w:highlight w:val="none"/>
        </w:rPr>
      </w:pPr>
    </w:p>
    <w:p>
      <w:pPr>
        <w:spacing w:after="120" w:afterLines="50"/>
        <w:jc w:val="center"/>
        <w:rPr>
          <w:rFonts w:ascii="宋体"/>
          <w:b/>
          <w:color w:val="auto"/>
          <w:sz w:val="24"/>
          <w:szCs w:val="24"/>
          <w:highlight w:val="none"/>
        </w:rPr>
      </w:pPr>
      <w:r>
        <w:rPr>
          <w:rFonts w:hint="eastAsia" w:ascii="宋体" w:hAnsi="宋体"/>
          <w:b/>
          <w:color w:val="auto"/>
          <w:sz w:val="24"/>
          <w:szCs w:val="24"/>
          <w:highlight w:val="none"/>
        </w:rPr>
        <w:t>2、服务方案</w:t>
      </w:r>
    </w:p>
    <w:p>
      <w:pPr>
        <w:pStyle w:val="96"/>
        <w:ind w:firstLine="0" w:firstLineChars="0"/>
        <w:rPr>
          <w:color w:val="auto"/>
          <w:highlight w:val="none"/>
        </w:rPr>
      </w:pPr>
      <w:r>
        <w:rPr>
          <w:rFonts w:hint="eastAsia"/>
          <w:color w:val="auto"/>
          <w:highlight w:val="none"/>
        </w:rPr>
        <w:t>主要内容包括，但不限于(</w:t>
      </w:r>
      <w:r>
        <w:rPr>
          <w:rFonts w:hint="eastAsia"/>
          <w:b/>
          <w:bCs/>
          <w:color w:val="auto"/>
          <w:highlight w:val="none"/>
        </w:rPr>
        <w:t>根据“评分标准”中商务技术部分评分内容提供相关资料</w:t>
      </w:r>
      <w:r>
        <w:rPr>
          <w:rFonts w:hint="eastAsia"/>
          <w:color w:val="auto"/>
          <w:highlight w:val="none"/>
        </w:rPr>
        <w:t>)：</w:t>
      </w:r>
    </w:p>
    <w:p>
      <w:pPr>
        <w:spacing w:after="120" w:afterLines="50"/>
        <w:jc w:val="center"/>
        <w:rPr>
          <w:rFonts w:ascii="宋体" w:hAnsi="宋体"/>
          <w:b/>
          <w:color w:val="auto"/>
          <w:sz w:val="24"/>
          <w:szCs w:val="24"/>
          <w:highlight w:val="none"/>
        </w:rPr>
      </w:pPr>
    </w:p>
    <w:p>
      <w:pPr>
        <w:rPr>
          <w:color w:val="auto"/>
          <w:highlight w:val="none"/>
        </w:rPr>
      </w:pPr>
    </w:p>
    <w:p>
      <w:pPr>
        <w:rPr>
          <w:color w:val="auto"/>
          <w:highlight w:val="none"/>
        </w:rPr>
      </w:pPr>
    </w:p>
    <w:p>
      <w:pPr>
        <w:numPr>
          <w:ilvl w:val="0"/>
          <w:numId w:val="14"/>
        </w:numPr>
        <w:spacing w:line="360" w:lineRule="auto"/>
        <w:jc w:val="left"/>
        <w:rPr>
          <w:rFonts w:ascii="宋体" w:hAnsi="宋体"/>
          <w:b/>
          <w:color w:val="auto"/>
          <w:sz w:val="24"/>
          <w:szCs w:val="24"/>
          <w:highlight w:val="none"/>
        </w:rPr>
      </w:pPr>
      <w:r>
        <w:rPr>
          <w:rFonts w:ascii="宋体" w:hAnsi="宋体"/>
          <w:b/>
          <w:color w:val="auto"/>
          <w:sz w:val="24"/>
          <w:szCs w:val="24"/>
          <w:highlight w:val="none"/>
        </w:rPr>
        <w:br w:type="page"/>
      </w:r>
    </w:p>
    <w:p>
      <w:pPr>
        <w:spacing w:after="120" w:afterLines="50"/>
        <w:jc w:val="center"/>
        <w:rPr>
          <w:rFonts w:ascii="宋体" w:hAnsi="宋体"/>
          <w:b/>
          <w:color w:val="auto"/>
          <w:sz w:val="24"/>
          <w:szCs w:val="24"/>
          <w:highlight w:val="none"/>
        </w:rPr>
      </w:pPr>
    </w:p>
    <w:p>
      <w:pPr>
        <w:widowControl/>
        <w:jc w:val="left"/>
        <w:rPr>
          <w:rFonts w:ascii="宋体" w:hAnsi="宋体" w:cs="宋体"/>
          <w:b/>
          <w:bCs/>
          <w:color w:val="auto"/>
          <w:kern w:val="0"/>
          <w:szCs w:val="21"/>
          <w:highlight w:val="none"/>
        </w:rPr>
      </w:pPr>
    </w:p>
    <w:p>
      <w:pPr>
        <w:pStyle w:val="4"/>
        <w:spacing w:line="380" w:lineRule="exact"/>
        <w:rPr>
          <w:rFonts w:ascii="宋体" w:hAnsi="宋体"/>
          <w:color w:val="auto"/>
          <w:sz w:val="24"/>
          <w:szCs w:val="24"/>
          <w:highlight w:val="none"/>
        </w:rPr>
      </w:pPr>
      <w:r>
        <w:rPr>
          <w:rFonts w:hint="eastAsia" w:ascii="宋体" w:hAnsi="宋体"/>
          <w:color w:val="auto"/>
          <w:sz w:val="24"/>
          <w:szCs w:val="24"/>
          <w:highlight w:val="none"/>
        </w:rPr>
        <w:t>报价文件组成：</w:t>
      </w:r>
    </w:p>
    <w:p>
      <w:pPr>
        <w:tabs>
          <w:tab w:val="left" w:pos="1418"/>
        </w:tabs>
        <w:spacing w:line="360" w:lineRule="auto"/>
        <w:ind w:firstLine="420" w:firstLineChars="200"/>
        <w:contextualSpacing/>
        <w:rPr>
          <w:rFonts w:ascii="宋体" w:hAnsi="宋体"/>
          <w:color w:val="auto"/>
          <w:szCs w:val="21"/>
          <w:highlight w:val="none"/>
        </w:rPr>
      </w:pPr>
      <w:r>
        <w:rPr>
          <w:rFonts w:hint="eastAsia" w:ascii="宋体" w:hAnsi="宋体" w:cs="宋体"/>
          <w:color w:val="auto"/>
          <w:kern w:val="0"/>
          <w:szCs w:val="21"/>
          <w:highlight w:val="none"/>
        </w:rPr>
        <w:t>（1）</w:t>
      </w:r>
      <w:r>
        <w:rPr>
          <w:rFonts w:hint="eastAsia" w:ascii="宋体" w:hAnsi="宋体"/>
          <w:color w:val="auto"/>
          <w:szCs w:val="21"/>
          <w:highlight w:val="none"/>
        </w:rPr>
        <w:t>投标函；</w:t>
      </w:r>
    </w:p>
    <w:p>
      <w:pPr>
        <w:tabs>
          <w:tab w:val="left" w:pos="1418"/>
        </w:tabs>
        <w:spacing w:line="360" w:lineRule="auto"/>
        <w:ind w:firstLine="420" w:firstLineChars="200"/>
        <w:contextualSpacing/>
        <w:rPr>
          <w:rFonts w:ascii="宋体" w:hAnsi="宋体"/>
          <w:color w:val="auto"/>
          <w:szCs w:val="21"/>
          <w:highlight w:val="none"/>
        </w:rPr>
      </w:pPr>
      <w:r>
        <w:rPr>
          <w:rFonts w:hint="eastAsia" w:ascii="宋体" w:hAnsi="宋体" w:cs="宋体"/>
          <w:color w:val="auto"/>
          <w:kern w:val="0"/>
          <w:szCs w:val="21"/>
          <w:highlight w:val="none"/>
        </w:rPr>
        <w:t>（2）</w:t>
      </w:r>
      <w:r>
        <w:rPr>
          <w:rFonts w:hint="eastAsia" w:ascii="宋体" w:hAnsi="宋体"/>
          <w:color w:val="auto"/>
          <w:szCs w:val="21"/>
          <w:highlight w:val="none"/>
        </w:rPr>
        <w:t>开标一览表；</w:t>
      </w:r>
    </w:p>
    <w:p>
      <w:pPr>
        <w:tabs>
          <w:tab w:val="left" w:pos="1418"/>
        </w:tabs>
        <w:spacing w:line="360" w:lineRule="auto"/>
        <w:ind w:firstLine="420"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（3）分项报价表；</w:t>
      </w:r>
    </w:p>
    <w:p>
      <w:pPr>
        <w:tabs>
          <w:tab w:val="left" w:pos="1418"/>
        </w:tabs>
        <w:spacing w:line="360" w:lineRule="auto"/>
        <w:ind w:firstLine="420"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（4）享受政府采购价格优惠政策需提供的证明资料（如有)</w:t>
      </w:r>
    </w:p>
    <w:p>
      <w:pPr>
        <w:tabs>
          <w:tab w:val="left" w:pos="1418"/>
        </w:tabs>
        <w:spacing w:line="360" w:lineRule="auto"/>
        <w:ind w:firstLine="420" w:firstLineChars="200"/>
        <w:contextualSpacing/>
        <w:rPr>
          <w:rFonts w:ascii="宋体" w:hAnsi="宋体"/>
          <w:color w:val="auto"/>
          <w:szCs w:val="21"/>
          <w:highlight w:val="none"/>
        </w:rPr>
      </w:pPr>
    </w:p>
    <w:p>
      <w:pPr>
        <w:pStyle w:val="96"/>
        <w:rPr>
          <w:color w:val="auto"/>
          <w:highlight w:val="none"/>
        </w:rPr>
      </w:pPr>
    </w:p>
    <w:p>
      <w:pPr>
        <w:widowControl/>
        <w:jc w:val="left"/>
        <w:rPr>
          <w:rFonts w:ascii="宋体" w:hAnsi="宋体"/>
          <w:b/>
          <w:color w:val="auto"/>
          <w:sz w:val="24"/>
          <w:szCs w:val="24"/>
          <w:highlight w:val="none"/>
        </w:rPr>
      </w:pPr>
      <w:r>
        <w:rPr>
          <w:rFonts w:ascii="宋体" w:hAnsi="宋体"/>
          <w:bCs/>
          <w:color w:val="auto"/>
          <w:sz w:val="24"/>
          <w:szCs w:val="24"/>
          <w:highlight w:val="none"/>
        </w:rPr>
        <w:br w:type="page"/>
      </w:r>
    </w:p>
    <w:p>
      <w:pPr>
        <w:pStyle w:val="96"/>
        <w:rPr>
          <w:color w:val="auto"/>
          <w:highlight w:val="none"/>
        </w:rPr>
      </w:pPr>
    </w:p>
    <w:p>
      <w:pPr>
        <w:pStyle w:val="5"/>
        <w:spacing w:line="380" w:lineRule="exact"/>
        <w:ind w:left="0" w:firstLine="0"/>
        <w:rPr>
          <w:rFonts w:ascii="宋体" w:hAnsi="宋体"/>
          <w:color w:val="auto"/>
          <w:sz w:val="28"/>
          <w:szCs w:val="28"/>
          <w:highlight w:val="none"/>
        </w:rPr>
      </w:pPr>
      <w:bookmarkStart w:id="246" w:name="_Toc136017667"/>
      <w:bookmarkStart w:id="247" w:name="_Toc20714"/>
      <w:bookmarkStart w:id="248" w:name="_Toc136345128"/>
      <w:r>
        <w:rPr>
          <w:rFonts w:hint="eastAsia" w:ascii="宋体" w:hAnsi="宋体"/>
          <w:color w:val="auto"/>
          <w:sz w:val="28"/>
          <w:szCs w:val="28"/>
          <w:highlight w:val="none"/>
        </w:rPr>
        <w:t>（一） 投 标 函</w:t>
      </w:r>
      <w:bookmarkEnd w:id="246"/>
      <w:bookmarkEnd w:id="247"/>
      <w:bookmarkEnd w:id="248"/>
    </w:p>
    <w:p>
      <w:pPr>
        <w:pStyle w:val="16"/>
        <w:ind w:firstLine="0"/>
        <w:rPr>
          <w:rFonts w:ascii="宋体" w:hAnsi="宋体"/>
          <w:color w:val="auto"/>
          <w:sz w:val="21"/>
          <w:szCs w:val="21"/>
          <w:highlight w:val="none"/>
        </w:rPr>
      </w:pPr>
      <w:r>
        <w:rPr>
          <w:rFonts w:hint="eastAsia" w:ascii="宋体" w:hAnsi="宋体"/>
          <w:color w:val="auto"/>
          <w:sz w:val="21"/>
          <w:szCs w:val="21"/>
          <w:highlight w:val="none"/>
          <w:u w:val="single"/>
        </w:rPr>
        <w:t xml:space="preserve">   致</w:t>
      </w:r>
      <w:r>
        <w:rPr>
          <w:rFonts w:hint="eastAsia" w:ascii="宋体" w:hAnsi="宋体"/>
          <w:i/>
          <w:color w:val="auto"/>
          <w:sz w:val="21"/>
          <w:szCs w:val="21"/>
          <w:highlight w:val="none"/>
          <w:u w:val="single"/>
        </w:rPr>
        <w:t xml:space="preserve">（采购人） </w:t>
      </w:r>
      <w:r>
        <w:rPr>
          <w:rFonts w:hint="eastAsia" w:ascii="宋体" w:hAnsi="宋体"/>
          <w:color w:val="auto"/>
          <w:sz w:val="21"/>
          <w:szCs w:val="21"/>
          <w:highlight w:val="none"/>
        </w:rPr>
        <w:t>：</w:t>
      </w:r>
    </w:p>
    <w:p>
      <w:pPr>
        <w:pStyle w:val="16"/>
        <w:ind w:firstLine="0"/>
        <w:rPr>
          <w:rFonts w:ascii="宋体" w:hAnsi="宋体"/>
          <w:color w:val="auto"/>
          <w:sz w:val="21"/>
          <w:szCs w:val="21"/>
          <w:highlight w:val="none"/>
          <w:u w:val="single"/>
        </w:rPr>
      </w:pPr>
      <w:r>
        <w:rPr>
          <w:rFonts w:hint="eastAsia" w:ascii="宋体" w:hAnsi="宋体"/>
          <w:i/>
          <w:color w:val="auto"/>
          <w:sz w:val="21"/>
          <w:szCs w:val="21"/>
          <w:highlight w:val="none"/>
          <w:u w:val="single"/>
        </w:rPr>
        <w:t xml:space="preserve"> （投标人全称）</w:t>
      </w:r>
      <w:r>
        <w:rPr>
          <w:rFonts w:hint="eastAsia" w:ascii="宋体" w:hAnsi="宋体"/>
          <w:color w:val="auto"/>
          <w:sz w:val="21"/>
          <w:szCs w:val="21"/>
          <w:highlight w:val="none"/>
        </w:rPr>
        <w:t xml:space="preserve"> 参加贵方组织的 </w:t>
      </w:r>
      <w:r>
        <w:rPr>
          <w:rFonts w:hint="eastAsia" w:ascii="宋体" w:hAnsi="宋体"/>
          <w:i/>
          <w:color w:val="auto"/>
          <w:sz w:val="21"/>
          <w:szCs w:val="21"/>
          <w:highlight w:val="none"/>
          <w:u w:val="single"/>
        </w:rPr>
        <w:t>（招标编号、招标项目名称）</w:t>
      </w:r>
      <w:r>
        <w:rPr>
          <w:rFonts w:hint="eastAsia" w:ascii="宋体" w:hAnsi="宋体"/>
          <w:color w:val="auto"/>
          <w:sz w:val="21"/>
          <w:szCs w:val="21"/>
          <w:highlight w:val="none"/>
        </w:rPr>
        <w:t>招投标活动，代表本公司处理招投标活动中的一切事宜，现对</w:t>
      </w:r>
      <w:r>
        <w:rPr>
          <w:rFonts w:hint="eastAsia" w:ascii="宋体" w:hAnsi="宋体"/>
          <w:i/>
          <w:color w:val="auto"/>
          <w:sz w:val="21"/>
          <w:szCs w:val="21"/>
          <w:highlight w:val="none"/>
          <w:u w:val="single"/>
        </w:rPr>
        <w:t>（项目名称）</w:t>
      </w:r>
      <w:r>
        <w:rPr>
          <w:rFonts w:hint="eastAsia" w:ascii="宋体" w:hAnsi="宋体"/>
          <w:color w:val="auto"/>
          <w:sz w:val="21"/>
          <w:szCs w:val="21"/>
          <w:highlight w:val="none"/>
        </w:rPr>
        <w:t>进行投标，在此：</w:t>
      </w:r>
    </w:p>
    <w:p>
      <w:pPr>
        <w:pStyle w:val="16"/>
        <w:numPr>
          <w:ilvl w:val="0"/>
          <w:numId w:val="15"/>
        </w:numPr>
        <w:tabs>
          <w:tab w:val="left" w:pos="525"/>
        </w:tabs>
        <w:rPr>
          <w:rFonts w:ascii="宋体" w:hAnsi="宋体"/>
          <w:color w:val="auto"/>
          <w:sz w:val="21"/>
          <w:szCs w:val="21"/>
          <w:highlight w:val="none"/>
        </w:rPr>
      </w:pPr>
      <w:r>
        <w:rPr>
          <w:rFonts w:hint="eastAsia" w:ascii="宋体" w:hAnsi="宋体"/>
          <w:color w:val="auto"/>
          <w:sz w:val="21"/>
          <w:szCs w:val="21"/>
          <w:highlight w:val="none"/>
        </w:rPr>
        <w:t>提供招标文件中“投标人须知”规定的全部投标文件。</w:t>
      </w:r>
    </w:p>
    <w:p>
      <w:pPr>
        <w:pStyle w:val="16"/>
        <w:tabs>
          <w:tab w:val="left" w:pos="525"/>
        </w:tabs>
        <w:ind w:firstLine="0"/>
        <w:rPr>
          <w:rFonts w:ascii="宋体" w:hAnsi="宋体"/>
          <w:color w:val="auto"/>
          <w:sz w:val="21"/>
          <w:szCs w:val="21"/>
          <w:highlight w:val="none"/>
        </w:rPr>
      </w:pPr>
      <w:r>
        <w:rPr>
          <w:rFonts w:hint="eastAsia" w:ascii="宋体" w:hAnsi="宋体"/>
          <w:color w:val="auto"/>
          <w:sz w:val="21"/>
          <w:szCs w:val="21"/>
          <w:highlight w:val="none"/>
        </w:rPr>
        <w:t>2、据此函，签字代表宣布并承诺如下：</w:t>
      </w:r>
    </w:p>
    <w:p>
      <w:pPr>
        <w:pStyle w:val="16"/>
        <w:numPr>
          <w:ilvl w:val="0"/>
          <w:numId w:val="16"/>
        </w:numPr>
        <w:rPr>
          <w:rFonts w:ascii="宋体" w:hAnsi="宋体"/>
          <w:color w:val="auto"/>
          <w:sz w:val="21"/>
          <w:szCs w:val="21"/>
          <w:highlight w:val="none"/>
        </w:rPr>
      </w:pPr>
      <w:r>
        <w:rPr>
          <w:rFonts w:hint="eastAsia" w:ascii="宋体" w:hAnsi="宋体"/>
          <w:color w:val="auto"/>
          <w:sz w:val="21"/>
          <w:szCs w:val="21"/>
          <w:highlight w:val="none"/>
        </w:rPr>
        <w:t>本报价已经包含了所供货物及服务应纳的税金及招标文件规定的报价方式应包含的其它费用。本报价在投标有效期内固定不变，并在合同有效期内不受利率波动的影响。</w:t>
      </w:r>
    </w:p>
    <w:p>
      <w:pPr>
        <w:pStyle w:val="16"/>
        <w:numPr>
          <w:ilvl w:val="0"/>
          <w:numId w:val="16"/>
        </w:numPr>
        <w:rPr>
          <w:rFonts w:ascii="宋体" w:hAnsi="宋体"/>
          <w:color w:val="auto"/>
          <w:sz w:val="21"/>
          <w:szCs w:val="21"/>
          <w:highlight w:val="none"/>
        </w:rPr>
      </w:pPr>
      <w:r>
        <w:rPr>
          <w:rFonts w:hint="eastAsia" w:ascii="宋体" w:hAnsi="宋体"/>
          <w:color w:val="auto"/>
          <w:sz w:val="21"/>
          <w:szCs w:val="21"/>
          <w:highlight w:val="none"/>
        </w:rPr>
        <w:t>本投标自开标之日起90天内有效。</w:t>
      </w:r>
    </w:p>
    <w:p>
      <w:pPr>
        <w:pStyle w:val="16"/>
        <w:numPr>
          <w:ilvl w:val="0"/>
          <w:numId w:val="16"/>
        </w:numPr>
        <w:rPr>
          <w:rFonts w:ascii="宋体" w:hAnsi="宋体"/>
          <w:color w:val="auto"/>
          <w:sz w:val="21"/>
          <w:szCs w:val="21"/>
          <w:highlight w:val="none"/>
        </w:rPr>
      </w:pPr>
      <w:r>
        <w:rPr>
          <w:rFonts w:hint="eastAsia" w:ascii="宋体" w:hAnsi="宋体"/>
          <w:color w:val="auto"/>
          <w:sz w:val="21"/>
          <w:szCs w:val="21"/>
          <w:highlight w:val="none"/>
        </w:rPr>
        <w:t>我们已详细审查全部招标文件及有关的澄清/修改文件(若有的话)，我们完全理解并同意放弃对这方面提出任何异议的权利，保证遵守招标文件有关条款规定。</w:t>
      </w:r>
    </w:p>
    <w:p>
      <w:pPr>
        <w:pStyle w:val="16"/>
        <w:numPr>
          <w:ilvl w:val="0"/>
          <w:numId w:val="16"/>
        </w:numPr>
        <w:rPr>
          <w:rFonts w:ascii="宋体" w:hAnsi="宋体"/>
          <w:color w:val="auto"/>
          <w:sz w:val="21"/>
          <w:szCs w:val="21"/>
          <w:highlight w:val="none"/>
        </w:rPr>
      </w:pPr>
      <w:r>
        <w:rPr>
          <w:rFonts w:hint="eastAsia" w:ascii="宋体" w:hAnsi="宋体"/>
          <w:color w:val="auto"/>
          <w:sz w:val="21"/>
          <w:szCs w:val="21"/>
          <w:highlight w:val="none"/>
        </w:rPr>
        <w:t>保证遵守招标文件有关条款规定。</w:t>
      </w:r>
    </w:p>
    <w:p>
      <w:pPr>
        <w:pStyle w:val="16"/>
        <w:numPr>
          <w:ilvl w:val="0"/>
          <w:numId w:val="16"/>
        </w:numPr>
        <w:rPr>
          <w:rFonts w:ascii="宋体" w:hAnsi="宋体"/>
          <w:color w:val="auto"/>
          <w:sz w:val="21"/>
          <w:szCs w:val="21"/>
          <w:highlight w:val="none"/>
        </w:rPr>
      </w:pPr>
      <w:r>
        <w:rPr>
          <w:rFonts w:hint="eastAsia" w:ascii="宋体" w:hAnsi="宋体"/>
          <w:color w:val="auto"/>
          <w:sz w:val="21"/>
          <w:szCs w:val="21"/>
          <w:highlight w:val="none"/>
        </w:rPr>
        <w:t>保证在中标后忠实地执行与采购人所签署的合同，并承担合同规定的责任义务。保证在中标后按照招标文件的规定支付中标服务费。</w:t>
      </w:r>
    </w:p>
    <w:p>
      <w:pPr>
        <w:pStyle w:val="16"/>
        <w:numPr>
          <w:ilvl w:val="0"/>
          <w:numId w:val="16"/>
        </w:numPr>
        <w:rPr>
          <w:rFonts w:ascii="宋体" w:hAnsi="宋体"/>
          <w:color w:val="auto"/>
          <w:sz w:val="21"/>
          <w:szCs w:val="21"/>
          <w:highlight w:val="none"/>
        </w:rPr>
      </w:pPr>
      <w:r>
        <w:rPr>
          <w:rFonts w:hint="eastAsia" w:ascii="宋体" w:hAnsi="宋体"/>
          <w:color w:val="auto"/>
          <w:sz w:val="21"/>
          <w:szCs w:val="21"/>
          <w:highlight w:val="none"/>
        </w:rPr>
        <w:t>承诺应贵方要求提供任何与该项目投标有关的数据、情况和技术资料。</w:t>
      </w:r>
    </w:p>
    <w:p>
      <w:pPr>
        <w:pStyle w:val="16"/>
        <w:numPr>
          <w:ilvl w:val="0"/>
          <w:numId w:val="16"/>
        </w:numPr>
        <w:rPr>
          <w:rFonts w:ascii="宋体" w:hAnsi="宋体"/>
          <w:color w:val="auto"/>
          <w:sz w:val="21"/>
          <w:szCs w:val="21"/>
          <w:highlight w:val="none"/>
        </w:rPr>
      </w:pPr>
      <w:r>
        <w:rPr>
          <w:rFonts w:hint="eastAsia" w:ascii="宋体" w:hAnsi="宋体"/>
          <w:color w:val="auto"/>
          <w:sz w:val="21"/>
          <w:szCs w:val="21"/>
          <w:highlight w:val="none"/>
        </w:rPr>
        <w:t>我们承诺，与为采购人采购本项目进行设计、编制规范和其他文件所委托的咨询公司或其附属机构无任何直接或间接的关联。</w:t>
      </w:r>
    </w:p>
    <w:p>
      <w:pPr>
        <w:pStyle w:val="16"/>
        <w:numPr>
          <w:ilvl w:val="0"/>
          <w:numId w:val="16"/>
        </w:numPr>
        <w:rPr>
          <w:rFonts w:ascii="宋体" w:hAnsi="宋体"/>
          <w:color w:val="auto"/>
          <w:sz w:val="21"/>
          <w:szCs w:val="21"/>
          <w:highlight w:val="none"/>
        </w:rPr>
      </w:pPr>
      <w:r>
        <w:rPr>
          <w:rFonts w:hint="eastAsia" w:ascii="宋体" w:hAnsi="宋体"/>
          <w:color w:val="auto"/>
          <w:sz w:val="21"/>
          <w:szCs w:val="21"/>
          <w:highlight w:val="none"/>
        </w:rPr>
        <w:t>我们郑重声明：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本次采购活动前的三年内，在经营活动中没有重大违法记录。</w:t>
      </w:r>
    </w:p>
    <w:p>
      <w:pPr>
        <w:pStyle w:val="16"/>
        <w:ind w:firstLine="0"/>
        <w:rPr>
          <w:rFonts w:ascii="宋体" w:hAnsi="宋体"/>
          <w:color w:val="auto"/>
          <w:sz w:val="21"/>
          <w:szCs w:val="21"/>
          <w:highlight w:val="none"/>
        </w:rPr>
      </w:pPr>
      <w:r>
        <w:rPr>
          <w:rFonts w:hint="eastAsia" w:ascii="宋体" w:hAnsi="宋体"/>
          <w:color w:val="auto"/>
          <w:sz w:val="21"/>
          <w:szCs w:val="21"/>
          <w:highlight w:val="none"/>
        </w:rPr>
        <w:t>3、与本投标有关的一切往来通讯请寄：</w:t>
      </w:r>
    </w:p>
    <w:p>
      <w:pPr>
        <w:pStyle w:val="16"/>
        <w:ind w:firstLine="0"/>
        <w:rPr>
          <w:rFonts w:ascii="宋体" w:hAnsi="宋体"/>
          <w:color w:val="auto"/>
          <w:sz w:val="21"/>
          <w:szCs w:val="21"/>
          <w:highlight w:val="none"/>
        </w:rPr>
      </w:pPr>
    </w:p>
    <w:p>
      <w:pPr>
        <w:pStyle w:val="16"/>
        <w:ind w:firstLine="0"/>
        <w:rPr>
          <w:rFonts w:ascii="宋体" w:hAnsi="宋体"/>
          <w:color w:val="auto"/>
          <w:sz w:val="21"/>
          <w:szCs w:val="21"/>
          <w:highlight w:val="none"/>
        </w:rPr>
      </w:pPr>
      <w:r>
        <w:rPr>
          <w:rFonts w:hint="eastAsia" w:ascii="宋体" w:hAnsi="宋体"/>
          <w:color w:val="auto"/>
          <w:sz w:val="21"/>
          <w:szCs w:val="21"/>
          <w:highlight w:val="none"/>
        </w:rPr>
        <w:t>地址：</w:t>
      </w:r>
    </w:p>
    <w:p>
      <w:pPr>
        <w:pStyle w:val="16"/>
        <w:ind w:firstLine="0"/>
        <w:rPr>
          <w:rFonts w:ascii="宋体" w:hAnsi="宋体"/>
          <w:color w:val="auto"/>
          <w:sz w:val="21"/>
          <w:szCs w:val="21"/>
          <w:highlight w:val="none"/>
          <w:u w:val="single"/>
        </w:rPr>
      </w:pPr>
      <w:r>
        <w:rPr>
          <w:rFonts w:hint="eastAsia" w:ascii="宋体" w:hAnsi="宋体"/>
          <w:color w:val="auto"/>
          <w:sz w:val="21"/>
          <w:szCs w:val="21"/>
          <w:highlight w:val="none"/>
        </w:rPr>
        <w:t>邮编：                电话：               传真：</w:t>
      </w:r>
    </w:p>
    <w:p>
      <w:pPr>
        <w:pStyle w:val="16"/>
        <w:ind w:firstLine="0"/>
        <w:rPr>
          <w:rFonts w:ascii="宋体" w:hAnsi="宋体"/>
          <w:color w:val="auto"/>
          <w:sz w:val="21"/>
          <w:szCs w:val="21"/>
          <w:highlight w:val="none"/>
        </w:rPr>
      </w:pPr>
    </w:p>
    <w:p>
      <w:pPr>
        <w:pStyle w:val="16"/>
        <w:ind w:firstLine="0"/>
        <w:rPr>
          <w:rFonts w:ascii="宋体" w:hAnsi="宋体"/>
          <w:color w:val="auto"/>
          <w:sz w:val="21"/>
          <w:szCs w:val="21"/>
          <w:highlight w:val="none"/>
        </w:rPr>
      </w:pPr>
      <w:r>
        <w:rPr>
          <w:rFonts w:hint="eastAsia" w:ascii="宋体" w:hAnsi="宋体"/>
          <w:color w:val="auto"/>
          <w:sz w:val="21"/>
          <w:szCs w:val="21"/>
          <w:highlight w:val="none"/>
        </w:rPr>
        <w:t>投标人（公章）：                  投标人代表（签字或印章）：</w:t>
      </w:r>
    </w:p>
    <w:p>
      <w:pPr>
        <w:pStyle w:val="16"/>
        <w:tabs>
          <w:tab w:val="left" w:pos="4841"/>
        </w:tabs>
        <w:ind w:firstLine="0"/>
        <w:rPr>
          <w:rFonts w:ascii="宋体" w:hAnsi="宋体"/>
          <w:color w:val="auto"/>
          <w:sz w:val="21"/>
          <w:szCs w:val="21"/>
          <w:highlight w:val="none"/>
        </w:rPr>
      </w:pPr>
      <w:r>
        <w:rPr>
          <w:rFonts w:hint="eastAsia" w:ascii="宋体" w:hAnsi="宋体"/>
          <w:color w:val="auto"/>
          <w:sz w:val="21"/>
          <w:szCs w:val="21"/>
          <w:highlight w:val="none"/>
        </w:rPr>
        <w:t xml:space="preserve">                                           日      期：     年   月   日</w:t>
      </w:r>
    </w:p>
    <w:p>
      <w:pPr>
        <w:pStyle w:val="16"/>
        <w:tabs>
          <w:tab w:val="left" w:pos="4841"/>
        </w:tabs>
        <w:ind w:firstLine="0"/>
        <w:rPr>
          <w:rFonts w:ascii="宋体" w:hAnsi="宋体"/>
          <w:color w:val="auto"/>
          <w:sz w:val="21"/>
          <w:szCs w:val="21"/>
          <w:highlight w:val="none"/>
        </w:rPr>
      </w:pPr>
    </w:p>
    <w:p>
      <w:pPr>
        <w:pStyle w:val="4"/>
        <w:spacing w:line="380" w:lineRule="exact"/>
        <w:rPr>
          <w:rFonts w:ascii="宋体" w:hAnsi="宋体"/>
          <w:bCs w:val="0"/>
          <w:color w:val="auto"/>
          <w:sz w:val="24"/>
          <w:szCs w:val="24"/>
          <w:highlight w:val="none"/>
        </w:rPr>
      </w:pPr>
      <w:r>
        <w:rPr>
          <w:rFonts w:ascii="宋体" w:hAnsi="宋体"/>
          <w:bCs w:val="0"/>
          <w:color w:val="auto"/>
          <w:sz w:val="24"/>
          <w:szCs w:val="24"/>
          <w:highlight w:val="none"/>
        </w:rPr>
        <w:br w:type="page"/>
      </w:r>
    </w:p>
    <w:p>
      <w:pPr>
        <w:rPr>
          <w:rFonts w:ascii="宋体" w:hAnsi="宋体"/>
          <w:color w:val="auto"/>
          <w:highlight w:val="none"/>
        </w:rPr>
      </w:pPr>
    </w:p>
    <w:p>
      <w:pPr>
        <w:rPr>
          <w:rFonts w:ascii="宋体" w:hAnsi="宋体"/>
          <w:color w:val="auto"/>
          <w:highlight w:val="none"/>
        </w:rPr>
      </w:pPr>
    </w:p>
    <w:p>
      <w:pPr>
        <w:pStyle w:val="5"/>
        <w:spacing w:line="380" w:lineRule="exact"/>
        <w:ind w:left="0" w:firstLine="0"/>
        <w:rPr>
          <w:rFonts w:ascii="宋体" w:hAnsi="宋体"/>
          <w:color w:val="auto"/>
          <w:sz w:val="28"/>
          <w:szCs w:val="28"/>
          <w:highlight w:val="none"/>
        </w:rPr>
      </w:pPr>
      <w:bookmarkStart w:id="249" w:name="_Toc136345129"/>
      <w:bookmarkStart w:id="250" w:name="_Toc12227"/>
      <w:bookmarkStart w:id="251" w:name="_Toc136017668"/>
      <w:r>
        <w:rPr>
          <w:rFonts w:hint="eastAsia" w:ascii="宋体" w:hAnsi="宋体"/>
          <w:color w:val="auto"/>
          <w:sz w:val="28"/>
          <w:szCs w:val="28"/>
          <w:highlight w:val="none"/>
        </w:rPr>
        <w:t>（二）开标一览表</w:t>
      </w:r>
      <w:bookmarkEnd w:id="249"/>
      <w:bookmarkEnd w:id="250"/>
      <w:bookmarkEnd w:id="251"/>
    </w:p>
    <w:p>
      <w:pPr>
        <w:spacing w:line="400" w:lineRule="exact"/>
        <w:ind w:left="525"/>
        <w:rPr>
          <w:rFonts w:ascii="宋体" w:hAnsi="宋体"/>
          <w:color w:val="auto"/>
          <w:szCs w:val="21"/>
          <w:highlight w:val="none"/>
        </w:rPr>
      </w:pPr>
    </w:p>
    <w:p>
      <w:pPr>
        <w:rPr>
          <w:rFonts w:ascii="宋体" w:hAnsi="宋体"/>
          <w:color w:val="auto"/>
          <w:szCs w:val="21"/>
          <w:highlight w:val="none"/>
        </w:rPr>
      </w:pPr>
    </w:p>
    <w:p>
      <w:pPr>
        <w:spacing w:line="380" w:lineRule="exact"/>
        <w:rPr>
          <w:rFonts w:ascii="宋体" w:hAnsi="宋体"/>
          <w:b/>
          <w:bCs/>
          <w:color w:val="auto"/>
          <w:szCs w:val="21"/>
          <w:highlight w:val="none"/>
        </w:rPr>
      </w:pPr>
      <w:r>
        <w:rPr>
          <w:rFonts w:hint="eastAsia" w:ascii="宋体" w:hAnsi="宋体"/>
          <w:b/>
          <w:bCs/>
          <w:color w:val="auto"/>
          <w:szCs w:val="21"/>
          <w:highlight w:val="none"/>
        </w:rPr>
        <w:t xml:space="preserve">项目名称：                            </w:t>
      </w:r>
    </w:p>
    <w:p>
      <w:pPr>
        <w:spacing w:line="380" w:lineRule="exact"/>
        <w:rPr>
          <w:rFonts w:ascii="宋体" w:hAnsi="宋体"/>
          <w:b/>
          <w:bCs/>
          <w:color w:val="auto"/>
          <w:szCs w:val="21"/>
          <w:highlight w:val="none"/>
          <w:u w:val="single"/>
        </w:rPr>
      </w:pPr>
      <w:r>
        <w:rPr>
          <w:rFonts w:hint="eastAsia" w:ascii="宋体" w:hAnsi="宋体"/>
          <w:b/>
          <w:bCs/>
          <w:color w:val="auto"/>
          <w:szCs w:val="21"/>
          <w:highlight w:val="none"/>
        </w:rPr>
        <w:t>招标编号：</w:t>
      </w:r>
    </w:p>
    <w:tbl>
      <w:tblPr>
        <w:tblStyle w:val="34"/>
        <w:tblW w:w="911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4248"/>
        <w:gridCol w:w="1682"/>
        <w:gridCol w:w="1034"/>
        <w:gridCol w:w="128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1162" w:hRule="atLeast"/>
          <w:jc w:val="center"/>
        </w:trPr>
        <w:tc>
          <w:tcPr>
            <w:tcW w:w="871" w:type="dxa"/>
            <w:vAlign w:val="center"/>
          </w:tcPr>
          <w:p>
            <w:pPr>
              <w:wordWrap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4248" w:type="dxa"/>
            <w:tcBorders>
              <w:bottom w:val="single" w:color="auto" w:sz="4" w:space="0"/>
            </w:tcBorders>
            <w:vAlign w:val="center"/>
          </w:tcPr>
          <w:p>
            <w:pPr>
              <w:wordWrap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标项名称</w:t>
            </w:r>
          </w:p>
        </w:tc>
        <w:tc>
          <w:tcPr>
            <w:tcW w:w="1682" w:type="dxa"/>
            <w:tcBorders>
              <w:bottom w:val="single" w:color="auto" w:sz="4" w:space="0"/>
            </w:tcBorders>
            <w:vAlign w:val="center"/>
          </w:tcPr>
          <w:p>
            <w:pPr>
              <w:wordWrap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投标报价</w:t>
            </w:r>
          </w:p>
        </w:tc>
        <w:tc>
          <w:tcPr>
            <w:tcW w:w="1034" w:type="dxa"/>
            <w:tcBorders>
              <w:bottom w:val="single" w:color="auto" w:sz="4" w:space="0"/>
            </w:tcBorders>
            <w:vAlign w:val="center"/>
          </w:tcPr>
          <w:p>
            <w:pPr>
              <w:wordWrap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维护期</w:t>
            </w:r>
          </w:p>
        </w:tc>
        <w:tc>
          <w:tcPr>
            <w:tcW w:w="1282" w:type="dxa"/>
            <w:tcBorders>
              <w:bottom w:val="single" w:color="auto" w:sz="4" w:space="0"/>
            </w:tcBorders>
            <w:vAlign w:val="center"/>
          </w:tcPr>
          <w:p>
            <w:pPr>
              <w:wordWrap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871" w:type="dxa"/>
            <w:vAlign w:val="center"/>
          </w:tcPr>
          <w:p>
            <w:pPr>
              <w:wordWrap w:val="0"/>
              <w:snapToGrid w:val="0"/>
              <w:spacing w:line="400" w:lineRule="exact"/>
              <w:jc w:val="center"/>
              <w:rPr>
                <w:rFonts w:ascii="宋体" w:hAnsi="宋体"/>
                <w:color w:val="auto"/>
                <w:szCs w:val="21"/>
                <w:highlight w:val="none"/>
              </w:rPr>
            </w:pPr>
            <w:r>
              <w:rPr>
                <w:rFonts w:ascii="宋体" w:hAnsi="宋体"/>
                <w:color w:val="auto"/>
                <w:szCs w:val="21"/>
                <w:highlight w:val="none"/>
              </w:rPr>
              <w:t>1</w:t>
            </w:r>
          </w:p>
        </w:tc>
        <w:tc>
          <w:tcPr>
            <w:tcW w:w="4248" w:type="dxa"/>
            <w:tcBorders>
              <w:top w:val="single" w:color="auto" w:sz="4" w:space="0"/>
              <w:bottom w:val="single" w:color="auto" w:sz="4" w:space="0"/>
            </w:tcBorders>
            <w:vAlign w:val="center"/>
          </w:tcPr>
          <w:p>
            <w:pPr>
              <w:wordWrap w:val="0"/>
              <w:snapToGrid w:val="0"/>
              <w:spacing w:line="400" w:lineRule="exact"/>
              <w:jc w:val="center"/>
              <w:rPr>
                <w:rFonts w:ascii="宋体" w:hAnsi="宋体"/>
                <w:color w:val="auto"/>
                <w:szCs w:val="21"/>
                <w:highlight w:val="none"/>
              </w:rPr>
            </w:pPr>
          </w:p>
        </w:tc>
        <w:tc>
          <w:tcPr>
            <w:tcW w:w="1682" w:type="dxa"/>
            <w:tcBorders>
              <w:top w:val="single" w:color="auto" w:sz="4" w:space="0"/>
              <w:bottom w:val="single" w:color="auto" w:sz="4" w:space="0"/>
            </w:tcBorders>
            <w:vAlign w:val="center"/>
          </w:tcPr>
          <w:p>
            <w:pPr>
              <w:wordWrap w:val="0"/>
              <w:snapToGrid w:val="0"/>
              <w:spacing w:line="400" w:lineRule="exact"/>
              <w:jc w:val="center"/>
              <w:rPr>
                <w:rFonts w:ascii="宋体" w:hAnsi="宋体"/>
                <w:color w:val="auto"/>
                <w:szCs w:val="21"/>
                <w:highlight w:val="none"/>
              </w:rPr>
            </w:pPr>
          </w:p>
        </w:tc>
        <w:tc>
          <w:tcPr>
            <w:tcW w:w="1034" w:type="dxa"/>
            <w:tcBorders>
              <w:top w:val="single" w:color="auto" w:sz="4" w:space="0"/>
              <w:bottom w:val="single" w:color="auto" w:sz="4" w:space="0"/>
            </w:tcBorders>
            <w:vAlign w:val="center"/>
          </w:tcPr>
          <w:p>
            <w:pPr>
              <w:wordWrap w:val="0"/>
              <w:snapToGrid w:val="0"/>
              <w:spacing w:line="400" w:lineRule="exact"/>
              <w:jc w:val="center"/>
              <w:rPr>
                <w:rFonts w:ascii="宋体" w:hAnsi="宋体"/>
                <w:color w:val="auto"/>
                <w:szCs w:val="21"/>
                <w:highlight w:val="none"/>
              </w:rPr>
            </w:pPr>
          </w:p>
        </w:tc>
        <w:tc>
          <w:tcPr>
            <w:tcW w:w="1282" w:type="dxa"/>
            <w:tcBorders>
              <w:top w:val="single" w:color="auto" w:sz="4" w:space="0"/>
              <w:bottom w:val="single" w:color="auto" w:sz="4" w:space="0"/>
            </w:tcBorders>
            <w:vAlign w:val="center"/>
          </w:tcPr>
          <w:p>
            <w:pPr>
              <w:wordWrap w:val="0"/>
              <w:snapToGrid w:val="0"/>
              <w:spacing w:line="4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5119" w:type="dxa"/>
            <w:gridSpan w:val="2"/>
            <w:vAlign w:val="center"/>
          </w:tcPr>
          <w:p>
            <w:pPr>
              <w:wordWrap w:val="0"/>
              <w:snapToGrid w:val="0"/>
              <w:spacing w:line="400" w:lineRule="exact"/>
              <w:jc w:val="center"/>
              <w:rPr>
                <w:rFonts w:ascii="宋体" w:hAnsi="宋体"/>
                <w:color w:val="auto"/>
                <w:szCs w:val="21"/>
                <w:highlight w:val="none"/>
              </w:rPr>
            </w:pPr>
            <w:r>
              <w:rPr>
                <w:rFonts w:hint="eastAsia" w:ascii="宋体" w:hAnsi="宋体" w:cs="宋体"/>
                <w:b/>
                <w:color w:val="auto"/>
                <w:szCs w:val="21"/>
                <w:highlight w:val="none"/>
              </w:rPr>
              <w:t>投标总价（元）</w:t>
            </w:r>
          </w:p>
        </w:tc>
        <w:tc>
          <w:tcPr>
            <w:tcW w:w="3998" w:type="dxa"/>
            <w:gridSpan w:val="3"/>
            <w:tcBorders>
              <w:top w:val="single" w:color="auto" w:sz="4" w:space="0"/>
            </w:tcBorders>
            <w:vAlign w:val="center"/>
          </w:tcPr>
          <w:p>
            <w:pPr>
              <w:widowControl/>
              <w:rPr>
                <w:color w:val="auto"/>
                <w:highlight w:val="none"/>
              </w:rPr>
            </w:pPr>
            <w:r>
              <w:rPr>
                <w:rFonts w:hint="eastAsia"/>
                <w:color w:val="auto"/>
                <w:highlight w:val="none"/>
              </w:rPr>
              <w:t>小写：</w:t>
            </w:r>
          </w:p>
          <w:p>
            <w:pPr>
              <w:wordWrap w:val="0"/>
              <w:snapToGrid w:val="0"/>
              <w:spacing w:line="400" w:lineRule="exact"/>
              <w:rPr>
                <w:rFonts w:ascii="宋体" w:hAnsi="宋体"/>
                <w:color w:val="auto"/>
                <w:szCs w:val="21"/>
                <w:highlight w:val="none"/>
              </w:rPr>
            </w:pPr>
            <w:r>
              <w:rPr>
                <w:rFonts w:hint="eastAsia"/>
                <w:color w:val="auto"/>
                <w:highlight w:val="none"/>
              </w:rPr>
              <w:t>大写：</w:t>
            </w:r>
          </w:p>
        </w:tc>
      </w:tr>
    </w:tbl>
    <w:p>
      <w:pPr>
        <w:spacing w:line="380" w:lineRule="exact"/>
        <w:rPr>
          <w:rFonts w:ascii="宋体" w:hAnsi="宋体"/>
          <w:b/>
          <w:bCs/>
          <w:color w:val="auto"/>
          <w:szCs w:val="21"/>
          <w:highlight w:val="none"/>
        </w:rPr>
      </w:pPr>
      <w:r>
        <w:rPr>
          <w:rFonts w:hint="eastAsia" w:ascii="宋体" w:hAnsi="宋体"/>
          <w:color w:val="auto"/>
          <w:highlight w:val="none"/>
        </w:rPr>
        <w:t>注：投标文件中开标一览表内容与政采云系统“开标一览表”中录入的内容不一致的，以投标文件中开标一览表为准。</w:t>
      </w:r>
    </w:p>
    <w:p>
      <w:pPr>
        <w:pStyle w:val="2"/>
        <w:rPr>
          <w:rFonts w:ascii="宋体" w:hAnsi="宋体"/>
          <w:color w:val="auto"/>
          <w:sz w:val="21"/>
          <w:szCs w:val="21"/>
          <w:highlight w:val="none"/>
        </w:rPr>
      </w:pPr>
    </w:p>
    <w:p>
      <w:pPr>
        <w:pStyle w:val="32"/>
        <w:ind w:firstLine="210"/>
        <w:rPr>
          <w:rFonts w:ascii="宋体" w:hAnsi="宋体"/>
          <w:color w:val="auto"/>
          <w:szCs w:val="21"/>
          <w:highlight w:val="none"/>
        </w:rPr>
      </w:pPr>
    </w:p>
    <w:p>
      <w:pPr>
        <w:rPr>
          <w:color w:val="auto"/>
          <w:highlight w:val="none"/>
        </w:rPr>
      </w:pPr>
    </w:p>
    <w:p>
      <w:pPr>
        <w:spacing w:line="380" w:lineRule="exact"/>
        <w:rPr>
          <w:rFonts w:ascii="宋体" w:hAnsi="宋体"/>
          <w:color w:val="auto"/>
          <w:szCs w:val="21"/>
          <w:highlight w:val="none"/>
        </w:rPr>
      </w:pPr>
      <w:r>
        <w:rPr>
          <w:rFonts w:hint="eastAsia" w:ascii="宋体" w:hAnsi="宋体"/>
          <w:color w:val="auto"/>
          <w:szCs w:val="21"/>
          <w:highlight w:val="none"/>
        </w:rPr>
        <w:t>投  标  人（公章）：</w:t>
      </w:r>
    </w:p>
    <w:p>
      <w:pPr>
        <w:spacing w:line="380" w:lineRule="exact"/>
        <w:rPr>
          <w:rFonts w:ascii="宋体" w:hAnsi="宋体"/>
          <w:color w:val="auto"/>
          <w:szCs w:val="21"/>
          <w:highlight w:val="none"/>
        </w:rPr>
      </w:pPr>
    </w:p>
    <w:p>
      <w:pPr>
        <w:spacing w:line="380" w:lineRule="exact"/>
        <w:rPr>
          <w:rFonts w:ascii="宋体" w:hAnsi="宋体"/>
          <w:color w:val="auto"/>
          <w:szCs w:val="21"/>
          <w:highlight w:val="none"/>
        </w:rPr>
      </w:pPr>
      <w:r>
        <w:rPr>
          <w:rFonts w:hint="eastAsia" w:ascii="宋体" w:hAnsi="宋体"/>
          <w:color w:val="auto"/>
          <w:szCs w:val="21"/>
          <w:highlight w:val="none"/>
        </w:rPr>
        <w:t>投标人代表（签字或印章）：</w:t>
      </w:r>
    </w:p>
    <w:p>
      <w:pPr>
        <w:spacing w:line="380" w:lineRule="exact"/>
        <w:rPr>
          <w:rFonts w:ascii="宋体" w:hAnsi="宋体"/>
          <w:color w:val="auto"/>
          <w:szCs w:val="21"/>
          <w:highlight w:val="none"/>
        </w:rPr>
      </w:pPr>
    </w:p>
    <w:p>
      <w:pPr>
        <w:rPr>
          <w:rFonts w:ascii="宋体" w:hAnsi="宋体"/>
          <w:color w:val="auto"/>
          <w:szCs w:val="21"/>
          <w:highlight w:val="none"/>
        </w:rPr>
        <w:sectPr>
          <w:headerReference r:id="rId17" w:type="default"/>
          <w:pgSz w:w="11907" w:h="16840"/>
          <w:pgMar w:top="1304" w:right="1588" w:bottom="1304" w:left="1588" w:header="720" w:footer="720" w:gutter="0"/>
          <w:pgNumType w:fmt="decimal"/>
          <w:cols w:space="720" w:num="1"/>
          <w:docGrid w:linePitch="285" w:charSpace="0"/>
        </w:sectPr>
      </w:pPr>
      <w:r>
        <w:rPr>
          <w:rFonts w:hint="eastAsia" w:ascii="宋体" w:hAnsi="宋体"/>
          <w:color w:val="auto"/>
          <w:szCs w:val="21"/>
          <w:highlight w:val="none"/>
        </w:rPr>
        <w:t>日期：</w:t>
      </w:r>
    </w:p>
    <w:p>
      <w:pPr>
        <w:pStyle w:val="5"/>
        <w:spacing w:line="380" w:lineRule="exact"/>
        <w:ind w:left="0" w:firstLine="0"/>
        <w:rPr>
          <w:rFonts w:ascii="宋体" w:hAnsi="宋体"/>
          <w:bCs w:val="0"/>
          <w:color w:val="auto"/>
          <w:sz w:val="24"/>
          <w:szCs w:val="24"/>
          <w:highlight w:val="none"/>
        </w:rPr>
      </w:pPr>
      <w:r>
        <w:rPr>
          <w:rFonts w:hint="eastAsia" w:ascii="宋体" w:hAnsi="宋体"/>
          <w:color w:val="auto"/>
          <w:sz w:val="28"/>
          <w:szCs w:val="28"/>
          <w:highlight w:val="none"/>
        </w:rPr>
        <w:t>（三）分项报价表</w:t>
      </w:r>
    </w:p>
    <w:p>
      <w:pPr>
        <w:pStyle w:val="156"/>
        <w:rPr>
          <w:color w:val="auto"/>
          <w:highlight w:val="none"/>
        </w:rPr>
      </w:pPr>
    </w:p>
    <w:p>
      <w:pPr>
        <w:spacing w:line="38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 xml:space="preserve">项目名称：                            </w:t>
      </w:r>
    </w:p>
    <w:p>
      <w:pPr>
        <w:pStyle w:val="16"/>
        <w:wordWrap w:val="0"/>
        <w:spacing w:after="240" w:afterLines="100" w:line="400" w:lineRule="exact"/>
        <w:ind w:firstLine="420"/>
        <w:rPr>
          <w:color w:val="auto"/>
          <w:sz w:val="21"/>
          <w:szCs w:val="21"/>
          <w:highlight w:val="none"/>
          <w:u w:val="single"/>
        </w:rPr>
      </w:pPr>
      <w:r>
        <w:rPr>
          <w:rFonts w:hint="eastAsia" w:ascii="宋体" w:hAnsi="宋体"/>
          <w:b/>
          <w:bCs/>
          <w:color w:val="auto"/>
          <w:sz w:val="21"/>
          <w:szCs w:val="21"/>
          <w:highlight w:val="none"/>
        </w:rPr>
        <w:t>招标编号：</w:t>
      </w:r>
      <w:r>
        <w:rPr>
          <w:rFonts w:hint="eastAsia"/>
          <w:color w:val="auto"/>
          <w:sz w:val="21"/>
          <w:szCs w:val="21"/>
          <w:highlight w:val="none"/>
        </w:rPr>
        <w:t xml:space="preserve">                </w:t>
      </w:r>
    </w:p>
    <w:tbl>
      <w:tblPr>
        <w:tblStyle w:val="34"/>
        <w:tblW w:w="963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012"/>
        <w:gridCol w:w="1099"/>
        <w:gridCol w:w="851"/>
        <w:gridCol w:w="2834"/>
        <w:gridCol w:w="9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vAlign w:val="center"/>
          </w:tcPr>
          <w:p>
            <w:pPr>
              <w:jc w:val="center"/>
              <w:rPr>
                <w:rFonts w:ascii="宋体" w:hAnsi="宋体"/>
                <w:b/>
                <w:color w:val="auto"/>
                <w:highlight w:val="none"/>
              </w:rPr>
            </w:pPr>
            <w:r>
              <w:rPr>
                <w:rFonts w:hint="eastAsia" w:ascii="宋体" w:hAnsi="宋体"/>
                <w:b/>
                <w:color w:val="auto"/>
                <w:highlight w:val="none"/>
              </w:rPr>
              <w:t>序号</w:t>
            </w:r>
          </w:p>
        </w:tc>
        <w:tc>
          <w:tcPr>
            <w:tcW w:w="3012" w:type="dxa"/>
            <w:vAlign w:val="center"/>
          </w:tcPr>
          <w:p>
            <w:pPr>
              <w:wordWrap w:val="0"/>
              <w:jc w:val="center"/>
              <w:rPr>
                <w:rFonts w:ascii="宋体" w:hAnsi="宋体"/>
                <w:b/>
                <w:color w:val="auto"/>
                <w:highlight w:val="none"/>
              </w:rPr>
            </w:pPr>
            <w:r>
              <w:rPr>
                <w:rFonts w:hint="eastAsia" w:ascii="宋体" w:hAnsi="宋体"/>
                <w:b/>
                <w:color w:val="auto"/>
                <w:highlight w:val="none"/>
              </w:rPr>
              <w:t>服务名称</w:t>
            </w:r>
          </w:p>
        </w:tc>
        <w:tc>
          <w:tcPr>
            <w:tcW w:w="1099" w:type="dxa"/>
            <w:vAlign w:val="center"/>
          </w:tcPr>
          <w:p>
            <w:pPr>
              <w:wordWrap w:val="0"/>
              <w:jc w:val="center"/>
              <w:rPr>
                <w:rFonts w:ascii="宋体" w:hAnsi="宋体"/>
                <w:b/>
                <w:color w:val="auto"/>
                <w:highlight w:val="none"/>
              </w:rPr>
            </w:pPr>
            <w:r>
              <w:rPr>
                <w:rFonts w:hint="eastAsia" w:ascii="宋体" w:hAnsi="宋体"/>
                <w:b/>
                <w:color w:val="auto"/>
                <w:highlight w:val="none"/>
              </w:rPr>
              <w:t>数量</w:t>
            </w:r>
          </w:p>
        </w:tc>
        <w:tc>
          <w:tcPr>
            <w:tcW w:w="851" w:type="dxa"/>
            <w:vAlign w:val="center"/>
          </w:tcPr>
          <w:p>
            <w:pPr>
              <w:wordWrap w:val="0"/>
              <w:jc w:val="center"/>
              <w:rPr>
                <w:rFonts w:ascii="宋体" w:hAnsi="宋体"/>
                <w:b/>
                <w:color w:val="auto"/>
                <w:highlight w:val="none"/>
              </w:rPr>
            </w:pPr>
            <w:r>
              <w:rPr>
                <w:rFonts w:hint="eastAsia" w:ascii="宋体" w:hAnsi="宋体"/>
                <w:b/>
                <w:color w:val="auto"/>
                <w:highlight w:val="none"/>
              </w:rPr>
              <w:t>单位</w:t>
            </w:r>
          </w:p>
        </w:tc>
        <w:tc>
          <w:tcPr>
            <w:tcW w:w="2834" w:type="dxa"/>
            <w:vAlign w:val="center"/>
          </w:tcPr>
          <w:p>
            <w:pPr>
              <w:wordWrap w:val="0"/>
              <w:jc w:val="center"/>
              <w:rPr>
                <w:rFonts w:ascii="宋体" w:hAnsi="宋体"/>
                <w:b/>
                <w:color w:val="auto"/>
                <w:highlight w:val="none"/>
              </w:rPr>
            </w:pPr>
            <w:r>
              <w:rPr>
                <w:rFonts w:hint="eastAsia" w:ascii="宋体" w:hAnsi="宋体"/>
                <w:b/>
                <w:color w:val="auto"/>
                <w:highlight w:val="none"/>
              </w:rPr>
              <w:t>综合单价</w:t>
            </w:r>
          </w:p>
        </w:tc>
        <w:tc>
          <w:tcPr>
            <w:tcW w:w="992" w:type="dxa"/>
            <w:vAlign w:val="center"/>
          </w:tcPr>
          <w:p>
            <w:pPr>
              <w:wordWrap w:val="0"/>
              <w:jc w:val="center"/>
              <w:rPr>
                <w:rFonts w:ascii="宋体" w:hAnsi="宋体"/>
                <w:b/>
                <w:color w:val="auto"/>
                <w:highlight w:val="none"/>
              </w:rPr>
            </w:pPr>
            <w:r>
              <w:rPr>
                <w:rFonts w:hint="eastAsia" w:ascii="宋体" w:hAnsi="宋体"/>
                <w:b/>
                <w:color w:val="auto"/>
                <w:highlight w:val="none"/>
              </w:rPr>
              <w:t>合价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vAlign w:val="center"/>
          </w:tcPr>
          <w:p>
            <w:pPr>
              <w:jc w:val="center"/>
              <w:rPr>
                <w:rFonts w:ascii="宋体" w:hAnsi="宋体"/>
                <w:b/>
                <w:color w:val="auto"/>
                <w:highlight w:val="none"/>
              </w:rPr>
            </w:pPr>
            <w:r>
              <w:rPr>
                <w:rFonts w:hint="eastAsia" w:ascii="宋体" w:hAnsi="宋体"/>
                <w:b/>
                <w:color w:val="auto"/>
                <w:highlight w:val="none"/>
              </w:rPr>
              <w:t>1</w:t>
            </w:r>
          </w:p>
        </w:tc>
        <w:tc>
          <w:tcPr>
            <w:tcW w:w="3012" w:type="dxa"/>
            <w:vAlign w:val="center"/>
          </w:tcPr>
          <w:p>
            <w:pPr>
              <w:wordWrap w:val="0"/>
              <w:jc w:val="center"/>
              <w:rPr>
                <w:rFonts w:ascii="宋体" w:hAnsi="宋体"/>
                <w:b/>
                <w:color w:val="auto"/>
                <w:highlight w:val="none"/>
              </w:rPr>
            </w:pPr>
          </w:p>
        </w:tc>
        <w:tc>
          <w:tcPr>
            <w:tcW w:w="1099" w:type="dxa"/>
            <w:vAlign w:val="center"/>
          </w:tcPr>
          <w:p>
            <w:pPr>
              <w:wordWrap w:val="0"/>
              <w:jc w:val="center"/>
              <w:rPr>
                <w:rFonts w:ascii="宋体" w:hAnsi="宋体"/>
                <w:b/>
                <w:color w:val="auto"/>
                <w:highlight w:val="none"/>
              </w:rPr>
            </w:pPr>
          </w:p>
        </w:tc>
        <w:tc>
          <w:tcPr>
            <w:tcW w:w="851" w:type="dxa"/>
            <w:vAlign w:val="center"/>
          </w:tcPr>
          <w:p>
            <w:pPr>
              <w:wordWrap w:val="0"/>
              <w:jc w:val="center"/>
              <w:rPr>
                <w:rFonts w:ascii="宋体" w:hAnsi="宋体"/>
                <w:b/>
                <w:color w:val="auto"/>
                <w:highlight w:val="none"/>
              </w:rPr>
            </w:pPr>
          </w:p>
        </w:tc>
        <w:tc>
          <w:tcPr>
            <w:tcW w:w="2834" w:type="dxa"/>
            <w:vAlign w:val="center"/>
          </w:tcPr>
          <w:p>
            <w:pPr>
              <w:wordWrap w:val="0"/>
              <w:jc w:val="center"/>
              <w:rPr>
                <w:rFonts w:ascii="宋体" w:hAnsi="宋体"/>
                <w:b/>
                <w:color w:val="auto"/>
                <w:highlight w:val="none"/>
              </w:rPr>
            </w:pPr>
          </w:p>
        </w:tc>
        <w:tc>
          <w:tcPr>
            <w:tcW w:w="992" w:type="dxa"/>
            <w:vAlign w:val="center"/>
          </w:tcPr>
          <w:p>
            <w:pPr>
              <w:wordWrap w:val="0"/>
              <w:jc w:val="center"/>
              <w:rPr>
                <w:rFonts w:ascii="宋体" w:hAnsi="宋体"/>
                <w:b/>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vAlign w:val="center"/>
          </w:tcPr>
          <w:p>
            <w:pPr>
              <w:jc w:val="center"/>
              <w:rPr>
                <w:rFonts w:ascii="宋体" w:hAnsi="宋体"/>
                <w:b/>
                <w:color w:val="auto"/>
                <w:highlight w:val="none"/>
              </w:rPr>
            </w:pPr>
            <w:r>
              <w:rPr>
                <w:rFonts w:hint="eastAsia" w:ascii="宋体" w:hAnsi="宋体"/>
                <w:b/>
                <w:color w:val="auto"/>
                <w:highlight w:val="none"/>
              </w:rPr>
              <w:t>2</w:t>
            </w:r>
          </w:p>
        </w:tc>
        <w:tc>
          <w:tcPr>
            <w:tcW w:w="3012" w:type="dxa"/>
            <w:vAlign w:val="center"/>
          </w:tcPr>
          <w:p>
            <w:pPr>
              <w:wordWrap w:val="0"/>
              <w:jc w:val="center"/>
              <w:rPr>
                <w:rFonts w:ascii="宋体" w:hAnsi="宋体"/>
                <w:b/>
                <w:color w:val="auto"/>
                <w:highlight w:val="none"/>
              </w:rPr>
            </w:pPr>
          </w:p>
        </w:tc>
        <w:tc>
          <w:tcPr>
            <w:tcW w:w="1099" w:type="dxa"/>
            <w:vAlign w:val="center"/>
          </w:tcPr>
          <w:p>
            <w:pPr>
              <w:wordWrap w:val="0"/>
              <w:jc w:val="center"/>
              <w:rPr>
                <w:rFonts w:ascii="宋体" w:hAnsi="宋体"/>
                <w:b/>
                <w:color w:val="auto"/>
                <w:highlight w:val="none"/>
              </w:rPr>
            </w:pPr>
          </w:p>
        </w:tc>
        <w:tc>
          <w:tcPr>
            <w:tcW w:w="851" w:type="dxa"/>
            <w:vAlign w:val="center"/>
          </w:tcPr>
          <w:p>
            <w:pPr>
              <w:wordWrap w:val="0"/>
              <w:jc w:val="center"/>
              <w:rPr>
                <w:rFonts w:ascii="宋体" w:hAnsi="宋体"/>
                <w:b/>
                <w:color w:val="auto"/>
                <w:highlight w:val="none"/>
              </w:rPr>
            </w:pPr>
          </w:p>
        </w:tc>
        <w:tc>
          <w:tcPr>
            <w:tcW w:w="2834" w:type="dxa"/>
            <w:vAlign w:val="center"/>
          </w:tcPr>
          <w:p>
            <w:pPr>
              <w:wordWrap w:val="0"/>
              <w:jc w:val="center"/>
              <w:rPr>
                <w:rFonts w:ascii="宋体" w:hAnsi="宋体"/>
                <w:b/>
                <w:color w:val="auto"/>
                <w:highlight w:val="none"/>
              </w:rPr>
            </w:pPr>
          </w:p>
        </w:tc>
        <w:tc>
          <w:tcPr>
            <w:tcW w:w="992" w:type="dxa"/>
            <w:vAlign w:val="center"/>
          </w:tcPr>
          <w:p>
            <w:pPr>
              <w:wordWrap w:val="0"/>
              <w:jc w:val="center"/>
              <w:rPr>
                <w:rFonts w:ascii="宋体" w:hAnsi="宋体"/>
                <w:b/>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vAlign w:val="center"/>
          </w:tcPr>
          <w:p>
            <w:pPr>
              <w:jc w:val="center"/>
              <w:rPr>
                <w:rFonts w:ascii="宋体" w:hAnsi="宋体"/>
                <w:b/>
                <w:color w:val="auto"/>
                <w:highlight w:val="none"/>
              </w:rPr>
            </w:pPr>
            <w:r>
              <w:rPr>
                <w:rFonts w:hint="eastAsia" w:ascii="宋体" w:hAnsi="宋体"/>
                <w:b/>
                <w:color w:val="auto"/>
                <w:highlight w:val="none"/>
              </w:rPr>
              <w:t>...</w:t>
            </w:r>
          </w:p>
        </w:tc>
        <w:tc>
          <w:tcPr>
            <w:tcW w:w="3012" w:type="dxa"/>
            <w:vAlign w:val="center"/>
          </w:tcPr>
          <w:p>
            <w:pPr>
              <w:wordWrap w:val="0"/>
              <w:jc w:val="center"/>
              <w:rPr>
                <w:rFonts w:ascii="宋体" w:hAnsi="宋体"/>
                <w:b/>
                <w:color w:val="auto"/>
                <w:highlight w:val="none"/>
              </w:rPr>
            </w:pPr>
          </w:p>
        </w:tc>
        <w:tc>
          <w:tcPr>
            <w:tcW w:w="1099" w:type="dxa"/>
            <w:vAlign w:val="center"/>
          </w:tcPr>
          <w:p>
            <w:pPr>
              <w:wordWrap w:val="0"/>
              <w:jc w:val="center"/>
              <w:rPr>
                <w:rFonts w:ascii="宋体" w:hAnsi="宋体"/>
                <w:b/>
                <w:color w:val="auto"/>
                <w:highlight w:val="none"/>
              </w:rPr>
            </w:pPr>
          </w:p>
        </w:tc>
        <w:tc>
          <w:tcPr>
            <w:tcW w:w="851" w:type="dxa"/>
            <w:vAlign w:val="center"/>
          </w:tcPr>
          <w:p>
            <w:pPr>
              <w:wordWrap w:val="0"/>
              <w:jc w:val="center"/>
              <w:rPr>
                <w:rFonts w:ascii="宋体" w:hAnsi="宋体"/>
                <w:b/>
                <w:color w:val="auto"/>
                <w:highlight w:val="none"/>
              </w:rPr>
            </w:pPr>
          </w:p>
        </w:tc>
        <w:tc>
          <w:tcPr>
            <w:tcW w:w="2834" w:type="dxa"/>
            <w:vAlign w:val="center"/>
          </w:tcPr>
          <w:p>
            <w:pPr>
              <w:wordWrap w:val="0"/>
              <w:jc w:val="center"/>
              <w:rPr>
                <w:rFonts w:ascii="宋体" w:hAnsi="宋体"/>
                <w:b/>
                <w:color w:val="auto"/>
                <w:highlight w:val="none"/>
              </w:rPr>
            </w:pPr>
          </w:p>
        </w:tc>
        <w:tc>
          <w:tcPr>
            <w:tcW w:w="992" w:type="dxa"/>
            <w:vAlign w:val="center"/>
          </w:tcPr>
          <w:p>
            <w:pPr>
              <w:wordWrap w:val="0"/>
              <w:jc w:val="center"/>
              <w:rPr>
                <w:rFonts w:ascii="宋体" w:hAnsi="宋体"/>
                <w:b/>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vAlign w:val="center"/>
          </w:tcPr>
          <w:p>
            <w:pPr>
              <w:jc w:val="center"/>
              <w:rPr>
                <w:rFonts w:ascii="宋体" w:hAnsi="宋体"/>
                <w:b/>
                <w:color w:val="auto"/>
                <w:highlight w:val="none"/>
              </w:rPr>
            </w:pPr>
          </w:p>
        </w:tc>
        <w:tc>
          <w:tcPr>
            <w:tcW w:w="3012" w:type="dxa"/>
            <w:vAlign w:val="center"/>
          </w:tcPr>
          <w:p>
            <w:pPr>
              <w:wordWrap w:val="0"/>
              <w:jc w:val="center"/>
              <w:rPr>
                <w:rFonts w:ascii="宋体" w:hAnsi="宋体"/>
                <w:b/>
                <w:color w:val="auto"/>
                <w:highlight w:val="none"/>
              </w:rPr>
            </w:pPr>
          </w:p>
        </w:tc>
        <w:tc>
          <w:tcPr>
            <w:tcW w:w="1099" w:type="dxa"/>
            <w:vAlign w:val="center"/>
          </w:tcPr>
          <w:p>
            <w:pPr>
              <w:wordWrap w:val="0"/>
              <w:jc w:val="center"/>
              <w:rPr>
                <w:rFonts w:ascii="宋体" w:hAnsi="宋体"/>
                <w:b/>
                <w:color w:val="auto"/>
                <w:highlight w:val="none"/>
              </w:rPr>
            </w:pPr>
          </w:p>
        </w:tc>
        <w:tc>
          <w:tcPr>
            <w:tcW w:w="851" w:type="dxa"/>
            <w:vAlign w:val="center"/>
          </w:tcPr>
          <w:p>
            <w:pPr>
              <w:wordWrap w:val="0"/>
              <w:jc w:val="center"/>
              <w:rPr>
                <w:rFonts w:ascii="宋体" w:hAnsi="宋体"/>
                <w:b/>
                <w:color w:val="auto"/>
                <w:highlight w:val="none"/>
              </w:rPr>
            </w:pPr>
          </w:p>
        </w:tc>
        <w:tc>
          <w:tcPr>
            <w:tcW w:w="2834" w:type="dxa"/>
            <w:vAlign w:val="center"/>
          </w:tcPr>
          <w:p>
            <w:pPr>
              <w:wordWrap w:val="0"/>
              <w:jc w:val="center"/>
              <w:rPr>
                <w:rFonts w:ascii="宋体" w:hAnsi="宋体"/>
                <w:b/>
                <w:color w:val="auto"/>
                <w:highlight w:val="none"/>
              </w:rPr>
            </w:pPr>
          </w:p>
        </w:tc>
        <w:tc>
          <w:tcPr>
            <w:tcW w:w="992" w:type="dxa"/>
            <w:vAlign w:val="center"/>
          </w:tcPr>
          <w:p>
            <w:pPr>
              <w:wordWrap w:val="0"/>
              <w:jc w:val="center"/>
              <w:rPr>
                <w:rFonts w:ascii="宋体" w:hAnsi="宋体"/>
                <w:b/>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639" w:type="dxa"/>
            <w:gridSpan w:val="6"/>
            <w:vAlign w:val="center"/>
          </w:tcPr>
          <w:p>
            <w:pPr>
              <w:widowControl/>
              <w:wordWrap w:val="0"/>
              <w:spacing w:line="360" w:lineRule="auto"/>
              <w:jc w:val="left"/>
              <w:textAlignment w:val="center"/>
              <w:rPr>
                <w:rFonts w:ascii="宋体" w:hAnsi="宋体" w:cs="宋体"/>
                <w:bCs/>
                <w:color w:val="auto"/>
                <w:spacing w:val="-6"/>
                <w:kern w:val="0"/>
                <w:szCs w:val="21"/>
                <w:highlight w:val="none"/>
                <w:lang w:val="zh-CN"/>
              </w:rPr>
            </w:pPr>
            <w:r>
              <w:rPr>
                <w:rFonts w:hint="eastAsia" w:ascii="宋体" w:hAnsi="宋体"/>
                <w:color w:val="auto"/>
                <w:szCs w:val="21"/>
                <w:highlight w:val="none"/>
              </w:rPr>
              <w:t>投标总价（大写</w:t>
            </w:r>
            <w:r>
              <w:rPr>
                <w:rFonts w:ascii="宋体" w:hAnsi="宋体"/>
                <w:color w:val="auto"/>
                <w:szCs w:val="21"/>
                <w:highlight w:val="none"/>
              </w:rPr>
              <w:t xml:space="preserve"> </w:t>
            </w:r>
            <w:r>
              <w:rPr>
                <w:rFonts w:hint="eastAsia" w:ascii="宋体" w:hAnsi="宋体"/>
                <w:color w:val="auto"/>
                <w:szCs w:val="21"/>
                <w:highlight w:val="none"/>
              </w:rPr>
              <w:t>人民币</w:t>
            </w:r>
            <w:r>
              <w:rPr>
                <w:rFonts w:ascii="宋体" w:hAnsi="宋体"/>
                <w:color w:val="auto"/>
                <w:szCs w:val="21"/>
                <w:highlight w:val="none"/>
              </w:rPr>
              <w:t xml:space="preserve">          </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小写：人民币</w:t>
            </w:r>
            <w:r>
              <w:rPr>
                <w:rFonts w:ascii="宋体" w:hAnsi="宋体"/>
                <w:color w:val="auto"/>
                <w:szCs w:val="21"/>
                <w:highlight w:val="none"/>
              </w:rPr>
              <w:t xml:space="preserve">        </w:t>
            </w:r>
            <w:r>
              <w:rPr>
                <w:rFonts w:hint="eastAsia" w:ascii="宋体" w:hAnsi="宋体"/>
                <w:color w:val="auto"/>
                <w:szCs w:val="21"/>
                <w:highlight w:val="none"/>
              </w:rPr>
              <w:t>元）：</w:t>
            </w:r>
          </w:p>
        </w:tc>
      </w:tr>
    </w:tbl>
    <w:p>
      <w:pPr>
        <w:wordWrap w:val="0"/>
        <w:spacing w:line="400" w:lineRule="atLeast"/>
        <w:jc w:val="left"/>
        <w:rPr>
          <w:rFonts w:ascii="宋体" w:hAnsi="宋体"/>
          <w:color w:val="auto"/>
          <w:szCs w:val="21"/>
          <w:highlight w:val="none"/>
        </w:rPr>
      </w:pPr>
      <w:r>
        <w:rPr>
          <w:rFonts w:hint="eastAsia" w:ascii="宋体" w:hAnsi="宋体"/>
          <w:color w:val="auto"/>
          <w:szCs w:val="21"/>
          <w:highlight w:val="none"/>
        </w:rPr>
        <w:t>注：投标文件中开标一览表内容与政采云系统“开标一览表”中录入的内容不一致的，以投标文件中开标一览表为准。</w:t>
      </w:r>
    </w:p>
    <w:p>
      <w:pPr>
        <w:wordWrap w:val="0"/>
        <w:spacing w:line="400" w:lineRule="atLeast"/>
        <w:jc w:val="left"/>
        <w:rPr>
          <w:rFonts w:ascii="宋体" w:hAnsi="宋体"/>
          <w:color w:val="auto"/>
          <w:szCs w:val="21"/>
          <w:highlight w:val="none"/>
        </w:rPr>
      </w:pPr>
    </w:p>
    <w:p>
      <w:pPr>
        <w:spacing w:line="380" w:lineRule="exact"/>
        <w:rPr>
          <w:rFonts w:ascii="宋体" w:hAnsi="宋体"/>
          <w:color w:val="auto"/>
          <w:szCs w:val="21"/>
          <w:highlight w:val="none"/>
        </w:rPr>
      </w:pPr>
      <w:r>
        <w:rPr>
          <w:rFonts w:hint="eastAsia" w:ascii="宋体" w:hAnsi="宋体"/>
          <w:color w:val="auto"/>
          <w:szCs w:val="21"/>
          <w:highlight w:val="none"/>
        </w:rPr>
        <w:t>投  标  人（公章）：</w:t>
      </w:r>
    </w:p>
    <w:p>
      <w:pPr>
        <w:spacing w:line="380" w:lineRule="exact"/>
        <w:rPr>
          <w:rFonts w:ascii="宋体" w:hAnsi="宋体"/>
          <w:color w:val="auto"/>
          <w:szCs w:val="21"/>
          <w:highlight w:val="none"/>
        </w:rPr>
      </w:pPr>
    </w:p>
    <w:p>
      <w:pPr>
        <w:spacing w:line="380" w:lineRule="exact"/>
        <w:rPr>
          <w:rFonts w:ascii="宋体" w:hAnsi="宋体"/>
          <w:color w:val="auto"/>
          <w:szCs w:val="21"/>
          <w:highlight w:val="none"/>
        </w:rPr>
      </w:pPr>
      <w:r>
        <w:rPr>
          <w:rFonts w:hint="eastAsia" w:ascii="宋体" w:hAnsi="宋体"/>
          <w:color w:val="auto"/>
          <w:szCs w:val="21"/>
          <w:highlight w:val="none"/>
        </w:rPr>
        <w:t>投标人代表（签字或印章）：</w:t>
      </w:r>
    </w:p>
    <w:p>
      <w:pPr>
        <w:spacing w:line="380" w:lineRule="exact"/>
        <w:rPr>
          <w:rFonts w:ascii="宋体" w:hAnsi="宋体"/>
          <w:color w:val="auto"/>
          <w:szCs w:val="21"/>
          <w:highlight w:val="none"/>
        </w:rPr>
      </w:pPr>
    </w:p>
    <w:p>
      <w:pPr>
        <w:pStyle w:val="44"/>
        <w:rPr>
          <w:color w:val="auto"/>
          <w:highlight w:val="none"/>
        </w:rPr>
      </w:pPr>
      <w:r>
        <w:rPr>
          <w:rFonts w:hint="eastAsia" w:ascii="宋体" w:hAnsi="宋体"/>
          <w:color w:val="auto"/>
          <w:sz w:val="21"/>
          <w:szCs w:val="21"/>
          <w:highlight w:val="none"/>
        </w:rPr>
        <w:t>日期：</w:t>
      </w:r>
    </w:p>
    <w:p>
      <w:pPr>
        <w:rPr>
          <w:rFonts w:ascii="宋体" w:hAnsi="宋体"/>
          <w:color w:val="auto"/>
          <w:highlight w:val="none"/>
        </w:rPr>
      </w:pPr>
    </w:p>
    <w:p>
      <w:pPr>
        <w:rPr>
          <w:rFonts w:ascii="宋体" w:hAnsi="宋体"/>
          <w:color w:val="auto"/>
          <w:highlight w:val="none"/>
        </w:rPr>
      </w:pPr>
    </w:p>
    <w:p>
      <w:pPr>
        <w:autoSpaceDE/>
        <w:autoSpaceDN/>
        <w:jc w:val="left"/>
        <w:rPr>
          <w:rFonts w:ascii="宋体" w:hAnsi="宋体" w:cs="宋体"/>
          <w:b/>
          <w:color w:val="auto"/>
          <w:kern w:val="0"/>
          <w:sz w:val="28"/>
          <w:szCs w:val="28"/>
          <w:highlight w:val="none"/>
        </w:rPr>
      </w:pPr>
      <w:r>
        <w:rPr>
          <w:rFonts w:ascii="宋体" w:hAnsi="宋体"/>
          <w:color w:val="auto"/>
          <w:highlight w:val="none"/>
        </w:rPr>
        <w:br w:type="page"/>
      </w:r>
    </w:p>
    <w:p>
      <w:pPr>
        <w:autoSpaceDE w:val="0"/>
        <w:autoSpaceDN w:val="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（四）享受政府采购价格优惠政策需提供的证明资料</w:t>
      </w:r>
    </w:p>
    <w:p>
      <w:pPr>
        <w:spacing w:line="360" w:lineRule="auto"/>
        <w:rPr>
          <w:rFonts w:ascii="宋体" w:hAnsi="宋体" w:cs="仿宋_GB2312"/>
          <w:color w:val="auto"/>
          <w:sz w:val="24"/>
          <w:highlight w:val="none"/>
        </w:rPr>
      </w:pPr>
    </w:p>
    <w:p>
      <w:pPr>
        <w:spacing w:line="360" w:lineRule="auto"/>
        <w:rPr>
          <w:rFonts w:ascii="宋体" w:hAnsi="宋体"/>
          <w:color w:val="auto"/>
          <w:sz w:val="22"/>
          <w:szCs w:val="22"/>
          <w:highlight w:val="none"/>
        </w:rPr>
      </w:pPr>
      <w:r>
        <w:rPr>
          <w:rFonts w:hint="eastAsia" w:ascii="宋体" w:hAnsi="宋体" w:cs="仿宋_GB2312"/>
          <w:color w:val="auto"/>
          <w:sz w:val="22"/>
          <w:szCs w:val="22"/>
          <w:highlight w:val="none"/>
        </w:rPr>
        <w:t>（招标公告落实政府采购政策需满足的资格要求为“无”即本项目或标项未预留份额专门面向中小企业时，符合《政府采购促进中小企业发展管理办法》规定的小微企业拟享受价格扣除政策的，</w:t>
      </w:r>
      <w:r>
        <w:rPr>
          <w:rFonts w:hint="eastAsia" w:ascii="宋体" w:hAnsi="宋体"/>
          <w:color w:val="auto"/>
          <w:sz w:val="22"/>
          <w:szCs w:val="22"/>
          <w:highlight w:val="none"/>
        </w:rPr>
        <w:t>需提供相应的</w:t>
      </w:r>
      <w:r>
        <w:rPr>
          <w:rFonts w:hint="eastAsia" w:ascii="宋体" w:hAnsi="宋体" w:cs="仿宋_GB2312"/>
          <w:color w:val="auto"/>
          <w:sz w:val="22"/>
          <w:szCs w:val="22"/>
          <w:highlight w:val="none"/>
        </w:rPr>
        <w:t>中小企业声明函（附件1）、</w:t>
      </w:r>
      <w:r>
        <w:rPr>
          <w:rFonts w:hint="eastAsia" w:ascii="宋体" w:hAnsi="宋体"/>
          <w:color w:val="auto"/>
          <w:sz w:val="22"/>
          <w:szCs w:val="22"/>
          <w:highlight w:val="none"/>
        </w:rPr>
        <w:t>残疾人福利性单位声明函（附件2）；无法享受的，无需提供</w:t>
      </w:r>
      <w:r>
        <w:rPr>
          <w:rFonts w:hint="eastAsia" w:ascii="宋体" w:hAnsi="宋体" w:cs="仿宋_GB2312"/>
          <w:color w:val="auto"/>
          <w:sz w:val="22"/>
          <w:szCs w:val="22"/>
          <w:highlight w:val="none"/>
        </w:rPr>
        <w:t>）</w:t>
      </w:r>
    </w:p>
    <w:p>
      <w:pPr>
        <w:pStyle w:val="96"/>
        <w:rPr>
          <w:color w:val="auto"/>
          <w:highlight w:val="none"/>
        </w:rPr>
      </w:pPr>
    </w:p>
    <w:p>
      <w:pPr>
        <w:pStyle w:val="4"/>
        <w:spacing w:line="380" w:lineRule="exact"/>
        <w:rPr>
          <w:rFonts w:ascii="宋体" w:hAnsi="宋体"/>
          <w:color w:val="auto"/>
          <w:sz w:val="28"/>
          <w:szCs w:val="28"/>
          <w:highlight w:val="none"/>
        </w:rPr>
        <w:sectPr>
          <w:pgSz w:w="11907" w:h="16840"/>
          <w:pgMar w:top="1304" w:right="1588" w:bottom="1304" w:left="1588" w:header="720" w:footer="720" w:gutter="0"/>
          <w:pgNumType w:fmt="decimal"/>
          <w:cols w:space="720" w:num="1"/>
          <w:docGrid w:linePitch="285" w:charSpace="0"/>
        </w:sectPr>
      </w:pPr>
      <w:bookmarkStart w:id="252" w:name="_Toc136345130"/>
      <w:bookmarkStart w:id="253" w:name="_Toc20265"/>
      <w:bookmarkStart w:id="254" w:name="_Toc136017669"/>
    </w:p>
    <w:p>
      <w:pPr>
        <w:pStyle w:val="4"/>
        <w:spacing w:line="380" w:lineRule="exact"/>
        <w:rPr>
          <w:rFonts w:ascii="宋体" w:hAnsi="宋体"/>
          <w:color w:val="auto"/>
          <w:sz w:val="28"/>
          <w:szCs w:val="28"/>
          <w:highlight w:val="none"/>
        </w:rPr>
      </w:pPr>
      <w:r>
        <w:rPr>
          <w:rFonts w:hint="eastAsia" w:ascii="宋体" w:hAnsi="宋体"/>
          <w:color w:val="auto"/>
          <w:sz w:val="28"/>
          <w:szCs w:val="28"/>
          <w:highlight w:val="none"/>
        </w:rPr>
        <w:t>附  件</w:t>
      </w:r>
      <w:bookmarkEnd w:id="252"/>
      <w:bookmarkEnd w:id="253"/>
      <w:bookmarkEnd w:id="254"/>
    </w:p>
    <w:p>
      <w:pPr>
        <w:pStyle w:val="96"/>
        <w:rPr>
          <w:color w:val="auto"/>
          <w:highlight w:val="none"/>
        </w:rPr>
      </w:pPr>
    </w:p>
    <w:p>
      <w:pPr>
        <w:pStyle w:val="5"/>
        <w:spacing w:line="380" w:lineRule="exact"/>
        <w:ind w:left="0" w:firstLine="0"/>
        <w:jc w:val="both"/>
        <w:rPr>
          <w:rFonts w:ascii="宋体" w:hAnsi="宋体"/>
          <w:color w:val="auto"/>
          <w:sz w:val="28"/>
          <w:szCs w:val="28"/>
          <w:highlight w:val="none"/>
        </w:rPr>
      </w:pPr>
      <w:bookmarkStart w:id="255" w:name="_Toc136017670"/>
      <w:bookmarkStart w:id="256" w:name="_Toc19350"/>
      <w:bookmarkStart w:id="257" w:name="_Toc136345131"/>
      <w:r>
        <w:rPr>
          <w:rFonts w:hint="eastAsia" w:ascii="宋体" w:hAnsi="宋体"/>
          <w:color w:val="auto"/>
          <w:sz w:val="28"/>
          <w:szCs w:val="28"/>
          <w:highlight w:val="none"/>
        </w:rPr>
        <w:t xml:space="preserve">附件1                       </w:t>
      </w:r>
      <w:bookmarkStart w:id="258" w:name="OLE_LINK44"/>
      <w:r>
        <w:rPr>
          <w:rFonts w:hint="eastAsia" w:ascii="宋体" w:hAnsi="宋体"/>
          <w:color w:val="auto"/>
          <w:sz w:val="28"/>
          <w:szCs w:val="28"/>
          <w:highlight w:val="none"/>
        </w:rPr>
        <w:t>中小企业声明函</w:t>
      </w:r>
      <w:bookmarkEnd w:id="255"/>
      <w:bookmarkEnd w:id="256"/>
      <w:bookmarkEnd w:id="257"/>
    </w:p>
    <w:p>
      <w:pPr>
        <w:rPr>
          <w:rFonts w:ascii="宋体" w:hAnsi="宋体"/>
          <w:color w:val="auto"/>
          <w:highlight w:val="none"/>
        </w:rPr>
      </w:pP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本公司（联合体）郑重声明，根据《政府采购促进中小 企业发展管理办法》（财库﹝2020﹞46 号）的规定，本公司（联合体）参加_______________（单位名称）的________________（项目名称）采购活动，服务全部由符合政策要求的中小企业承接。相关企业（含联合体中的中小企业、签订分包意向协议的中小企业）的具体情况如下：</w:t>
      </w:r>
    </w:p>
    <w:p>
      <w:pPr>
        <w:spacing w:line="360" w:lineRule="auto"/>
        <w:ind w:firstLine="444" w:firstLineChars="200"/>
        <w:rPr>
          <w:rFonts w:ascii="宋体" w:hAnsi="宋体" w:cs="宋体"/>
          <w:color w:val="auto"/>
          <w:highlight w:val="none"/>
        </w:rPr>
      </w:pPr>
      <w:r>
        <w:rPr>
          <w:rFonts w:hint="eastAsia" w:ascii="宋体" w:hAnsi="宋体"/>
          <w:color w:val="auto"/>
          <w:spacing w:val="6"/>
          <w:szCs w:val="21"/>
          <w:highlight w:val="none"/>
        </w:rPr>
        <w:t>1.</w:t>
      </w:r>
      <w:r>
        <w:rPr>
          <w:rFonts w:hint="eastAsia" w:ascii="宋体" w:hAnsi="宋体"/>
          <w:color w:val="auto"/>
          <w:spacing w:val="6"/>
          <w:szCs w:val="21"/>
          <w:highlight w:val="none"/>
          <w:u w:val="single"/>
        </w:rPr>
        <w:t>2025年市三区重大活动交通安全及方案咨询项目</w:t>
      </w:r>
      <w:r>
        <w:rPr>
          <w:rFonts w:hint="eastAsia" w:ascii="宋体" w:hAnsi="宋体"/>
          <w:color w:val="auto"/>
          <w:spacing w:val="6"/>
          <w:szCs w:val="21"/>
          <w:highlight w:val="none"/>
        </w:rPr>
        <w:t>，属于</w:t>
      </w:r>
      <w:r>
        <w:rPr>
          <w:rFonts w:hint="eastAsia" w:ascii="宋体" w:hAnsi="宋体"/>
          <w:color w:val="auto"/>
          <w:spacing w:val="6"/>
          <w:szCs w:val="21"/>
          <w:highlight w:val="none"/>
          <w:u w:val="single"/>
        </w:rPr>
        <w:t>其他未列明行业</w:t>
      </w:r>
      <w:r>
        <w:rPr>
          <w:rFonts w:hint="eastAsia" w:ascii="宋体" w:hAnsi="宋体"/>
          <w:color w:val="auto"/>
          <w:spacing w:val="6"/>
          <w:szCs w:val="21"/>
          <w:highlight w:val="none"/>
        </w:rPr>
        <w:t>；</w:t>
      </w:r>
      <w:r>
        <w:rPr>
          <w:rFonts w:hint="eastAsia" w:ascii="宋体" w:hAnsi="宋体" w:cs="宋体"/>
          <w:color w:val="auto"/>
          <w:highlight w:val="none"/>
        </w:rPr>
        <w:t>承建（承接）企业为___________（企业名称），从业人员____人，营业收入为____万元，资产总额为____万元，属于__企业（中型企业、小型企业、微型企业）。</w:t>
      </w:r>
    </w:p>
    <w:p>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以上企业，不属于大企业的分支机构，不存在控股股东为大企业的情形，也不存在与大企业的负责人为同一人的情形。</w:t>
      </w:r>
    </w:p>
    <w:p>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本企业对上述声明内容的真实性负责。如有虚假，将依法承担相应责任。</w:t>
      </w:r>
    </w:p>
    <w:p>
      <w:pPr>
        <w:tabs>
          <w:tab w:val="left" w:pos="4860"/>
        </w:tabs>
        <w:spacing w:line="360" w:lineRule="auto"/>
        <w:ind w:right="-58" w:firstLine="999" w:firstLineChars="450"/>
        <w:rPr>
          <w:rFonts w:ascii="宋体" w:hAnsi="宋体"/>
          <w:color w:val="auto"/>
          <w:spacing w:val="6"/>
          <w:szCs w:val="21"/>
          <w:highlight w:val="none"/>
        </w:rPr>
      </w:pPr>
    </w:p>
    <w:p>
      <w:pPr>
        <w:tabs>
          <w:tab w:val="left" w:pos="4860"/>
        </w:tabs>
        <w:spacing w:line="360" w:lineRule="auto"/>
        <w:ind w:right="-58" w:firstLine="4773" w:firstLineChars="2150"/>
        <w:rPr>
          <w:rFonts w:ascii="宋体" w:hAnsi="宋体"/>
          <w:color w:val="auto"/>
          <w:spacing w:val="6"/>
          <w:szCs w:val="21"/>
          <w:highlight w:val="none"/>
        </w:rPr>
      </w:pPr>
      <w:r>
        <w:rPr>
          <w:rFonts w:hint="eastAsia" w:ascii="宋体" w:hAnsi="宋体"/>
          <w:color w:val="auto"/>
          <w:spacing w:val="6"/>
          <w:szCs w:val="21"/>
          <w:highlight w:val="none"/>
        </w:rPr>
        <w:t xml:space="preserve">企业名称（公章）：                </w:t>
      </w:r>
    </w:p>
    <w:p>
      <w:pPr>
        <w:tabs>
          <w:tab w:val="left" w:pos="4860"/>
        </w:tabs>
        <w:spacing w:line="360" w:lineRule="auto"/>
        <w:ind w:right="-58" w:firstLine="4773" w:firstLineChars="2150"/>
        <w:rPr>
          <w:rFonts w:ascii="宋体" w:hAnsi="宋体"/>
          <w:color w:val="auto"/>
          <w:spacing w:val="6"/>
          <w:szCs w:val="21"/>
          <w:highlight w:val="none"/>
        </w:rPr>
      </w:pPr>
      <w:r>
        <w:rPr>
          <w:rFonts w:hint="eastAsia" w:ascii="宋体" w:hAnsi="宋体"/>
          <w:color w:val="auto"/>
          <w:spacing w:val="6"/>
          <w:szCs w:val="21"/>
          <w:highlight w:val="none"/>
        </w:rPr>
        <w:t xml:space="preserve">日期：  </w:t>
      </w:r>
    </w:p>
    <w:p>
      <w:pPr>
        <w:spacing w:line="360" w:lineRule="auto"/>
        <w:ind w:right="420" w:firstLine="444" w:firstLineChars="200"/>
        <w:rPr>
          <w:rFonts w:ascii="宋体" w:hAnsi="宋体"/>
          <w:color w:val="auto"/>
          <w:spacing w:val="6"/>
          <w:szCs w:val="21"/>
          <w:highlight w:val="none"/>
        </w:rPr>
      </w:pPr>
      <w:r>
        <w:rPr>
          <w:rFonts w:hint="eastAsia" w:ascii="宋体" w:hAnsi="宋体"/>
          <w:color w:val="auto"/>
          <w:spacing w:val="6"/>
          <w:szCs w:val="21"/>
          <w:highlight w:val="none"/>
        </w:rPr>
        <w:t>注：1、填写要求：①“标的名称”、“招标文件中明确的所属行业”依据招标文件第三部分投标资料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b/>
          <w:bCs/>
          <w:color w:val="auto"/>
          <w:spacing w:val="6"/>
          <w:szCs w:val="21"/>
          <w:highlight w:val="none"/>
          <w:u w:val="double"/>
        </w:rPr>
        <w:t>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44" w:firstLineChars="200"/>
        <w:rPr>
          <w:rFonts w:ascii="宋体" w:hAnsi="宋体" w:cs="仿宋_GB2312"/>
          <w:color w:val="auto"/>
          <w:szCs w:val="21"/>
          <w:highlight w:val="none"/>
        </w:rPr>
        <w:sectPr>
          <w:pgSz w:w="11907" w:h="16840"/>
          <w:pgMar w:top="1304" w:right="1588" w:bottom="1304" w:left="1588" w:header="720" w:footer="720" w:gutter="0"/>
          <w:pgNumType w:fmt="decimal"/>
          <w:cols w:space="720" w:num="1"/>
          <w:docGrid w:linePitch="285" w:charSpace="0"/>
        </w:sectPr>
      </w:pPr>
      <w:r>
        <w:rPr>
          <w:rFonts w:hint="eastAsia" w:ascii="宋体" w:hAnsi="宋体"/>
          <w:color w:val="auto"/>
          <w:spacing w:val="6"/>
          <w:szCs w:val="21"/>
          <w:highlight w:val="none"/>
        </w:rPr>
        <w:t>2、符合《关于促进残疾人就业政府采购政策的通知》（财库〔2017〕141号）规定的条件并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ascii="宋体" w:hAnsi="宋体" w:cs="仿宋_GB2312"/>
          <w:color w:val="auto"/>
          <w:szCs w:val="21"/>
          <w:highlight w:val="none"/>
        </w:rPr>
        <w:t>。</w:t>
      </w:r>
    </w:p>
    <w:p>
      <w:pPr>
        <w:rPr>
          <w:rFonts w:ascii="宋体" w:hAnsi="宋体"/>
          <w:b/>
          <w:color w:val="auto"/>
          <w:spacing w:val="6"/>
          <w:sz w:val="28"/>
          <w:szCs w:val="28"/>
          <w:highlight w:val="none"/>
        </w:rPr>
      </w:pPr>
    </w:p>
    <w:p>
      <w:pPr>
        <w:jc w:val="center"/>
        <w:rPr>
          <w:rStyle w:val="143"/>
          <w:rFonts w:hint="default"/>
          <w:color w:val="auto"/>
          <w:sz w:val="28"/>
          <w:szCs w:val="28"/>
          <w:highlight w:val="none"/>
        </w:rPr>
      </w:pPr>
      <w:r>
        <w:rPr>
          <w:rFonts w:hint="eastAsia" w:ascii="宋体" w:hAnsi="宋体" w:cs="宋体"/>
          <w:b/>
          <w:color w:val="auto"/>
          <w:kern w:val="0"/>
          <w:sz w:val="28"/>
          <w:szCs w:val="28"/>
          <w:highlight w:val="none"/>
        </w:rPr>
        <w:t>中小微行业划型标准规定</w:t>
      </w:r>
      <w:r>
        <w:rPr>
          <w:rStyle w:val="143"/>
          <w:rFonts w:hint="default"/>
          <w:color w:val="auto"/>
          <w:sz w:val="28"/>
          <w:szCs w:val="28"/>
          <w:highlight w:val="none"/>
        </w:rPr>
        <w:t>（根据工信部联企业〔2011〕300号制定）</w:t>
      </w:r>
    </w:p>
    <w:tbl>
      <w:tblPr>
        <w:tblStyle w:val="34"/>
        <w:tblW w:w="15008" w:type="dxa"/>
        <w:tblInd w:w="0" w:type="dxa"/>
        <w:tblLayout w:type="fixed"/>
        <w:tblCellMar>
          <w:top w:w="15" w:type="dxa"/>
          <w:left w:w="15" w:type="dxa"/>
          <w:bottom w:w="15" w:type="dxa"/>
          <w:right w:w="15" w:type="dxa"/>
        </w:tblCellMar>
      </w:tblPr>
      <w:tblGrid>
        <w:gridCol w:w="2153"/>
        <w:gridCol w:w="1320"/>
        <w:gridCol w:w="1560"/>
        <w:gridCol w:w="1500"/>
        <w:gridCol w:w="1320"/>
        <w:gridCol w:w="1500"/>
        <w:gridCol w:w="1406"/>
        <w:gridCol w:w="1264"/>
        <w:gridCol w:w="1470"/>
        <w:gridCol w:w="1515"/>
      </w:tblGrid>
      <w:tr>
        <w:tblPrEx>
          <w:tblCellMar>
            <w:top w:w="15" w:type="dxa"/>
            <w:left w:w="15" w:type="dxa"/>
            <w:bottom w:w="15" w:type="dxa"/>
            <w:right w:w="15" w:type="dxa"/>
          </w:tblCellMar>
        </w:tblPrEx>
        <w:trPr>
          <w:trHeight w:val="90" w:hRule="atLeast"/>
        </w:trPr>
        <w:tc>
          <w:tcPr>
            <w:tcW w:w="2153" w:type="dxa"/>
            <w:vMerge w:val="restart"/>
            <w:tcBorders>
              <w:top w:val="single" w:color="000000" w:sz="12" w:space="0"/>
              <w:left w:val="single" w:color="000000" w:sz="12" w:space="0"/>
              <w:bottom w:val="single" w:color="000000" w:sz="4" w:space="0"/>
              <w:right w:val="single" w:color="000000" w:sz="12" w:space="0"/>
            </w:tcBorders>
            <w:vAlign w:val="center"/>
          </w:tcPr>
          <w:p>
            <w:pPr>
              <w:widowControl/>
              <w:jc w:val="center"/>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rPr>
              <w:t>行业</w:t>
            </w:r>
          </w:p>
        </w:tc>
        <w:tc>
          <w:tcPr>
            <w:tcW w:w="4380" w:type="dxa"/>
            <w:gridSpan w:val="3"/>
            <w:tcBorders>
              <w:top w:val="single" w:color="000000" w:sz="12" w:space="0"/>
              <w:left w:val="single" w:color="000000" w:sz="12" w:space="0"/>
              <w:bottom w:val="single" w:color="000000" w:sz="4" w:space="0"/>
              <w:right w:val="single" w:color="000000" w:sz="12" w:space="0"/>
            </w:tcBorders>
            <w:vAlign w:val="bottom"/>
          </w:tcPr>
          <w:p>
            <w:pPr>
              <w:widowControl/>
              <w:jc w:val="center"/>
              <w:textAlignment w:val="bottom"/>
              <w:rPr>
                <w:rFonts w:ascii="宋体" w:hAnsi="宋体" w:cs="宋体"/>
                <w:b/>
                <w:color w:val="auto"/>
                <w:sz w:val="18"/>
                <w:szCs w:val="18"/>
                <w:highlight w:val="none"/>
              </w:rPr>
            </w:pPr>
            <w:r>
              <w:rPr>
                <w:rFonts w:hint="eastAsia" w:ascii="宋体" w:hAnsi="宋体" w:cs="宋体"/>
                <w:b/>
                <w:color w:val="auto"/>
                <w:kern w:val="0"/>
                <w:sz w:val="18"/>
                <w:szCs w:val="18"/>
                <w:highlight w:val="none"/>
              </w:rPr>
              <w:t>中型企业</w:t>
            </w:r>
          </w:p>
        </w:tc>
        <w:tc>
          <w:tcPr>
            <w:tcW w:w="4226" w:type="dxa"/>
            <w:gridSpan w:val="3"/>
            <w:tcBorders>
              <w:top w:val="single" w:color="000000" w:sz="12" w:space="0"/>
              <w:left w:val="single" w:color="000000" w:sz="12" w:space="0"/>
              <w:bottom w:val="single" w:color="000000" w:sz="4" w:space="0"/>
              <w:right w:val="single" w:color="000000" w:sz="12" w:space="0"/>
            </w:tcBorders>
            <w:vAlign w:val="bottom"/>
          </w:tcPr>
          <w:p>
            <w:pPr>
              <w:widowControl/>
              <w:jc w:val="center"/>
              <w:textAlignment w:val="bottom"/>
              <w:rPr>
                <w:rFonts w:ascii="宋体" w:hAnsi="宋体" w:cs="宋体"/>
                <w:b/>
                <w:color w:val="auto"/>
                <w:sz w:val="18"/>
                <w:szCs w:val="18"/>
                <w:highlight w:val="none"/>
              </w:rPr>
            </w:pPr>
            <w:r>
              <w:rPr>
                <w:rFonts w:hint="eastAsia" w:ascii="宋体" w:hAnsi="宋体" w:cs="宋体"/>
                <w:b/>
                <w:color w:val="auto"/>
                <w:kern w:val="0"/>
                <w:sz w:val="18"/>
                <w:szCs w:val="18"/>
                <w:highlight w:val="none"/>
              </w:rPr>
              <w:t>小型企业</w:t>
            </w:r>
          </w:p>
        </w:tc>
        <w:tc>
          <w:tcPr>
            <w:tcW w:w="4249" w:type="dxa"/>
            <w:gridSpan w:val="3"/>
            <w:tcBorders>
              <w:top w:val="single" w:color="000000" w:sz="12" w:space="0"/>
              <w:left w:val="single" w:color="000000" w:sz="12" w:space="0"/>
              <w:bottom w:val="single" w:color="000000" w:sz="4" w:space="0"/>
              <w:right w:val="single" w:color="000000" w:sz="12" w:space="0"/>
            </w:tcBorders>
            <w:vAlign w:val="bottom"/>
          </w:tcPr>
          <w:p>
            <w:pPr>
              <w:widowControl/>
              <w:jc w:val="center"/>
              <w:textAlignment w:val="bottom"/>
              <w:rPr>
                <w:rFonts w:ascii="宋体" w:hAnsi="宋体" w:cs="宋体"/>
                <w:b/>
                <w:color w:val="auto"/>
                <w:sz w:val="18"/>
                <w:szCs w:val="18"/>
                <w:highlight w:val="none"/>
              </w:rPr>
            </w:pPr>
            <w:r>
              <w:rPr>
                <w:rFonts w:hint="eastAsia" w:ascii="宋体" w:hAnsi="宋体" w:cs="宋体"/>
                <w:b/>
                <w:color w:val="auto"/>
                <w:kern w:val="0"/>
                <w:sz w:val="18"/>
                <w:szCs w:val="18"/>
                <w:highlight w:val="none"/>
              </w:rPr>
              <w:t>微型企业</w:t>
            </w:r>
          </w:p>
        </w:tc>
      </w:tr>
      <w:tr>
        <w:tblPrEx>
          <w:tblCellMar>
            <w:top w:w="15" w:type="dxa"/>
            <w:left w:w="15" w:type="dxa"/>
            <w:bottom w:w="15" w:type="dxa"/>
            <w:right w:w="15" w:type="dxa"/>
          </w:tblCellMar>
        </w:tblPrEx>
        <w:trPr>
          <w:trHeight w:val="374" w:hRule="atLeast"/>
        </w:trPr>
        <w:tc>
          <w:tcPr>
            <w:tcW w:w="2153" w:type="dxa"/>
            <w:vMerge w:val="continue"/>
            <w:tcBorders>
              <w:top w:val="single" w:color="000000" w:sz="12" w:space="0"/>
              <w:left w:val="single" w:color="000000" w:sz="12" w:space="0"/>
              <w:bottom w:val="single" w:color="000000" w:sz="4" w:space="0"/>
              <w:right w:val="single" w:color="000000" w:sz="12" w:space="0"/>
            </w:tcBorders>
            <w:vAlign w:val="center"/>
          </w:tcPr>
          <w:p>
            <w:pPr>
              <w:jc w:val="center"/>
              <w:rPr>
                <w:rFonts w:ascii="宋体" w:hAnsi="宋体" w:cs="宋体"/>
                <w:b/>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从业人员X（人）</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营业收入 Y（万元）</w:t>
            </w: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资产总额 Z（万元）</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从业人员X（人）</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营业收入Y（万元）</w:t>
            </w: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资产总额Z（万元）</w:t>
            </w: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从业人员X（人）</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营业收入Y（万元）</w:t>
            </w: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资产总额Z（万元）</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1、农林牧渔业</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ascii="宋体" w:hAnsi="宋体" w:cs="宋体"/>
                <w:color w:val="auto"/>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ascii="宋体" w:hAnsi="宋体" w:cs="宋体"/>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50≤Y＜500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rPr>
                <w:rFonts w:ascii="宋体" w:hAnsi="宋体" w:cs="宋体"/>
                <w:color w:val="auto"/>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2、工业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2000≤Y＜40000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300≤Y＜2000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3、建筑业</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ascii="宋体" w:hAnsi="宋体" w:cs="宋体"/>
                <w:color w:val="auto"/>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6000≤Y＜80000</w:t>
            </w: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5000≤Z＜80000</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ascii="宋体" w:hAnsi="宋体" w:cs="宋体"/>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300≤Y＜6000</w:t>
            </w: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300≤Z＜5000</w:t>
            </w:r>
          </w:p>
        </w:tc>
        <w:tc>
          <w:tcPr>
            <w:tcW w:w="1264" w:type="dxa"/>
            <w:tcBorders>
              <w:top w:val="single" w:color="000000" w:sz="4" w:space="0"/>
              <w:left w:val="single" w:color="000000" w:sz="12" w:space="0"/>
              <w:bottom w:val="single" w:color="000000" w:sz="4" w:space="0"/>
              <w:right w:val="single" w:color="000000" w:sz="4" w:space="0"/>
            </w:tcBorders>
            <w:vAlign w:val="bottom"/>
          </w:tcPr>
          <w:p>
            <w:pPr>
              <w:rPr>
                <w:rFonts w:ascii="宋体" w:hAnsi="宋体" w:cs="宋体"/>
                <w:color w:val="auto"/>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Z＜300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4、批发业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20≤X＜200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5000≤Y＜40000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5≤X＜20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1000≤Y＜5000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X＜5</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Y＜1000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5、零售业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50≤X＜300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10≤X＜50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100≤Y＜500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6、交通运输业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3000≤Y＜30000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200≤Y＜3000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V＜200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7、仓储业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100≤X＜200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1000≤Y＜30000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8、邮政业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2000≤Y＜30000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9、住宿业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10、餐饮业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V＜100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11、信息传输业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100≤X＜2000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1000≤Y＜100000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12、其他未列明行业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1000≤Y＜10000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50≤Y＜1000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13、房地产开发经营</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ascii="宋体" w:hAnsi="宋体" w:cs="宋体"/>
                <w:color w:val="auto"/>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1000≤Y＜200000</w:t>
            </w: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5000≤Z＜10000</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ascii="宋体" w:hAnsi="宋体" w:cs="宋体"/>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2000≤Z＜5000</w:t>
            </w:r>
          </w:p>
        </w:tc>
        <w:tc>
          <w:tcPr>
            <w:tcW w:w="1264" w:type="dxa"/>
            <w:tcBorders>
              <w:top w:val="single" w:color="000000" w:sz="4" w:space="0"/>
              <w:left w:val="single" w:color="000000" w:sz="12" w:space="0"/>
              <w:bottom w:val="single" w:color="000000" w:sz="4" w:space="0"/>
              <w:right w:val="single" w:color="000000" w:sz="4" w:space="0"/>
            </w:tcBorders>
            <w:vAlign w:val="bottom"/>
          </w:tcPr>
          <w:p>
            <w:pPr>
              <w:rPr>
                <w:rFonts w:ascii="宋体" w:hAnsi="宋体" w:cs="宋体"/>
                <w:color w:val="auto"/>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Z＜2000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14、物业管理</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1000≤Y＜5000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500≤Y＜1000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X＜100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Y＜500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ascii="宋体" w:hAnsi="宋体" w:cs="宋体"/>
                <w:color w:val="auto"/>
                <w:sz w:val="18"/>
                <w:szCs w:val="18"/>
                <w:highlight w:val="none"/>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15、租赁和商务服务业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8000≤Z＜120000</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sz w:val="18"/>
                <w:szCs w:val="18"/>
                <w:highlight w:val="none"/>
              </w:rPr>
            </w:pP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100≤Z＜8000</w:t>
            </w: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sz w:val="18"/>
                <w:szCs w:val="18"/>
                <w:highlight w:val="none"/>
              </w:rPr>
            </w:pP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Z＜100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12" w:space="0"/>
              <w:right w:val="single" w:color="000000" w:sz="12"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16、其他未列明行业</w:t>
            </w:r>
          </w:p>
        </w:tc>
        <w:tc>
          <w:tcPr>
            <w:tcW w:w="1320" w:type="dxa"/>
            <w:tcBorders>
              <w:top w:val="single" w:color="000000" w:sz="4" w:space="0"/>
              <w:left w:val="single" w:color="000000" w:sz="12" w:space="0"/>
              <w:bottom w:val="single" w:color="000000" w:sz="12"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100≤X＜300</w:t>
            </w:r>
          </w:p>
        </w:tc>
        <w:tc>
          <w:tcPr>
            <w:tcW w:w="1560" w:type="dxa"/>
            <w:tcBorders>
              <w:top w:val="single" w:color="000000" w:sz="4" w:space="0"/>
              <w:left w:val="single" w:color="000000" w:sz="4" w:space="0"/>
              <w:bottom w:val="single" w:color="000000" w:sz="12" w:space="0"/>
              <w:right w:val="single" w:color="000000" w:sz="4" w:space="0"/>
            </w:tcBorders>
            <w:vAlign w:val="bottom"/>
          </w:tcPr>
          <w:p>
            <w:pPr>
              <w:rPr>
                <w:rFonts w:ascii="宋体" w:hAnsi="宋体" w:cs="宋体"/>
                <w:color w:val="auto"/>
                <w:sz w:val="18"/>
                <w:szCs w:val="18"/>
                <w:highlight w:val="none"/>
              </w:rPr>
            </w:pPr>
          </w:p>
        </w:tc>
        <w:tc>
          <w:tcPr>
            <w:tcW w:w="1500" w:type="dxa"/>
            <w:tcBorders>
              <w:top w:val="single" w:color="000000" w:sz="4" w:space="0"/>
              <w:left w:val="single" w:color="000000" w:sz="4" w:space="0"/>
              <w:bottom w:val="single" w:color="000000" w:sz="12" w:space="0"/>
              <w:right w:val="single" w:color="000000" w:sz="12" w:space="0"/>
            </w:tcBorders>
            <w:vAlign w:val="bottom"/>
          </w:tcPr>
          <w:p>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12"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10≤X＜100</w:t>
            </w:r>
          </w:p>
        </w:tc>
        <w:tc>
          <w:tcPr>
            <w:tcW w:w="1500" w:type="dxa"/>
            <w:tcBorders>
              <w:top w:val="single" w:color="000000" w:sz="4" w:space="0"/>
              <w:left w:val="single" w:color="000000" w:sz="4" w:space="0"/>
              <w:bottom w:val="single" w:color="000000" w:sz="12" w:space="0"/>
              <w:right w:val="single" w:color="000000" w:sz="4" w:space="0"/>
            </w:tcBorders>
            <w:vAlign w:val="bottom"/>
          </w:tcPr>
          <w:p>
            <w:pPr>
              <w:rPr>
                <w:rFonts w:ascii="宋体" w:hAnsi="宋体" w:cs="宋体"/>
                <w:color w:val="auto"/>
                <w:sz w:val="18"/>
                <w:szCs w:val="18"/>
                <w:highlight w:val="none"/>
              </w:rPr>
            </w:pPr>
          </w:p>
        </w:tc>
        <w:tc>
          <w:tcPr>
            <w:tcW w:w="1406" w:type="dxa"/>
            <w:tcBorders>
              <w:top w:val="single" w:color="000000" w:sz="4" w:space="0"/>
              <w:left w:val="single" w:color="000000" w:sz="4" w:space="0"/>
              <w:bottom w:val="single" w:color="000000" w:sz="12" w:space="0"/>
              <w:right w:val="single" w:color="000000" w:sz="12" w:space="0"/>
            </w:tcBorders>
            <w:vAlign w:val="bottom"/>
          </w:tcPr>
          <w:p>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12" w:space="0"/>
              <w:right w:val="single" w:color="000000" w:sz="4" w:space="0"/>
            </w:tcBorders>
            <w:vAlign w:val="bottom"/>
          </w:tcPr>
          <w:p>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X＜10</w:t>
            </w:r>
          </w:p>
        </w:tc>
        <w:tc>
          <w:tcPr>
            <w:tcW w:w="1470" w:type="dxa"/>
            <w:tcBorders>
              <w:top w:val="single" w:color="000000" w:sz="4" w:space="0"/>
              <w:left w:val="single" w:color="000000" w:sz="4" w:space="0"/>
              <w:bottom w:val="single" w:color="000000" w:sz="12" w:space="0"/>
              <w:right w:val="single" w:color="000000" w:sz="4" w:space="0"/>
            </w:tcBorders>
            <w:vAlign w:val="bottom"/>
          </w:tcPr>
          <w:p>
            <w:pPr>
              <w:rPr>
                <w:rFonts w:ascii="宋体" w:hAnsi="宋体" w:cs="宋体"/>
                <w:color w:val="auto"/>
                <w:sz w:val="18"/>
                <w:szCs w:val="18"/>
                <w:highlight w:val="none"/>
              </w:rPr>
            </w:pPr>
          </w:p>
        </w:tc>
        <w:tc>
          <w:tcPr>
            <w:tcW w:w="1515" w:type="dxa"/>
            <w:tcBorders>
              <w:top w:val="single" w:color="000000" w:sz="4" w:space="0"/>
              <w:left w:val="single" w:color="000000" w:sz="4" w:space="0"/>
              <w:bottom w:val="single" w:color="000000" w:sz="12" w:space="0"/>
              <w:right w:val="single" w:color="000000" w:sz="12" w:space="0"/>
            </w:tcBorders>
            <w:vAlign w:val="bottom"/>
          </w:tcPr>
          <w:p>
            <w:pPr>
              <w:rPr>
                <w:rFonts w:ascii="宋体" w:hAnsi="宋体" w:cs="宋体"/>
                <w:color w:val="auto"/>
                <w:sz w:val="18"/>
                <w:szCs w:val="18"/>
                <w:highlight w:val="none"/>
              </w:rPr>
            </w:pPr>
          </w:p>
        </w:tc>
      </w:tr>
    </w:tbl>
    <w:p>
      <w:pPr>
        <w:rPr>
          <w:rFonts w:ascii="宋体" w:hAnsi="宋体"/>
          <w:color w:val="auto"/>
          <w:sz w:val="28"/>
          <w:szCs w:val="28"/>
          <w:highlight w:val="none"/>
        </w:rPr>
      </w:pPr>
      <w:r>
        <w:rPr>
          <w:rFonts w:hint="eastAsia" w:ascii="宋体" w:hAnsi="宋体" w:cs="宋体"/>
          <w:color w:val="auto"/>
          <w:kern w:val="0"/>
          <w:sz w:val="18"/>
          <w:szCs w:val="18"/>
          <w:highlight w:val="none"/>
        </w:rPr>
        <w:t>说明　1、企业类型的划分以统计部门的统计数据为依据。2、个体工商户和本规定以外的行业，参照本规定进行划型。3、本规定的中型企业标准上限即为大型企业标准的下限。</w:t>
      </w:r>
    </w:p>
    <w:p>
      <w:pPr>
        <w:pStyle w:val="5"/>
        <w:spacing w:line="380" w:lineRule="exact"/>
        <w:rPr>
          <w:rFonts w:ascii="宋体" w:hAnsi="宋体"/>
          <w:color w:val="auto"/>
          <w:sz w:val="28"/>
          <w:szCs w:val="28"/>
          <w:highlight w:val="none"/>
        </w:rPr>
        <w:sectPr>
          <w:headerReference r:id="rId18" w:type="default"/>
          <w:pgSz w:w="16840" w:h="11907" w:orient="landscape"/>
          <w:pgMar w:top="1588" w:right="1304" w:bottom="1588" w:left="1304" w:header="720" w:footer="720" w:gutter="0"/>
          <w:pgNumType w:fmt="decimal"/>
          <w:cols w:space="720" w:num="1"/>
          <w:docGrid w:linePitch="285" w:charSpace="0"/>
        </w:sectPr>
      </w:pPr>
    </w:p>
    <w:p>
      <w:pPr>
        <w:pStyle w:val="96"/>
        <w:rPr>
          <w:color w:val="auto"/>
          <w:highlight w:val="none"/>
        </w:rPr>
      </w:pPr>
    </w:p>
    <w:p>
      <w:pPr>
        <w:pStyle w:val="5"/>
        <w:spacing w:line="380" w:lineRule="exact"/>
        <w:ind w:left="0" w:firstLine="0"/>
        <w:rPr>
          <w:rFonts w:ascii="宋体" w:hAnsi="宋体"/>
          <w:color w:val="auto"/>
          <w:sz w:val="24"/>
          <w:szCs w:val="24"/>
          <w:highlight w:val="none"/>
        </w:rPr>
      </w:pPr>
      <w:bookmarkStart w:id="259" w:name="_Toc136345132"/>
      <w:bookmarkStart w:id="260" w:name="_Toc23333"/>
      <w:bookmarkStart w:id="261" w:name="_Toc136017671"/>
      <w:r>
        <w:rPr>
          <w:rFonts w:hint="eastAsia" w:ascii="宋体" w:hAnsi="宋体"/>
          <w:color w:val="auto"/>
          <w:sz w:val="28"/>
          <w:szCs w:val="28"/>
          <w:highlight w:val="none"/>
        </w:rPr>
        <w:t>附件2              残疾人福利性单位声明函（如有需提供）</w:t>
      </w:r>
      <w:bookmarkEnd w:id="259"/>
      <w:bookmarkEnd w:id="260"/>
      <w:bookmarkEnd w:id="261"/>
    </w:p>
    <w:p>
      <w:pPr>
        <w:ind w:firstLine="420" w:firstLineChars="200"/>
        <w:rPr>
          <w:rFonts w:ascii="宋体" w:hAnsi="宋体"/>
          <w:color w:val="auto"/>
          <w:szCs w:val="21"/>
          <w:highlight w:val="none"/>
        </w:rPr>
      </w:pPr>
    </w:p>
    <w:p>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tabs>
          <w:tab w:val="left" w:pos="4860"/>
        </w:tabs>
        <w:spacing w:line="588" w:lineRule="exact"/>
        <w:ind w:right="1560" w:firstLine="420" w:firstLineChars="200"/>
        <w:jc w:val="center"/>
        <w:rPr>
          <w:rFonts w:ascii="宋体" w:hAnsi="宋体"/>
          <w:color w:val="auto"/>
          <w:szCs w:val="21"/>
          <w:highlight w:val="none"/>
        </w:rPr>
      </w:pPr>
    </w:p>
    <w:p>
      <w:pPr>
        <w:tabs>
          <w:tab w:val="left" w:pos="4860"/>
        </w:tabs>
        <w:spacing w:line="588" w:lineRule="exact"/>
        <w:ind w:right="1560" w:firstLine="420" w:firstLineChars="200"/>
        <w:jc w:val="center"/>
        <w:rPr>
          <w:rFonts w:ascii="宋体" w:hAnsi="宋体"/>
          <w:color w:val="auto"/>
          <w:szCs w:val="21"/>
          <w:highlight w:val="none"/>
        </w:rPr>
      </w:pPr>
      <w:r>
        <w:rPr>
          <w:rFonts w:hint="eastAsia" w:ascii="宋体" w:hAnsi="宋体"/>
          <w:color w:val="auto"/>
          <w:szCs w:val="21"/>
          <w:highlight w:val="none"/>
        </w:rPr>
        <w:t xml:space="preserve">               单位名称（公章）：</w:t>
      </w:r>
    </w:p>
    <w:p>
      <w:pPr>
        <w:spacing w:line="380" w:lineRule="exact"/>
        <w:rPr>
          <w:rFonts w:ascii="宋体" w:hAnsi="宋体"/>
          <w:color w:val="auto"/>
          <w:szCs w:val="21"/>
          <w:highlight w:val="none"/>
        </w:rPr>
      </w:pPr>
      <w:r>
        <w:rPr>
          <w:rFonts w:hint="eastAsia" w:ascii="宋体" w:hAnsi="宋体"/>
          <w:color w:val="auto"/>
          <w:szCs w:val="21"/>
          <w:highlight w:val="none"/>
        </w:rPr>
        <w:t xml:space="preserve">                                   日  期：</w:t>
      </w:r>
    </w:p>
    <w:p>
      <w:pPr>
        <w:spacing w:line="400" w:lineRule="exact"/>
        <w:ind w:firstLine="422" w:firstLineChars="200"/>
        <w:rPr>
          <w:rFonts w:ascii="宋体" w:hAnsi="宋体"/>
          <w:b/>
          <w:color w:val="auto"/>
          <w:szCs w:val="21"/>
          <w:highlight w:val="none"/>
        </w:rPr>
      </w:pP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注：</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享受政府采购支持政策的残疾人福利性单位应当同时满足以下条件：</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（一）安置的残疾人占本单位在职职工人数的比例不低于</w:t>
      </w:r>
      <w:r>
        <w:rPr>
          <w:rFonts w:ascii="宋体" w:hAnsi="宋体"/>
          <w:b/>
          <w:color w:val="auto"/>
          <w:szCs w:val="21"/>
          <w:highlight w:val="none"/>
        </w:rPr>
        <w:t>25%</w:t>
      </w:r>
      <w:r>
        <w:rPr>
          <w:rFonts w:hint="eastAsia" w:ascii="宋体" w:hAnsi="宋体"/>
          <w:b/>
          <w:color w:val="auto"/>
          <w:szCs w:val="21"/>
          <w:highlight w:val="none"/>
        </w:rPr>
        <w:t>（含</w:t>
      </w:r>
      <w:r>
        <w:rPr>
          <w:rFonts w:ascii="宋体" w:hAnsi="宋体"/>
          <w:b/>
          <w:color w:val="auto"/>
          <w:szCs w:val="21"/>
          <w:highlight w:val="none"/>
        </w:rPr>
        <w:t>25%</w:t>
      </w:r>
      <w:r>
        <w:rPr>
          <w:rFonts w:hint="eastAsia" w:ascii="宋体" w:hAnsi="宋体"/>
          <w:b/>
          <w:color w:val="auto"/>
          <w:szCs w:val="21"/>
          <w:highlight w:val="none"/>
        </w:rPr>
        <w:t>），并且安置的残疾人人数不少于</w:t>
      </w:r>
      <w:r>
        <w:rPr>
          <w:rFonts w:ascii="宋体" w:hAnsi="宋体"/>
          <w:b/>
          <w:color w:val="auto"/>
          <w:szCs w:val="21"/>
          <w:highlight w:val="none"/>
        </w:rPr>
        <w:t>10</w:t>
      </w:r>
      <w:r>
        <w:rPr>
          <w:rFonts w:hint="eastAsia" w:ascii="宋体" w:hAnsi="宋体"/>
          <w:b/>
          <w:color w:val="auto"/>
          <w:szCs w:val="21"/>
          <w:highlight w:val="none"/>
        </w:rPr>
        <w:t>人（含</w:t>
      </w:r>
      <w:r>
        <w:rPr>
          <w:rFonts w:ascii="宋体" w:hAnsi="宋体"/>
          <w:b/>
          <w:color w:val="auto"/>
          <w:szCs w:val="21"/>
          <w:highlight w:val="none"/>
        </w:rPr>
        <w:t>10</w:t>
      </w:r>
      <w:r>
        <w:rPr>
          <w:rFonts w:hint="eastAsia" w:ascii="宋体" w:hAnsi="宋体"/>
          <w:b/>
          <w:color w:val="auto"/>
          <w:szCs w:val="21"/>
          <w:highlight w:val="none"/>
        </w:rPr>
        <w:t>人）；</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（二）依法与安置的每位残疾人签订了一年以上（含一年）的劳动合同或服务协议；</w:t>
      </w:r>
    </w:p>
    <w:p>
      <w:pPr>
        <w:spacing w:line="400" w:lineRule="exact"/>
        <w:ind w:firstLine="422" w:firstLineChars="200"/>
        <w:rPr>
          <w:rFonts w:ascii="宋体" w:hAnsi="宋体"/>
          <w:b/>
          <w:color w:val="auto"/>
          <w:sz w:val="24"/>
          <w:szCs w:val="24"/>
          <w:highlight w:val="none"/>
        </w:rPr>
      </w:pPr>
      <w:r>
        <w:rPr>
          <w:rFonts w:hint="eastAsia" w:ascii="宋体" w:hAnsi="宋体"/>
          <w:b/>
          <w:color w:val="auto"/>
          <w:szCs w:val="21"/>
          <w:highlight w:val="none"/>
        </w:rPr>
        <w:t>（三）为安置的每位残疾人按月足额缴纳了基本养老保险、基本医疗保险、失业保险、工伤保险和生育保险等社会保险费；</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（四）通过银行等金融机构向安置的每位残疾人，按月支付了不低于单位所在区县适用的经省级人民政府批准的月最低工资标准的工资；</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（五）提供本单位制造的货物、承担的工程或者服务（以下简称产品），或者提供其他残疾人福利性单位制造的货物（不包括使用非残疾人福利性单位注册商标的货物）。</w:t>
      </w:r>
    </w:p>
    <w:p>
      <w:pPr>
        <w:spacing w:line="380" w:lineRule="exact"/>
        <w:rPr>
          <w:rFonts w:ascii="宋体" w:hAnsi="宋体"/>
          <w:b/>
          <w:color w:val="auto"/>
          <w:sz w:val="24"/>
          <w:szCs w:val="24"/>
          <w:highlight w:val="none"/>
        </w:rPr>
      </w:pPr>
      <w:r>
        <w:rPr>
          <w:rFonts w:hint="eastAsia" w:ascii="宋体" w:hAnsi="宋体"/>
          <w:b/>
          <w:color w:val="auto"/>
          <w:szCs w:val="21"/>
          <w:highlight w:val="none"/>
        </w:rPr>
        <w:t>前款所称残疾人是指法定劳动年龄内，持有《中华人民共和国残疾人证》或者《中华人民共和国残疾军人证（</w:t>
      </w:r>
      <w:r>
        <w:rPr>
          <w:rFonts w:ascii="宋体" w:hAnsi="宋体"/>
          <w:b/>
          <w:color w:val="auto"/>
          <w:szCs w:val="21"/>
          <w:highlight w:val="none"/>
        </w:rPr>
        <w:t>1</w:t>
      </w:r>
      <w:r>
        <w:rPr>
          <w:rFonts w:hint="eastAsia" w:ascii="宋体" w:hAnsi="宋体"/>
          <w:b/>
          <w:color w:val="auto"/>
          <w:szCs w:val="21"/>
          <w:highlight w:val="none"/>
        </w:rPr>
        <w:t>至</w:t>
      </w:r>
      <w:r>
        <w:rPr>
          <w:rFonts w:ascii="宋体" w:hAnsi="宋体"/>
          <w:b/>
          <w:color w:val="auto"/>
          <w:szCs w:val="21"/>
          <w:highlight w:val="none"/>
        </w:rPr>
        <w:t>8</w:t>
      </w:r>
      <w:r>
        <w:rPr>
          <w:rFonts w:hint="eastAsia" w:ascii="宋体" w:hAnsi="宋体"/>
          <w:b/>
          <w:color w:val="auto"/>
          <w:szCs w:val="21"/>
          <w:highlight w:val="none"/>
        </w:rPr>
        <w:t>级）》的自然人，包括具有劳动条件和劳动意愿的精神残疾人。在职职工人数是指与残疾人福利性单位建立劳动关系并依法签订劳动合同或者服务协议的雇员人数。</w:t>
      </w:r>
    </w:p>
    <w:p>
      <w:pPr>
        <w:pStyle w:val="96"/>
        <w:rPr>
          <w:color w:val="auto"/>
          <w:highlight w:val="none"/>
        </w:rPr>
      </w:pPr>
    </w:p>
    <w:bookmarkEnd w:id="258"/>
    <w:p>
      <w:pPr>
        <w:widowControl/>
        <w:spacing w:line="360" w:lineRule="auto"/>
        <w:ind w:firstLine="420" w:firstLineChars="200"/>
        <w:jc w:val="left"/>
        <w:rPr>
          <w:rFonts w:ascii="宋体" w:hAnsi="宋体" w:cs="宋体"/>
          <w:color w:val="auto"/>
          <w:kern w:val="0"/>
          <w:szCs w:val="21"/>
          <w:highlight w:val="none"/>
        </w:rPr>
      </w:pPr>
    </w:p>
    <w:p>
      <w:pPr>
        <w:pStyle w:val="96"/>
        <w:rPr>
          <w:color w:val="auto"/>
          <w:highlight w:val="none"/>
        </w:rPr>
      </w:pPr>
    </w:p>
    <w:p>
      <w:pPr>
        <w:rPr>
          <w:color w:val="auto"/>
          <w:highlight w:val="none"/>
        </w:rPr>
      </w:pPr>
    </w:p>
    <w:p>
      <w:pPr>
        <w:pStyle w:val="96"/>
        <w:rPr>
          <w:color w:val="auto"/>
          <w:highlight w:val="none"/>
        </w:rPr>
      </w:pPr>
    </w:p>
    <w:sectPr>
      <w:headerReference r:id="rId19" w:type="default"/>
      <w:pgSz w:w="11907" w:h="16840"/>
      <w:pgMar w:top="1304" w:right="1588" w:bottom="1418" w:left="1588" w:header="720" w:footer="720" w:gutter="0"/>
      <w:pgNumType w:fmt="decimal"/>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jc w:val="center"/>
                          </w:pPr>
                          <w:r>
                            <w:fldChar w:fldCharType="begin"/>
                          </w:r>
                          <w:r>
                            <w:instrText xml:space="preserve"> PAGE   \* MERGEFORMAT </w:instrText>
                          </w:r>
                          <w:r>
                            <w:fldChar w:fldCharType="separate"/>
                          </w:r>
                          <w:r>
                            <w:rPr>
                              <w:lang w:val="zh-CN"/>
                            </w:rPr>
                            <w:t>4</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3"/>
                      <w:jc w:val="center"/>
                    </w:pPr>
                    <w:r>
                      <w:fldChar w:fldCharType="begin"/>
                    </w:r>
                    <w:r>
                      <w:instrText xml:space="preserve"> PAGE   \* MERGEFORMAT </w:instrText>
                    </w:r>
                    <w:r>
                      <w:fldChar w:fldCharType="separate"/>
                    </w:r>
                    <w:r>
                      <w:rPr>
                        <w:lang w:val="zh-CN"/>
                      </w:rPr>
                      <w:t>4</w:t>
                    </w:r>
                    <w:r>
                      <w:rPr>
                        <w:lang w:val="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jc w:val="center"/>
                          </w:pPr>
                          <w:r>
                            <w:fldChar w:fldCharType="begin"/>
                          </w:r>
                          <w:r>
                            <w:instrText xml:space="preserve"> PAGE   \* MERGEFORMAT </w:instrText>
                          </w:r>
                          <w:r>
                            <w:fldChar w:fldCharType="separate"/>
                          </w:r>
                          <w:r>
                            <w:rPr>
                              <w:lang w:val="zh-CN"/>
                            </w:rPr>
                            <w:t>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3"/>
                      <w:jc w:val="center"/>
                    </w:pPr>
                    <w:r>
                      <w:fldChar w:fldCharType="begin"/>
                    </w:r>
                    <w:r>
                      <w:instrText xml:space="preserve"> PAGE   \* MERGEFORMAT </w:instrText>
                    </w:r>
                    <w:r>
                      <w:fldChar w:fldCharType="separate"/>
                    </w:r>
                    <w:r>
                      <w:rPr>
                        <w:lang w:val="zh-CN"/>
                      </w:rPr>
                      <w:t>7</w:t>
                    </w:r>
                    <w:r>
                      <w:rPr>
                        <w:lang w:val="zh-CN"/>
                      </w:rPr>
                      <w:fldChar w:fldCharType="end"/>
                    </w:r>
                  </w:p>
                </w:txbxContent>
              </v:textbox>
            </v:shape>
          </w:pict>
        </mc:Fallback>
      </mc:AlternateConten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40</w:t>
                    </w:r>
                    <w:r>
                      <w:fldChar w:fldCharType="end"/>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政府采购公开招标招标文件                                               投标文件格式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rPr>
        <w:sz w:val="21"/>
        <w:szCs w:val="21"/>
      </w:rPr>
    </w:pPr>
    <w:r>
      <w:rPr>
        <w:rFonts w:hint="eastAsia"/>
        <w:sz w:val="21"/>
        <w:szCs w:val="21"/>
      </w:rPr>
      <w:t>政府采购公开招标招标文件                                               投标文件格式</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政府采购公开招标招标文件                                                                                                   投标文件格式</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政府采购公开招标招标文件                                               投标文件格式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rPr>
        <w:sz w:val="21"/>
        <w:szCs w:val="21"/>
      </w:rPr>
    </w:pPr>
    <w:r>
      <w:rPr>
        <w:rFonts w:hint="eastAsia"/>
        <w:sz w:val="21"/>
        <w:szCs w:val="21"/>
      </w:rPr>
      <w:t>政府采购国内公开招标文件合同格式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政府采购公开招标招标文件                                                 采购公告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政府采购公开招标招标文件                                           招标项目需求</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政府采购公开招标招标文件                                               投标资料表</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政府采购公开招标招标文件                                               投标人须知</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政府采购公开招标招标文件                                                 评分办法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89A3F"/>
    <w:multiLevelType w:val="singleLevel"/>
    <w:tmpl w:val="86589A3F"/>
    <w:lvl w:ilvl="0" w:tentative="0">
      <w:start w:val="1"/>
      <w:numFmt w:val="decimal"/>
      <w:suff w:val="nothing"/>
      <w:lvlText w:val="%1、"/>
      <w:lvlJc w:val="left"/>
    </w:lvl>
  </w:abstractNum>
  <w:abstractNum w:abstractNumId="1">
    <w:nsid w:val="C7A828D3"/>
    <w:multiLevelType w:val="singleLevel"/>
    <w:tmpl w:val="C7A828D3"/>
    <w:lvl w:ilvl="0" w:tentative="0">
      <w:start w:val="2"/>
      <w:numFmt w:val="chineseCounting"/>
      <w:suff w:val="nothing"/>
      <w:lvlText w:val="%1、"/>
      <w:lvlJc w:val="left"/>
      <w:rPr>
        <w:rFonts w:hint="eastAsia"/>
      </w:rPr>
    </w:lvl>
  </w:abstractNum>
  <w:abstractNum w:abstractNumId="2">
    <w:nsid w:val="D2A5D118"/>
    <w:multiLevelType w:val="singleLevel"/>
    <w:tmpl w:val="D2A5D118"/>
    <w:lvl w:ilvl="0" w:tentative="0">
      <w:start w:val="2"/>
      <w:numFmt w:val="decimal"/>
      <w:suff w:val="nothing"/>
      <w:lvlText w:val="%1．"/>
      <w:lvlJc w:val="left"/>
    </w:lvl>
  </w:abstractNum>
  <w:abstractNum w:abstractNumId="3">
    <w:nsid w:val="DB02A339"/>
    <w:multiLevelType w:val="singleLevel"/>
    <w:tmpl w:val="DB02A339"/>
    <w:lvl w:ilvl="0" w:tentative="0">
      <w:start w:val="2"/>
      <w:numFmt w:val="decimal"/>
      <w:suff w:val="nothing"/>
      <w:lvlText w:val="（%1）"/>
      <w:lvlJc w:val="left"/>
    </w:lvl>
  </w:abstractNum>
  <w:abstractNum w:abstractNumId="4">
    <w:nsid w:val="00000020"/>
    <w:multiLevelType w:val="singleLevel"/>
    <w:tmpl w:val="00000020"/>
    <w:lvl w:ilvl="0" w:tentative="0">
      <w:start w:val="1"/>
      <w:numFmt w:val="chineseCounting"/>
      <w:suff w:val="nothing"/>
      <w:lvlText w:val="（%1）"/>
      <w:lvlJc w:val="left"/>
    </w:lvl>
  </w:abstractNum>
  <w:abstractNum w:abstractNumId="5">
    <w:nsid w:val="05117068"/>
    <w:multiLevelType w:val="singleLevel"/>
    <w:tmpl w:val="05117068"/>
    <w:lvl w:ilvl="0" w:tentative="0">
      <w:start w:val="7"/>
      <w:numFmt w:val="chineseCounting"/>
      <w:suff w:val="nothing"/>
      <w:lvlText w:val="%1、"/>
      <w:lvlJc w:val="left"/>
      <w:rPr>
        <w:rFonts w:hint="eastAsia"/>
      </w:rPr>
    </w:lvl>
  </w:abstractNum>
  <w:abstractNum w:abstractNumId="6">
    <w:nsid w:val="088B21C4"/>
    <w:multiLevelType w:val="multilevel"/>
    <w:tmpl w:val="088B21C4"/>
    <w:lvl w:ilvl="0" w:tentative="0">
      <w:start w:val="3"/>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7">
    <w:nsid w:val="0FFFFF89"/>
    <w:multiLevelType w:val="singleLevel"/>
    <w:tmpl w:val="0FFFFF89"/>
    <w:lvl w:ilvl="0" w:tentative="0">
      <w:start w:val="1"/>
      <w:numFmt w:val="bullet"/>
      <w:pStyle w:val="111"/>
      <w:lvlText w:val=""/>
      <w:lvlJc w:val="left"/>
      <w:pPr>
        <w:tabs>
          <w:tab w:val="left" w:pos="360"/>
        </w:tabs>
        <w:ind w:left="360" w:hanging="360"/>
      </w:pPr>
      <w:rPr>
        <w:rFonts w:hint="default" w:ascii="Wingdings" w:hAnsi="Wingdings"/>
      </w:rPr>
    </w:lvl>
  </w:abstractNum>
  <w:abstractNum w:abstractNumId="8">
    <w:nsid w:val="13305CFE"/>
    <w:multiLevelType w:val="multilevel"/>
    <w:tmpl w:val="13305C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B5F78C6"/>
    <w:multiLevelType w:val="multilevel"/>
    <w:tmpl w:val="3B5F78C6"/>
    <w:lvl w:ilvl="0" w:tentative="0">
      <w:start w:val="1"/>
      <w:numFmt w:val="decimal"/>
      <w:lvlText w:val="（%1）"/>
      <w:lvlJc w:val="left"/>
      <w:pPr>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5080349"/>
    <w:multiLevelType w:val="multilevel"/>
    <w:tmpl w:val="4508034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1">
    <w:nsid w:val="60688236"/>
    <w:multiLevelType w:val="multilevel"/>
    <w:tmpl w:val="60688236"/>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2">
    <w:nsid w:val="61F5AE59"/>
    <w:multiLevelType w:val="multilevel"/>
    <w:tmpl w:val="61F5AE59"/>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3">
    <w:nsid w:val="653F87E5"/>
    <w:multiLevelType w:val="singleLevel"/>
    <w:tmpl w:val="653F87E5"/>
    <w:lvl w:ilvl="0" w:tentative="0">
      <w:start w:val="1"/>
      <w:numFmt w:val="decimal"/>
      <w:suff w:val="nothing"/>
      <w:lvlText w:val="%1、"/>
      <w:lvlJc w:val="left"/>
    </w:lvl>
  </w:abstractNum>
  <w:abstractNum w:abstractNumId="14">
    <w:nsid w:val="75E108A2"/>
    <w:multiLevelType w:val="multilevel"/>
    <w:tmpl w:val="75E108A2"/>
    <w:lvl w:ilvl="0" w:tentative="0">
      <w:start w:val="1"/>
      <w:numFmt w:val="japaneseCounting"/>
      <w:pStyle w:val="149"/>
      <w:lvlText w:val="(%1)"/>
      <w:lvlJc w:val="left"/>
      <w:pPr>
        <w:ind w:left="540" w:hanging="54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A68BAFA"/>
    <w:multiLevelType w:val="singleLevel"/>
    <w:tmpl w:val="7A68BAFA"/>
    <w:lvl w:ilvl="0" w:tentative="0">
      <w:start w:val="1"/>
      <w:numFmt w:val="chineseCounting"/>
      <w:suff w:val="nothing"/>
      <w:lvlText w:val="%1、"/>
      <w:lvlJc w:val="left"/>
      <w:rPr>
        <w:rFonts w:hint="eastAsia"/>
      </w:rPr>
    </w:lvl>
  </w:abstractNum>
  <w:num w:numId="1">
    <w:abstractNumId w:val="7"/>
  </w:num>
  <w:num w:numId="2">
    <w:abstractNumId w:val="14"/>
  </w:num>
  <w:num w:numId="3">
    <w:abstractNumId w:val="1"/>
  </w:num>
  <w:num w:numId="4">
    <w:abstractNumId w:val="3"/>
  </w:num>
  <w:num w:numId="5">
    <w:abstractNumId w:val="4"/>
  </w:num>
  <w:num w:numId="6">
    <w:abstractNumId w:val="2"/>
  </w:num>
  <w:num w:numId="7">
    <w:abstractNumId w:val="5"/>
  </w:num>
  <w:num w:numId="8">
    <w:abstractNumId w:val="6"/>
  </w:num>
  <w:num w:numId="9">
    <w:abstractNumId w:val="11"/>
  </w:num>
  <w:num w:numId="10">
    <w:abstractNumId w:val="10"/>
  </w:num>
  <w:num w:numId="11">
    <w:abstractNumId w:val="12"/>
  </w:num>
  <w:num w:numId="12">
    <w:abstractNumId w:val="15"/>
  </w:num>
  <w:num w:numId="13">
    <w:abstractNumId w:val="13"/>
  </w:num>
  <w:num w:numId="14">
    <w:abstractNumId w:val="0"/>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YmRlMjYyYmZhYTY4ODFiMzUwYjNlY2QxMDVhYzAifQ=="/>
    <w:docVar w:name="KSO_WPS_MARK_KEY" w:val="2dbb6659-79c6-44a1-b6c5-a28d5e549da6"/>
  </w:docVars>
  <w:rsids>
    <w:rsidRoot w:val="00172A27"/>
    <w:rsid w:val="0000154C"/>
    <w:rsid w:val="000026B7"/>
    <w:rsid w:val="00002A2A"/>
    <w:rsid w:val="000033D9"/>
    <w:rsid w:val="000038FC"/>
    <w:rsid w:val="000059B7"/>
    <w:rsid w:val="0000638F"/>
    <w:rsid w:val="00006413"/>
    <w:rsid w:val="00006955"/>
    <w:rsid w:val="00007EB7"/>
    <w:rsid w:val="0001295F"/>
    <w:rsid w:val="00014CB0"/>
    <w:rsid w:val="00014F3E"/>
    <w:rsid w:val="0001514B"/>
    <w:rsid w:val="00015180"/>
    <w:rsid w:val="0001522C"/>
    <w:rsid w:val="0001578F"/>
    <w:rsid w:val="00016B63"/>
    <w:rsid w:val="00016FB3"/>
    <w:rsid w:val="000176A0"/>
    <w:rsid w:val="00020537"/>
    <w:rsid w:val="000207EE"/>
    <w:rsid w:val="00020F9A"/>
    <w:rsid w:val="00022DBD"/>
    <w:rsid w:val="0002342D"/>
    <w:rsid w:val="00023F09"/>
    <w:rsid w:val="0002496A"/>
    <w:rsid w:val="00024DDD"/>
    <w:rsid w:val="00025826"/>
    <w:rsid w:val="000261D4"/>
    <w:rsid w:val="000270E0"/>
    <w:rsid w:val="00027FD3"/>
    <w:rsid w:val="0003107C"/>
    <w:rsid w:val="0003280D"/>
    <w:rsid w:val="00032902"/>
    <w:rsid w:val="00032AB1"/>
    <w:rsid w:val="00033FCA"/>
    <w:rsid w:val="000364B5"/>
    <w:rsid w:val="00037B77"/>
    <w:rsid w:val="000407DB"/>
    <w:rsid w:val="000435FF"/>
    <w:rsid w:val="00044026"/>
    <w:rsid w:val="00045BF5"/>
    <w:rsid w:val="0004663F"/>
    <w:rsid w:val="00047B46"/>
    <w:rsid w:val="000516E1"/>
    <w:rsid w:val="00051830"/>
    <w:rsid w:val="000533FA"/>
    <w:rsid w:val="0005540C"/>
    <w:rsid w:val="00055E8C"/>
    <w:rsid w:val="00055EEA"/>
    <w:rsid w:val="00057A4B"/>
    <w:rsid w:val="00057C77"/>
    <w:rsid w:val="00060096"/>
    <w:rsid w:val="00061107"/>
    <w:rsid w:val="00062360"/>
    <w:rsid w:val="00062718"/>
    <w:rsid w:val="00062DAC"/>
    <w:rsid w:val="00063818"/>
    <w:rsid w:val="00063B83"/>
    <w:rsid w:val="00063DC0"/>
    <w:rsid w:val="000652EC"/>
    <w:rsid w:val="00066197"/>
    <w:rsid w:val="000667AC"/>
    <w:rsid w:val="000667E6"/>
    <w:rsid w:val="00067049"/>
    <w:rsid w:val="00067545"/>
    <w:rsid w:val="000678E6"/>
    <w:rsid w:val="00067BEE"/>
    <w:rsid w:val="00071A90"/>
    <w:rsid w:val="000729D5"/>
    <w:rsid w:val="00073E03"/>
    <w:rsid w:val="00080353"/>
    <w:rsid w:val="000806C0"/>
    <w:rsid w:val="00080713"/>
    <w:rsid w:val="000811E6"/>
    <w:rsid w:val="000818C4"/>
    <w:rsid w:val="0008191D"/>
    <w:rsid w:val="00082A4E"/>
    <w:rsid w:val="00082CDD"/>
    <w:rsid w:val="00083803"/>
    <w:rsid w:val="00083FC6"/>
    <w:rsid w:val="00084B92"/>
    <w:rsid w:val="00084EE6"/>
    <w:rsid w:val="00086FC5"/>
    <w:rsid w:val="00087328"/>
    <w:rsid w:val="00090A64"/>
    <w:rsid w:val="00090FAB"/>
    <w:rsid w:val="00091070"/>
    <w:rsid w:val="00091E8C"/>
    <w:rsid w:val="00093976"/>
    <w:rsid w:val="00094113"/>
    <w:rsid w:val="00094656"/>
    <w:rsid w:val="00094A54"/>
    <w:rsid w:val="00094AD7"/>
    <w:rsid w:val="00095780"/>
    <w:rsid w:val="00096B3E"/>
    <w:rsid w:val="00096B3F"/>
    <w:rsid w:val="000973AA"/>
    <w:rsid w:val="0009789A"/>
    <w:rsid w:val="00097D71"/>
    <w:rsid w:val="000A07DC"/>
    <w:rsid w:val="000A0861"/>
    <w:rsid w:val="000A0CAD"/>
    <w:rsid w:val="000A1C2F"/>
    <w:rsid w:val="000A386A"/>
    <w:rsid w:val="000A4F52"/>
    <w:rsid w:val="000A51AC"/>
    <w:rsid w:val="000A778E"/>
    <w:rsid w:val="000A7953"/>
    <w:rsid w:val="000B0372"/>
    <w:rsid w:val="000B20FA"/>
    <w:rsid w:val="000B2452"/>
    <w:rsid w:val="000B2CD2"/>
    <w:rsid w:val="000B37C5"/>
    <w:rsid w:val="000B380B"/>
    <w:rsid w:val="000B4340"/>
    <w:rsid w:val="000B6CB5"/>
    <w:rsid w:val="000C02D0"/>
    <w:rsid w:val="000C05C2"/>
    <w:rsid w:val="000C189C"/>
    <w:rsid w:val="000C213B"/>
    <w:rsid w:val="000C3E90"/>
    <w:rsid w:val="000C5CF1"/>
    <w:rsid w:val="000C5D8A"/>
    <w:rsid w:val="000C6B2B"/>
    <w:rsid w:val="000C7390"/>
    <w:rsid w:val="000D1E32"/>
    <w:rsid w:val="000D1F67"/>
    <w:rsid w:val="000D3D09"/>
    <w:rsid w:val="000D4C59"/>
    <w:rsid w:val="000D54FF"/>
    <w:rsid w:val="000D62AB"/>
    <w:rsid w:val="000D68F1"/>
    <w:rsid w:val="000D6D10"/>
    <w:rsid w:val="000D7878"/>
    <w:rsid w:val="000E0C2E"/>
    <w:rsid w:val="000E0D05"/>
    <w:rsid w:val="000E0D25"/>
    <w:rsid w:val="000E1023"/>
    <w:rsid w:val="000E1097"/>
    <w:rsid w:val="000E269D"/>
    <w:rsid w:val="000E449E"/>
    <w:rsid w:val="000E5C6B"/>
    <w:rsid w:val="000E6C56"/>
    <w:rsid w:val="000E7057"/>
    <w:rsid w:val="000E77A1"/>
    <w:rsid w:val="000F0DA1"/>
    <w:rsid w:val="000F0F6F"/>
    <w:rsid w:val="000F16E8"/>
    <w:rsid w:val="000F1B10"/>
    <w:rsid w:val="000F3A60"/>
    <w:rsid w:val="000F4C08"/>
    <w:rsid w:val="000F4F74"/>
    <w:rsid w:val="000F5518"/>
    <w:rsid w:val="000F57BD"/>
    <w:rsid w:val="000F5E42"/>
    <w:rsid w:val="000F5E86"/>
    <w:rsid w:val="000F721F"/>
    <w:rsid w:val="000F78A0"/>
    <w:rsid w:val="000F798A"/>
    <w:rsid w:val="0010043B"/>
    <w:rsid w:val="0010075F"/>
    <w:rsid w:val="00100AEF"/>
    <w:rsid w:val="00100B95"/>
    <w:rsid w:val="00100F5A"/>
    <w:rsid w:val="00101B47"/>
    <w:rsid w:val="00102E82"/>
    <w:rsid w:val="00103906"/>
    <w:rsid w:val="00103FA5"/>
    <w:rsid w:val="00104008"/>
    <w:rsid w:val="001046A8"/>
    <w:rsid w:val="00106ABC"/>
    <w:rsid w:val="001101A3"/>
    <w:rsid w:val="001103BB"/>
    <w:rsid w:val="001108A8"/>
    <w:rsid w:val="00110AF2"/>
    <w:rsid w:val="001125BE"/>
    <w:rsid w:val="0011290C"/>
    <w:rsid w:val="00115B8D"/>
    <w:rsid w:val="001163EC"/>
    <w:rsid w:val="00116F3B"/>
    <w:rsid w:val="00117216"/>
    <w:rsid w:val="00117F87"/>
    <w:rsid w:val="0012010C"/>
    <w:rsid w:val="0012185F"/>
    <w:rsid w:val="00122ACB"/>
    <w:rsid w:val="00124605"/>
    <w:rsid w:val="001247A2"/>
    <w:rsid w:val="00124963"/>
    <w:rsid w:val="00124B80"/>
    <w:rsid w:val="001254F0"/>
    <w:rsid w:val="0012584B"/>
    <w:rsid w:val="001258B9"/>
    <w:rsid w:val="0012645C"/>
    <w:rsid w:val="001265C7"/>
    <w:rsid w:val="001268AC"/>
    <w:rsid w:val="001279F2"/>
    <w:rsid w:val="001316A9"/>
    <w:rsid w:val="001325A7"/>
    <w:rsid w:val="00133163"/>
    <w:rsid w:val="001331FC"/>
    <w:rsid w:val="00133D9E"/>
    <w:rsid w:val="0013425B"/>
    <w:rsid w:val="00137625"/>
    <w:rsid w:val="001378ED"/>
    <w:rsid w:val="00141804"/>
    <w:rsid w:val="00141D2C"/>
    <w:rsid w:val="00141FDD"/>
    <w:rsid w:val="00143B92"/>
    <w:rsid w:val="0014483F"/>
    <w:rsid w:val="00145BE2"/>
    <w:rsid w:val="00146872"/>
    <w:rsid w:val="001469BF"/>
    <w:rsid w:val="00147025"/>
    <w:rsid w:val="00147092"/>
    <w:rsid w:val="001474E7"/>
    <w:rsid w:val="0014750F"/>
    <w:rsid w:val="001505D7"/>
    <w:rsid w:val="001510C0"/>
    <w:rsid w:val="0015204A"/>
    <w:rsid w:val="00152DC9"/>
    <w:rsid w:val="00152DDA"/>
    <w:rsid w:val="00153030"/>
    <w:rsid w:val="00154BF5"/>
    <w:rsid w:val="001564EF"/>
    <w:rsid w:val="001564F6"/>
    <w:rsid w:val="00157A8C"/>
    <w:rsid w:val="001602DE"/>
    <w:rsid w:val="001604EA"/>
    <w:rsid w:val="0016172B"/>
    <w:rsid w:val="00162DD6"/>
    <w:rsid w:val="00163340"/>
    <w:rsid w:val="00163690"/>
    <w:rsid w:val="001654A4"/>
    <w:rsid w:val="00166232"/>
    <w:rsid w:val="0016634C"/>
    <w:rsid w:val="00166686"/>
    <w:rsid w:val="0016706C"/>
    <w:rsid w:val="00170473"/>
    <w:rsid w:val="00170D8C"/>
    <w:rsid w:val="00172A27"/>
    <w:rsid w:val="001734C2"/>
    <w:rsid w:val="001755E5"/>
    <w:rsid w:val="00175773"/>
    <w:rsid w:val="00175F86"/>
    <w:rsid w:val="0017650C"/>
    <w:rsid w:val="001765A8"/>
    <w:rsid w:val="001777A0"/>
    <w:rsid w:val="00177910"/>
    <w:rsid w:val="001816EF"/>
    <w:rsid w:val="00182175"/>
    <w:rsid w:val="00183609"/>
    <w:rsid w:val="00184098"/>
    <w:rsid w:val="00184E49"/>
    <w:rsid w:val="0018740C"/>
    <w:rsid w:val="00187887"/>
    <w:rsid w:val="0019037E"/>
    <w:rsid w:val="001905A5"/>
    <w:rsid w:val="00190CE6"/>
    <w:rsid w:val="00191D5E"/>
    <w:rsid w:val="001928F9"/>
    <w:rsid w:val="0019302F"/>
    <w:rsid w:val="00194A4F"/>
    <w:rsid w:val="00194E39"/>
    <w:rsid w:val="001955A9"/>
    <w:rsid w:val="001974DD"/>
    <w:rsid w:val="00197899"/>
    <w:rsid w:val="00197F50"/>
    <w:rsid w:val="001A03A1"/>
    <w:rsid w:val="001A0629"/>
    <w:rsid w:val="001A06CA"/>
    <w:rsid w:val="001A2470"/>
    <w:rsid w:val="001A542C"/>
    <w:rsid w:val="001A555F"/>
    <w:rsid w:val="001A5A06"/>
    <w:rsid w:val="001A6059"/>
    <w:rsid w:val="001A7040"/>
    <w:rsid w:val="001B049D"/>
    <w:rsid w:val="001B3F78"/>
    <w:rsid w:val="001B46E4"/>
    <w:rsid w:val="001B55CF"/>
    <w:rsid w:val="001B5801"/>
    <w:rsid w:val="001B60F7"/>
    <w:rsid w:val="001B7060"/>
    <w:rsid w:val="001B7D86"/>
    <w:rsid w:val="001C0D22"/>
    <w:rsid w:val="001C0EF7"/>
    <w:rsid w:val="001C1099"/>
    <w:rsid w:val="001C1A4F"/>
    <w:rsid w:val="001C22FD"/>
    <w:rsid w:val="001C23EA"/>
    <w:rsid w:val="001C2A36"/>
    <w:rsid w:val="001C3540"/>
    <w:rsid w:val="001C4873"/>
    <w:rsid w:val="001C67DF"/>
    <w:rsid w:val="001C7317"/>
    <w:rsid w:val="001C7961"/>
    <w:rsid w:val="001D1258"/>
    <w:rsid w:val="001D27B2"/>
    <w:rsid w:val="001D36A1"/>
    <w:rsid w:val="001D480F"/>
    <w:rsid w:val="001D4BC0"/>
    <w:rsid w:val="001D52CE"/>
    <w:rsid w:val="001D5805"/>
    <w:rsid w:val="001D6C14"/>
    <w:rsid w:val="001D7611"/>
    <w:rsid w:val="001E0C96"/>
    <w:rsid w:val="001E0EB6"/>
    <w:rsid w:val="001E1641"/>
    <w:rsid w:val="001E308D"/>
    <w:rsid w:val="001E315A"/>
    <w:rsid w:val="001E3FCB"/>
    <w:rsid w:val="001E4CDD"/>
    <w:rsid w:val="001E58AC"/>
    <w:rsid w:val="001E6BCE"/>
    <w:rsid w:val="001E79D9"/>
    <w:rsid w:val="001F0DF0"/>
    <w:rsid w:val="001F1B15"/>
    <w:rsid w:val="001F1DCF"/>
    <w:rsid w:val="001F1EA7"/>
    <w:rsid w:val="001F1F79"/>
    <w:rsid w:val="001F2107"/>
    <w:rsid w:val="001F284E"/>
    <w:rsid w:val="001F2D3D"/>
    <w:rsid w:val="001F68E9"/>
    <w:rsid w:val="001F74FF"/>
    <w:rsid w:val="002030EE"/>
    <w:rsid w:val="00203783"/>
    <w:rsid w:val="002039E0"/>
    <w:rsid w:val="002043F2"/>
    <w:rsid w:val="00204B2F"/>
    <w:rsid w:val="0020535A"/>
    <w:rsid w:val="00206FF9"/>
    <w:rsid w:val="002071F2"/>
    <w:rsid w:val="0021030F"/>
    <w:rsid w:val="00210DD3"/>
    <w:rsid w:val="0021177F"/>
    <w:rsid w:val="00211C78"/>
    <w:rsid w:val="00213338"/>
    <w:rsid w:val="00213575"/>
    <w:rsid w:val="00213C57"/>
    <w:rsid w:val="00213D92"/>
    <w:rsid w:val="00214478"/>
    <w:rsid w:val="002147D6"/>
    <w:rsid w:val="00214BE7"/>
    <w:rsid w:val="002154C8"/>
    <w:rsid w:val="00216278"/>
    <w:rsid w:val="002166F2"/>
    <w:rsid w:val="00216A4A"/>
    <w:rsid w:val="002205D0"/>
    <w:rsid w:val="00220A5A"/>
    <w:rsid w:val="0022197F"/>
    <w:rsid w:val="00222021"/>
    <w:rsid w:val="00222445"/>
    <w:rsid w:val="00222A2D"/>
    <w:rsid w:val="00222D78"/>
    <w:rsid w:val="002243C9"/>
    <w:rsid w:val="00224D60"/>
    <w:rsid w:val="00224E40"/>
    <w:rsid w:val="00225102"/>
    <w:rsid w:val="00226C2C"/>
    <w:rsid w:val="002300D9"/>
    <w:rsid w:val="002301D6"/>
    <w:rsid w:val="002308FF"/>
    <w:rsid w:val="00230926"/>
    <w:rsid w:val="002309AD"/>
    <w:rsid w:val="00231355"/>
    <w:rsid w:val="00231580"/>
    <w:rsid w:val="002315E6"/>
    <w:rsid w:val="00231D2D"/>
    <w:rsid w:val="00233C76"/>
    <w:rsid w:val="0023455E"/>
    <w:rsid w:val="00234C1F"/>
    <w:rsid w:val="002365C9"/>
    <w:rsid w:val="00236613"/>
    <w:rsid w:val="00236BB2"/>
    <w:rsid w:val="00241EFB"/>
    <w:rsid w:val="00241FFA"/>
    <w:rsid w:val="002429A8"/>
    <w:rsid w:val="002446D4"/>
    <w:rsid w:val="002452A0"/>
    <w:rsid w:val="0024622B"/>
    <w:rsid w:val="002473A8"/>
    <w:rsid w:val="00247AC1"/>
    <w:rsid w:val="00250076"/>
    <w:rsid w:val="00250248"/>
    <w:rsid w:val="00250D24"/>
    <w:rsid w:val="00251456"/>
    <w:rsid w:val="0025338C"/>
    <w:rsid w:val="00253C90"/>
    <w:rsid w:val="00254A09"/>
    <w:rsid w:val="00254BD5"/>
    <w:rsid w:val="00254C5D"/>
    <w:rsid w:val="002565D0"/>
    <w:rsid w:val="00257C4D"/>
    <w:rsid w:val="00260ED7"/>
    <w:rsid w:val="00261512"/>
    <w:rsid w:val="00261B83"/>
    <w:rsid w:val="00262066"/>
    <w:rsid w:val="002628EE"/>
    <w:rsid w:val="002645ED"/>
    <w:rsid w:val="00265B3A"/>
    <w:rsid w:val="00266D88"/>
    <w:rsid w:val="00267A9A"/>
    <w:rsid w:val="002705C7"/>
    <w:rsid w:val="002715DF"/>
    <w:rsid w:val="002731CA"/>
    <w:rsid w:val="002747F2"/>
    <w:rsid w:val="00274FD3"/>
    <w:rsid w:val="002758DB"/>
    <w:rsid w:val="00276348"/>
    <w:rsid w:val="00276EC2"/>
    <w:rsid w:val="002771BE"/>
    <w:rsid w:val="00277A6F"/>
    <w:rsid w:val="00280A32"/>
    <w:rsid w:val="002813D9"/>
    <w:rsid w:val="00282ACA"/>
    <w:rsid w:val="00282CDE"/>
    <w:rsid w:val="00283328"/>
    <w:rsid w:val="00283964"/>
    <w:rsid w:val="00287021"/>
    <w:rsid w:val="002871A8"/>
    <w:rsid w:val="00287ED8"/>
    <w:rsid w:val="002911DC"/>
    <w:rsid w:val="00292929"/>
    <w:rsid w:val="0029294B"/>
    <w:rsid w:val="00294ED9"/>
    <w:rsid w:val="00297EA6"/>
    <w:rsid w:val="002A0466"/>
    <w:rsid w:val="002A0558"/>
    <w:rsid w:val="002A05CD"/>
    <w:rsid w:val="002A18C2"/>
    <w:rsid w:val="002A214D"/>
    <w:rsid w:val="002A2D23"/>
    <w:rsid w:val="002A31F5"/>
    <w:rsid w:val="002A36CE"/>
    <w:rsid w:val="002A450E"/>
    <w:rsid w:val="002A4578"/>
    <w:rsid w:val="002A47C9"/>
    <w:rsid w:val="002A55B9"/>
    <w:rsid w:val="002A5DA9"/>
    <w:rsid w:val="002A6321"/>
    <w:rsid w:val="002A66B4"/>
    <w:rsid w:val="002A7332"/>
    <w:rsid w:val="002A73E0"/>
    <w:rsid w:val="002B0F0C"/>
    <w:rsid w:val="002B1C78"/>
    <w:rsid w:val="002B218C"/>
    <w:rsid w:val="002B2698"/>
    <w:rsid w:val="002B28C1"/>
    <w:rsid w:val="002B2FB6"/>
    <w:rsid w:val="002B3848"/>
    <w:rsid w:val="002B4B77"/>
    <w:rsid w:val="002B4F37"/>
    <w:rsid w:val="002B517A"/>
    <w:rsid w:val="002B5E02"/>
    <w:rsid w:val="002C0018"/>
    <w:rsid w:val="002C1206"/>
    <w:rsid w:val="002C16C5"/>
    <w:rsid w:val="002C1717"/>
    <w:rsid w:val="002C1851"/>
    <w:rsid w:val="002C27E6"/>
    <w:rsid w:val="002C518E"/>
    <w:rsid w:val="002C5920"/>
    <w:rsid w:val="002C5A3D"/>
    <w:rsid w:val="002C6A74"/>
    <w:rsid w:val="002C739C"/>
    <w:rsid w:val="002C7668"/>
    <w:rsid w:val="002D03D9"/>
    <w:rsid w:val="002D06AA"/>
    <w:rsid w:val="002D0CEB"/>
    <w:rsid w:val="002D19ED"/>
    <w:rsid w:val="002D2085"/>
    <w:rsid w:val="002D2837"/>
    <w:rsid w:val="002D3715"/>
    <w:rsid w:val="002D4C2E"/>
    <w:rsid w:val="002D62E5"/>
    <w:rsid w:val="002D6702"/>
    <w:rsid w:val="002E0449"/>
    <w:rsid w:val="002E0762"/>
    <w:rsid w:val="002E0FBD"/>
    <w:rsid w:val="002E1172"/>
    <w:rsid w:val="002E1369"/>
    <w:rsid w:val="002E18E4"/>
    <w:rsid w:val="002E2392"/>
    <w:rsid w:val="002E3956"/>
    <w:rsid w:val="002E3C3A"/>
    <w:rsid w:val="002E61E8"/>
    <w:rsid w:val="002E6EFD"/>
    <w:rsid w:val="002E791C"/>
    <w:rsid w:val="002F0D78"/>
    <w:rsid w:val="002F142F"/>
    <w:rsid w:val="002F1744"/>
    <w:rsid w:val="002F2DCB"/>
    <w:rsid w:val="002F45E3"/>
    <w:rsid w:val="002F4ED2"/>
    <w:rsid w:val="002F58D8"/>
    <w:rsid w:val="002F5BBE"/>
    <w:rsid w:val="002F61A9"/>
    <w:rsid w:val="002F6B39"/>
    <w:rsid w:val="0030035F"/>
    <w:rsid w:val="003029E0"/>
    <w:rsid w:val="00302FEE"/>
    <w:rsid w:val="00303D51"/>
    <w:rsid w:val="00303F1F"/>
    <w:rsid w:val="00304904"/>
    <w:rsid w:val="003056BD"/>
    <w:rsid w:val="003064A2"/>
    <w:rsid w:val="00306613"/>
    <w:rsid w:val="00307048"/>
    <w:rsid w:val="00307A9E"/>
    <w:rsid w:val="003108FE"/>
    <w:rsid w:val="00311237"/>
    <w:rsid w:val="00311A45"/>
    <w:rsid w:val="00311E68"/>
    <w:rsid w:val="00314C48"/>
    <w:rsid w:val="00315C0A"/>
    <w:rsid w:val="00316296"/>
    <w:rsid w:val="00316DA2"/>
    <w:rsid w:val="00320426"/>
    <w:rsid w:val="00320879"/>
    <w:rsid w:val="003213E2"/>
    <w:rsid w:val="00321B29"/>
    <w:rsid w:val="00322736"/>
    <w:rsid w:val="00325783"/>
    <w:rsid w:val="00326D49"/>
    <w:rsid w:val="00326E5D"/>
    <w:rsid w:val="003272E5"/>
    <w:rsid w:val="003277E7"/>
    <w:rsid w:val="00331A5E"/>
    <w:rsid w:val="00333053"/>
    <w:rsid w:val="0033372B"/>
    <w:rsid w:val="00334939"/>
    <w:rsid w:val="00335A2F"/>
    <w:rsid w:val="0033668D"/>
    <w:rsid w:val="00337064"/>
    <w:rsid w:val="0033707D"/>
    <w:rsid w:val="00340752"/>
    <w:rsid w:val="00340785"/>
    <w:rsid w:val="0034196C"/>
    <w:rsid w:val="0034277B"/>
    <w:rsid w:val="00342F88"/>
    <w:rsid w:val="0034519C"/>
    <w:rsid w:val="00345599"/>
    <w:rsid w:val="00346306"/>
    <w:rsid w:val="00347004"/>
    <w:rsid w:val="003470CC"/>
    <w:rsid w:val="003501BA"/>
    <w:rsid w:val="00353D47"/>
    <w:rsid w:val="00354107"/>
    <w:rsid w:val="00354F62"/>
    <w:rsid w:val="00354FA5"/>
    <w:rsid w:val="00356065"/>
    <w:rsid w:val="00356520"/>
    <w:rsid w:val="003568EB"/>
    <w:rsid w:val="0035794A"/>
    <w:rsid w:val="003579D7"/>
    <w:rsid w:val="00360235"/>
    <w:rsid w:val="003607EE"/>
    <w:rsid w:val="00360EB6"/>
    <w:rsid w:val="00361975"/>
    <w:rsid w:val="00362847"/>
    <w:rsid w:val="00363C77"/>
    <w:rsid w:val="0036695F"/>
    <w:rsid w:val="00367900"/>
    <w:rsid w:val="003679DE"/>
    <w:rsid w:val="00367C0F"/>
    <w:rsid w:val="003718D6"/>
    <w:rsid w:val="003720C9"/>
    <w:rsid w:val="00372490"/>
    <w:rsid w:val="00373150"/>
    <w:rsid w:val="00374D32"/>
    <w:rsid w:val="003769F5"/>
    <w:rsid w:val="00376DE4"/>
    <w:rsid w:val="00380518"/>
    <w:rsid w:val="003810D6"/>
    <w:rsid w:val="0038191C"/>
    <w:rsid w:val="00381AEF"/>
    <w:rsid w:val="0038359E"/>
    <w:rsid w:val="003837A1"/>
    <w:rsid w:val="00383D36"/>
    <w:rsid w:val="00383F37"/>
    <w:rsid w:val="0038441C"/>
    <w:rsid w:val="0038453E"/>
    <w:rsid w:val="003850C8"/>
    <w:rsid w:val="00385556"/>
    <w:rsid w:val="0038559C"/>
    <w:rsid w:val="00385943"/>
    <w:rsid w:val="00386CCD"/>
    <w:rsid w:val="00386FA8"/>
    <w:rsid w:val="0039091B"/>
    <w:rsid w:val="00390FD8"/>
    <w:rsid w:val="00391A11"/>
    <w:rsid w:val="003926FF"/>
    <w:rsid w:val="00393C08"/>
    <w:rsid w:val="0039408A"/>
    <w:rsid w:val="00394E6D"/>
    <w:rsid w:val="00395507"/>
    <w:rsid w:val="003965A6"/>
    <w:rsid w:val="00397B7D"/>
    <w:rsid w:val="003A03AF"/>
    <w:rsid w:val="003A11D1"/>
    <w:rsid w:val="003A2585"/>
    <w:rsid w:val="003A2590"/>
    <w:rsid w:val="003A3754"/>
    <w:rsid w:val="003A3B3B"/>
    <w:rsid w:val="003A4184"/>
    <w:rsid w:val="003A47F3"/>
    <w:rsid w:val="003A7B15"/>
    <w:rsid w:val="003A7C7B"/>
    <w:rsid w:val="003B005C"/>
    <w:rsid w:val="003B0066"/>
    <w:rsid w:val="003B090A"/>
    <w:rsid w:val="003B1560"/>
    <w:rsid w:val="003B200B"/>
    <w:rsid w:val="003B234C"/>
    <w:rsid w:val="003B405D"/>
    <w:rsid w:val="003B452A"/>
    <w:rsid w:val="003B475D"/>
    <w:rsid w:val="003B6046"/>
    <w:rsid w:val="003B735A"/>
    <w:rsid w:val="003C01C1"/>
    <w:rsid w:val="003C1E32"/>
    <w:rsid w:val="003C1EB3"/>
    <w:rsid w:val="003C2376"/>
    <w:rsid w:val="003C3117"/>
    <w:rsid w:val="003C35AB"/>
    <w:rsid w:val="003C3E08"/>
    <w:rsid w:val="003C44B8"/>
    <w:rsid w:val="003C59BA"/>
    <w:rsid w:val="003C6ABC"/>
    <w:rsid w:val="003D132C"/>
    <w:rsid w:val="003D1AC4"/>
    <w:rsid w:val="003D2A94"/>
    <w:rsid w:val="003D554F"/>
    <w:rsid w:val="003D7C83"/>
    <w:rsid w:val="003D7EE0"/>
    <w:rsid w:val="003E00B3"/>
    <w:rsid w:val="003E0549"/>
    <w:rsid w:val="003E07D5"/>
    <w:rsid w:val="003E0C54"/>
    <w:rsid w:val="003E1772"/>
    <w:rsid w:val="003E18DA"/>
    <w:rsid w:val="003E22FE"/>
    <w:rsid w:val="003E3D88"/>
    <w:rsid w:val="003E4836"/>
    <w:rsid w:val="003E4A8E"/>
    <w:rsid w:val="003E4DC9"/>
    <w:rsid w:val="003E4DF8"/>
    <w:rsid w:val="003E5225"/>
    <w:rsid w:val="003E5457"/>
    <w:rsid w:val="003E6D60"/>
    <w:rsid w:val="003E73CA"/>
    <w:rsid w:val="003F010F"/>
    <w:rsid w:val="003F09ED"/>
    <w:rsid w:val="003F1A0C"/>
    <w:rsid w:val="003F22C8"/>
    <w:rsid w:val="003F24AA"/>
    <w:rsid w:val="003F4286"/>
    <w:rsid w:val="003F4FC0"/>
    <w:rsid w:val="003F6427"/>
    <w:rsid w:val="003F69A8"/>
    <w:rsid w:val="003F72BB"/>
    <w:rsid w:val="003F7435"/>
    <w:rsid w:val="0040072B"/>
    <w:rsid w:val="00400C4B"/>
    <w:rsid w:val="0040100B"/>
    <w:rsid w:val="00401EA7"/>
    <w:rsid w:val="00402578"/>
    <w:rsid w:val="00402D31"/>
    <w:rsid w:val="0040363E"/>
    <w:rsid w:val="00403CCC"/>
    <w:rsid w:val="004049A7"/>
    <w:rsid w:val="00404CE6"/>
    <w:rsid w:val="00404F9E"/>
    <w:rsid w:val="0040506C"/>
    <w:rsid w:val="00406261"/>
    <w:rsid w:val="00406290"/>
    <w:rsid w:val="0040751C"/>
    <w:rsid w:val="0040768D"/>
    <w:rsid w:val="00411686"/>
    <w:rsid w:val="00412E93"/>
    <w:rsid w:val="004132F6"/>
    <w:rsid w:val="00413450"/>
    <w:rsid w:val="00413FF8"/>
    <w:rsid w:val="00414345"/>
    <w:rsid w:val="0041593F"/>
    <w:rsid w:val="00415BE7"/>
    <w:rsid w:val="00416953"/>
    <w:rsid w:val="00417D26"/>
    <w:rsid w:val="00417EA0"/>
    <w:rsid w:val="0042074C"/>
    <w:rsid w:val="00420B33"/>
    <w:rsid w:val="0042247B"/>
    <w:rsid w:val="00422537"/>
    <w:rsid w:val="004225FE"/>
    <w:rsid w:val="00422880"/>
    <w:rsid w:val="0042377D"/>
    <w:rsid w:val="00423C85"/>
    <w:rsid w:val="00423CAE"/>
    <w:rsid w:val="004243AA"/>
    <w:rsid w:val="004246D2"/>
    <w:rsid w:val="00424724"/>
    <w:rsid w:val="00427A37"/>
    <w:rsid w:val="00430B3D"/>
    <w:rsid w:val="004313B2"/>
    <w:rsid w:val="004315E2"/>
    <w:rsid w:val="00432704"/>
    <w:rsid w:val="004332D5"/>
    <w:rsid w:val="00434B05"/>
    <w:rsid w:val="004359BB"/>
    <w:rsid w:val="00435AEC"/>
    <w:rsid w:val="00435D35"/>
    <w:rsid w:val="004370B8"/>
    <w:rsid w:val="00437880"/>
    <w:rsid w:val="00437EFD"/>
    <w:rsid w:val="0044001F"/>
    <w:rsid w:val="0044040E"/>
    <w:rsid w:val="0044055E"/>
    <w:rsid w:val="00440635"/>
    <w:rsid w:val="00440CF6"/>
    <w:rsid w:val="004417F1"/>
    <w:rsid w:val="00441BDC"/>
    <w:rsid w:val="0044367E"/>
    <w:rsid w:val="00445007"/>
    <w:rsid w:val="00446014"/>
    <w:rsid w:val="00446087"/>
    <w:rsid w:val="0044688C"/>
    <w:rsid w:val="0044693E"/>
    <w:rsid w:val="00447100"/>
    <w:rsid w:val="004501C6"/>
    <w:rsid w:val="0045255B"/>
    <w:rsid w:val="00453717"/>
    <w:rsid w:val="00455231"/>
    <w:rsid w:val="00456C70"/>
    <w:rsid w:val="00460013"/>
    <w:rsid w:val="00460775"/>
    <w:rsid w:val="00460F16"/>
    <w:rsid w:val="00461860"/>
    <w:rsid w:val="00462031"/>
    <w:rsid w:val="0046225E"/>
    <w:rsid w:val="00462BA3"/>
    <w:rsid w:val="0046475C"/>
    <w:rsid w:val="00464E4F"/>
    <w:rsid w:val="004700C0"/>
    <w:rsid w:val="00471CCA"/>
    <w:rsid w:val="00472873"/>
    <w:rsid w:val="00472908"/>
    <w:rsid w:val="00472D35"/>
    <w:rsid w:val="00473728"/>
    <w:rsid w:val="0047411C"/>
    <w:rsid w:val="00474B5D"/>
    <w:rsid w:val="004751B9"/>
    <w:rsid w:val="00475537"/>
    <w:rsid w:val="00475930"/>
    <w:rsid w:val="00475CC1"/>
    <w:rsid w:val="00475FA8"/>
    <w:rsid w:val="00476928"/>
    <w:rsid w:val="00476AE1"/>
    <w:rsid w:val="00476BD7"/>
    <w:rsid w:val="004776B5"/>
    <w:rsid w:val="00477BE0"/>
    <w:rsid w:val="00477F2F"/>
    <w:rsid w:val="0048378D"/>
    <w:rsid w:val="00483A74"/>
    <w:rsid w:val="00485548"/>
    <w:rsid w:val="004860F4"/>
    <w:rsid w:val="00487106"/>
    <w:rsid w:val="00487A5A"/>
    <w:rsid w:val="0049110F"/>
    <w:rsid w:val="00491495"/>
    <w:rsid w:val="00491B36"/>
    <w:rsid w:val="00491ED6"/>
    <w:rsid w:val="00491F94"/>
    <w:rsid w:val="0049203B"/>
    <w:rsid w:val="0049399A"/>
    <w:rsid w:val="004942E7"/>
    <w:rsid w:val="00494B98"/>
    <w:rsid w:val="00497B40"/>
    <w:rsid w:val="004A1846"/>
    <w:rsid w:val="004A1E50"/>
    <w:rsid w:val="004A2582"/>
    <w:rsid w:val="004A3A98"/>
    <w:rsid w:val="004A3ABD"/>
    <w:rsid w:val="004A4403"/>
    <w:rsid w:val="004A4D80"/>
    <w:rsid w:val="004A5618"/>
    <w:rsid w:val="004A5C59"/>
    <w:rsid w:val="004A5F6C"/>
    <w:rsid w:val="004A6A20"/>
    <w:rsid w:val="004B1826"/>
    <w:rsid w:val="004B1E38"/>
    <w:rsid w:val="004B20C8"/>
    <w:rsid w:val="004B272D"/>
    <w:rsid w:val="004B38A0"/>
    <w:rsid w:val="004B3D00"/>
    <w:rsid w:val="004B5670"/>
    <w:rsid w:val="004B568B"/>
    <w:rsid w:val="004B6B8A"/>
    <w:rsid w:val="004B71D1"/>
    <w:rsid w:val="004B79CE"/>
    <w:rsid w:val="004B7B62"/>
    <w:rsid w:val="004B7CF3"/>
    <w:rsid w:val="004C09B8"/>
    <w:rsid w:val="004C0B5E"/>
    <w:rsid w:val="004C235B"/>
    <w:rsid w:val="004C2765"/>
    <w:rsid w:val="004C276C"/>
    <w:rsid w:val="004C5573"/>
    <w:rsid w:val="004C5FA6"/>
    <w:rsid w:val="004C7170"/>
    <w:rsid w:val="004C7F2F"/>
    <w:rsid w:val="004D1DCF"/>
    <w:rsid w:val="004D3DD9"/>
    <w:rsid w:val="004D5044"/>
    <w:rsid w:val="004D5411"/>
    <w:rsid w:val="004D5D22"/>
    <w:rsid w:val="004D6595"/>
    <w:rsid w:val="004D6C37"/>
    <w:rsid w:val="004D7372"/>
    <w:rsid w:val="004E04FE"/>
    <w:rsid w:val="004E10EA"/>
    <w:rsid w:val="004E16D7"/>
    <w:rsid w:val="004E1B5B"/>
    <w:rsid w:val="004E288E"/>
    <w:rsid w:val="004E2AB2"/>
    <w:rsid w:val="004E42D1"/>
    <w:rsid w:val="004E5211"/>
    <w:rsid w:val="004E5AD1"/>
    <w:rsid w:val="004E64E1"/>
    <w:rsid w:val="004E72A2"/>
    <w:rsid w:val="004E7D00"/>
    <w:rsid w:val="004F0449"/>
    <w:rsid w:val="004F25CE"/>
    <w:rsid w:val="004F2A41"/>
    <w:rsid w:val="004F2DE5"/>
    <w:rsid w:val="004F46F5"/>
    <w:rsid w:val="004F5631"/>
    <w:rsid w:val="004F6270"/>
    <w:rsid w:val="004F68E9"/>
    <w:rsid w:val="00500C19"/>
    <w:rsid w:val="00500CCB"/>
    <w:rsid w:val="00501FF0"/>
    <w:rsid w:val="005020D4"/>
    <w:rsid w:val="005025C0"/>
    <w:rsid w:val="0050269E"/>
    <w:rsid w:val="005028D9"/>
    <w:rsid w:val="005031F6"/>
    <w:rsid w:val="00503236"/>
    <w:rsid w:val="005045CC"/>
    <w:rsid w:val="0050588B"/>
    <w:rsid w:val="00506401"/>
    <w:rsid w:val="005070CE"/>
    <w:rsid w:val="005072B6"/>
    <w:rsid w:val="005076E9"/>
    <w:rsid w:val="00510051"/>
    <w:rsid w:val="005116FC"/>
    <w:rsid w:val="00511BF0"/>
    <w:rsid w:val="00512404"/>
    <w:rsid w:val="00512BF6"/>
    <w:rsid w:val="00513488"/>
    <w:rsid w:val="00514204"/>
    <w:rsid w:val="00516654"/>
    <w:rsid w:val="005169FA"/>
    <w:rsid w:val="00517C6E"/>
    <w:rsid w:val="00521209"/>
    <w:rsid w:val="0052206B"/>
    <w:rsid w:val="0052404B"/>
    <w:rsid w:val="005260F4"/>
    <w:rsid w:val="0052665B"/>
    <w:rsid w:val="00527AF1"/>
    <w:rsid w:val="005316FB"/>
    <w:rsid w:val="00532143"/>
    <w:rsid w:val="005325FF"/>
    <w:rsid w:val="00532761"/>
    <w:rsid w:val="00533D84"/>
    <w:rsid w:val="00534916"/>
    <w:rsid w:val="00535220"/>
    <w:rsid w:val="00541BA8"/>
    <w:rsid w:val="00542514"/>
    <w:rsid w:val="00542741"/>
    <w:rsid w:val="005441D8"/>
    <w:rsid w:val="0054479C"/>
    <w:rsid w:val="0054614D"/>
    <w:rsid w:val="0055082F"/>
    <w:rsid w:val="00551363"/>
    <w:rsid w:val="00552003"/>
    <w:rsid w:val="00552206"/>
    <w:rsid w:val="0055269D"/>
    <w:rsid w:val="00552FE0"/>
    <w:rsid w:val="0055364F"/>
    <w:rsid w:val="00554DBE"/>
    <w:rsid w:val="00554F7F"/>
    <w:rsid w:val="005551AE"/>
    <w:rsid w:val="00556E8C"/>
    <w:rsid w:val="005602B7"/>
    <w:rsid w:val="005605FE"/>
    <w:rsid w:val="00560819"/>
    <w:rsid w:val="00561C00"/>
    <w:rsid w:val="005625A4"/>
    <w:rsid w:val="00563660"/>
    <w:rsid w:val="00563BE9"/>
    <w:rsid w:val="00563D20"/>
    <w:rsid w:val="00563DE0"/>
    <w:rsid w:val="00564300"/>
    <w:rsid w:val="00564D6F"/>
    <w:rsid w:val="00567F91"/>
    <w:rsid w:val="00571539"/>
    <w:rsid w:val="00572312"/>
    <w:rsid w:val="00575252"/>
    <w:rsid w:val="00575265"/>
    <w:rsid w:val="00575481"/>
    <w:rsid w:val="005764C6"/>
    <w:rsid w:val="00577261"/>
    <w:rsid w:val="0058031B"/>
    <w:rsid w:val="00580B75"/>
    <w:rsid w:val="005810D4"/>
    <w:rsid w:val="00582CAE"/>
    <w:rsid w:val="00583658"/>
    <w:rsid w:val="00586E2C"/>
    <w:rsid w:val="00586E59"/>
    <w:rsid w:val="00590626"/>
    <w:rsid w:val="00591D2F"/>
    <w:rsid w:val="00592284"/>
    <w:rsid w:val="005924CD"/>
    <w:rsid w:val="0059370E"/>
    <w:rsid w:val="00594206"/>
    <w:rsid w:val="00594332"/>
    <w:rsid w:val="0059503A"/>
    <w:rsid w:val="00595A49"/>
    <w:rsid w:val="005972D9"/>
    <w:rsid w:val="005976C5"/>
    <w:rsid w:val="00597FC9"/>
    <w:rsid w:val="005A16D2"/>
    <w:rsid w:val="005A4177"/>
    <w:rsid w:val="005A42D1"/>
    <w:rsid w:val="005A4984"/>
    <w:rsid w:val="005A59B2"/>
    <w:rsid w:val="005A61D6"/>
    <w:rsid w:val="005A6F6F"/>
    <w:rsid w:val="005A74D3"/>
    <w:rsid w:val="005A7752"/>
    <w:rsid w:val="005A7765"/>
    <w:rsid w:val="005A7B2F"/>
    <w:rsid w:val="005B0BF1"/>
    <w:rsid w:val="005B13B1"/>
    <w:rsid w:val="005B25AA"/>
    <w:rsid w:val="005B272D"/>
    <w:rsid w:val="005B33F2"/>
    <w:rsid w:val="005B49BF"/>
    <w:rsid w:val="005B513E"/>
    <w:rsid w:val="005B60D5"/>
    <w:rsid w:val="005B674F"/>
    <w:rsid w:val="005B677C"/>
    <w:rsid w:val="005B6B37"/>
    <w:rsid w:val="005B7158"/>
    <w:rsid w:val="005B728C"/>
    <w:rsid w:val="005B7EFF"/>
    <w:rsid w:val="005B7F15"/>
    <w:rsid w:val="005C0FCD"/>
    <w:rsid w:val="005C11DE"/>
    <w:rsid w:val="005C30B1"/>
    <w:rsid w:val="005C3209"/>
    <w:rsid w:val="005C344D"/>
    <w:rsid w:val="005C5488"/>
    <w:rsid w:val="005C5B21"/>
    <w:rsid w:val="005C5B2A"/>
    <w:rsid w:val="005C5F49"/>
    <w:rsid w:val="005C639B"/>
    <w:rsid w:val="005C661B"/>
    <w:rsid w:val="005C66FB"/>
    <w:rsid w:val="005C7721"/>
    <w:rsid w:val="005C77E1"/>
    <w:rsid w:val="005D01B5"/>
    <w:rsid w:val="005D0ED2"/>
    <w:rsid w:val="005D10B0"/>
    <w:rsid w:val="005D30AF"/>
    <w:rsid w:val="005D36A9"/>
    <w:rsid w:val="005D5AAB"/>
    <w:rsid w:val="005E2CDD"/>
    <w:rsid w:val="005E4372"/>
    <w:rsid w:val="005E4898"/>
    <w:rsid w:val="005E4FF0"/>
    <w:rsid w:val="005F08D0"/>
    <w:rsid w:val="005F0C3F"/>
    <w:rsid w:val="005F1C6C"/>
    <w:rsid w:val="005F2C2C"/>
    <w:rsid w:val="005F65DC"/>
    <w:rsid w:val="005F6BD6"/>
    <w:rsid w:val="0060068F"/>
    <w:rsid w:val="00602999"/>
    <w:rsid w:val="006035CB"/>
    <w:rsid w:val="00603D9A"/>
    <w:rsid w:val="00603DE3"/>
    <w:rsid w:val="006040AE"/>
    <w:rsid w:val="006047AE"/>
    <w:rsid w:val="00604F05"/>
    <w:rsid w:val="006073A7"/>
    <w:rsid w:val="00610250"/>
    <w:rsid w:val="00610A58"/>
    <w:rsid w:val="00610A74"/>
    <w:rsid w:val="00610F87"/>
    <w:rsid w:val="00612578"/>
    <w:rsid w:val="00612A2C"/>
    <w:rsid w:val="0061350B"/>
    <w:rsid w:val="006135F6"/>
    <w:rsid w:val="006139B3"/>
    <w:rsid w:val="0061420F"/>
    <w:rsid w:val="006162E0"/>
    <w:rsid w:val="006169BE"/>
    <w:rsid w:val="006170FF"/>
    <w:rsid w:val="00617584"/>
    <w:rsid w:val="00617D85"/>
    <w:rsid w:val="00620CF0"/>
    <w:rsid w:val="006216A3"/>
    <w:rsid w:val="00621C19"/>
    <w:rsid w:val="00623BCA"/>
    <w:rsid w:val="006242BE"/>
    <w:rsid w:val="006242C6"/>
    <w:rsid w:val="00626AEB"/>
    <w:rsid w:val="0063084B"/>
    <w:rsid w:val="006350F3"/>
    <w:rsid w:val="006355A0"/>
    <w:rsid w:val="006356EB"/>
    <w:rsid w:val="00636792"/>
    <w:rsid w:val="006368E3"/>
    <w:rsid w:val="00637127"/>
    <w:rsid w:val="00641F89"/>
    <w:rsid w:val="006423DF"/>
    <w:rsid w:val="006435A1"/>
    <w:rsid w:val="00644114"/>
    <w:rsid w:val="0064584A"/>
    <w:rsid w:val="00650182"/>
    <w:rsid w:val="006513E0"/>
    <w:rsid w:val="0065177C"/>
    <w:rsid w:val="00652EB8"/>
    <w:rsid w:val="00653A4A"/>
    <w:rsid w:val="00653ACF"/>
    <w:rsid w:val="00653BD3"/>
    <w:rsid w:val="00653DC2"/>
    <w:rsid w:val="00653F21"/>
    <w:rsid w:val="00654069"/>
    <w:rsid w:val="00654365"/>
    <w:rsid w:val="00654617"/>
    <w:rsid w:val="00654EC8"/>
    <w:rsid w:val="00656AC3"/>
    <w:rsid w:val="00657DAB"/>
    <w:rsid w:val="00661B59"/>
    <w:rsid w:val="00662DB8"/>
    <w:rsid w:val="00664317"/>
    <w:rsid w:val="00666216"/>
    <w:rsid w:val="00666B53"/>
    <w:rsid w:val="00670C9C"/>
    <w:rsid w:val="00670D25"/>
    <w:rsid w:val="00671008"/>
    <w:rsid w:val="0067142E"/>
    <w:rsid w:val="006714A1"/>
    <w:rsid w:val="00672A61"/>
    <w:rsid w:val="00675469"/>
    <w:rsid w:val="00676109"/>
    <w:rsid w:val="0067632C"/>
    <w:rsid w:val="006768FA"/>
    <w:rsid w:val="006769C1"/>
    <w:rsid w:val="00677710"/>
    <w:rsid w:val="00677A4C"/>
    <w:rsid w:val="00681C2F"/>
    <w:rsid w:val="00682023"/>
    <w:rsid w:val="006829EB"/>
    <w:rsid w:val="00682F97"/>
    <w:rsid w:val="00683750"/>
    <w:rsid w:val="00683AAA"/>
    <w:rsid w:val="0068697F"/>
    <w:rsid w:val="0069017C"/>
    <w:rsid w:val="006903A5"/>
    <w:rsid w:val="00692086"/>
    <w:rsid w:val="00692412"/>
    <w:rsid w:val="0069296E"/>
    <w:rsid w:val="006939ED"/>
    <w:rsid w:val="00693A99"/>
    <w:rsid w:val="00697022"/>
    <w:rsid w:val="00697FB3"/>
    <w:rsid w:val="006A0C2E"/>
    <w:rsid w:val="006A1095"/>
    <w:rsid w:val="006A18CB"/>
    <w:rsid w:val="006A2E12"/>
    <w:rsid w:val="006A3FFF"/>
    <w:rsid w:val="006A41B6"/>
    <w:rsid w:val="006A4747"/>
    <w:rsid w:val="006A4C46"/>
    <w:rsid w:val="006A64D0"/>
    <w:rsid w:val="006A6620"/>
    <w:rsid w:val="006A77FC"/>
    <w:rsid w:val="006B033E"/>
    <w:rsid w:val="006B07B1"/>
    <w:rsid w:val="006B0B38"/>
    <w:rsid w:val="006B1C57"/>
    <w:rsid w:val="006B1E81"/>
    <w:rsid w:val="006B4345"/>
    <w:rsid w:val="006B49D1"/>
    <w:rsid w:val="006B4C8B"/>
    <w:rsid w:val="006B4DB8"/>
    <w:rsid w:val="006B6E53"/>
    <w:rsid w:val="006B7EC7"/>
    <w:rsid w:val="006C03FE"/>
    <w:rsid w:val="006C061F"/>
    <w:rsid w:val="006C0F6D"/>
    <w:rsid w:val="006C3AD0"/>
    <w:rsid w:val="006D0068"/>
    <w:rsid w:val="006D0700"/>
    <w:rsid w:val="006D2032"/>
    <w:rsid w:val="006D2919"/>
    <w:rsid w:val="006D2BD1"/>
    <w:rsid w:val="006D38FD"/>
    <w:rsid w:val="006D4630"/>
    <w:rsid w:val="006D46EC"/>
    <w:rsid w:val="006D49C3"/>
    <w:rsid w:val="006D5F4B"/>
    <w:rsid w:val="006D6CB8"/>
    <w:rsid w:val="006D6E71"/>
    <w:rsid w:val="006D7118"/>
    <w:rsid w:val="006D7827"/>
    <w:rsid w:val="006E14F0"/>
    <w:rsid w:val="006E2193"/>
    <w:rsid w:val="006E2D74"/>
    <w:rsid w:val="006E36CE"/>
    <w:rsid w:val="006E4D9E"/>
    <w:rsid w:val="006E59AF"/>
    <w:rsid w:val="006E6EF9"/>
    <w:rsid w:val="006F0430"/>
    <w:rsid w:val="006F0C4A"/>
    <w:rsid w:val="006F2811"/>
    <w:rsid w:val="006F2AD4"/>
    <w:rsid w:val="006F3771"/>
    <w:rsid w:val="006F460E"/>
    <w:rsid w:val="006F47FD"/>
    <w:rsid w:val="006F530B"/>
    <w:rsid w:val="006F60A2"/>
    <w:rsid w:val="00700552"/>
    <w:rsid w:val="00700E85"/>
    <w:rsid w:val="00700F66"/>
    <w:rsid w:val="00704682"/>
    <w:rsid w:val="00705B01"/>
    <w:rsid w:val="00706A50"/>
    <w:rsid w:val="00706DB7"/>
    <w:rsid w:val="00707702"/>
    <w:rsid w:val="00710941"/>
    <w:rsid w:val="00713800"/>
    <w:rsid w:val="00713B34"/>
    <w:rsid w:val="00713D98"/>
    <w:rsid w:val="007146B9"/>
    <w:rsid w:val="007155D3"/>
    <w:rsid w:val="00716598"/>
    <w:rsid w:val="0071741F"/>
    <w:rsid w:val="007174DB"/>
    <w:rsid w:val="007177F8"/>
    <w:rsid w:val="007178FA"/>
    <w:rsid w:val="00720433"/>
    <w:rsid w:val="00721182"/>
    <w:rsid w:val="00721D8E"/>
    <w:rsid w:val="007226AB"/>
    <w:rsid w:val="00722D55"/>
    <w:rsid w:val="00726280"/>
    <w:rsid w:val="007278AC"/>
    <w:rsid w:val="00727EFC"/>
    <w:rsid w:val="00731E7B"/>
    <w:rsid w:val="007329FB"/>
    <w:rsid w:val="00732D07"/>
    <w:rsid w:val="00733CBD"/>
    <w:rsid w:val="0073556F"/>
    <w:rsid w:val="007358AE"/>
    <w:rsid w:val="00735BAA"/>
    <w:rsid w:val="0073631B"/>
    <w:rsid w:val="00736761"/>
    <w:rsid w:val="0073715E"/>
    <w:rsid w:val="00737961"/>
    <w:rsid w:val="00740176"/>
    <w:rsid w:val="007415B4"/>
    <w:rsid w:val="0074268E"/>
    <w:rsid w:val="00744DF7"/>
    <w:rsid w:val="00744FF0"/>
    <w:rsid w:val="00745383"/>
    <w:rsid w:val="007461B6"/>
    <w:rsid w:val="0075076F"/>
    <w:rsid w:val="00750B65"/>
    <w:rsid w:val="00750B8D"/>
    <w:rsid w:val="0075195E"/>
    <w:rsid w:val="00752E4B"/>
    <w:rsid w:val="007535E3"/>
    <w:rsid w:val="0075432E"/>
    <w:rsid w:val="007571D6"/>
    <w:rsid w:val="007574D6"/>
    <w:rsid w:val="00757735"/>
    <w:rsid w:val="007579BF"/>
    <w:rsid w:val="00757A8D"/>
    <w:rsid w:val="00761375"/>
    <w:rsid w:val="007633F6"/>
    <w:rsid w:val="007636A6"/>
    <w:rsid w:val="00765C6E"/>
    <w:rsid w:val="007668C9"/>
    <w:rsid w:val="00766D67"/>
    <w:rsid w:val="00767DE3"/>
    <w:rsid w:val="00771852"/>
    <w:rsid w:val="00772B6D"/>
    <w:rsid w:val="007735F2"/>
    <w:rsid w:val="0077451B"/>
    <w:rsid w:val="00774774"/>
    <w:rsid w:val="00775330"/>
    <w:rsid w:val="00776EE8"/>
    <w:rsid w:val="00777BCF"/>
    <w:rsid w:val="00777BE9"/>
    <w:rsid w:val="007803AE"/>
    <w:rsid w:val="00781DFF"/>
    <w:rsid w:val="00783C9C"/>
    <w:rsid w:val="0078450E"/>
    <w:rsid w:val="00784829"/>
    <w:rsid w:val="0078487F"/>
    <w:rsid w:val="00784E47"/>
    <w:rsid w:val="00786872"/>
    <w:rsid w:val="00786B31"/>
    <w:rsid w:val="007870F3"/>
    <w:rsid w:val="007902D5"/>
    <w:rsid w:val="007909DA"/>
    <w:rsid w:val="007916FA"/>
    <w:rsid w:val="007920C4"/>
    <w:rsid w:val="00792C6B"/>
    <w:rsid w:val="00792EFF"/>
    <w:rsid w:val="00793D97"/>
    <w:rsid w:val="00793EA6"/>
    <w:rsid w:val="007944CA"/>
    <w:rsid w:val="007946E6"/>
    <w:rsid w:val="00796AE0"/>
    <w:rsid w:val="007A2BD7"/>
    <w:rsid w:val="007A64A6"/>
    <w:rsid w:val="007A6A3B"/>
    <w:rsid w:val="007A730E"/>
    <w:rsid w:val="007B00A8"/>
    <w:rsid w:val="007B0859"/>
    <w:rsid w:val="007B0CD6"/>
    <w:rsid w:val="007B0EB2"/>
    <w:rsid w:val="007B2148"/>
    <w:rsid w:val="007B2B0D"/>
    <w:rsid w:val="007B49B9"/>
    <w:rsid w:val="007B4AA4"/>
    <w:rsid w:val="007B51F7"/>
    <w:rsid w:val="007B59DD"/>
    <w:rsid w:val="007B628B"/>
    <w:rsid w:val="007B63F5"/>
    <w:rsid w:val="007C0235"/>
    <w:rsid w:val="007C048F"/>
    <w:rsid w:val="007C1BAA"/>
    <w:rsid w:val="007C21F4"/>
    <w:rsid w:val="007C58D8"/>
    <w:rsid w:val="007C742D"/>
    <w:rsid w:val="007D1219"/>
    <w:rsid w:val="007D1469"/>
    <w:rsid w:val="007D1B95"/>
    <w:rsid w:val="007D200D"/>
    <w:rsid w:val="007D370F"/>
    <w:rsid w:val="007D4A45"/>
    <w:rsid w:val="007D4F00"/>
    <w:rsid w:val="007D5191"/>
    <w:rsid w:val="007D56AC"/>
    <w:rsid w:val="007D60E8"/>
    <w:rsid w:val="007D644C"/>
    <w:rsid w:val="007D6CC5"/>
    <w:rsid w:val="007D774C"/>
    <w:rsid w:val="007E0C4F"/>
    <w:rsid w:val="007E11E4"/>
    <w:rsid w:val="007E12C3"/>
    <w:rsid w:val="007E337C"/>
    <w:rsid w:val="007E3AF8"/>
    <w:rsid w:val="007E3C6C"/>
    <w:rsid w:val="007E3DEE"/>
    <w:rsid w:val="007E50C3"/>
    <w:rsid w:val="007E5254"/>
    <w:rsid w:val="007E666B"/>
    <w:rsid w:val="007E7112"/>
    <w:rsid w:val="007E7253"/>
    <w:rsid w:val="007E7474"/>
    <w:rsid w:val="007F1667"/>
    <w:rsid w:val="007F1818"/>
    <w:rsid w:val="007F3D1C"/>
    <w:rsid w:val="007F78E8"/>
    <w:rsid w:val="008008F4"/>
    <w:rsid w:val="00800E22"/>
    <w:rsid w:val="00800E58"/>
    <w:rsid w:val="008015C1"/>
    <w:rsid w:val="00801FEC"/>
    <w:rsid w:val="008021DE"/>
    <w:rsid w:val="00802481"/>
    <w:rsid w:val="008026E1"/>
    <w:rsid w:val="008036EB"/>
    <w:rsid w:val="00803C4C"/>
    <w:rsid w:val="00805384"/>
    <w:rsid w:val="00807499"/>
    <w:rsid w:val="00807A46"/>
    <w:rsid w:val="008100EA"/>
    <w:rsid w:val="00810971"/>
    <w:rsid w:val="00810B14"/>
    <w:rsid w:val="00810B22"/>
    <w:rsid w:val="0081115D"/>
    <w:rsid w:val="00811222"/>
    <w:rsid w:val="00811F49"/>
    <w:rsid w:val="00812BDA"/>
    <w:rsid w:val="00812DCF"/>
    <w:rsid w:val="0081314D"/>
    <w:rsid w:val="0081413F"/>
    <w:rsid w:val="008142E9"/>
    <w:rsid w:val="00815557"/>
    <w:rsid w:val="00815BA8"/>
    <w:rsid w:val="008167C4"/>
    <w:rsid w:val="00816FEC"/>
    <w:rsid w:val="00820D73"/>
    <w:rsid w:val="00822731"/>
    <w:rsid w:val="008234E5"/>
    <w:rsid w:val="0082381D"/>
    <w:rsid w:val="00825540"/>
    <w:rsid w:val="00825DD6"/>
    <w:rsid w:val="00826ACB"/>
    <w:rsid w:val="00827409"/>
    <w:rsid w:val="00830738"/>
    <w:rsid w:val="0083163A"/>
    <w:rsid w:val="00832AC7"/>
    <w:rsid w:val="00833B7E"/>
    <w:rsid w:val="00834789"/>
    <w:rsid w:val="00834BA7"/>
    <w:rsid w:val="0083587C"/>
    <w:rsid w:val="00835AA3"/>
    <w:rsid w:val="008367C4"/>
    <w:rsid w:val="00837FF0"/>
    <w:rsid w:val="00840126"/>
    <w:rsid w:val="008401A8"/>
    <w:rsid w:val="008402FE"/>
    <w:rsid w:val="00841BF6"/>
    <w:rsid w:val="00842FAC"/>
    <w:rsid w:val="008459BA"/>
    <w:rsid w:val="0084659B"/>
    <w:rsid w:val="0084671E"/>
    <w:rsid w:val="00847606"/>
    <w:rsid w:val="00847E5C"/>
    <w:rsid w:val="00851132"/>
    <w:rsid w:val="00855011"/>
    <w:rsid w:val="00856167"/>
    <w:rsid w:val="00856267"/>
    <w:rsid w:val="00856D32"/>
    <w:rsid w:val="0085760B"/>
    <w:rsid w:val="008577E5"/>
    <w:rsid w:val="00860040"/>
    <w:rsid w:val="008614BF"/>
    <w:rsid w:val="008614E0"/>
    <w:rsid w:val="00863AF4"/>
    <w:rsid w:val="00863BEB"/>
    <w:rsid w:val="00864269"/>
    <w:rsid w:val="00864F2B"/>
    <w:rsid w:val="00865290"/>
    <w:rsid w:val="008652D2"/>
    <w:rsid w:val="00865D75"/>
    <w:rsid w:val="00865E09"/>
    <w:rsid w:val="0086603B"/>
    <w:rsid w:val="0086634A"/>
    <w:rsid w:val="008668D7"/>
    <w:rsid w:val="00867954"/>
    <w:rsid w:val="0087043A"/>
    <w:rsid w:val="00870A83"/>
    <w:rsid w:val="00870AE7"/>
    <w:rsid w:val="00870FB6"/>
    <w:rsid w:val="0087142B"/>
    <w:rsid w:val="0087160D"/>
    <w:rsid w:val="00871C70"/>
    <w:rsid w:val="00872C2A"/>
    <w:rsid w:val="0087353F"/>
    <w:rsid w:val="00873C0A"/>
    <w:rsid w:val="00874060"/>
    <w:rsid w:val="008753E6"/>
    <w:rsid w:val="0087640A"/>
    <w:rsid w:val="00876741"/>
    <w:rsid w:val="008801A3"/>
    <w:rsid w:val="00880280"/>
    <w:rsid w:val="0088047C"/>
    <w:rsid w:val="0088053F"/>
    <w:rsid w:val="0088080C"/>
    <w:rsid w:val="0088086B"/>
    <w:rsid w:val="00881868"/>
    <w:rsid w:val="00882581"/>
    <w:rsid w:val="00882B19"/>
    <w:rsid w:val="00883687"/>
    <w:rsid w:val="00883E95"/>
    <w:rsid w:val="008841C6"/>
    <w:rsid w:val="00885E14"/>
    <w:rsid w:val="00887545"/>
    <w:rsid w:val="00887FB0"/>
    <w:rsid w:val="00890385"/>
    <w:rsid w:val="00890569"/>
    <w:rsid w:val="008921C5"/>
    <w:rsid w:val="00892373"/>
    <w:rsid w:val="00892744"/>
    <w:rsid w:val="008937C0"/>
    <w:rsid w:val="00894843"/>
    <w:rsid w:val="00894D9D"/>
    <w:rsid w:val="00895104"/>
    <w:rsid w:val="00895778"/>
    <w:rsid w:val="0089578D"/>
    <w:rsid w:val="00895E96"/>
    <w:rsid w:val="00897004"/>
    <w:rsid w:val="00897AE5"/>
    <w:rsid w:val="008A052C"/>
    <w:rsid w:val="008A06DB"/>
    <w:rsid w:val="008A08B7"/>
    <w:rsid w:val="008A2D30"/>
    <w:rsid w:val="008A30BF"/>
    <w:rsid w:val="008A357B"/>
    <w:rsid w:val="008A412F"/>
    <w:rsid w:val="008A480C"/>
    <w:rsid w:val="008A4911"/>
    <w:rsid w:val="008A54A8"/>
    <w:rsid w:val="008A54AC"/>
    <w:rsid w:val="008A61B6"/>
    <w:rsid w:val="008A666D"/>
    <w:rsid w:val="008A6C64"/>
    <w:rsid w:val="008B00F6"/>
    <w:rsid w:val="008B1504"/>
    <w:rsid w:val="008B2AD7"/>
    <w:rsid w:val="008B2B28"/>
    <w:rsid w:val="008B2EF9"/>
    <w:rsid w:val="008B3990"/>
    <w:rsid w:val="008B3D7A"/>
    <w:rsid w:val="008B4C49"/>
    <w:rsid w:val="008B55EE"/>
    <w:rsid w:val="008B5E3F"/>
    <w:rsid w:val="008B692F"/>
    <w:rsid w:val="008B7634"/>
    <w:rsid w:val="008C0FA4"/>
    <w:rsid w:val="008C1C84"/>
    <w:rsid w:val="008C2E36"/>
    <w:rsid w:val="008C3FB3"/>
    <w:rsid w:val="008C6366"/>
    <w:rsid w:val="008C773C"/>
    <w:rsid w:val="008C7C1F"/>
    <w:rsid w:val="008D010F"/>
    <w:rsid w:val="008D171D"/>
    <w:rsid w:val="008D24B0"/>
    <w:rsid w:val="008D2AB8"/>
    <w:rsid w:val="008D2CD9"/>
    <w:rsid w:val="008D2F60"/>
    <w:rsid w:val="008D313D"/>
    <w:rsid w:val="008D48B0"/>
    <w:rsid w:val="008D57B1"/>
    <w:rsid w:val="008D6193"/>
    <w:rsid w:val="008D7216"/>
    <w:rsid w:val="008E075B"/>
    <w:rsid w:val="008E2E80"/>
    <w:rsid w:val="008E38E1"/>
    <w:rsid w:val="008E477D"/>
    <w:rsid w:val="008E4DCB"/>
    <w:rsid w:val="008E5AFB"/>
    <w:rsid w:val="008E678D"/>
    <w:rsid w:val="008E68EC"/>
    <w:rsid w:val="008E696D"/>
    <w:rsid w:val="008E7EE0"/>
    <w:rsid w:val="008F10AC"/>
    <w:rsid w:val="008F2338"/>
    <w:rsid w:val="008F2668"/>
    <w:rsid w:val="008F267D"/>
    <w:rsid w:val="008F346A"/>
    <w:rsid w:val="008F55EE"/>
    <w:rsid w:val="008F6CFD"/>
    <w:rsid w:val="008F7645"/>
    <w:rsid w:val="0090009C"/>
    <w:rsid w:val="0090065D"/>
    <w:rsid w:val="0090089C"/>
    <w:rsid w:val="0090115E"/>
    <w:rsid w:val="009012D1"/>
    <w:rsid w:val="009019A8"/>
    <w:rsid w:val="00902346"/>
    <w:rsid w:val="0090295A"/>
    <w:rsid w:val="009029FC"/>
    <w:rsid w:val="00902FEF"/>
    <w:rsid w:val="00903AF3"/>
    <w:rsid w:val="00904D86"/>
    <w:rsid w:val="00905687"/>
    <w:rsid w:val="00906533"/>
    <w:rsid w:val="00907B73"/>
    <w:rsid w:val="0091040F"/>
    <w:rsid w:val="00910868"/>
    <w:rsid w:val="00910B9A"/>
    <w:rsid w:val="0091176C"/>
    <w:rsid w:val="00912C86"/>
    <w:rsid w:val="00913563"/>
    <w:rsid w:val="00914058"/>
    <w:rsid w:val="00914692"/>
    <w:rsid w:val="00914782"/>
    <w:rsid w:val="00915B4B"/>
    <w:rsid w:val="00916A1A"/>
    <w:rsid w:val="00920426"/>
    <w:rsid w:val="00921012"/>
    <w:rsid w:val="00921D3F"/>
    <w:rsid w:val="00922B53"/>
    <w:rsid w:val="00923FE8"/>
    <w:rsid w:val="00924194"/>
    <w:rsid w:val="0092426A"/>
    <w:rsid w:val="00924297"/>
    <w:rsid w:val="00926523"/>
    <w:rsid w:val="009265D0"/>
    <w:rsid w:val="009276E3"/>
    <w:rsid w:val="00927764"/>
    <w:rsid w:val="0093134D"/>
    <w:rsid w:val="00931A50"/>
    <w:rsid w:val="009358FF"/>
    <w:rsid w:val="00935BA2"/>
    <w:rsid w:val="00936198"/>
    <w:rsid w:val="0093659B"/>
    <w:rsid w:val="009373FE"/>
    <w:rsid w:val="00937DB8"/>
    <w:rsid w:val="00940E8E"/>
    <w:rsid w:val="0094187B"/>
    <w:rsid w:val="00941DE8"/>
    <w:rsid w:val="00941E26"/>
    <w:rsid w:val="00942217"/>
    <w:rsid w:val="00942F1E"/>
    <w:rsid w:val="009437B6"/>
    <w:rsid w:val="00944088"/>
    <w:rsid w:val="00944980"/>
    <w:rsid w:val="00944EA6"/>
    <w:rsid w:val="009450FE"/>
    <w:rsid w:val="00950928"/>
    <w:rsid w:val="00950C9A"/>
    <w:rsid w:val="00951847"/>
    <w:rsid w:val="009519A1"/>
    <w:rsid w:val="00952306"/>
    <w:rsid w:val="00953B6B"/>
    <w:rsid w:val="00953FC5"/>
    <w:rsid w:val="00956EBD"/>
    <w:rsid w:val="00957043"/>
    <w:rsid w:val="009570E7"/>
    <w:rsid w:val="009578AD"/>
    <w:rsid w:val="00960606"/>
    <w:rsid w:val="00960C0D"/>
    <w:rsid w:val="00961521"/>
    <w:rsid w:val="00963413"/>
    <w:rsid w:val="00963477"/>
    <w:rsid w:val="009634A1"/>
    <w:rsid w:val="00963660"/>
    <w:rsid w:val="00963BE8"/>
    <w:rsid w:val="00964FFB"/>
    <w:rsid w:val="00965038"/>
    <w:rsid w:val="00965BD4"/>
    <w:rsid w:val="00965FA3"/>
    <w:rsid w:val="00965FE7"/>
    <w:rsid w:val="009662A6"/>
    <w:rsid w:val="00966E67"/>
    <w:rsid w:val="009670AA"/>
    <w:rsid w:val="009678CF"/>
    <w:rsid w:val="00970117"/>
    <w:rsid w:val="00971CBF"/>
    <w:rsid w:val="00972AA9"/>
    <w:rsid w:val="00973644"/>
    <w:rsid w:val="0097386D"/>
    <w:rsid w:val="00973F9B"/>
    <w:rsid w:val="00973FCA"/>
    <w:rsid w:val="00974218"/>
    <w:rsid w:val="009767EF"/>
    <w:rsid w:val="009775DD"/>
    <w:rsid w:val="00977861"/>
    <w:rsid w:val="00980C8C"/>
    <w:rsid w:val="009811AB"/>
    <w:rsid w:val="00981F0A"/>
    <w:rsid w:val="00981FD8"/>
    <w:rsid w:val="0098298D"/>
    <w:rsid w:val="00982AC0"/>
    <w:rsid w:val="00982AF4"/>
    <w:rsid w:val="009830FA"/>
    <w:rsid w:val="00983158"/>
    <w:rsid w:val="009839F7"/>
    <w:rsid w:val="00984682"/>
    <w:rsid w:val="009857B5"/>
    <w:rsid w:val="00985C8B"/>
    <w:rsid w:val="00986B04"/>
    <w:rsid w:val="00986BFD"/>
    <w:rsid w:val="009871A0"/>
    <w:rsid w:val="00987720"/>
    <w:rsid w:val="00990F5F"/>
    <w:rsid w:val="009917BB"/>
    <w:rsid w:val="0099183D"/>
    <w:rsid w:val="00991D1C"/>
    <w:rsid w:val="00992127"/>
    <w:rsid w:val="00992958"/>
    <w:rsid w:val="0099326A"/>
    <w:rsid w:val="00993EA6"/>
    <w:rsid w:val="00994033"/>
    <w:rsid w:val="009947F4"/>
    <w:rsid w:val="00994C1A"/>
    <w:rsid w:val="00994CAB"/>
    <w:rsid w:val="009962FA"/>
    <w:rsid w:val="009A0433"/>
    <w:rsid w:val="009A05D1"/>
    <w:rsid w:val="009A3808"/>
    <w:rsid w:val="009A52AB"/>
    <w:rsid w:val="009A772F"/>
    <w:rsid w:val="009A77E3"/>
    <w:rsid w:val="009B04A3"/>
    <w:rsid w:val="009B19E4"/>
    <w:rsid w:val="009B2A99"/>
    <w:rsid w:val="009B31E8"/>
    <w:rsid w:val="009B461E"/>
    <w:rsid w:val="009B4BB3"/>
    <w:rsid w:val="009B4C5B"/>
    <w:rsid w:val="009B57D8"/>
    <w:rsid w:val="009B6C3D"/>
    <w:rsid w:val="009B6D2F"/>
    <w:rsid w:val="009B72FB"/>
    <w:rsid w:val="009C05DF"/>
    <w:rsid w:val="009C3391"/>
    <w:rsid w:val="009C4A44"/>
    <w:rsid w:val="009C4E53"/>
    <w:rsid w:val="009C5432"/>
    <w:rsid w:val="009C6933"/>
    <w:rsid w:val="009C6B87"/>
    <w:rsid w:val="009C71BB"/>
    <w:rsid w:val="009C776F"/>
    <w:rsid w:val="009C7D43"/>
    <w:rsid w:val="009D11FE"/>
    <w:rsid w:val="009D2284"/>
    <w:rsid w:val="009D2DB0"/>
    <w:rsid w:val="009D3978"/>
    <w:rsid w:val="009D499A"/>
    <w:rsid w:val="009D4BDC"/>
    <w:rsid w:val="009D51FF"/>
    <w:rsid w:val="009D52BE"/>
    <w:rsid w:val="009D5AE4"/>
    <w:rsid w:val="009D5DA7"/>
    <w:rsid w:val="009D6098"/>
    <w:rsid w:val="009D747C"/>
    <w:rsid w:val="009D78BE"/>
    <w:rsid w:val="009E15F8"/>
    <w:rsid w:val="009E2C5C"/>
    <w:rsid w:val="009E45C1"/>
    <w:rsid w:val="009E5711"/>
    <w:rsid w:val="009E5957"/>
    <w:rsid w:val="009E63E8"/>
    <w:rsid w:val="009E6CBE"/>
    <w:rsid w:val="009F04FD"/>
    <w:rsid w:val="009F0538"/>
    <w:rsid w:val="009F0A63"/>
    <w:rsid w:val="009F0C64"/>
    <w:rsid w:val="009F27F9"/>
    <w:rsid w:val="009F28B6"/>
    <w:rsid w:val="009F38D3"/>
    <w:rsid w:val="009F3E58"/>
    <w:rsid w:val="009F57D9"/>
    <w:rsid w:val="009F6A18"/>
    <w:rsid w:val="009F6B02"/>
    <w:rsid w:val="009F7310"/>
    <w:rsid w:val="009F7E98"/>
    <w:rsid w:val="00A01641"/>
    <w:rsid w:val="00A02796"/>
    <w:rsid w:val="00A027CC"/>
    <w:rsid w:val="00A03517"/>
    <w:rsid w:val="00A040B4"/>
    <w:rsid w:val="00A051E7"/>
    <w:rsid w:val="00A06817"/>
    <w:rsid w:val="00A074E5"/>
    <w:rsid w:val="00A12995"/>
    <w:rsid w:val="00A12C39"/>
    <w:rsid w:val="00A135EC"/>
    <w:rsid w:val="00A14F9E"/>
    <w:rsid w:val="00A14FD6"/>
    <w:rsid w:val="00A1610D"/>
    <w:rsid w:val="00A166AF"/>
    <w:rsid w:val="00A16F6E"/>
    <w:rsid w:val="00A17E4D"/>
    <w:rsid w:val="00A2224C"/>
    <w:rsid w:val="00A22E8A"/>
    <w:rsid w:val="00A2469D"/>
    <w:rsid w:val="00A25BC0"/>
    <w:rsid w:val="00A26242"/>
    <w:rsid w:val="00A26627"/>
    <w:rsid w:val="00A27276"/>
    <w:rsid w:val="00A30651"/>
    <w:rsid w:val="00A32D8F"/>
    <w:rsid w:val="00A32F5F"/>
    <w:rsid w:val="00A34FDB"/>
    <w:rsid w:val="00A355AF"/>
    <w:rsid w:val="00A35D06"/>
    <w:rsid w:val="00A37C88"/>
    <w:rsid w:val="00A4133A"/>
    <w:rsid w:val="00A42168"/>
    <w:rsid w:val="00A421C5"/>
    <w:rsid w:val="00A428AD"/>
    <w:rsid w:val="00A42A6E"/>
    <w:rsid w:val="00A439CF"/>
    <w:rsid w:val="00A45459"/>
    <w:rsid w:val="00A45C61"/>
    <w:rsid w:val="00A471C7"/>
    <w:rsid w:val="00A50E3E"/>
    <w:rsid w:val="00A520BF"/>
    <w:rsid w:val="00A534AB"/>
    <w:rsid w:val="00A57714"/>
    <w:rsid w:val="00A6127D"/>
    <w:rsid w:val="00A62E3E"/>
    <w:rsid w:val="00A63002"/>
    <w:rsid w:val="00A63106"/>
    <w:rsid w:val="00A636C7"/>
    <w:rsid w:val="00A647C0"/>
    <w:rsid w:val="00A6761A"/>
    <w:rsid w:val="00A67FE1"/>
    <w:rsid w:val="00A70A87"/>
    <w:rsid w:val="00A70FBD"/>
    <w:rsid w:val="00A71880"/>
    <w:rsid w:val="00A719E4"/>
    <w:rsid w:val="00A7216B"/>
    <w:rsid w:val="00A730EB"/>
    <w:rsid w:val="00A731CF"/>
    <w:rsid w:val="00A73768"/>
    <w:rsid w:val="00A7484C"/>
    <w:rsid w:val="00A75D13"/>
    <w:rsid w:val="00A762BD"/>
    <w:rsid w:val="00A76396"/>
    <w:rsid w:val="00A76A44"/>
    <w:rsid w:val="00A76A81"/>
    <w:rsid w:val="00A801A3"/>
    <w:rsid w:val="00A81CAD"/>
    <w:rsid w:val="00A8223C"/>
    <w:rsid w:val="00A82BE0"/>
    <w:rsid w:val="00A838F7"/>
    <w:rsid w:val="00A84246"/>
    <w:rsid w:val="00A84E33"/>
    <w:rsid w:val="00A8692E"/>
    <w:rsid w:val="00A873CC"/>
    <w:rsid w:val="00A9020B"/>
    <w:rsid w:val="00A90DC5"/>
    <w:rsid w:val="00A912E5"/>
    <w:rsid w:val="00A918A4"/>
    <w:rsid w:val="00A92761"/>
    <w:rsid w:val="00A93FA0"/>
    <w:rsid w:val="00A94B20"/>
    <w:rsid w:val="00A9567C"/>
    <w:rsid w:val="00A95FBD"/>
    <w:rsid w:val="00A977B3"/>
    <w:rsid w:val="00AA0929"/>
    <w:rsid w:val="00AA21C8"/>
    <w:rsid w:val="00AA27B2"/>
    <w:rsid w:val="00AA2E1D"/>
    <w:rsid w:val="00AA343D"/>
    <w:rsid w:val="00AA43A8"/>
    <w:rsid w:val="00AA572E"/>
    <w:rsid w:val="00AA616A"/>
    <w:rsid w:val="00AA68BD"/>
    <w:rsid w:val="00AB0F4D"/>
    <w:rsid w:val="00AB10B2"/>
    <w:rsid w:val="00AB1564"/>
    <w:rsid w:val="00AB1F25"/>
    <w:rsid w:val="00AB2088"/>
    <w:rsid w:val="00AB334C"/>
    <w:rsid w:val="00AB3576"/>
    <w:rsid w:val="00AB69A3"/>
    <w:rsid w:val="00AC0518"/>
    <w:rsid w:val="00AC2297"/>
    <w:rsid w:val="00AC2361"/>
    <w:rsid w:val="00AC24DF"/>
    <w:rsid w:val="00AC4E8A"/>
    <w:rsid w:val="00AC529B"/>
    <w:rsid w:val="00AC595E"/>
    <w:rsid w:val="00AC5A15"/>
    <w:rsid w:val="00AC61DF"/>
    <w:rsid w:val="00AD009C"/>
    <w:rsid w:val="00AD1A1E"/>
    <w:rsid w:val="00AD3036"/>
    <w:rsid w:val="00AD406C"/>
    <w:rsid w:val="00AD4278"/>
    <w:rsid w:val="00AD5589"/>
    <w:rsid w:val="00AD6211"/>
    <w:rsid w:val="00AE2C24"/>
    <w:rsid w:val="00AE302E"/>
    <w:rsid w:val="00AE3161"/>
    <w:rsid w:val="00AE3648"/>
    <w:rsid w:val="00AE42CB"/>
    <w:rsid w:val="00AE546D"/>
    <w:rsid w:val="00AE5C6D"/>
    <w:rsid w:val="00AE6B24"/>
    <w:rsid w:val="00AE6C42"/>
    <w:rsid w:val="00AE7238"/>
    <w:rsid w:val="00AE745E"/>
    <w:rsid w:val="00AF178F"/>
    <w:rsid w:val="00AF2E18"/>
    <w:rsid w:val="00AF47F6"/>
    <w:rsid w:val="00AF4D8E"/>
    <w:rsid w:val="00AF6066"/>
    <w:rsid w:val="00B0036C"/>
    <w:rsid w:val="00B015CC"/>
    <w:rsid w:val="00B01DE1"/>
    <w:rsid w:val="00B02040"/>
    <w:rsid w:val="00B021D8"/>
    <w:rsid w:val="00B02624"/>
    <w:rsid w:val="00B02695"/>
    <w:rsid w:val="00B03336"/>
    <w:rsid w:val="00B03CD5"/>
    <w:rsid w:val="00B06550"/>
    <w:rsid w:val="00B06FF2"/>
    <w:rsid w:val="00B071AF"/>
    <w:rsid w:val="00B07EAA"/>
    <w:rsid w:val="00B105FF"/>
    <w:rsid w:val="00B10E9C"/>
    <w:rsid w:val="00B13803"/>
    <w:rsid w:val="00B138CC"/>
    <w:rsid w:val="00B14545"/>
    <w:rsid w:val="00B15175"/>
    <w:rsid w:val="00B15A48"/>
    <w:rsid w:val="00B15B2F"/>
    <w:rsid w:val="00B15D19"/>
    <w:rsid w:val="00B17D6E"/>
    <w:rsid w:val="00B205F5"/>
    <w:rsid w:val="00B219E8"/>
    <w:rsid w:val="00B21B89"/>
    <w:rsid w:val="00B23E6C"/>
    <w:rsid w:val="00B26463"/>
    <w:rsid w:val="00B26819"/>
    <w:rsid w:val="00B27766"/>
    <w:rsid w:val="00B278F1"/>
    <w:rsid w:val="00B312B5"/>
    <w:rsid w:val="00B32DEA"/>
    <w:rsid w:val="00B32DEE"/>
    <w:rsid w:val="00B344D5"/>
    <w:rsid w:val="00B34BFD"/>
    <w:rsid w:val="00B34CEB"/>
    <w:rsid w:val="00B35317"/>
    <w:rsid w:val="00B35A72"/>
    <w:rsid w:val="00B36809"/>
    <w:rsid w:val="00B3681C"/>
    <w:rsid w:val="00B36D7D"/>
    <w:rsid w:val="00B400A9"/>
    <w:rsid w:val="00B40EE7"/>
    <w:rsid w:val="00B4221B"/>
    <w:rsid w:val="00B42D34"/>
    <w:rsid w:val="00B42DD3"/>
    <w:rsid w:val="00B43583"/>
    <w:rsid w:val="00B435B2"/>
    <w:rsid w:val="00B43DED"/>
    <w:rsid w:val="00B473F7"/>
    <w:rsid w:val="00B47804"/>
    <w:rsid w:val="00B50528"/>
    <w:rsid w:val="00B505FA"/>
    <w:rsid w:val="00B50A1F"/>
    <w:rsid w:val="00B5103D"/>
    <w:rsid w:val="00B513A1"/>
    <w:rsid w:val="00B51696"/>
    <w:rsid w:val="00B51D60"/>
    <w:rsid w:val="00B5240F"/>
    <w:rsid w:val="00B535AC"/>
    <w:rsid w:val="00B53AB1"/>
    <w:rsid w:val="00B53AE6"/>
    <w:rsid w:val="00B54460"/>
    <w:rsid w:val="00B548C4"/>
    <w:rsid w:val="00B54FC8"/>
    <w:rsid w:val="00B55099"/>
    <w:rsid w:val="00B5637F"/>
    <w:rsid w:val="00B60071"/>
    <w:rsid w:val="00B60676"/>
    <w:rsid w:val="00B60780"/>
    <w:rsid w:val="00B60AD9"/>
    <w:rsid w:val="00B61727"/>
    <w:rsid w:val="00B637A5"/>
    <w:rsid w:val="00B64F39"/>
    <w:rsid w:val="00B65A00"/>
    <w:rsid w:val="00B66092"/>
    <w:rsid w:val="00B664DA"/>
    <w:rsid w:val="00B67551"/>
    <w:rsid w:val="00B70378"/>
    <w:rsid w:val="00B71389"/>
    <w:rsid w:val="00B71534"/>
    <w:rsid w:val="00B7156B"/>
    <w:rsid w:val="00B73ED9"/>
    <w:rsid w:val="00B7626E"/>
    <w:rsid w:val="00B767B8"/>
    <w:rsid w:val="00B76C27"/>
    <w:rsid w:val="00B81433"/>
    <w:rsid w:val="00B8161B"/>
    <w:rsid w:val="00B8364E"/>
    <w:rsid w:val="00B84EF9"/>
    <w:rsid w:val="00B86347"/>
    <w:rsid w:val="00B873D9"/>
    <w:rsid w:val="00B911FF"/>
    <w:rsid w:val="00B9129C"/>
    <w:rsid w:val="00B91727"/>
    <w:rsid w:val="00B93157"/>
    <w:rsid w:val="00B93E93"/>
    <w:rsid w:val="00B943E5"/>
    <w:rsid w:val="00B94A05"/>
    <w:rsid w:val="00B95663"/>
    <w:rsid w:val="00B9591A"/>
    <w:rsid w:val="00B95B4C"/>
    <w:rsid w:val="00B975DA"/>
    <w:rsid w:val="00BA1CFE"/>
    <w:rsid w:val="00BA2B0E"/>
    <w:rsid w:val="00BA2C2A"/>
    <w:rsid w:val="00BA2FD7"/>
    <w:rsid w:val="00BA3A5C"/>
    <w:rsid w:val="00BA45D3"/>
    <w:rsid w:val="00BA6EE9"/>
    <w:rsid w:val="00BA709C"/>
    <w:rsid w:val="00BA76CC"/>
    <w:rsid w:val="00BA7DE5"/>
    <w:rsid w:val="00BB032F"/>
    <w:rsid w:val="00BB0AA2"/>
    <w:rsid w:val="00BB2218"/>
    <w:rsid w:val="00BB2274"/>
    <w:rsid w:val="00BB24E4"/>
    <w:rsid w:val="00BB4536"/>
    <w:rsid w:val="00BB4A4C"/>
    <w:rsid w:val="00BB51CE"/>
    <w:rsid w:val="00BB5B10"/>
    <w:rsid w:val="00BB610E"/>
    <w:rsid w:val="00BB61B1"/>
    <w:rsid w:val="00BB6F98"/>
    <w:rsid w:val="00BB77B0"/>
    <w:rsid w:val="00BB79FA"/>
    <w:rsid w:val="00BC04BA"/>
    <w:rsid w:val="00BC0E8F"/>
    <w:rsid w:val="00BC2EAC"/>
    <w:rsid w:val="00BC32CA"/>
    <w:rsid w:val="00BC3B25"/>
    <w:rsid w:val="00BC5396"/>
    <w:rsid w:val="00BC54E6"/>
    <w:rsid w:val="00BC5738"/>
    <w:rsid w:val="00BC5821"/>
    <w:rsid w:val="00BD1458"/>
    <w:rsid w:val="00BD1977"/>
    <w:rsid w:val="00BD1B1F"/>
    <w:rsid w:val="00BD2ED3"/>
    <w:rsid w:val="00BD30AB"/>
    <w:rsid w:val="00BD4995"/>
    <w:rsid w:val="00BD5145"/>
    <w:rsid w:val="00BD525E"/>
    <w:rsid w:val="00BD571E"/>
    <w:rsid w:val="00BD75EE"/>
    <w:rsid w:val="00BD79F7"/>
    <w:rsid w:val="00BE1515"/>
    <w:rsid w:val="00BE1F3C"/>
    <w:rsid w:val="00BE219E"/>
    <w:rsid w:val="00BE2AC3"/>
    <w:rsid w:val="00BE3F41"/>
    <w:rsid w:val="00BE418E"/>
    <w:rsid w:val="00BE4960"/>
    <w:rsid w:val="00BE5736"/>
    <w:rsid w:val="00BE5D0C"/>
    <w:rsid w:val="00BE637F"/>
    <w:rsid w:val="00BE643A"/>
    <w:rsid w:val="00BE7B9F"/>
    <w:rsid w:val="00BF2F02"/>
    <w:rsid w:val="00BF5081"/>
    <w:rsid w:val="00BF53AE"/>
    <w:rsid w:val="00BF5483"/>
    <w:rsid w:val="00BF5C66"/>
    <w:rsid w:val="00BF68D7"/>
    <w:rsid w:val="00BF6D22"/>
    <w:rsid w:val="00BF6D40"/>
    <w:rsid w:val="00BF706B"/>
    <w:rsid w:val="00BF7928"/>
    <w:rsid w:val="00BF7A75"/>
    <w:rsid w:val="00C024B5"/>
    <w:rsid w:val="00C026E1"/>
    <w:rsid w:val="00C033FC"/>
    <w:rsid w:val="00C036D3"/>
    <w:rsid w:val="00C03B65"/>
    <w:rsid w:val="00C05237"/>
    <w:rsid w:val="00C06581"/>
    <w:rsid w:val="00C06BBD"/>
    <w:rsid w:val="00C07378"/>
    <w:rsid w:val="00C0753C"/>
    <w:rsid w:val="00C07E3C"/>
    <w:rsid w:val="00C10183"/>
    <w:rsid w:val="00C11393"/>
    <w:rsid w:val="00C1283C"/>
    <w:rsid w:val="00C128E7"/>
    <w:rsid w:val="00C12B9A"/>
    <w:rsid w:val="00C12DDE"/>
    <w:rsid w:val="00C1384E"/>
    <w:rsid w:val="00C144AB"/>
    <w:rsid w:val="00C1454C"/>
    <w:rsid w:val="00C14EFF"/>
    <w:rsid w:val="00C15F82"/>
    <w:rsid w:val="00C16813"/>
    <w:rsid w:val="00C16D63"/>
    <w:rsid w:val="00C17353"/>
    <w:rsid w:val="00C20A76"/>
    <w:rsid w:val="00C20D66"/>
    <w:rsid w:val="00C218CA"/>
    <w:rsid w:val="00C2221F"/>
    <w:rsid w:val="00C22945"/>
    <w:rsid w:val="00C244E7"/>
    <w:rsid w:val="00C25745"/>
    <w:rsid w:val="00C25826"/>
    <w:rsid w:val="00C26FF1"/>
    <w:rsid w:val="00C27B7D"/>
    <w:rsid w:val="00C27FEC"/>
    <w:rsid w:val="00C30F85"/>
    <w:rsid w:val="00C33156"/>
    <w:rsid w:val="00C34F1D"/>
    <w:rsid w:val="00C358E4"/>
    <w:rsid w:val="00C3595D"/>
    <w:rsid w:val="00C36B98"/>
    <w:rsid w:val="00C36DA9"/>
    <w:rsid w:val="00C37020"/>
    <w:rsid w:val="00C3768C"/>
    <w:rsid w:val="00C4023C"/>
    <w:rsid w:val="00C41AC4"/>
    <w:rsid w:val="00C42ECF"/>
    <w:rsid w:val="00C43824"/>
    <w:rsid w:val="00C43C10"/>
    <w:rsid w:val="00C43C45"/>
    <w:rsid w:val="00C45F43"/>
    <w:rsid w:val="00C4619F"/>
    <w:rsid w:val="00C461EE"/>
    <w:rsid w:val="00C502E4"/>
    <w:rsid w:val="00C523EE"/>
    <w:rsid w:val="00C52AEB"/>
    <w:rsid w:val="00C52B0F"/>
    <w:rsid w:val="00C557A3"/>
    <w:rsid w:val="00C55C68"/>
    <w:rsid w:val="00C57475"/>
    <w:rsid w:val="00C613C8"/>
    <w:rsid w:val="00C619A2"/>
    <w:rsid w:val="00C61CE1"/>
    <w:rsid w:val="00C62113"/>
    <w:rsid w:val="00C62E3B"/>
    <w:rsid w:val="00C65085"/>
    <w:rsid w:val="00C65832"/>
    <w:rsid w:val="00C667CE"/>
    <w:rsid w:val="00C6773B"/>
    <w:rsid w:val="00C67B4A"/>
    <w:rsid w:val="00C71064"/>
    <w:rsid w:val="00C71B1A"/>
    <w:rsid w:val="00C71F2A"/>
    <w:rsid w:val="00C723B2"/>
    <w:rsid w:val="00C72E11"/>
    <w:rsid w:val="00C744F0"/>
    <w:rsid w:val="00C74B96"/>
    <w:rsid w:val="00C74E8D"/>
    <w:rsid w:val="00C758B3"/>
    <w:rsid w:val="00C76861"/>
    <w:rsid w:val="00C76A95"/>
    <w:rsid w:val="00C76F38"/>
    <w:rsid w:val="00C7736F"/>
    <w:rsid w:val="00C77D45"/>
    <w:rsid w:val="00C80807"/>
    <w:rsid w:val="00C80D4D"/>
    <w:rsid w:val="00C812E0"/>
    <w:rsid w:val="00C8213F"/>
    <w:rsid w:val="00C82DC7"/>
    <w:rsid w:val="00C83D87"/>
    <w:rsid w:val="00C86172"/>
    <w:rsid w:val="00C867CB"/>
    <w:rsid w:val="00C86A5A"/>
    <w:rsid w:val="00C87AFD"/>
    <w:rsid w:val="00C9174A"/>
    <w:rsid w:val="00C92C3C"/>
    <w:rsid w:val="00C93CAD"/>
    <w:rsid w:val="00C944E6"/>
    <w:rsid w:val="00C949C8"/>
    <w:rsid w:val="00C94B5C"/>
    <w:rsid w:val="00C94F37"/>
    <w:rsid w:val="00C950F4"/>
    <w:rsid w:val="00C951CA"/>
    <w:rsid w:val="00C95261"/>
    <w:rsid w:val="00C95A43"/>
    <w:rsid w:val="00C95F91"/>
    <w:rsid w:val="00C96E84"/>
    <w:rsid w:val="00C971F0"/>
    <w:rsid w:val="00CA007D"/>
    <w:rsid w:val="00CA2325"/>
    <w:rsid w:val="00CA23FB"/>
    <w:rsid w:val="00CA497C"/>
    <w:rsid w:val="00CA5838"/>
    <w:rsid w:val="00CA5FF3"/>
    <w:rsid w:val="00CA79F9"/>
    <w:rsid w:val="00CA7EEE"/>
    <w:rsid w:val="00CB20EB"/>
    <w:rsid w:val="00CB27C1"/>
    <w:rsid w:val="00CB3E26"/>
    <w:rsid w:val="00CB43F4"/>
    <w:rsid w:val="00CB44C2"/>
    <w:rsid w:val="00CB5712"/>
    <w:rsid w:val="00CB7F91"/>
    <w:rsid w:val="00CC34DA"/>
    <w:rsid w:val="00CC3DCB"/>
    <w:rsid w:val="00CC53AA"/>
    <w:rsid w:val="00CC6200"/>
    <w:rsid w:val="00CC6700"/>
    <w:rsid w:val="00CC7468"/>
    <w:rsid w:val="00CD1370"/>
    <w:rsid w:val="00CD1B0E"/>
    <w:rsid w:val="00CD21D4"/>
    <w:rsid w:val="00CD314C"/>
    <w:rsid w:val="00CD3A7E"/>
    <w:rsid w:val="00CD4D60"/>
    <w:rsid w:val="00CD4EB5"/>
    <w:rsid w:val="00CD4FE1"/>
    <w:rsid w:val="00CD5D83"/>
    <w:rsid w:val="00CD7094"/>
    <w:rsid w:val="00CD710D"/>
    <w:rsid w:val="00CD72EB"/>
    <w:rsid w:val="00CE0A1E"/>
    <w:rsid w:val="00CE15C8"/>
    <w:rsid w:val="00CE47D6"/>
    <w:rsid w:val="00CE5430"/>
    <w:rsid w:val="00CE5D4E"/>
    <w:rsid w:val="00CE5F09"/>
    <w:rsid w:val="00CE651E"/>
    <w:rsid w:val="00CE6C17"/>
    <w:rsid w:val="00CE722D"/>
    <w:rsid w:val="00CE7E38"/>
    <w:rsid w:val="00CF042F"/>
    <w:rsid w:val="00CF07A8"/>
    <w:rsid w:val="00CF0ACA"/>
    <w:rsid w:val="00CF1000"/>
    <w:rsid w:val="00CF1E5B"/>
    <w:rsid w:val="00CF2359"/>
    <w:rsid w:val="00CF2BE4"/>
    <w:rsid w:val="00CF4705"/>
    <w:rsid w:val="00CF703F"/>
    <w:rsid w:val="00CF7FA0"/>
    <w:rsid w:val="00D01E56"/>
    <w:rsid w:val="00D02414"/>
    <w:rsid w:val="00D024C8"/>
    <w:rsid w:val="00D02CE1"/>
    <w:rsid w:val="00D02D39"/>
    <w:rsid w:val="00D03F02"/>
    <w:rsid w:val="00D05E90"/>
    <w:rsid w:val="00D068E2"/>
    <w:rsid w:val="00D077DA"/>
    <w:rsid w:val="00D07E51"/>
    <w:rsid w:val="00D10262"/>
    <w:rsid w:val="00D10E32"/>
    <w:rsid w:val="00D142FA"/>
    <w:rsid w:val="00D148D6"/>
    <w:rsid w:val="00D17228"/>
    <w:rsid w:val="00D17DE4"/>
    <w:rsid w:val="00D2082C"/>
    <w:rsid w:val="00D213BD"/>
    <w:rsid w:val="00D223F3"/>
    <w:rsid w:val="00D23830"/>
    <w:rsid w:val="00D24314"/>
    <w:rsid w:val="00D24B47"/>
    <w:rsid w:val="00D250C3"/>
    <w:rsid w:val="00D268F5"/>
    <w:rsid w:val="00D30242"/>
    <w:rsid w:val="00D30DC0"/>
    <w:rsid w:val="00D310F5"/>
    <w:rsid w:val="00D318A4"/>
    <w:rsid w:val="00D32200"/>
    <w:rsid w:val="00D335F0"/>
    <w:rsid w:val="00D34A02"/>
    <w:rsid w:val="00D37439"/>
    <w:rsid w:val="00D37596"/>
    <w:rsid w:val="00D40F15"/>
    <w:rsid w:val="00D40F2A"/>
    <w:rsid w:val="00D41C41"/>
    <w:rsid w:val="00D4202E"/>
    <w:rsid w:val="00D420FA"/>
    <w:rsid w:val="00D422EA"/>
    <w:rsid w:val="00D4277C"/>
    <w:rsid w:val="00D428DB"/>
    <w:rsid w:val="00D42E43"/>
    <w:rsid w:val="00D431D6"/>
    <w:rsid w:val="00D43393"/>
    <w:rsid w:val="00D44030"/>
    <w:rsid w:val="00D454E6"/>
    <w:rsid w:val="00D471C7"/>
    <w:rsid w:val="00D47408"/>
    <w:rsid w:val="00D52ADC"/>
    <w:rsid w:val="00D53195"/>
    <w:rsid w:val="00D532ED"/>
    <w:rsid w:val="00D5511E"/>
    <w:rsid w:val="00D564B5"/>
    <w:rsid w:val="00D56AB7"/>
    <w:rsid w:val="00D60DB3"/>
    <w:rsid w:val="00D644D1"/>
    <w:rsid w:val="00D64995"/>
    <w:rsid w:val="00D65161"/>
    <w:rsid w:val="00D67A93"/>
    <w:rsid w:val="00D67C04"/>
    <w:rsid w:val="00D7133A"/>
    <w:rsid w:val="00D71B9B"/>
    <w:rsid w:val="00D72937"/>
    <w:rsid w:val="00D73B30"/>
    <w:rsid w:val="00D74958"/>
    <w:rsid w:val="00D74E20"/>
    <w:rsid w:val="00D75032"/>
    <w:rsid w:val="00D75C41"/>
    <w:rsid w:val="00D75E0D"/>
    <w:rsid w:val="00D762A7"/>
    <w:rsid w:val="00D76569"/>
    <w:rsid w:val="00D76D7F"/>
    <w:rsid w:val="00D80663"/>
    <w:rsid w:val="00D855BF"/>
    <w:rsid w:val="00D85C40"/>
    <w:rsid w:val="00D863E7"/>
    <w:rsid w:val="00D8689F"/>
    <w:rsid w:val="00D904A2"/>
    <w:rsid w:val="00D90AA5"/>
    <w:rsid w:val="00D91496"/>
    <w:rsid w:val="00D92D03"/>
    <w:rsid w:val="00D950E3"/>
    <w:rsid w:val="00D96375"/>
    <w:rsid w:val="00D964DD"/>
    <w:rsid w:val="00D964E2"/>
    <w:rsid w:val="00DA03B6"/>
    <w:rsid w:val="00DA0D8E"/>
    <w:rsid w:val="00DA10B6"/>
    <w:rsid w:val="00DA132C"/>
    <w:rsid w:val="00DA1886"/>
    <w:rsid w:val="00DA231F"/>
    <w:rsid w:val="00DA2ADB"/>
    <w:rsid w:val="00DA2F2B"/>
    <w:rsid w:val="00DA3484"/>
    <w:rsid w:val="00DA4357"/>
    <w:rsid w:val="00DA6BF3"/>
    <w:rsid w:val="00DA75A0"/>
    <w:rsid w:val="00DA77A4"/>
    <w:rsid w:val="00DB0838"/>
    <w:rsid w:val="00DB0895"/>
    <w:rsid w:val="00DB08E1"/>
    <w:rsid w:val="00DB208A"/>
    <w:rsid w:val="00DB2698"/>
    <w:rsid w:val="00DB2D09"/>
    <w:rsid w:val="00DB2F59"/>
    <w:rsid w:val="00DB34D8"/>
    <w:rsid w:val="00DB383E"/>
    <w:rsid w:val="00DB395D"/>
    <w:rsid w:val="00DB64AE"/>
    <w:rsid w:val="00DB6804"/>
    <w:rsid w:val="00DB6AED"/>
    <w:rsid w:val="00DB6E98"/>
    <w:rsid w:val="00DB7E54"/>
    <w:rsid w:val="00DC0743"/>
    <w:rsid w:val="00DC172C"/>
    <w:rsid w:val="00DC1A7E"/>
    <w:rsid w:val="00DC1B7D"/>
    <w:rsid w:val="00DC1D08"/>
    <w:rsid w:val="00DC25AE"/>
    <w:rsid w:val="00DC2AC1"/>
    <w:rsid w:val="00DC2CAC"/>
    <w:rsid w:val="00DC41A9"/>
    <w:rsid w:val="00DC457A"/>
    <w:rsid w:val="00DC5352"/>
    <w:rsid w:val="00DC5645"/>
    <w:rsid w:val="00DC6353"/>
    <w:rsid w:val="00DC691B"/>
    <w:rsid w:val="00DC6CFF"/>
    <w:rsid w:val="00DD0317"/>
    <w:rsid w:val="00DD237C"/>
    <w:rsid w:val="00DD2524"/>
    <w:rsid w:val="00DD2CF9"/>
    <w:rsid w:val="00DD3AA2"/>
    <w:rsid w:val="00DD3CD0"/>
    <w:rsid w:val="00DD3D44"/>
    <w:rsid w:val="00DD445B"/>
    <w:rsid w:val="00DD53E3"/>
    <w:rsid w:val="00DD551F"/>
    <w:rsid w:val="00DD556C"/>
    <w:rsid w:val="00DD5584"/>
    <w:rsid w:val="00DD5591"/>
    <w:rsid w:val="00DD6738"/>
    <w:rsid w:val="00DD6DE2"/>
    <w:rsid w:val="00DE0B80"/>
    <w:rsid w:val="00DE0BC6"/>
    <w:rsid w:val="00DE1675"/>
    <w:rsid w:val="00DE192E"/>
    <w:rsid w:val="00DE1D0E"/>
    <w:rsid w:val="00DE1DAC"/>
    <w:rsid w:val="00DE30F9"/>
    <w:rsid w:val="00DE41A4"/>
    <w:rsid w:val="00DE4EB1"/>
    <w:rsid w:val="00DE4FF3"/>
    <w:rsid w:val="00DE5BA2"/>
    <w:rsid w:val="00DE5C22"/>
    <w:rsid w:val="00DE7048"/>
    <w:rsid w:val="00DE7362"/>
    <w:rsid w:val="00DE7415"/>
    <w:rsid w:val="00DE7AF6"/>
    <w:rsid w:val="00DE7F8E"/>
    <w:rsid w:val="00DF1A28"/>
    <w:rsid w:val="00DF1F9C"/>
    <w:rsid w:val="00DF35FF"/>
    <w:rsid w:val="00DF4028"/>
    <w:rsid w:val="00DF4D03"/>
    <w:rsid w:val="00DF4E35"/>
    <w:rsid w:val="00DF5D27"/>
    <w:rsid w:val="00DF6A1E"/>
    <w:rsid w:val="00DF77FA"/>
    <w:rsid w:val="00DF7A52"/>
    <w:rsid w:val="00E00ACA"/>
    <w:rsid w:val="00E00C4C"/>
    <w:rsid w:val="00E01CF8"/>
    <w:rsid w:val="00E01FCA"/>
    <w:rsid w:val="00E02E5A"/>
    <w:rsid w:val="00E0459D"/>
    <w:rsid w:val="00E04DE9"/>
    <w:rsid w:val="00E05442"/>
    <w:rsid w:val="00E059CD"/>
    <w:rsid w:val="00E05A3D"/>
    <w:rsid w:val="00E0681F"/>
    <w:rsid w:val="00E069B4"/>
    <w:rsid w:val="00E10C29"/>
    <w:rsid w:val="00E10E31"/>
    <w:rsid w:val="00E11D86"/>
    <w:rsid w:val="00E12E17"/>
    <w:rsid w:val="00E13469"/>
    <w:rsid w:val="00E13888"/>
    <w:rsid w:val="00E1481E"/>
    <w:rsid w:val="00E15C8C"/>
    <w:rsid w:val="00E15E8E"/>
    <w:rsid w:val="00E20575"/>
    <w:rsid w:val="00E2064A"/>
    <w:rsid w:val="00E20E7C"/>
    <w:rsid w:val="00E216C0"/>
    <w:rsid w:val="00E2182A"/>
    <w:rsid w:val="00E21C4C"/>
    <w:rsid w:val="00E220B2"/>
    <w:rsid w:val="00E22317"/>
    <w:rsid w:val="00E24272"/>
    <w:rsid w:val="00E243EE"/>
    <w:rsid w:val="00E249DE"/>
    <w:rsid w:val="00E24F69"/>
    <w:rsid w:val="00E2534B"/>
    <w:rsid w:val="00E25397"/>
    <w:rsid w:val="00E26A9C"/>
    <w:rsid w:val="00E274BF"/>
    <w:rsid w:val="00E27901"/>
    <w:rsid w:val="00E27C40"/>
    <w:rsid w:val="00E30D31"/>
    <w:rsid w:val="00E31018"/>
    <w:rsid w:val="00E31E2B"/>
    <w:rsid w:val="00E31F51"/>
    <w:rsid w:val="00E32104"/>
    <w:rsid w:val="00E338D7"/>
    <w:rsid w:val="00E343BE"/>
    <w:rsid w:val="00E35C09"/>
    <w:rsid w:val="00E36A91"/>
    <w:rsid w:val="00E3719D"/>
    <w:rsid w:val="00E37251"/>
    <w:rsid w:val="00E4225D"/>
    <w:rsid w:val="00E4235C"/>
    <w:rsid w:val="00E424D9"/>
    <w:rsid w:val="00E42D07"/>
    <w:rsid w:val="00E43A28"/>
    <w:rsid w:val="00E453FF"/>
    <w:rsid w:val="00E4611C"/>
    <w:rsid w:val="00E50B54"/>
    <w:rsid w:val="00E51145"/>
    <w:rsid w:val="00E51839"/>
    <w:rsid w:val="00E522BB"/>
    <w:rsid w:val="00E533B7"/>
    <w:rsid w:val="00E534BA"/>
    <w:rsid w:val="00E57D2A"/>
    <w:rsid w:val="00E60672"/>
    <w:rsid w:val="00E60FC3"/>
    <w:rsid w:val="00E62C15"/>
    <w:rsid w:val="00E63407"/>
    <w:rsid w:val="00E65E91"/>
    <w:rsid w:val="00E65FF9"/>
    <w:rsid w:val="00E67230"/>
    <w:rsid w:val="00E7059F"/>
    <w:rsid w:val="00E70A95"/>
    <w:rsid w:val="00E71254"/>
    <w:rsid w:val="00E73602"/>
    <w:rsid w:val="00E74D34"/>
    <w:rsid w:val="00E75A71"/>
    <w:rsid w:val="00E76BFB"/>
    <w:rsid w:val="00E76EE3"/>
    <w:rsid w:val="00E80281"/>
    <w:rsid w:val="00E8215D"/>
    <w:rsid w:val="00E82378"/>
    <w:rsid w:val="00E8425F"/>
    <w:rsid w:val="00E854B0"/>
    <w:rsid w:val="00E859AB"/>
    <w:rsid w:val="00E85E93"/>
    <w:rsid w:val="00E86DE6"/>
    <w:rsid w:val="00E91447"/>
    <w:rsid w:val="00E91C19"/>
    <w:rsid w:val="00E92073"/>
    <w:rsid w:val="00E92617"/>
    <w:rsid w:val="00E94558"/>
    <w:rsid w:val="00E9480D"/>
    <w:rsid w:val="00E9532F"/>
    <w:rsid w:val="00E95582"/>
    <w:rsid w:val="00E9558A"/>
    <w:rsid w:val="00E968CE"/>
    <w:rsid w:val="00EA2152"/>
    <w:rsid w:val="00EA2221"/>
    <w:rsid w:val="00EA42F3"/>
    <w:rsid w:val="00EA4BA3"/>
    <w:rsid w:val="00EA5141"/>
    <w:rsid w:val="00EA718A"/>
    <w:rsid w:val="00EB00E6"/>
    <w:rsid w:val="00EB020E"/>
    <w:rsid w:val="00EB18CE"/>
    <w:rsid w:val="00EB2857"/>
    <w:rsid w:val="00EB29E3"/>
    <w:rsid w:val="00EB419F"/>
    <w:rsid w:val="00EB4824"/>
    <w:rsid w:val="00EB4F91"/>
    <w:rsid w:val="00EB5069"/>
    <w:rsid w:val="00EB5F87"/>
    <w:rsid w:val="00EB6389"/>
    <w:rsid w:val="00EB663A"/>
    <w:rsid w:val="00EB6AB9"/>
    <w:rsid w:val="00EB744C"/>
    <w:rsid w:val="00EB7CD2"/>
    <w:rsid w:val="00EC017A"/>
    <w:rsid w:val="00EC0B20"/>
    <w:rsid w:val="00EC0B25"/>
    <w:rsid w:val="00EC0D7C"/>
    <w:rsid w:val="00EC0E20"/>
    <w:rsid w:val="00EC1367"/>
    <w:rsid w:val="00EC1805"/>
    <w:rsid w:val="00EC252B"/>
    <w:rsid w:val="00EC2ED9"/>
    <w:rsid w:val="00EC2FD9"/>
    <w:rsid w:val="00EC368E"/>
    <w:rsid w:val="00EC3C9B"/>
    <w:rsid w:val="00EC44FA"/>
    <w:rsid w:val="00EC4E79"/>
    <w:rsid w:val="00ED01E6"/>
    <w:rsid w:val="00ED0E77"/>
    <w:rsid w:val="00ED252D"/>
    <w:rsid w:val="00ED3186"/>
    <w:rsid w:val="00ED4BEA"/>
    <w:rsid w:val="00ED683F"/>
    <w:rsid w:val="00ED69B0"/>
    <w:rsid w:val="00ED6A3E"/>
    <w:rsid w:val="00ED74B4"/>
    <w:rsid w:val="00ED7C9F"/>
    <w:rsid w:val="00EE0228"/>
    <w:rsid w:val="00EE034E"/>
    <w:rsid w:val="00EE0EAF"/>
    <w:rsid w:val="00EE1173"/>
    <w:rsid w:val="00EE25EF"/>
    <w:rsid w:val="00EE3462"/>
    <w:rsid w:val="00EE5874"/>
    <w:rsid w:val="00EE6ABE"/>
    <w:rsid w:val="00EF0F2C"/>
    <w:rsid w:val="00EF1700"/>
    <w:rsid w:val="00EF1BBB"/>
    <w:rsid w:val="00EF2C8B"/>
    <w:rsid w:val="00EF35B8"/>
    <w:rsid w:val="00EF5580"/>
    <w:rsid w:val="00EF5D1C"/>
    <w:rsid w:val="00EF6E69"/>
    <w:rsid w:val="00EF76D6"/>
    <w:rsid w:val="00F00FE5"/>
    <w:rsid w:val="00F0153D"/>
    <w:rsid w:val="00F01F7C"/>
    <w:rsid w:val="00F03270"/>
    <w:rsid w:val="00F043E2"/>
    <w:rsid w:val="00F044C7"/>
    <w:rsid w:val="00F06A96"/>
    <w:rsid w:val="00F071C6"/>
    <w:rsid w:val="00F07983"/>
    <w:rsid w:val="00F109CA"/>
    <w:rsid w:val="00F11017"/>
    <w:rsid w:val="00F1213D"/>
    <w:rsid w:val="00F1279B"/>
    <w:rsid w:val="00F12A6E"/>
    <w:rsid w:val="00F13F6D"/>
    <w:rsid w:val="00F14FE3"/>
    <w:rsid w:val="00F154AD"/>
    <w:rsid w:val="00F16CCA"/>
    <w:rsid w:val="00F17003"/>
    <w:rsid w:val="00F17750"/>
    <w:rsid w:val="00F17E49"/>
    <w:rsid w:val="00F20035"/>
    <w:rsid w:val="00F2010E"/>
    <w:rsid w:val="00F20572"/>
    <w:rsid w:val="00F20697"/>
    <w:rsid w:val="00F208AD"/>
    <w:rsid w:val="00F20A44"/>
    <w:rsid w:val="00F20CD5"/>
    <w:rsid w:val="00F21044"/>
    <w:rsid w:val="00F23A62"/>
    <w:rsid w:val="00F23F40"/>
    <w:rsid w:val="00F24508"/>
    <w:rsid w:val="00F2543F"/>
    <w:rsid w:val="00F25CC9"/>
    <w:rsid w:val="00F26E84"/>
    <w:rsid w:val="00F30147"/>
    <w:rsid w:val="00F30347"/>
    <w:rsid w:val="00F307D4"/>
    <w:rsid w:val="00F30B3A"/>
    <w:rsid w:val="00F31A11"/>
    <w:rsid w:val="00F31EAE"/>
    <w:rsid w:val="00F3367B"/>
    <w:rsid w:val="00F33700"/>
    <w:rsid w:val="00F33A88"/>
    <w:rsid w:val="00F34884"/>
    <w:rsid w:val="00F34954"/>
    <w:rsid w:val="00F35B72"/>
    <w:rsid w:val="00F36A49"/>
    <w:rsid w:val="00F37177"/>
    <w:rsid w:val="00F3735A"/>
    <w:rsid w:val="00F377FB"/>
    <w:rsid w:val="00F37DFC"/>
    <w:rsid w:val="00F415A6"/>
    <w:rsid w:val="00F41906"/>
    <w:rsid w:val="00F42D1E"/>
    <w:rsid w:val="00F42EBA"/>
    <w:rsid w:val="00F43E68"/>
    <w:rsid w:val="00F44F81"/>
    <w:rsid w:val="00F46669"/>
    <w:rsid w:val="00F46A72"/>
    <w:rsid w:val="00F46F5F"/>
    <w:rsid w:val="00F47943"/>
    <w:rsid w:val="00F47B47"/>
    <w:rsid w:val="00F504BA"/>
    <w:rsid w:val="00F50989"/>
    <w:rsid w:val="00F51190"/>
    <w:rsid w:val="00F5179E"/>
    <w:rsid w:val="00F52C48"/>
    <w:rsid w:val="00F52CFE"/>
    <w:rsid w:val="00F53E51"/>
    <w:rsid w:val="00F54081"/>
    <w:rsid w:val="00F54E30"/>
    <w:rsid w:val="00F54EF0"/>
    <w:rsid w:val="00F55CD7"/>
    <w:rsid w:val="00F560AA"/>
    <w:rsid w:val="00F5798F"/>
    <w:rsid w:val="00F60870"/>
    <w:rsid w:val="00F62001"/>
    <w:rsid w:val="00F62784"/>
    <w:rsid w:val="00F64817"/>
    <w:rsid w:val="00F655A9"/>
    <w:rsid w:val="00F65B9D"/>
    <w:rsid w:val="00F66309"/>
    <w:rsid w:val="00F66B4A"/>
    <w:rsid w:val="00F66EB2"/>
    <w:rsid w:val="00F676FA"/>
    <w:rsid w:val="00F67AA3"/>
    <w:rsid w:val="00F7232E"/>
    <w:rsid w:val="00F754F2"/>
    <w:rsid w:val="00F758B4"/>
    <w:rsid w:val="00F75D6C"/>
    <w:rsid w:val="00F75F8E"/>
    <w:rsid w:val="00F80AD2"/>
    <w:rsid w:val="00F81BB5"/>
    <w:rsid w:val="00F81E7C"/>
    <w:rsid w:val="00F8244F"/>
    <w:rsid w:val="00F82510"/>
    <w:rsid w:val="00F82B62"/>
    <w:rsid w:val="00F82CD7"/>
    <w:rsid w:val="00F82F64"/>
    <w:rsid w:val="00F850A4"/>
    <w:rsid w:val="00F860BB"/>
    <w:rsid w:val="00F86BB4"/>
    <w:rsid w:val="00F87593"/>
    <w:rsid w:val="00F87ABE"/>
    <w:rsid w:val="00F90BD8"/>
    <w:rsid w:val="00F914AE"/>
    <w:rsid w:val="00F929FA"/>
    <w:rsid w:val="00F92D6E"/>
    <w:rsid w:val="00F941C0"/>
    <w:rsid w:val="00F94885"/>
    <w:rsid w:val="00F94984"/>
    <w:rsid w:val="00F94B38"/>
    <w:rsid w:val="00F94BEB"/>
    <w:rsid w:val="00F974D8"/>
    <w:rsid w:val="00F97B09"/>
    <w:rsid w:val="00FA0C66"/>
    <w:rsid w:val="00FA0DE8"/>
    <w:rsid w:val="00FA228B"/>
    <w:rsid w:val="00FA2E8F"/>
    <w:rsid w:val="00FA3525"/>
    <w:rsid w:val="00FA4BC4"/>
    <w:rsid w:val="00FB06DE"/>
    <w:rsid w:val="00FB0C78"/>
    <w:rsid w:val="00FB1576"/>
    <w:rsid w:val="00FB1954"/>
    <w:rsid w:val="00FB35CE"/>
    <w:rsid w:val="00FB388E"/>
    <w:rsid w:val="00FB3BFA"/>
    <w:rsid w:val="00FB6FD9"/>
    <w:rsid w:val="00FC01B8"/>
    <w:rsid w:val="00FC0510"/>
    <w:rsid w:val="00FC17AD"/>
    <w:rsid w:val="00FC1BAE"/>
    <w:rsid w:val="00FC3217"/>
    <w:rsid w:val="00FC4D04"/>
    <w:rsid w:val="00FC5394"/>
    <w:rsid w:val="00FC7A69"/>
    <w:rsid w:val="00FC7A70"/>
    <w:rsid w:val="00FD194C"/>
    <w:rsid w:val="00FD3DE6"/>
    <w:rsid w:val="00FD49FD"/>
    <w:rsid w:val="00FD4CE2"/>
    <w:rsid w:val="00FD73E5"/>
    <w:rsid w:val="00FD7760"/>
    <w:rsid w:val="00FD77C0"/>
    <w:rsid w:val="00FD7BA8"/>
    <w:rsid w:val="00FE0AE2"/>
    <w:rsid w:val="00FE1B10"/>
    <w:rsid w:val="00FE1EF4"/>
    <w:rsid w:val="00FE2555"/>
    <w:rsid w:val="00FE33AF"/>
    <w:rsid w:val="00FE445E"/>
    <w:rsid w:val="00FE4899"/>
    <w:rsid w:val="00FE5103"/>
    <w:rsid w:val="00FE69DB"/>
    <w:rsid w:val="00FF04EC"/>
    <w:rsid w:val="00FF0804"/>
    <w:rsid w:val="00FF1F6D"/>
    <w:rsid w:val="00FF3E60"/>
    <w:rsid w:val="00FF443A"/>
    <w:rsid w:val="00FF4A74"/>
    <w:rsid w:val="00FF6BE0"/>
    <w:rsid w:val="00FF6CCB"/>
    <w:rsid w:val="00FF7F70"/>
    <w:rsid w:val="01D108BB"/>
    <w:rsid w:val="01FD42EF"/>
    <w:rsid w:val="0273635F"/>
    <w:rsid w:val="02DE7C7D"/>
    <w:rsid w:val="03076F74"/>
    <w:rsid w:val="03EC0177"/>
    <w:rsid w:val="04552FA0"/>
    <w:rsid w:val="045F303F"/>
    <w:rsid w:val="0491109A"/>
    <w:rsid w:val="04C6147B"/>
    <w:rsid w:val="05080FE1"/>
    <w:rsid w:val="055B6FE2"/>
    <w:rsid w:val="05970C81"/>
    <w:rsid w:val="05D62B72"/>
    <w:rsid w:val="06580D37"/>
    <w:rsid w:val="06851E05"/>
    <w:rsid w:val="06CE3597"/>
    <w:rsid w:val="085C7765"/>
    <w:rsid w:val="08FA42A7"/>
    <w:rsid w:val="0992225E"/>
    <w:rsid w:val="09A82F75"/>
    <w:rsid w:val="09BF06F0"/>
    <w:rsid w:val="09CE398E"/>
    <w:rsid w:val="0A860A29"/>
    <w:rsid w:val="0AB669EE"/>
    <w:rsid w:val="0AFC24A4"/>
    <w:rsid w:val="0B184192"/>
    <w:rsid w:val="0B4B03EC"/>
    <w:rsid w:val="0B6F5036"/>
    <w:rsid w:val="0B970DE5"/>
    <w:rsid w:val="0C180108"/>
    <w:rsid w:val="0D15073F"/>
    <w:rsid w:val="0D8B77C4"/>
    <w:rsid w:val="0DAB1AFE"/>
    <w:rsid w:val="0DE346C5"/>
    <w:rsid w:val="0DE469F3"/>
    <w:rsid w:val="0DF05006"/>
    <w:rsid w:val="0E1145EF"/>
    <w:rsid w:val="0E83604E"/>
    <w:rsid w:val="0EC44A31"/>
    <w:rsid w:val="0F143499"/>
    <w:rsid w:val="0F69793C"/>
    <w:rsid w:val="0F9F69E6"/>
    <w:rsid w:val="104B658D"/>
    <w:rsid w:val="11E01B17"/>
    <w:rsid w:val="12130CCF"/>
    <w:rsid w:val="122E739E"/>
    <w:rsid w:val="13573133"/>
    <w:rsid w:val="13755A68"/>
    <w:rsid w:val="13855EF9"/>
    <w:rsid w:val="13AB4FB7"/>
    <w:rsid w:val="13CC58CF"/>
    <w:rsid w:val="13D0003E"/>
    <w:rsid w:val="145204CA"/>
    <w:rsid w:val="15130B7D"/>
    <w:rsid w:val="156C05A2"/>
    <w:rsid w:val="15AD0FD1"/>
    <w:rsid w:val="15CC70C4"/>
    <w:rsid w:val="16265028"/>
    <w:rsid w:val="165D794D"/>
    <w:rsid w:val="16C073EA"/>
    <w:rsid w:val="16DE635F"/>
    <w:rsid w:val="17B4314C"/>
    <w:rsid w:val="1888270D"/>
    <w:rsid w:val="19E80695"/>
    <w:rsid w:val="19E92AA1"/>
    <w:rsid w:val="1A134D66"/>
    <w:rsid w:val="1A826984"/>
    <w:rsid w:val="1ADB3611"/>
    <w:rsid w:val="1B19247D"/>
    <w:rsid w:val="1B5174E1"/>
    <w:rsid w:val="1B946BE7"/>
    <w:rsid w:val="1BAF416F"/>
    <w:rsid w:val="1C1B38AA"/>
    <w:rsid w:val="1CD766A8"/>
    <w:rsid w:val="1D352C93"/>
    <w:rsid w:val="1D714A0B"/>
    <w:rsid w:val="1DB90C6B"/>
    <w:rsid w:val="1E0C3498"/>
    <w:rsid w:val="1E3D6448"/>
    <w:rsid w:val="1E474D4D"/>
    <w:rsid w:val="1ED20A0E"/>
    <w:rsid w:val="1FA134B3"/>
    <w:rsid w:val="1FFC753C"/>
    <w:rsid w:val="20143080"/>
    <w:rsid w:val="205C35B9"/>
    <w:rsid w:val="206B7589"/>
    <w:rsid w:val="211010CC"/>
    <w:rsid w:val="211F1734"/>
    <w:rsid w:val="219E76AF"/>
    <w:rsid w:val="21CA604C"/>
    <w:rsid w:val="21EC21E7"/>
    <w:rsid w:val="22AD2307"/>
    <w:rsid w:val="22DB0693"/>
    <w:rsid w:val="231D7560"/>
    <w:rsid w:val="23A14683"/>
    <w:rsid w:val="23B14F89"/>
    <w:rsid w:val="23C04318"/>
    <w:rsid w:val="245C67FB"/>
    <w:rsid w:val="24635E7D"/>
    <w:rsid w:val="247100AD"/>
    <w:rsid w:val="24B14B5B"/>
    <w:rsid w:val="258D5AAF"/>
    <w:rsid w:val="25F1739A"/>
    <w:rsid w:val="260777CB"/>
    <w:rsid w:val="262C3412"/>
    <w:rsid w:val="26364232"/>
    <w:rsid w:val="26751DF6"/>
    <w:rsid w:val="268F3537"/>
    <w:rsid w:val="274176DD"/>
    <w:rsid w:val="27543939"/>
    <w:rsid w:val="278B2413"/>
    <w:rsid w:val="27FB1276"/>
    <w:rsid w:val="28096C9A"/>
    <w:rsid w:val="282B2188"/>
    <w:rsid w:val="28410473"/>
    <w:rsid w:val="28454532"/>
    <w:rsid w:val="28590917"/>
    <w:rsid w:val="28AE6D65"/>
    <w:rsid w:val="28F54072"/>
    <w:rsid w:val="294044B5"/>
    <w:rsid w:val="2949275E"/>
    <w:rsid w:val="2952692A"/>
    <w:rsid w:val="298E5B32"/>
    <w:rsid w:val="2A015E1B"/>
    <w:rsid w:val="2A0245B9"/>
    <w:rsid w:val="2A6B0ED0"/>
    <w:rsid w:val="2A763948"/>
    <w:rsid w:val="2B0011EB"/>
    <w:rsid w:val="2BD30778"/>
    <w:rsid w:val="2C0E3C5F"/>
    <w:rsid w:val="2C1F2A1F"/>
    <w:rsid w:val="2C730B86"/>
    <w:rsid w:val="2CD27351"/>
    <w:rsid w:val="2D6A53A3"/>
    <w:rsid w:val="2D8E56CE"/>
    <w:rsid w:val="2DA5159B"/>
    <w:rsid w:val="2DA63B8C"/>
    <w:rsid w:val="2E26328B"/>
    <w:rsid w:val="2E2E2324"/>
    <w:rsid w:val="2E716813"/>
    <w:rsid w:val="2E8328E6"/>
    <w:rsid w:val="2F1E1CFF"/>
    <w:rsid w:val="2F404454"/>
    <w:rsid w:val="2FC37F17"/>
    <w:rsid w:val="2FCB57E4"/>
    <w:rsid w:val="300E1BA8"/>
    <w:rsid w:val="303220C7"/>
    <w:rsid w:val="311566B0"/>
    <w:rsid w:val="31A87524"/>
    <w:rsid w:val="32136C7B"/>
    <w:rsid w:val="322F493E"/>
    <w:rsid w:val="332D41D4"/>
    <w:rsid w:val="33F22F90"/>
    <w:rsid w:val="34181F9A"/>
    <w:rsid w:val="34487CF9"/>
    <w:rsid w:val="357B57F5"/>
    <w:rsid w:val="359E589C"/>
    <w:rsid w:val="35CD6E30"/>
    <w:rsid w:val="35D839ED"/>
    <w:rsid w:val="35F65B88"/>
    <w:rsid w:val="36372C24"/>
    <w:rsid w:val="36EB4F5A"/>
    <w:rsid w:val="37BE184F"/>
    <w:rsid w:val="38FE3769"/>
    <w:rsid w:val="39481EE3"/>
    <w:rsid w:val="39DC6E05"/>
    <w:rsid w:val="3A0472C2"/>
    <w:rsid w:val="3A0B5A84"/>
    <w:rsid w:val="3A5E4C24"/>
    <w:rsid w:val="3A845766"/>
    <w:rsid w:val="3A9D5E85"/>
    <w:rsid w:val="3B023DCB"/>
    <w:rsid w:val="3B3C77EA"/>
    <w:rsid w:val="3BA26D92"/>
    <w:rsid w:val="3C192416"/>
    <w:rsid w:val="3C2123AD"/>
    <w:rsid w:val="3CAF6268"/>
    <w:rsid w:val="3D12010A"/>
    <w:rsid w:val="3D157604"/>
    <w:rsid w:val="3D191474"/>
    <w:rsid w:val="3E270BE8"/>
    <w:rsid w:val="3E681366"/>
    <w:rsid w:val="3E783C60"/>
    <w:rsid w:val="3E9D06E7"/>
    <w:rsid w:val="3ECA0DEB"/>
    <w:rsid w:val="3FFB0793"/>
    <w:rsid w:val="40332294"/>
    <w:rsid w:val="40592330"/>
    <w:rsid w:val="40E16AFD"/>
    <w:rsid w:val="410A40C6"/>
    <w:rsid w:val="411A1168"/>
    <w:rsid w:val="412F5B95"/>
    <w:rsid w:val="414164AA"/>
    <w:rsid w:val="41823F00"/>
    <w:rsid w:val="42265647"/>
    <w:rsid w:val="423F17DF"/>
    <w:rsid w:val="427F7566"/>
    <w:rsid w:val="42C548CF"/>
    <w:rsid w:val="42CF234F"/>
    <w:rsid w:val="43117EDC"/>
    <w:rsid w:val="432F1853"/>
    <w:rsid w:val="43610F7C"/>
    <w:rsid w:val="43822E12"/>
    <w:rsid w:val="43936BFE"/>
    <w:rsid w:val="4397201D"/>
    <w:rsid w:val="44157A03"/>
    <w:rsid w:val="44A43B7B"/>
    <w:rsid w:val="452C7D30"/>
    <w:rsid w:val="459736E0"/>
    <w:rsid w:val="45E306D3"/>
    <w:rsid w:val="464C5D5E"/>
    <w:rsid w:val="467B2A76"/>
    <w:rsid w:val="46E74DE9"/>
    <w:rsid w:val="47160567"/>
    <w:rsid w:val="474B6530"/>
    <w:rsid w:val="48EF0478"/>
    <w:rsid w:val="4935502F"/>
    <w:rsid w:val="49940662"/>
    <w:rsid w:val="4A2E5198"/>
    <w:rsid w:val="4A6B338B"/>
    <w:rsid w:val="4AAC3541"/>
    <w:rsid w:val="4AF13892"/>
    <w:rsid w:val="4B76243A"/>
    <w:rsid w:val="4BBF2226"/>
    <w:rsid w:val="4BC81235"/>
    <w:rsid w:val="4C0C3701"/>
    <w:rsid w:val="4C394F1A"/>
    <w:rsid w:val="4CCF2F3B"/>
    <w:rsid w:val="4CD61BE0"/>
    <w:rsid w:val="4D1A3483"/>
    <w:rsid w:val="4DA43A02"/>
    <w:rsid w:val="4DB210B7"/>
    <w:rsid w:val="4DD76EF9"/>
    <w:rsid w:val="4E0D35E9"/>
    <w:rsid w:val="4E8D69D9"/>
    <w:rsid w:val="4EB82EEB"/>
    <w:rsid w:val="4F0C1F2F"/>
    <w:rsid w:val="4F2C0D29"/>
    <w:rsid w:val="4F652159"/>
    <w:rsid w:val="502136CA"/>
    <w:rsid w:val="50CA7193"/>
    <w:rsid w:val="519B5984"/>
    <w:rsid w:val="51BA7A74"/>
    <w:rsid w:val="522968FD"/>
    <w:rsid w:val="524B6656"/>
    <w:rsid w:val="525F5585"/>
    <w:rsid w:val="52630BD1"/>
    <w:rsid w:val="52BE63C9"/>
    <w:rsid w:val="530F56DA"/>
    <w:rsid w:val="535C11A0"/>
    <w:rsid w:val="536D4005"/>
    <w:rsid w:val="53710C04"/>
    <w:rsid w:val="53A85E50"/>
    <w:rsid w:val="542B11E0"/>
    <w:rsid w:val="5463070C"/>
    <w:rsid w:val="54AA6D09"/>
    <w:rsid w:val="54D25434"/>
    <w:rsid w:val="551A519E"/>
    <w:rsid w:val="551E55B5"/>
    <w:rsid w:val="55402455"/>
    <w:rsid w:val="5583313A"/>
    <w:rsid w:val="55911EF9"/>
    <w:rsid w:val="55A251C3"/>
    <w:rsid w:val="55DF0246"/>
    <w:rsid w:val="55F6162D"/>
    <w:rsid w:val="56827DCE"/>
    <w:rsid w:val="56EA6B41"/>
    <w:rsid w:val="570B5E72"/>
    <w:rsid w:val="570E72ED"/>
    <w:rsid w:val="57720022"/>
    <w:rsid w:val="5831588C"/>
    <w:rsid w:val="584C374D"/>
    <w:rsid w:val="58BD0A48"/>
    <w:rsid w:val="58F5279F"/>
    <w:rsid w:val="598918A5"/>
    <w:rsid w:val="59A03372"/>
    <w:rsid w:val="5A266FC0"/>
    <w:rsid w:val="5A9474FC"/>
    <w:rsid w:val="5ADC3C17"/>
    <w:rsid w:val="5B003AC0"/>
    <w:rsid w:val="5B162181"/>
    <w:rsid w:val="5BA6155E"/>
    <w:rsid w:val="5C1F21B2"/>
    <w:rsid w:val="5C6D7691"/>
    <w:rsid w:val="5CB4245B"/>
    <w:rsid w:val="5D314A12"/>
    <w:rsid w:val="5D487342"/>
    <w:rsid w:val="5D891B1F"/>
    <w:rsid w:val="5E445F05"/>
    <w:rsid w:val="5E993BCD"/>
    <w:rsid w:val="5ECC3A58"/>
    <w:rsid w:val="5F2049FB"/>
    <w:rsid w:val="5F2D2C93"/>
    <w:rsid w:val="5F6E751E"/>
    <w:rsid w:val="5FAB781E"/>
    <w:rsid w:val="60117399"/>
    <w:rsid w:val="60D00B30"/>
    <w:rsid w:val="6117122F"/>
    <w:rsid w:val="61803891"/>
    <w:rsid w:val="61AC36FA"/>
    <w:rsid w:val="61FD25A1"/>
    <w:rsid w:val="62F30EEC"/>
    <w:rsid w:val="62FF2C63"/>
    <w:rsid w:val="63754D8E"/>
    <w:rsid w:val="63DC35A6"/>
    <w:rsid w:val="642701AC"/>
    <w:rsid w:val="64E132F6"/>
    <w:rsid w:val="652E6D08"/>
    <w:rsid w:val="65835E7B"/>
    <w:rsid w:val="659A37F1"/>
    <w:rsid w:val="659E32B5"/>
    <w:rsid w:val="65C95EA0"/>
    <w:rsid w:val="65EC0A86"/>
    <w:rsid w:val="66230FB3"/>
    <w:rsid w:val="664F5ADA"/>
    <w:rsid w:val="66BD6B7E"/>
    <w:rsid w:val="66E511A9"/>
    <w:rsid w:val="671D7D71"/>
    <w:rsid w:val="679D028A"/>
    <w:rsid w:val="67CB7A5F"/>
    <w:rsid w:val="67E82CD1"/>
    <w:rsid w:val="68585004"/>
    <w:rsid w:val="68592C4A"/>
    <w:rsid w:val="689E42BA"/>
    <w:rsid w:val="68AB0123"/>
    <w:rsid w:val="690F638E"/>
    <w:rsid w:val="69C20EDA"/>
    <w:rsid w:val="6A2D0931"/>
    <w:rsid w:val="6A670B9B"/>
    <w:rsid w:val="6AAF1314"/>
    <w:rsid w:val="6ABE7BCB"/>
    <w:rsid w:val="6B2C72F9"/>
    <w:rsid w:val="6C0C6879"/>
    <w:rsid w:val="6C136F97"/>
    <w:rsid w:val="6C14315A"/>
    <w:rsid w:val="6C2E1240"/>
    <w:rsid w:val="6C9C6D62"/>
    <w:rsid w:val="6D107750"/>
    <w:rsid w:val="6D77157D"/>
    <w:rsid w:val="6DDF30E4"/>
    <w:rsid w:val="6E7F4930"/>
    <w:rsid w:val="6EBE1D77"/>
    <w:rsid w:val="6EDC63AB"/>
    <w:rsid w:val="6F262EF8"/>
    <w:rsid w:val="6F5C3995"/>
    <w:rsid w:val="6F7278D8"/>
    <w:rsid w:val="6FFB6495"/>
    <w:rsid w:val="70003AAC"/>
    <w:rsid w:val="700C06A3"/>
    <w:rsid w:val="70465027"/>
    <w:rsid w:val="7091578D"/>
    <w:rsid w:val="70A37E16"/>
    <w:rsid w:val="70BB77CA"/>
    <w:rsid w:val="70C955B7"/>
    <w:rsid w:val="70E42BDA"/>
    <w:rsid w:val="70F2135C"/>
    <w:rsid w:val="70FB0C71"/>
    <w:rsid w:val="71063344"/>
    <w:rsid w:val="711F2CDA"/>
    <w:rsid w:val="7128150C"/>
    <w:rsid w:val="712F0CCC"/>
    <w:rsid w:val="7175676E"/>
    <w:rsid w:val="719E4475"/>
    <w:rsid w:val="72175B12"/>
    <w:rsid w:val="7289422C"/>
    <w:rsid w:val="72C67AB5"/>
    <w:rsid w:val="73942E89"/>
    <w:rsid w:val="73C32A98"/>
    <w:rsid w:val="74586303"/>
    <w:rsid w:val="747B5DF7"/>
    <w:rsid w:val="748771FE"/>
    <w:rsid w:val="74E83E15"/>
    <w:rsid w:val="74ED3DA4"/>
    <w:rsid w:val="7542694E"/>
    <w:rsid w:val="75E03B34"/>
    <w:rsid w:val="75EE6384"/>
    <w:rsid w:val="760A51CD"/>
    <w:rsid w:val="761656E6"/>
    <w:rsid w:val="763470F7"/>
    <w:rsid w:val="764B63E7"/>
    <w:rsid w:val="7679731D"/>
    <w:rsid w:val="76A33CAD"/>
    <w:rsid w:val="76D756CE"/>
    <w:rsid w:val="776B3A1B"/>
    <w:rsid w:val="78853310"/>
    <w:rsid w:val="78AD41E5"/>
    <w:rsid w:val="79355E2D"/>
    <w:rsid w:val="798610FB"/>
    <w:rsid w:val="7A394528"/>
    <w:rsid w:val="7B007056"/>
    <w:rsid w:val="7B4F53AE"/>
    <w:rsid w:val="7B6650AE"/>
    <w:rsid w:val="7B776C66"/>
    <w:rsid w:val="7BAA0131"/>
    <w:rsid w:val="7BD72AFC"/>
    <w:rsid w:val="7BFC35E8"/>
    <w:rsid w:val="7C604DFD"/>
    <w:rsid w:val="7DBC3745"/>
    <w:rsid w:val="7E434A0E"/>
    <w:rsid w:val="7E517E56"/>
    <w:rsid w:val="7EF34D25"/>
    <w:rsid w:val="7F6E4E2D"/>
    <w:rsid w:val="7FA04963"/>
    <w:rsid w:val="7FAB5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12"/>
    <w:qFormat/>
    <w:uiPriority w:val="9"/>
    <w:pPr>
      <w:keepNext/>
      <w:keepLines/>
      <w:spacing w:beforeLines="100" w:afterLines="100" w:line="400" w:lineRule="exact"/>
      <w:jc w:val="center"/>
      <w:outlineLvl w:val="0"/>
    </w:pPr>
    <w:rPr>
      <w:b/>
      <w:bCs/>
      <w:kern w:val="44"/>
      <w:sz w:val="44"/>
      <w:szCs w:val="44"/>
    </w:rPr>
  </w:style>
  <w:style w:type="paragraph" w:styleId="4">
    <w:name w:val="heading 2"/>
    <w:basedOn w:val="1"/>
    <w:next w:val="1"/>
    <w:link w:val="113"/>
    <w:qFormat/>
    <w:uiPriority w:val="0"/>
    <w:pPr>
      <w:keepNext/>
      <w:jc w:val="center"/>
      <w:outlineLvl w:val="1"/>
    </w:pPr>
    <w:rPr>
      <w:rFonts w:ascii="Cambria" w:hAnsi="Cambria"/>
      <w:b/>
      <w:bCs/>
      <w:sz w:val="30"/>
      <w:szCs w:val="32"/>
    </w:rPr>
  </w:style>
  <w:style w:type="paragraph" w:styleId="5">
    <w:name w:val="heading 3"/>
    <w:basedOn w:val="1"/>
    <w:next w:val="1"/>
    <w:link w:val="114"/>
    <w:qFormat/>
    <w:uiPriority w:val="9"/>
    <w:pPr>
      <w:keepNext/>
      <w:tabs>
        <w:tab w:val="left" w:pos="720"/>
      </w:tabs>
      <w:spacing w:line="240" w:lineRule="atLeast"/>
      <w:ind w:left="720" w:hanging="720"/>
      <w:jc w:val="center"/>
      <w:outlineLvl w:val="2"/>
    </w:pPr>
    <w:rPr>
      <w:b/>
      <w:bCs/>
      <w:kern w:val="0"/>
      <w:sz w:val="32"/>
      <w:szCs w:val="32"/>
    </w:rPr>
  </w:style>
  <w:style w:type="paragraph" w:styleId="6">
    <w:name w:val="heading 4"/>
    <w:basedOn w:val="1"/>
    <w:next w:val="1"/>
    <w:link w:val="115"/>
    <w:qFormat/>
    <w:uiPriority w:val="9"/>
    <w:pPr>
      <w:keepNext/>
      <w:keepLines/>
      <w:spacing w:before="280" w:after="290" w:line="374" w:lineRule="auto"/>
      <w:outlineLvl w:val="3"/>
    </w:pPr>
    <w:rPr>
      <w:rFonts w:ascii="Cambria" w:hAnsi="Cambria"/>
      <w:b/>
      <w:bCs/>
      <w:kern w:val="0"/>
      <w:sz w:val="28"/>
      <w:szCs w:val="28"/>
    </w:rPr>
  </w:style>
  <w:style w:type="paragraph" w:styleId="7">
    <w:name w:val="heading 5"/>
    <w:basedOn w:val="1"/>
    <w:next w:val="1"/>
    <w:link w:val="116"/>
    <w:unhideWhenUsed/>
    <w:qFormat/>
    <w:uiPriority w:val="9"/>
    <w:pPr>
      <w:keepNext/>
      <w:keepLines/>
      <w:spacing w:line="372" w:lineRule="auto"/>
      <w:ind w:left="1008" w:hanging="1008"/>
      <w:outlineLvl w:val="4"/>
    </w:pPr>
    <w:rPr>
      <w:rFonts w:ascii="Calibri" w:hAnsi="Calibri" w:cs="黑体"/>
      <w:b/>
      <w:sz w:val="28"/>
      <w:szCs w:val="22"/>
    </w:rPr>
  </w:style>
  <w:style w:type="paragraph" w:styleId="8">
    <w:name w:val="heading 6"/>
    <w:basedOn w:val="1"/>
    <w:next w:val="1"/>
    <w:link w:val="144"/>
    <w:unhideWhenUsed/>
    <w:qFormat/>
    <w:uiPriority w:val="9"/>
    <w:pPr>
      <w:keepNext/>
      <w:keepLines/>
      <w:spacing w:line="317" w:lineRule="auto"/>
      <w:ind w:left="1151" w:hanging="1151"/>
      <w:outlineLvl w:val="5"/>
    </w:pPr>
    <w:rPr>
      <w:rFonts w:ascii="Arial" w:hAnsi="Arial" w:eastAsia="黑体" w:cs="黑体"/>
      <w:b/>
      <w:sz w:val="24"/>
      <w:szCs w:val="22"/>
    </w:rPr>
  </w:style>
  <w:style w:type="paragraph" w:styleId="9">
    <w:name w:val="heading 7"/>
    <w:basedOn w:val="1"/>
    <w:next w:val="1"/>
    <w:link w:val="145"/>
    <w:unhideWhenUsed/>
    <w:qFormat/>
    <w:uiPriority w:val="9"/>
    <w:pPr>
      <w:keepNext/>
      <w:keepLines/>
      <w:spacing w:line="317" w:lineRule="auto"/>
      <w:ind w:left="1296" w:hanging="1296"/>
      <w:outlineLvl w:val="6"/>
    </w:pPr>
    <w:rPr>
      <w:rFonts w:ascii="Calibri" w:hAnsi="Calibri" w:cs="黑体"/>
      <w:b/>
      <w:sz w:val="24"/>
      <w:szCs w:val="22"/>
    </w:rPr>
  </w:style>
  <w:style w:type="paragraph" w:styleId="10">
    <w:name w:val="heading 8"/>
    <w:basedOn w:val="1"/>
    <w:next w:val="1"/>
    <w:link w:val="146"/>
    <w:unhideWhenUsed/>
    <w:qFormat/>
    <w:uiPriority w:val="9"/>
    <w:pPr>
      <w:keepNext/>
      <w:keepLines/>
      <w:spacing w:line="317" w:lineRule="auto"/>
      <w:ind w:left="1440" w:hanging="1440"/>
      <w:outlineLvl w:val="7"/>
    </w:pPr>
    <w:rPr>
      <w:rFonts w:ascii="Arial" w:hAnsi="Arial" w:eastAsia="黑体" w:cs="黑体"/>
      <w:sz w:val="24"/>
      <w:szCs w:val="22"/>
    </w:rPr>
  </w:style>
  <w:style w:type="paragraph" w:styleId="11">
    <w:name w:val="heading 9"/>
    <w:basedOn w:val="1"/>
    <w:next w:val="1"/>
    <w:link w:val="147"/>
    <w:unhideWhenUsed/>
    <w:qFormat/>
    <w:uiPriority w:val="9"/>
    <w:pPr>
      <w:keepNext/>
      <w:keepLines/>
      <w:spacing w:line="317" w:lineRule="auto"/>
      <w:ind w:left="1583" w:hanging="1583"/>
      <w:outlineLvl w:val="8"/>
    </w:pPr>
    <w:rPr>
      <w:rFonts w:ascii="Arial" w:hAnsi="Arial" w:eastAsia="黑体" w:cs="黑体"/>
      <w:szCs w:val="22"/>
    </w:rPr>
  </w:style>
  <w:style w:type="character" w:default="1" w:styleId="37">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0"/>
    <w:qFormat/>
    <w:uiPriority w:val="0"/>
    <w:rPr>
      <w:kern w:val="0"/>
      <w:sz w:val="20"/>
    </w:rPr>
  </w:style>
  <w:style w:type="paragraph" w:styleId="12">
    <w:name w:val="Normal Indent"/>
    <w:basedOn w:val="1"/>
    <w:next w:val="1"/>
    <w:link w:val="117"/>
    <w:qFormat/>
    <w:uiPriority w:val="0"/>
    <w:pPr>
      <w:widowControl/>
      <w:adjustRightInd w:val="0"/>
      <w:snapToGrid w:val="0"/>
      <w:spacing w:line="480" w:lineRule="exact"/>
      <w:ind w:firstLine="567"/>
    </w:pPr>
    <w:rPr>
      <w:rFonts w:ascii="宋体"/>
      <w:snapToGrid w:val="0"/>
      <w:color w:val="000000"/>
      <w:kern w:val="28"/>
      <w:sz w:val="28"/>
    </w:rPr>
  </w:style>
  <w:style w:type="paragraph" w:styleId="13">
    <w:name w:val="Document Map"/>
    <w:basedOn w:val="1"/>
    <w:link w:val="118"/>
    <w:qFormat/>
    <w:uiPriority w:val="0"/>
    <w:pPr>
      <w:shd w:val="clear" w:color="auto" w:fill="000080"/>
    </w:pPr>
    <w:rPr>
      <w:kern w:val="0"/>
      <w:sz w:val="2"/>
    </w:rPr>
  </w:style>
  <w:style w:type="paragraph" w:styleId="14">
    <w:name w:val="toa heading"/>
    <w:basedOn w:val="1"/>
    <w:next w:val="1"/>
    <w:unhideWhenUsed/>
    <w:qFormat/>
    <w:uiPriority w:val="99"/>
    <w:pPr>
      <w:spacing w:before="120"/>
    </w:pPr>
    <w:rPr>
      <w:rFonts w:ascii="Arial" w:hAnsi="Arial" w:cs="Arial"/>
      <w:sz w:val="24"/>
      <w:szCs w:val="24"/>
    </w:rPr>
  </w:style>
  <w:style w:type="paragraph" w:styleId="15">
    <w:name w:val="annotation text"/>
    <w:basedOn w:val="1"/>
    <w:link w:val="119"/>
    <w:qFormat/>
    <w:uiPriority w:val="0"/>
    <w:pPr>
      <w:jc w:val="left"/>
    </w:pPr>
  </w:style>
  <w:style w:type="paragraph" w:styleId="16">
    <w:name w:val="Body Text Indent"/>
    <w:basedOn w:val="1"/>
    <w:link w:val="121"/>
    <w:qFormat/>
    <w:uiPriority w:val="0"/>
    <w:pPr>
      <w:spacing w:line="380" w:lineRule="exact"/>
      <w:ind w:firstLine="480"/>
    </w:pPr>
    <w:rPr>
      <w:kern w:val="0"/>
      <w:sz w:val="20"/>
    </w:rPr>
  </w:style>
  <w:style w:type="paragraph" w:styleId="17">
    <w:name w:val="Block Text"/>
    <w:basedOn w:val="1"/>
    <w:qFormat/>
    <w:uiPriority w:val="0"/>
    <w:pPr>
      <w:adjustRightInd w:val="0"/>
      <w:snapToGrid w:val="0"/>
      <w:spacing w:line="360" w:lineRule="auto"/>
      <w:ind w:left="567" w:leftChars="270" w:right="-315" w:rightChars="-150" w:firstLine="480" w:firstLineChars="200"/>
    </w:pPr>
    <w:rPr>
      <w:rFonts w:ascii="宋体"/>
      <w:sz w:val="24"/>
      <w:szCs w:val="24"/>
    </w:rPr>
  </w:style>
  <w:style w:type="paragraph" w:styleId="18">
    <w:name w:val="toc 3"/>
    <w:basedOn w:val="1"/>
    <w:next w:val="1"/>
    <w:qFormat/>
    <w:uiPriority w:val="39"/>
    <w:pPr>
      <w:ind w:left="840" w:leftChars="400"/>
    </w:pPr>
  </w:style>
  <w:style w:type="paragraph" w:styleId="19">
    <w:name w:val="Plain Text"/>
    <w:basedOn w:val="1"/>
    <w:next w:val="1"/>
    <w:link w:val="122"/>
    <w:qFormat/>
    <w:uiPriority w:val="0"/>
    <w:rPr>
      <w:rFonts w:ascii="宋体" w:hAnsi="Courier New"/>
      <w:kern w:val="0"/>
      <w:szCs w:val="21"/>
    </w:rPr>
  </w:style>
  <w:style w:type="paragraph" w:styleId="20">
    <w:name w:val="Date"/>
    <w:basedOn w:val="1"/>
    <w:next w:val="1"/>
    <w:link w:val="123"/>
    <w:qFormat/>
    <w:uiPriority w:val="0"/>
    <w:rPr>
      <w:sz w:val="28"/>
    </w:rPr>
  </w:style>
  <w:style w:type="paragraph" w:styleId="21">
    <w:name w:val="Body Text Indent 2"/>
    <w:basedOn w:val="1"/>
    <w:link w:val="124"/>
    <w:qFormat/>
    <w:uiPriority w:val="0"/>
    <w:pPr>
      <w:tabs>
        <w:tab w:val="left" w:pos="240"/>
        <w:tab w:val="left" w:pos="480"/>
      </w:tabs>
      <w:ind w:left="630" w:leftChars="300"/>
    </w:pPr>
    <w:rPr>
      <w:kern w:val="0"/>
      <w:sz w:val="20"/>
    </w:rPr>
  </w:style>
  <w:style w:type="paragraph" w:styleId="22">
    <w:name w:val="Balloon Text"/>
    <w:basedOn w:val="1"/>
    <w:link w:val="125"/>
    <w:qFormat/>
    <w:uiPriority w:val="0"/>
    <w:rPr>
      <w:sz w:val="18"/>
      <w:szCs w:val="18"/>
    </w:rPr>
  </w:style>
  <w:style w:type="paragraph" w:styleId="23">
    <w:name w:val="footer"/>
    <w:basedOn w:val="1"/>
    <w:link w:val="126"/>
    <w:qFormat/>
    <w:uiPriority w:val="99"/>
    <w:pPr>
      <w:tabs>
        <w:tab w:val="center" w:pos="4153"/>
        <w:tab w:val="right" w:pos="8306"/>
      </w:tabs>
      <w:snapToGrid w:val="0"/>
      <w:jc w:val="left"/>
    </w:pPr>
    <w:rPr>
      <w:kern w:val="0"/>
      <w:sz w:val="18"/>
      <w:szCs w:val="18"/>
    </w:rPr>
  </w:style>
  <w:style w:type="paragraph" w:styleId="24">
    <w:name w:val="header"/>
    <w:basedOn w:val="1"/>
    <w:link w:val="127"/>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qFormat/>
    <w:uiPriority w:val="39"/>
    <w:rPr>
      <w:sz w:val="24"/>
    </w:rPr>
  </w:style>
  <w:style w:type="paragraph" w:styleId="26">
    <w:name w:val="Body Text Indent 3"/>
    <w:basedOn w:val="1"/>
    <w:link w:val="128"/>
    <w:qFormat/>
    <w:uiPriority w:val="0"/>
    <w:pPr>
      <w:spacing w:after="120"/>
      <w:ind w:left="420" w:leftChars="200"/>
    </w:pPr>
    <w:rPr>
      <w:sz w:val="16"/>
      <w:szCs w:val="16"/>
    </w:rPr>
  </w:style>
  <w:style w:type="paragraph" w:styleId="27">
    <w:name w:val="toc 2"/>
    <w:basedOn w:val="1"/>
    <w:next w:val="1"/>
    <w:qFormat/>
    <w:uiPriority w:val="39"/>
    <w:pPr>
      <w:ind w:left="420" w:leftChars="200"/>
    </w:pPr>
  </w:style>
  <w:style w:type="paragraph" w:styleId="28">
    <w:name w:val="Body Text 2"/>
    <w:basedOn w:val="1"/>
    <w:link w:val="129"/>
    <w:qFormat/>
    <w:uiPriority w:val="0"/>
    <w:pPr>
      <w:spacing w:after="120" w:line="480" w:lineRule="auto"/>
    </w:pPr>
    <w:rPr>
      <w:kern w:val="0"/>
      <w:sz w:val="20"/>
    </w:rPr>
  </w:style>
  <w:style w:type="paragraph" w:styleId="2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0">
    <w:name w:val="Title"/>
    <w:basedOn w:val="1"/>
    <w:next w:val="1"/>
    <w:qFormat/>
    <w:uiPriority w:val="0"/>
    <w:pPr>
      <w:spacing w:before="240" w:after="60"/>
      <w:outlineLvl w:val="0"/>
    </w:pPr>
    <w:rPr>
      <w:rFonts w:ascii="等线 Light" w:hAnsi="等线 Light" w:eastAsia="黑体"/>
      <w:bCs/>
      <w:sz w:val="28"/>
      <w:szCs w:val="32"/>
    </w:rPr>
  </w:style>
  <w:style w:type="paragraph" w:styleId="31">
    <w:name w:val="annotation subject"/>
    <w:basedOn w:val="15"/>
    <w:next w:val="15"/>
    <w:link w:val="130"/>
    <w:qFormat/>
    <w:uiPriority w:val="0"/>
    <w:rPr>
      <w:b/>
      <w:bCs/>
    </w:rPr>
  </w:style>
  <w:style w:type="paragraph" w:styleId="32">
    <w:name w:val="Body Text First Indent"/>
    <w:basedOn w:val="2"/>
    <w:next w:val="1"/>
    <w:link w:val="131"/>
    <w:unhideWhenUsed/>
    <w:qFormat/>
    <w:uiPriority w:val="99"/>
    <w:pPr>
      <w:spacing w:after="120"/>
      <w:ind w:firstLine="420" w:firstLineChars="100"/>
    </w:pPr>
    <w:rPr>
      <w:kern w:val="2"/>
      <w:sz w:val="21"/>
    </w:rPr>
  </w:style>
  <w:style w:type="paragraph" w:styleId="33">
    <w:name w:val="Body Text First Indent 2"/>
    <w:basedOn w:val="16"/>
    <w:next w:val="1"/>
    <w:unhideWhenUsed/>
    <w:qFormat/>
    <w:uiPriority w:val="0"/>
    <w:pPr>
      <w:spacing w:after="120" w:line="240" w:lineRule="auto"/>
      <w:ind w:left="420" w:leftChars="200" w:firstLine="420" w:firstLineChars="200"/>
    </w:pPr>
    <w:rPr>
      <w:rFonts w:ascii="Calibri" w:hAnsi="Calibri"/>
      <w:sz w:val="21"/>
      <w:szCs w:val="24"/>
    </w:rPr>
  </w:style>
  <w:style w:type="table" w:styleId="35">
    <w:name w:val="Table Grid"/>
    <w:basedOn w:val="34"/>
    <w:qFormat/>
    <w:uiPriority w:val="59"/>
    <w:rPr>
      <w:rFonts w:ascii="Calibri" w:hAnsi="Calibri" w:cs="黑体"/>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6">
    <w:name w:val="Table Grid 5"/>
    <w:basedOn w:val="3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38">
    <w:name w:val="Strong"/>
    <w:qFormat/>
    <w:uiPriority w:val="0"/>
    <w:rPr>
      <w:b/>
      <w:bCs/>
    </w:rPr>
  </w:style>
  <w:style w:type="character" w:styleId="39">
    <w:name w:val="page number"/>
    <w:basedOn w:val="37"/>
    <w:qFormat/>
    <w:uiPriority w:val="0"/>
    <w:rPr>
      <w:rFonts w:cs="Times New Roman"/>
    </w:rPr>
  </w:style>
  <w:style w:type="character" w:styleId="40">
    <w:name w:val="FollowedHyperlink"/>
    <w:qFormat/>
    <w:uiPriority w:val="99"/>
    <w:rPr>
      <w:rFonts w:cs="Times New Roman"/>
      <w:color w:val="800080"/>
      <w:u w:val="single"/>
    </w:rPr>
  </w:style>
  <w:style w:type="character" w:styleId="41">
    <w:name w:val="HTML Typewriter"/>
    <w:qFormat/>
    <w:uiPriority w:val="99"/>
    <w:rPr>
      <w:rFonts w:ascii="Courier New" w:hAnsi="Courier New" w:cs="Courier New"/>
      <w:sz w:val="20"/>
      <w:szCs w:val="20"/>
    </w:rPr>
  </w:style>
  <w:style w:type="character" w:styleId="42">
    <w:name w:val="Hyperlink"/>
    <w:qFormat/>
    <w:uiPriority w:val="99"/>
    <w:rPr>
      <w:rFonts w:cs="Times New Roman"/>
      <w:color w:val="0000FF"/>
      <w:u w:val="single"/>
    </w:rPr>
  </w:style>
  <w:style w:type="character" w:styleId="43">
    <w:name w:val="annotation reference"/>
    <w:basedOn w:val="37"/>
    <w:qFormat/>
    <w:uiPriority w:val="99"/>
    <w:rPr>
      <w:sz w:val="21"/>
      <w:szCs w:val="21"/>
    </w:rPr>
  </w:style>
  <w:style w:type="paragraph" w:customStyle="1" w:styleId="44">
    <w:name w:val="无间隔1"/>
    <w:qFormat/>
    <w:uiPriority w:val="99"/>
    <w:rPr>
      <w:rFonts w:ascii="Times New Roman" w:hAnsi="Times New Roman" w:eastAsia="宋体" w:cs="Times New Roman"/>
      <w:sz w:val="22"/>
      <w:szCs w:val="22"/>
      <w:lang w:val="en-US" w:eastAsia="zh-CN" w:bidi="ar-SA"/>
    </w:rPr>
  </w:style>
  <w:style w:type="paragraph" w:customStyle="1" w:styleId="45">
    <w:name w:val="正文1"/>
    <w:basedOn w:val="1"/>
    <w:qFormat/>
    <w:uiPriority w:val="0"/>
    <w:pPr>
      <w:adjustRightInd w:val="0"/>
      <w:spacing w:line="318" w:lineRule="atLeast"/>
      <w:ind w:left="369" w:firstLine="369"/>
      <w:textAlignment w:val="baseline"/>
    </w:pPr>
    <w:rPr>
      <w:rFonts w:ascii="宋体"/>
    </w:rPr>
  </w:style>
  <w:style w:type="paragraph" w:customStyle="1" w:styleId="46">
    <w:name w:val="_正文段落"/>
    <w:basedOn w:val="1"/>
    <w:link w:val="133"/>
    <w:qFormat/>
    <w:uiPriority w:val="0"/>
    <w:pPr>
      <w:spacing w:line="360" w:lineRule="auto"/>
      <w:ind w:firstLine="200" w:firstLineChars="200"/>
    </w:pPr>
    <w:rPr>
      <w:rFonts w:ascii="仿宋_GB2312" w:eastAsia="仿宋_GB2312"/>
      <w:kern w:val="0"/>
      <w:sz w:val="28"/>
      <w:szCs w:val="24"/>
    </w:rPr>
  </w:style>
  <w:style w:type="paragraph" w:customStyle="1" w:styleId="47">
    <w:name w:val="正文2"/>
    <w:basedOn w:val="1"/>
    <w:link w:val="137"/>
    <w:qFormat/>
    <w:uiPriority w:val="0"/>
    <w:pPr>
      <w:spacing w:before="156" w:line="360" w:lineRule="auto"/>
      <w:ind w:firstLine="510" w:firstLineChars="200"/>
    </w:pPr>
    <w:rPr>
      <w:sz w:val="24"/>
    </w:rPr>
  </w:style>
  <w:style w:type="paragraph" w:customStyle="1" w:styleId="48">
    <w:name w:val="纸短情长，再祈珍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0">
    <w:name w:val="分手多日，近况如何？"/>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
    <w:name w:val="Char1"/>
    <w:basedOn w:val="13"/>
    <w:qFormat/>
    <w:uiPriority w:val="0"/>
    <w:pPr>
      <w:adjustRightInd w:val="0"/>
      <w:spacing w:line="436" w:lineRule="exact"/>
      <w:ind w:left="357"/>
      <w:jc w:val="left"/>
      <w:outlineLvl w:val="3"/>
    </w:pPr>
  </w:style>
  <w:style w:type="paragraph" w:customStyle="1" w:styleId="52">
    <w:name w:val="创建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
    <w:name w:val="机密、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
    <w:name w:val="xl28"/>
    <w:basedOn w:val="1"/>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55">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
    <w:name w:val="文件名和路径"/>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匆此先复，余容后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叩请金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参考:"/>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Char Char Char Char Char Char"/>
    <w:basedOn w:val="1"/>
    <w:qFormat/>
    <w:uiPriority w:val="0"/>
    <w:pPr>
      <w:ind w:firstLine="200" w:firstLineChars="200"/>
    </w:pPr>
    <w:rPr>
      <w:rFonts w:ascii="Tahoma" w:hAnsi="Tahoma"/>
      <w:sz w:val="24"/>
    </w:rPr>
  </w:style>
  <w:style w:type="paragraph" w:customStyle="1" w:styleId="61">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无间隔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
    <w:name w:val="音问久疏，唯愿一切康适。"/>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Char2 Char Char"/>
    <w:basedOn w:val="1"/>
    <w:qFormat/>
    <w:uiPriority w:val="0"/>
    <w:rPr>
      <w:rFonts w:ascii="Tahoma" w:hAnsi="Tahoma"/>
      <w:sz w:val="24"/>
    </w:rPr>
  </w:style>
  <w:style w:type="paragraph" w:customStyle="1" w:styleId="65">
    <w:name w:val="惠书敬悉，迟复为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
    <w:name w:val="- 页码 -"/>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
    <w:name w:val="近来寒暑不常，希自珍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Char Char Char"/>
    <w:basedOn w:val="1"/>
    <w:qFormat/>
    <w:uiPriority w:val="0"/>
    <w:rPr>
      <w:rFonts w:ascii="Tahoma" w:hAnsi="Tahoma"/>
      <w:sz w:val="24"/>
    </w:rPr>
  </w:style>
  <w:style w:type="paragraph" w:customStyle="1" w:styleId="69">
    <w:name w:val="知尊恙复发，心甚念之。"/>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奉恳之事，乞速复为荷。"/>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请勿折叠！"/>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列出段落1"/>
    <w:basedOn w:val="1"/>
    <w:qFormat/>
    <w:uiPriority w:val="34"/>
    <w:pPr>
      <w:ind w:firstLine="420" w:firstLineChars="200"/>
    </w:pPr>
  </w:style>
  <w:style w:type="paragraph" w:customStyle="1" w:styleId="73">
    <w:name w:val="上次保存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作者、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答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TOC 标题1"/>
    <w:basedOn w:val="3"/>
    <w:next w:val="1"/>
    <w:qFormat/>
    <w:uiPriority w:val="0"/>
    <w:pPr>
      <w:widowControl/>
      <w:spacing w:beforeLines="0" w:line="276" w:lineRule="auto"/>
      <w:jc w:val="left"/>
      <w:outlineLvl w:val="9"/>
    </w:pPr>
    <w:rPr>
      <w:rFonts w:ascii="Cambria" w:hAnsi="Cambria"/>
      <w:bCs w:val="0"/>
      <w:color w:val="365F91"/>
      <w:kern w:val="0"/>
      <w:sz w:val="28"/>
      <w:szCs w:val="28"/>
    </w:rPr>
  </w:style>
  <w:style w:type="paragraph" w:customStyle="1" w:styleId="77">
    <w:name w:val="先生/女士："/>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8">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0">
    <w:name w:val="关于:"/>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1">
    <w:name w:val="敬启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2">
    <w:name w:val="第 X 页 共 Y 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3">
    <w:name w:val="上次打印时间"/>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4">
    <w:name w:val="Char"/>
    <w:basedOn w:val="1"/>
    <w:qFormat/>
    <w:uiPriority w:val="0"/>
    <w:pPr>
      <w:widowControl/>
      <w:spacing w:line="400" w:lineRule="exact"/>
      <w:jc w:val="center"/>
    </w:pPr>
    <w:rPr>
      <w:rFonts w:ascii="Verdana" w:hAnsi="Verdana"/>
      <w:kern w:val="0"/>
      <w:lang w:eastAsia="en-US"/>
    </w:rPr>
  </w:style>
  <w:style w:type="paragraph" w:customStyle="1" w:styleId="85">
    <w:name w:val="Char2"/>
    <w:basedOn w:val="1"/>
    <w:qFormat/>
    <w:uiPriority w:val="0"/>
    <w:pPr>
      <w:tabs>
        <w:tab w:val="left" w:pos="720"/>
      </w:tabs>
      <w:ind w:left="720" w:hanging="360"/>
    </w:pPr>
    <w:rPr>
      <w:sz w:val="24"/>
      <w:szCs w:val="24"/>
    </w:rPr>
  </w:style>
  <w:style w:type="paragraph" w:customStyle="1" w:styleId="86">
    <w:name w:val="作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
    <w:name w:val="前上一函，谅达雅鉴，迄今未闻复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
    <w:name w:val="临书仓促，不尽欲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
    <w:name w:val="久不通函，至以为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
    <w:name w:val="Char11"/>
    <w:basedOn w:val="13"/>
    <w:qFormat/>
    <w:uiPriority w:val="0"/>
    <w:pPr>
      <w:adjustRightInd w:val="0"/>
      <w:spacing w:line="436" w:lineRule="exact"/>
      <w:ind w:left="357"/>
      <w:jc w:val="left"/>
      <w:outlineLvl w:val="3"/>
    </w:pPr>
    <w:rPr>
      <w:rFonts w:ascii="Tahoma" w:hAnsi="Tahoma"/>
      <w:b/>
      <w:sz w:val="24"/>
      <w:szCs w:val="24"/>
    </w:rPr>
  </w:style>
  <w:style w:type="paragraph" w:customStyle="1" w:styleId="91">
    <w:name w:val="尊意如何，请即示知。"/>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
    <w:name w:val="亲启"/>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顺颂商祺！"/>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
    <w:name w:val="Char Char2"/>
    <w:basedOn w:val="1"/>
    <w:qFormat/>
    <w:uiPriority w:val="0"/>
    <w:rPr>
      <w:rFonts w:ascii="宋体" w:hAnsi="宋体"/>
      <w:b/>
      <w:sz w:val="28"/>
      <w:szCs w:val="28"/>
    </w:rPr>
  </w:style>
  <w:style w:type="paragraph" w:customStyle="1" w:styleId="95">
    <w:name w:val="表"/>
    <w:basedOn w:val="1"/>
    <w:qFormat/>
    <w:uiPriority w:val="0"/>
    <w:pPr>
      <w:spacing w:line="360" w:lineRule="auto"/>
    </w:pPr>
    <w:rPr>
      <w:rFonts w:cs="Garamond"/>
      <w:b/>
      <w:bCs/>
      <w:color w:val="FF0000"/>
    </w:rPr>
  </w:style>
  <w:style w:type="paragraph" w:customStyle="1" w:styleId="96">
    <w:name w:val="主体"/>
    <w:basedOn w:val="1"/>
    <w:link w:val="139"/>
    <w:qFormat/>
    <w:uiPriority w:val="99"/>
    <w:pPr>
      <w:spacing w:line="360" w:lineRule="auto"/>
      <w:ind w:firstLine="480" w:firstLineChars="200"/>
    </w:pPr>
    <w:rPr>
      <w:rFonts w:ascii="宋体" w:hAnsi="宋体"/>
      <w:kern w:val="58"/>
      <w:sz w:val="24"/>
      <w:szCs w:val="24"/>
    </w:rPr>
  </w:style>
  <w:style w:type="paragraph" w:customStyle="1" w:styleId="97">
    <w:name w:val="表格文字"/>
    <w:basedOn w:val="1"/>
    <w:link w:val="140"/>
    <w:qFormat/>
    <w:uiPriority w:val="0"/>
    <w:pPr>
      <w:jc w:val="left"/>
    </w:pPr>
    <w:rPr>
      <w:rFonts w:ascii="宋体" w:hAnsi="宋体"/>
      <w:bCs/>
      <w:spacing w:val="-4"/>
      <w:kern w:val="0"/>
      <w:sz w:val="32"/>
      <w:szCs w:val="32"/>
      <w:lang w:val="zh-CN"/>
    </w:rPr>
  </w:style>
  <w:style w:type="paragraph" w:customStyle="1" w:styleId="98">
    <w:name w:val="表格文字2"/>
    <w:basedOn w:val="97"/>
    <w:qFormat/>
    <w:uiPriority w:val="99"/>
    <w:pPr>
      <w:jc w:val="both"/>
    </w:pPr>
  </w:style>
  <w:style w:type="paragraph" w:customStyle="1" w:styleId="99">
    <w:name w:val="标题2"/>
    <w:basedOn w:val="1"/>
    <w:link w:val="142"/>
    <w:qFormat/>
    <w:uiPriority w:val="0"/>
    <w:pPr>
      <w:keepNext/>
      <w:widowControl/>
      <w:tabs>
        <w:tab w:val="left" w:pos="450"/>
      </w:tabs>
      <w:autoSpaceDE w:val="0"/>
      <w:autoSpaceDN w:val="0"/>
      <w:adjustRightInd w:val="0"/>
      <w:spacing w:before="120" w:after="120"/>
      <w:jc w:val="left"/>
      <w:textAlignment w:val="center"/>
    </w:pPr>
    <w:rPr>
      <w:rFonts w:ascii="宋体"/>
      <w:b/>
      <w:kern w:val="0"/>
      <w:sz w:val="24"/>
    </w:rPr>
  </w:style>
  <w:style w:type="paragraph" w:customStyle="1" w:styleId="100">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10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02">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10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4">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5">
    <w:name w:val="索引 11"/>
    <w:basedOn w:val="1"/>
    <w:next w:val="1"/>
    <w:qFormat/>
    <w:uiPriority w:val="99"/>
    <w:pPr>
      <w:spacing w:line="360" w:lineRule="auto"/>
    </w:pPr>
    <w:rPr>
      <w:rFonts w:ascii="仿宋_GB2312" w:eastAsia="仿宋_GB2312"/>
      <w:sz w:val="24"/>
    </w:rPr>
  </w:style>
  <w:style w:type="paragraph" w:customStyle="1" w:styleId="106">
    <w:name w:val="纯文本1"/>
    <w:basedOn w:val="1"/>
    <w:qFormat/>
    <w:uiPriority w:val="0"/>
    <w:rPr>
      <w:rFonts w:ascii="宋体" w:hAnsi="Courier New"/>
      <w:kern w:val="0"/>
      <w:sz w:val="20"/>
    </w:rPr>
  </w:style>
  <w:style w:type="paragraph" w:customStyle="1" w:styleId="107">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108">
    <w:name w:val="修订3"/>
    <w:hidden/>
    <w:unhideWhenUsed/>
    <w:qFormat/>
    <w:uiPriority w:val="99"/>
    <w:rPr>
      <w:rFonts w:ascii="Times New Roman" w:hAnsi="Times New Roman" w:eastAsia="宋体" w:cs="Times New Roman"/>
      <w:kern w:val="2"/>
      <w:sz w:val="21"/>
      <w:lang w:val="en-US" w:eastAsia="zh-CN" w:bidi="ar-SA"/>
    </w:rPr>
  </w:style>
  <w:style w:type="paragraph" w:customStyle="1" w:styleId="109">
    <w:name w:val="_Style 3"/>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10">
    <w:name w:val="样式3"/>
    <w:basedOn w:val="1"/>
    <w:qFormat/>
    <w:uiPriority w:val="99"/>
    <w:pPr>
      <w:spacing w:line="300" w:lineRule="auto"/>
      <w:ind w:firstLine="200" w:firstLineChars="200"/>
    </w:pPr>
    <w:rPr>
      <w:rFonts w:ascii="宋体"/>
    </w:rPr>
  </w:style>
  <w:style w:type="paragraph" w:customStyle="1" w:styleId="111">
    <w:name w:val="列出段落2"/>
    <w:basedOn w:val="1"/>
    <w:qFormat/>
    <w:uiPriority w:val="34"/>
    <w:pPr>
      <w:numPr>
        <w:ilvl w:val="0"/>
        <w:numId w:val="1"/>
      </w:numPr>
      <w:ind w:left="0" w:firstLine="200" w:firstLineChars="200"/>
    </w:pPr>
    <w:rPr>
      <w:rFonts w:ascii="Calibri" w:hAnsi="Calibri"/>
      <w:szCs w:val="22"/>
    </w:rPr>
  </w:style>
  <w:style w:type="character" w:customStyle="1" w:styleId="112">
    <w:name w:val="标题 1 字符"/>
    <w:link w:val="3"/>
    <w:qFormat/>
    <w:uiPriority w:val="0"/>
    <w:rPr>
      <w:rFonts w:cs="Times New Roman"/>
      <w:b/>
      <w:bCs/>
      <w:kern w:val="44"/>
      <w:sz w:val="44"/>
      <w:szCs w:val="44"/>
    </w:rPr>
  </w:style>
  <w:style w:type="character" w:customStyle="1" w:styleId="113">
    <w:name w:val="标题 2 字符"/>
    <w:link w:val="4"/>
    <w:qFormat/>
    <w:uiPriority w:val="0"/>
    <w:rPr>
      <w:rFonts w:ascii="Cambria" w:hAnsi="Cambria"/>
      <w:b/>
      <w:bCs/>
      <w:kern w:val="2"/>
      <w:sz w:val="30"/>
      <w:szCs w:val="32"/>
    </w:rPr>
  </w:style>
  <w:style w:type="character" w:customStyle="1" w:styleId="114">
    <w:name w:val="标题 3 字符"/>
    <w:link w:val="5"/>
    <w:qFormat/>
    <w:uiPriority w:val="0"/>
    <w:rPr>
      <w:rFonts w:cs="Times New Roman"/>
      <w:b/>
      <w:bCs/>
      <w:sz w:val="32"/>
      <w:szCs w:val="32"/>
    </w:rPr>
  </w:style>
  <w:style w:type="character" w:customStyle="1" w:styleId="115">
    <w:name w:val="标题 4 字符"/>
    <w:link w:val="6"/>
    <w:qFormat/>
    <w:uiPriority w:val="0"/>
    <w:rPr>
      <w:rFonts w:ascii="Cambria" w:hAnsi="Cambria" w:eastAsia="宋体" w:cs="Times New Roman"/>
      <w:b/>
      <w:bCs/>
      <w:sz w:val="28"/>
      <w:szCs w:val="28"/>
    </w:rPr>
  </w:style>
  <w:style w:type="character" w:customStyle="1" w:styleId="116">
    <w:name w:val="标题 5 字符"/>
    <w:basedOn w:val="37"/>
    <w:link w:val="7"/>
    <w:semiHidden/>
    <w:qFormat/>
    <w:uiPriority w:val="9"/>
    <w:rPr>
      <w:rFonts w:ascii="Calibri" w:hAnsi="Calibri" w:eastAsia="宋体" w:cs="黑体"/>
      <w:b/>
      <w:kern w:val="2"/>
      <w:sz w:val="28"/>
      <w:szCs w:val="22"/>
    </w:rPr>
  </w:style>
  <w:style w:type="character" w:customStyle="1" w:styleId="117">
    <w:name w:val="正文缩进 字符"/>
    <w:link w:val="12"/>
    <w:qFormat/>
    <w:uiPriority w:val="0"/>
    <w:rPr>
      <w:rFonts w:ascii="宋体" w:eastAsia="宋体"/>
      <w:snapToGrid w:val="0"/>
      <w:color w:val="000000"/>
      <w:kern w:val="28"/>
      <w:sz w:val="28"/>
      <w:lang w:val="en-US" w:eastAsia="zh-CN" w:bidi="ar-SA"/>
    </w:rPr>
  </w:style>
  <w:style w:type="character" w:customStyle="1" w:styleId="118">
    <w:name w:val="文档结构图 字符"/>
    <w:link w:val="13"/>
    <w:qFormat/>
    <w:uiPriority w:val="0"/>
    <w:rPr>
      <w:rFonts w:cs="Times New Roman"/>
      <w:sz w:val="2"/>
    </w:rPr>
  </w:style>
  <w:style w:type="character" w:customStyle="1" w:styleId="119">
    <w:name w:val="批注文字 字符"/>
    <w:basedOn w:val="37"/>
    <w:link w:val="15"/>
    <w:qFormat/>
    <w:uiPriority w:val="99"/>
    <w:rPr>
      <w:kern w:val="2"/>
      <w:sz w:val="21"/>
    </w:rPr>
  </w:style>
  <w:style w:type="character" w:customStyle="1" w:styleId="120">
    <w:name w:val="正文文本 字符"/>
    <w:link w:val="2"/>
    <w:qFormat/>
    <w:uiPriority w:val="0"/>
    <w:rPr>
      <w:rFonts w:cs="Times New Roman"/>
      <w:sz w:val="20"/>
      <w:szCs w:val="20"/>
    </w:rPr>
  </w:style>
  <w:style w:type="character" w:customStyle="1" w:styleId="121">
    <w:name w:val="正文文本缩进 字符"/>
    <w:link w:val="16"/>
    <w:qFormat/>
    <w:uiPriority w:val="0"/>
    <w:rPr>
      <w:rFonts w:cs="Times New Roman"/>
      <w:sz w:val="20"/>
      <w:szCs w:val="20"/>
    </w:rPr>
  </w:style>
  <w:style w:type="character" w:customStyle="1" w:styleId="122">
    <w:name w:val="纯文本 字符"/>
    <w:link w:val="19"/>
    <w:qFormat/>
    <w:uiPriority w:val="0"/>
    <w:rPr>
      <w:rFonts w:ascii="宋体" w:hAnsi="Courier New" w:cs="Courier New"/>
      <w:sz w:val="21"/>
      <w:szCs w:val="21"/>
    </w:rPr>
  </w:style>
  <w:style w:type="character" w:customStyle="1" w:styleId="123">
    <w:name w:val="日期 字符"/>
    <w:link w:val="20"/>
    <w:qFormat/>
    <w:uiPriority w:val="0"/>
    <w:rPr>
      <w:rFonts w:cs="Times New Roman"/>
      <w:kern w:val="2"/>
      <w:sz w:val="28"/>
    </w:rPr>
  </w:style>
  <w:style w:type="character" w:customStyle="1" w:styleId="124">
    <w:name w:val="正文文本缩进 2 字符"/>
    <w:link w:val="21"/>
    <w:qFormat/>
    <w:uiPriority w:val="0"/>
    <w:rPr>
      <w:rFonts w:cs="Times New Roman"/>
      <w:sz w:val="20"/>
      <w:szCs w:val="20"/>
    </w:rPr>
  </w:style>
  <w:style w:type="character" w:customStyle="1" w:styleId="125">
    <w:name w:val="批注框文本 字符"/>
    <w:basedOn w:val="37"/>
    <w:link w:val="22"/>
    <w:qFormat/>
    <w:uiPriority w:val="0"/>
    <w:rPr>
      <w:rFonts w:ascii="Times New Roman" w:hAnsi="Times New Roman" w:eastAsia="宋体" w:cs="Times New Roman"/>
      <w:kern w:val="2"/>
      <w:sz w:val="18"/>
      <w:szCs w:val="18"/>
    </w:rPr>
  </w:style>
  <w:style w:type="character" w:customStyle="1" w:styleId="126">
    <w:name w:val="页脚 字符"/>
    <w:link w:val="23"/>
    <w:qFormat/>
    <w:uiPriority w:val="99"/>
    <w:rPr>
      <w:rFonts w:cs="Times New Roman"/>
      <w:sz w:val="18"/>
      <w:szCs w:val="18"/>
    </w:rPr>
  </w:style>
  <w:style w:type="character" w:customStyle="1" w:styleId="127">
    <w:name w:val="页眉 字符"/>
    <w:link w:val="24"/>
    <w:qFormat/>
    <w:uiPriority w:val="99"/>
    <w:rPr>
      <w:rFonts w:cs="Times New Roman"/>
      <w:sz w:val="18"/>
      <w:szCs w:val="18"/>
    </w:rPr>
  </w:style>
  <w:style w:type="character" w:customStyle="1" w:styleId="128">
    <w:name w:val="正文文本缩进 3 字符"/>
    <w:link w:val="26"/>
    <w:qFormat/>
    <w:uiPriority w:val="0"/>
    <w:rPr>
      <w:rFonts w:cs="Times New Roman"/>
      <w:kern w:val="2"/>
      <w:sz w:val="16"/>
      <w:szCs w:val="16"/>
    </w:rPr>
  </w:style>
  <w:style w:type="character" w:customStyle="1" w:styleId="129">
    <w:name w:val="正文文本 2 字符"/>
    <w:link w:val="28"/>
    <w:qFormat/>
    <w:uiPriority w:val="0"/>
    <w:rPr>
      <w:rFonts w:cs="Times New Roman"/>
      <w:sz w:val="20"/>
      <w:szCs w:val="20"/>
    </w:rPr>
  </w:style>
  <w:style w:type="character" w:customStyle="1" w:styleId="130">
    <w:name w:val="批注主题 字符"/>
    <w:basedOn w:val="119"/>
    <w:link w:val="31"/>
    <w:qFormat/>
    <w:uiPriority w:val="0"/>
    <w:rPr>
      <w:b/>
      <w:bCs/>
      <w:kern w:val="2"/>
      <w:sz w:val="21"/>
    </w:rPr>
  </w:style>
  <w:style w:type="character" w:customStyle="1" w:styleId="131">
    <w:name w:val="正文文本首行缩进 字符"/>
    <w:link w:val="32"/>
    <w:qFormat/>
    <w:uiPriority w:val="99"/>
    <w:rPr>
      <w:rFonts w:cs="Times New Roman"/>
      <w:kern w:val="2"/>
      <w:sz w:val="21"/>
      <w:szCs w:val="20"/>
    </w:rPr>
  </w:style>
  <w:style w:type="character" w:customStyle="1" w:styleId="132">
    <w:name w:val="普通文字 Char Char2"/>
    <w:qFormat/>
    <w:locked/>
    <w:uiPriority w:val="0"/>
    <w:rPr>
      <w:rFonts w:ascii="宋体" w:hAnsi="Courier New" w:eastAsia="宋体" w:cs="Times New Roman"/>
      <w:kern w:val="2"/>
      <w:sz w:val="21"/>
      <w:lang w:val="en-US" w:eastAsia="zh-CN" w:bidi="ar-SA"/>
    </w:rPr>
  </w:style>
  <w:style w:type="character" w:customStyle="1" w:styleId="133">
    <w:name w:val="_正文段落 Char"/>
    <w:link w:val="46"/>
    <w:qFormat/>
    <w:uiPriority w:val="0"/>
    <w:rPr>
      <w:rFonts w:ascii="仿宋_GB2312" w:eastAsia="仿宋_GB2312"/>
      <w:sz w:val="28"/>
      <w:szCs w:val="24"/>
    </w:rPr>
  </w:style>
  <w:style w:type="character" w:customStyle="1" w:styleId="134">
    <w:name w:val="内容"/>
    <w:qFormat/>
    <w:uiPriority w:val="0"/>
    <w:rPr>
      <w:rFonts w:ascii="华文细黑" w:eastAsia="华文细黑"/>
      <w:color w:val="75787B"/>
      <w:sz w:val="20"/>
      <w:u w:val="none"/>
    </w:rPr>
  </w:style>
  <w:style w:type="character" w:customStyle="1" w:styleId="135">
    <w:name w:val="纯文本 Char1"/>
    <w:qFormat/>
    <w:uiPriority w:val="99"/>
    <w:rPr>
      <w:rFonts w:ascii="宋体" w:hAnsi="Courier New" w:eastAsia="宋体"/>
      <w:kern w:val="2"/>
      <w:sz w:val="21"/>
      <w:lang w:val="en-US" w:eastAsia="zh-CN" w:bidi="ar-SA"/>
    </w:rPr>
  </w:style>
  <w:style w:type="character" w:customStyle="1" w:styleId="136">
    <w:name w:val="ca-31"/>
    <w:qFormat/>
    <w:uiPriority w:val="0"/>
    <w:rPr>
      <w:rFonts w:hint="eastAsia" w:ascii="宋体" w:hAnsi="宋体" w:eastAsia="宋体"/>
      <w:sz w:val="21"/>
      <w:szCs w:val="21"/>
    </w:rPr>
  </w:style>
  <w:style w:type="character" w:customStyle="1" w:styleId="137">
    <w:name w:val="正文2 Char Char"/>
    <w:link w:val="47"/>
    <w:qFormat/>
    <w:uiPriority w:val="0"/>
    <w:rPr>
      <w:rFonts w:eastAsia="宋体"/>
      <w:kern w:val="2"/>
      <w:sz w:val="24"/>
      <w:lang w:val="en-US" w:eastAsia="zh-CN" w:bidi="ar-SA"/>
    </w:rPr>
  </w:style>
  <w:style w:type="character" w:customStyle="1" w:styleId="138">
    <w:name w:val="ca-51"/>
    <w:qFormat/>
    <w:uiPriority w:val="0"/>
    <w:rPr>
      <w:rFonts w:hint="eastAsia" w:ascii="宋体" w:hAnsi="宋体" w:eastAsia="宋体"/>
      <w:color w:val="FF0000"/>
      <w:sz w:val="21"/>
      <w:szCs w:val="21"/>
    </w:rPr>
  </w:style>
  <w:style w:type="character" w:customStyle="1" w:styleId="139">
    <w:name w:val="主体 Char Char"/>
    <w:link w:val="96"/>
    <w:qFormat/>
    <w:uiPriority w:val="99"/>
    <w:rPr>
      <w:rFonts w:ascii="宋体" w:hAnsi="宋体"/>
      <w:kern w:val="58"/>
      <w:sz w:val="24"/>
      <w:szCs w:val="24"/>
    </w:rPr>
  </w:style>
  <w:style w:type="character" w:customStyle="1" w:styleId="140">
    <w:name w:val="表格文字 Char Char"/>
    <w:link w:val="97"/>
    <w:qFormat/>
    <w:uiPriority w:val="99"/>
    <w:rPr>
      <w:rFonts w:ascii="宋体" w:hAnsi="宋体"/>
      <w:bCs/>
      <w:spacing w:val="-4"/>
      <w:sz w:val="32"/>
      <w:szCs w:val="32"/>
      <w:lang w:val="zh-CN"/>
    </w:rPr>
  </w:style>
  <w:style w:type="character" w:customStyle="1" w:styleId="141">
    <w:name w:val="标准正文 Char"/>
    <w:qFormat/>
    <w:uiPriority w:val="0"/>
    <w:rPr>
      <w:kern w:val="2"/>
      <w:sz w:val="24"/>
      <w:szCs w:val="24"/>
    </w:rPr>
  </w:style>
  <w:style w:type="character" w:customStyle="1" w:styleId="142">
    <w:name w:val="标题2 Char Char"/>
    <w:link w:val="99"/>
    <w:qFormat/>
    <w:uiPriority w:val="0"/>
    <w:rPr>
      <w:rFonts w:ascii="宋体"/>
      <w:b/>
      <w:sz w:val="24"/>
    </w:rPr>
  </w:style>
  <w:style w:type="character" w:customStyle="1" w:styleId="143">
    <w:name w:val="font01"/>
    <w:basedOn w:val="37"/>
    <w:qFormat/>
    <w:uiPriority w:val="0"/>
    <w:rPr>
      <w:rFonts w:hint="eastAsia" w:ascii="宋体" w:hAnsi="宋体" w:eastAsia="宋体" w:cs="宋体"/>
      <w:b/>
      <w:color w:val="333333"/>
      <w:sz w:val="24"/>
      <w:szCs w:val="24"/>
      <w:u w:val="none"/>
    </w:rPr>
  </w:style>
  <w:style w:type="character" w:customStyle="1" w:styleId="144">
    <w:name w:val="标题 6 字符"/>
    <w:basedOn w:val="37"/>
    <w:link w:val="8"/>
    <w:semiHidden/>
    <w:qFormat/>
    <w:uiPriority w:val="9"/>
    <w:rPr>
      <w:rFonts w:ascii="Arial" w:hAnsi="Arial" w:eastAsia="黑体" w:cs="黑体"/>
      <w:b/>
      <w:kern w:val="2"/>
      <w:sz w:val="24"/>
      <w:szCs w:val="22"/>
    </w:rPr>
  </w:style>
  <w:style w:type="character" w:customStyle="1" w:styleId="145">
    <w:name w:val="标题 7 字符"/>
    <w:basedOn w:val="37"/>
    <w:link w:val="9"/>
    <w:semiHidden/>
    <w:qFormat/>
    <w:uiPriority w:val="9"/>
    <w:rPr>
      <w:rFonts w:ascii="Calibri" w:hAnsi="Calibri" w:eastAsia="宋体" w:cs="黑体"/>
      <w:b/>
      <w:kern w:val="2"/>
      <w:sz w:val="24"/>
      <w:szCs w:val="22"/>
    </w:rPr>
  </w:style>
  <w:style w:type="character" w:customStyle="1" w:styleId="146">
    <w:name w:val="标题 8 字符"/>
    <w:basedOn w:val="37"/>
    <w:link w:val="10"/>
    <w:semiHidden/>
    <w:qFormat/>
    <w:uiPriority w:val="9"/>
    <w:rPr>
      <w:rFonts w:ascii="Arial" w:hAnsi="Arial" w:eastAsia="黑体" w:cs="黑体"/>
      <w:kern w:val="2"/>
      <w:sz w:val="24"/>
      <w:szCs w:val="22"/>
    </w:rPr>
  </w:style>
  <w:style w:type="character" w:customStyle="1" w:styleId="147">
    <w:name w:val="标题 9 字符"/>
    <w:basedOn w:val="37"/>
    <w:link w:val="11"/>
    <w:semiHidden/>
    <w:qFormat/>
    <w:uiPriority w:val="9"/>
    <w:rPr>
      <w:rFonts w:ascii="Arial" w:hAnsi="Arial" w:eastAsia="黑体" w:cs="黑体"/>
      <w:kern w:val="2"/>
      <w:sz w:val="21"/>
      <w:szCs w:val="22"/>
    </w:rPr>
  </w:style>
  <w:style w:type="character" w:customStyle="1" w:styleId="148">
    <w:name w:val="批注文字 Char1"/>
    <w:qFormat/>
    <w:uiPriority w:val="0"/>
    <w:rPr>
      <w:rFonts w:ascii="Times New Roman" w:hAnsi="Times New Roman" w:eastAsia="宋体" w:cs="Times New Roman"/>
      <w:szCs w:val="20"/>
    </w:rPr>
  </w:style>
  <w:style w:type="paragraph" w:customStyle="1" w:styleId="149">
    <w:name w:val="列表段落11"/>
    <w:basedOn w:val="1"/>
    <w:qFormat/>
    <w:uiPriority w:val="34"/>
    <w:pPr>
      <w:numPr>
        <w:ilvl w:val="0"/>
        <w:numId w:val="2"/>
      </w:numPr>
      <w:snapToGrid w:val="0"/>
      <w:spacing w:line="360" w:lineRule="auto"/>
      <w:jc w:val="left"/>
      <w:outlineLvl w:val="3"/>
    </w:pPr>
    <w:rPr>
      <w:rFonts w:ascii="宋体" w:hAnsi="宋体" w:cs="宋体"/>
      <w:color w:val="0D0D0D" w:themeColor="text1" w:themeTint="F2"/>
      <w:sz w:val="24"/>
      <w:szCs w:val="21"/>
      <w:lang w:val="zh-CN"/>
      <w14:textFill>
        <w14:solidFill>
          <w14:schemeClr w14:val="tx1">
            <w14:lumMod w14:val="95000"/>
            <w14:lumOff w14:val="5000"/>
          </w14:schemeClr>
        </w14:solidFill>
      </w14:textFill>
    </w:rPr>
  </w:style>
  <w:style w:type="paragraph" w:customStyle="1" w:styleId="15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rPr>
  </w:style>
  <w:style w:type="paragraph" w:customStyle="1" w:styleId="151">
    <w:name w:val="正文空格"/>
    <w:basedOn w:val="1"/>
    <w:next w:val="1"/>
    <w:qFormat/>
    <w:uiPriority w:val="0"/>
    <w:pPr>
      <w:spacing w:line="400" w:lineRule="exact"/>
      <w:ind w:firstLine="200" w:firstLineChars="200"/>
    </w:pPr>
    <w:rPr>
      <w:szCs w:val="22"/>
    </w:rPr>
  </w:style>
  <w:style w:type="paragraph" w:customStyle="1" w:styleId="152">
    <w:name w:val="缩进"/>
    <w:basedOn w:val="1"/>
    <w:next w:val="1"/>
    <w:qFormat/>
    <w:uiPriority w:val="0"/>
    <w:pPr>
      <w:spacing w:line="360" w:lineRule="atLeast"/>
      <w:ind w:firstLine="200" w:firstLineChars="200"/>
      <w:jc w:val="left"/>
      <w:textAlignment w:val="baseline"/>
    </w:pPr>
    <w:rPr>
      <w:rFonts w:ascii="Calibri" w:hAnsi="Calibri"/>
      <w:kern w:val="0"/>
      <w:sz w:val="24"/>
    </w:rPr>
  </w:style>
  <w:style w:type="paragraph" w:customStyle="1" w:styleId="153">
    <w:name w:val="列表段落1"/>
    <w:basedOn w:val="1"/>
    <w:qFormat/>
    <w:uiPriority w:val="34"/>
    <w:pPr>
      <w:spacing w:line="360" w:lineRule="auto"/>
      <w:ind w:firstLine="200" w:firstLineChars="200"/>
    </w:pPr>
    <w:rPr>
      <w:rFonts w:eastAsia="楷体_GB2312" w:cs="Lucida Sans"/>
      <w:sz w:val="24"/>
    </w:rPr>
  </w:style>
  <w:style w:type="paragraph" w:customStyle="1" w:styleId="154">
    <w:name w:val="Default"/>
    <w:next w:val="155"/>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5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56">
    <w:name w:val="文档正文"/>
    <w:basedOn w:val="1"/>
    <w:qFormat/>
    <w:uiPriority w:val="0"/>
    <w:pPr>
      <w:spacing w:line="480" w:lineRule="atLeast"/>
      <w:ind w:firstLine="567"/>
      <w:textAlignment w:val="baseline"/>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footer" Target="footer4.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宁波市国际招标有限公司</Company>
  <Pages>73</Pages>
  <Words>40886</Words>
  <Characters>43267</Characters>
  <Lines>312</Lines>
  <Paragraphs>88</Paragraphs>
  <TotalTime>63</TotalTime>
  <ScaleCrop>false</ScaleCrop>
  <LinksUpToDate>false</LinksUpToDate>
  <CharactersWithSpaces>45023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2025-04-01T08:25:00Z</dcterms:created>
  <dc:creator>vivian</dc:creator>
  <cp:lastModifiedBy>史梦铅</cp:lastModifiedBy>
  <cp:lastPrinted>2025-04-03T03:29:00Z</cp:lastPrinted>
  <dcterms:modified xsi:type="dcterms:W3CDTF">2025-04-11T10:32:50Z</dcterms:modified>
  <dc:title>政 府 采 购 招 标 项 目</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96C501E835144EBD9D3595FF710C6DE2</vt:lpwstr>
  </property>
  <property fmtid="{D5CDD505-2E9C-101B-9397-08002B2CF9AE}" pid="4" name="KSOTemplateDocerSaveRecord">
    <vt:lpwstr>eyJoZGlkIjoiZGY5NTNhZmY5MTMyZWI3YWZmNDkyMjU0ZDk4YTZkOGYiLCJ1c2VySWQiOiIyNTE4NzcyNDYifQ==</vt:lpwstr>
  </property>
</Properties>
</file>