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120" w:line="360" w:lineRule="auto"/>
        <w:jc w:val="center"/>
        <w:rPr>
          <w:rFonts w:hint="eastAsia" w:ascii="宋体" w:hAnsi="宋体" w:cs="宋体"/>
          <w:b/>
          <w:bCs/>
          <w:color w:val="000000" w:themeColor="text1"/>
          <w:sz w:val="48"/>
          <w:szCs w:val="48"/>
          <w:highlight w:val="none"/>
          <w14:textFill>
            <w14:solidFill>
              <w14:schemeClr w14:val="tx1"/>
            </w14:solidFill>
          </w14:textFill>
        </w:rPr>
      </w:pPr>
    </w:p>
    <w:p>
      <w:pPr>
        <w:spacing w:after="120" w:line="360" w:lineRule="auto"/>
        <w:jc w:val="center"/>
        <w:rPr>
          <w:rFonts w:ascii="宋体"/>
          <w:b/>
          <w:bCs/>
          <w:color w:val="000000" w:themeColor="text1"/>
          <w:sz w:val="48"/>
          <w:szCs w:val="48"/>
          <w:highlight w:val="none"/>
          <w14:textFill>
            <w14:solidFill>
              <w14:schemeClr w14:val="tx1"/>
            </w14:solidFill>
          </w14:textFill>
        </w:rPr>
      </w:pPr>
      <w:r>
        <w:rPr>
          <w:rFonts w:hint="eastAsia" w:ascii="宋体" w:hAnsi="宋体" w:cs="宋体"/>
          <w:b/>
          <w:bCs/>
          <w:color w:val="000000" w:themeColor="text1"/>
          <w:sz w:val="48"/>
          <w:szCs w:val="48"/>
          <w:highlight w:val="none"/>
          <w14:textFill>
            <w14:solidFill>
              <w14:schemeClr w14:val="tx1"/>
            </w14:solidFill>
          </w14:textFill>
        </w:rPr>
        <w:t>政府采购项目</w:t>
      </w:r>
    </w:p>
    <w:p>
      <w:pPr>
        <w:spacing w:after="120" w:line="360" w:lineRule="auto"/>
        <w:jc w:val="center"/>
        <w:rPr>
          <w:rFonts w:ascii="宋体" w:hAnsi="宋体"/>
          <w:b/>
          <w:color w:val="000000" w:themeColor="text1"/>
          <w:sz w:val="72"/>
          <w:highlight w:val="none"/>
          <w14:textFill>
            <w14:solidFill>
              <w14:schemeClr w14:val="tx1"/>
            </w14:solidFill>
          </w14:textFill>
        </w:rPr>
      </w:pPr>
      <w:r>
        <w:rPr>
          <w:rFonts w:hint="eastAsia" w:ascii="宋体" w:hAnsi="宋体"/>
          <w:b/>
          <w:color w:val="000000" w:themeColor="text1"/>
          <w:sz w:val="72"/>
          <w:highlight w:val="none"/>
          <w14:textFill>
            <w14:solidFill>
              <w14:schemeClr w14:val="tx1"/>
            </w14:solidFill>
          </w14:textFill>
        </w:rPr>
        <w:t>公开招标文件</w:t>
      </w:r>
    </w:p>
    <w:p>
      <w:pPr>
        <w:spacing w:line="360" w:lineRule="auto"/>
        <w:jc w:val="center"/>
        <w:rPr>
          <w:rFonts w:ascii="宋体" w:hAnsi="宋体"/>
          <w:b/>
          <w:color w:val="000000" w:themeColor="text1"/>
          <w:sz w:val="40"/>
          <w:highlight w:val="none"/>
          <w14:textFill>
            <w14:solidFill>
              <w14:schemeClr w14:val="tx1"/>
            </w14:solidFill>
          </w14:textFill>
        </w:rPr>
      </w:pPr>
      <w:r>
        <w:rPr>
          <w:rFonts w:hint="eastAsia" w:ascii="宋体" w:hAnsi="宋体"/>
          <w:b/>
          <w:color w:val="000000" w:themeColor="text1"/>
          <w:sz w:val="40"/>
          <w:highlight w:val="none"/>
          <w14:textFill>
            <w14:solidFill>
              <w14:schemeClr w14:val="tx1"/>
            </w14:solidFill>
          </w14:textFill>
        </w:rPr>
        <w:t>(货物类)</w:t>
      </w:r>
    </w:p>
    <w:p>
      <w:pPr>
        <w:spacing w:line="360" w:lineRule="auto"/>
        <w:jc w:val="center"/>
        <w:rPr>
          <w:rFonts w:ascii="宋体"/>
          <w:b/>
          <w:bCs/>
          <w:color w:val="000000" w:themeColor="text1"/>
          <w:sz w:val="52"/>
          <w:szCs w:val="52"/>
          <w:highlight w:val="none"/>
          <w14:textFill>
            <w14:solidFill>
              <w14:schemeClr w14:val="tx1"/>
            </w14:solidFill>
          </w14:textFill>
        </w:rPr>
      </w:pPr>
    </w:p>
    <w:p>
      <w:pPr>
        <w:spacing w:line="360" w:lineRule="auto"/>
        <w:rPr>
          <w:rFonts w:ascii="宋体"/>
          <w:b/>
          <w:bCs/>
          <w:color w:val="000000" w:themeColor="text1"/>
          <w:highlight w:val="none"/>
          <w14:textFill>
            <w14:solidFill>
              <w14:schemeClr w14:val="tx1"/>
            </w14:solidFill>
          </w14:textFill>
        </w:rPr>
      </w:pPr>
    </w:p>
    <w:p>
      <w:pPr>
        <w:spacing w:line="360" w:lineRule="auto"/>
        <w:ind w:firstLine="529" w:firstLineChars="147"/>
        <w:rPr>
          <w:rFonts w:hint="eastAsia" w:ascii="宋体" w:eastAsia="宋体"/>
          <w:b/>
          <w:bCs/>
          <w:color w:val="000000" w:themeColor="text1"/>
          <w:sz w:val="36"/>
          <w:szCs w:val="36"/>
          <w:highlight w:val="none"/>
          <w:u w:val="single"/>
          <w:lang w:val="en-US" w:eastAsia="zh-CN"/>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招标编号：</w:t>
      </w:r>
      <w:r>
        <w:rPr>
          <w:rFonts w:hint="eastAsia" w:ascii="宋体" w:hAnsi="宋体" w:cs="宋体"/>
          <w:b/>
          <w:bCs/>
          <w:color w:val="000000" w:themeColor="text1"/>
          <w:sz w:val="36"/>
          <w:szCs w:val="36"/>
          <w:highlight w:val="none"/>
          <w:u w:val="single"/>
          <w:lang w:eastAsia="zh-CN"/>
          <w14:textFill>
            <w14:solidFill>
              <w14:schemeClr w14:val="tx1"/>
            </w14:solidFill>
          </w14:textFill>
        </w:rPr>
        <w:t>NBGODOZB224313G</w:t>
      </w:r>
    </w:p>
    <w:p>
      <w:pPr>
        <w:spacing w:line="360" w:lineRule="auto"/>
        <w:rPr>
          <w:rFonts w:ascii="宋体"/>
          <w:b/>
          <w:bCs/>
          <w:color w:val="000000" w:themeColor="text1"/>
          <w:sz w:val="36"/>
          <w:szCs w:val="36"/>
          <w:highlight w:val="none"/>
          <w14:textFill>
            <w14:solidFill>
              <w14:schemeClr w14:val="tx1"/>
            </w14:solidFill>
          </w14:textFill>
        </w:rPr>
      </w:pPr>
    </w:p>
    <w:p>
      <w:pPr>
        <w:spacing w:line="360" w:lineRule="auto"/>
        <w:rPr>
          <w:rFonts w:ascii="宋体"/>
          <w:b/>
          <w:bCs/>
          <w:color w:val="000000" w:themeColor="text1"/>
          <w:sz w:val="36"/>
          <w:szCs w:val="36"/>
          <w:highlight w:val="none"/>
          <w14:textFill>
            <w14:solidFill>
              <w14:schemeClr w14:val="tx1"/>
            </w14:solidFill>
          </w14:textFill>
        </w:rPr>
      </w:pPr>
    </w:p>
    <w:p>
      <w:pPr>
        <w:spacing w:line="360" w:lineRule="auto"/>
        <w:ind w:firstLine="529" w:firstLineChars="147"/>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rPr>
        <w:t>项目名称：</w:t>
      </w:r>
      <w:r>
        <w:rPr>
          <w:rFonts w:hint="eastAsia" w:ascii="宋体" w:hAnsi="宋体" w:cs="宋体"/>
          <w:b/>
          <w:bCs/>
          <w:color w:val="auto"/>
          <w:sz w:val="36"/>
          <w:szCs w:val="36"/>
          <w:highlight w:val="none"/>
          <w:u w:val="single"/>
          <w:lang w:eastAsia="zh-CN"/>
        </w:rPr>
        <w:t>宁波法院信息化基础支撑体系集约化</w:t>
      </w:r>
    </w:p>
    <w:p>
      <w:pPr>
        <w:tabs>
          <w:tab w:val="left" w:pos="6510"/>
        </w:tabs>
        <w:spacing w:line="360" w:lineRule="auto"/>
        <w:ind w:firstLine="360" w:firstLineChars="100"/>
        <w:rPr>
          <w:rFonts w:ascii="宋体"/>
          <w:b/>
          <w:bCs/>
          <w:color w:val="0000FF"/>
          <w:sz w:val="36"/>
          <w:szCs w:val="36"/>
          <w:highlight w:val="none"/>
        </w:rPr>
      </w:pPr>
      <w:r>
        <w:rPr>
          <w:rFonts w:ascii="宋体"/>
          <w:b/>
          <w:bCs/>
          <w:color w:val="0000FF"/>
          <w:sz w:val="36"/>
          <w:szCs w:val="36"/>
          <w:highlight w:val="none"/>
        </w:rPr>
        <w:tab/>
      </w:r>
    </w:p>
    <w:p>
      <w:pPr>
        <w:spacing w:line="360" w:lineRule="auto"/>
        <w:ind w:left="361" w:leftChars="172" w:firstLine="180" w:firstLineChars="50"/>
        <w:rPr>
          <w:rFonts w:ascii="宋体"/>
          <w:b/>
          <w:bCs/>
          <w:color w:val="0000FF"/>
          <w:sz w:val="36"/>
          <w:szCs w:val="36"/>
          <w:highlight w:val="none"/>
        </w:rPr>
      </w:pPr>
    </w:p>
    <w:p>
      <w:pPr>
        <w:spacing w:line="360" w:lineRule="auto"/>
        <w:ind w:left="361" w:leftChars="172" w:firstLine="180" w:firstLineChars="50"/>
        <w:rPr>
          <w:rFonts w:hint="eastAsia" w:ascii="宋体" w:eastAsia="宋体"/>
          <w:b/>
          <w:bCs/>
          <w:color w:val="auto"/>
          <w:sz w:val="34"/>
          <w:szCs w:val="34"/>
          <w:highlight w:val="none"/>
          <w:u w:val="single"/>
          <w:lang w:eastAsia="zh-CN"/>
        </w:rPr>
      </w:pPr>
      <w:r>
        <w:rPr>
          <w:rFonts w:hint="eastAsia" w:ascii="宋体" w:hAnsi="宋体" w:cs="宋体"/>
          <w:b/>
          <w:bCs/>
          <w:color w:val="auto"/>
          <w:sz w:val="36"/>
          <w:szCs w:val="36"/>
          <w:highlight w:val="none"/>
        </w:rPr>
        <w:t>采</w:t>
      </w:r>
      <w:r>
        <w:rPr>
          <w:rFonts w:hint="eastAsia" w:ascii="宋体" w:hAnsi="宋体" w:cs="宋体"/>
          <w:b/>
          <w:bCs/>
          <w:color w:val="auto"/>
          <w:sz w:val="36"/>
          <w:szCs w:val="36"/>
          <w:highlight w:val="none"/>
          <w:lang w:val="en-US" w:eastAsia="zh-CN"/>
        </w:rPr>
        <w:t xml:space="preserve"> </w:t>
      </w:r>
      <w:r>
        <w:rPr>
          <w:rFonts w:hint="eastAsia" w:ascii="宋体" w:hAnsi="宋体" w:cs="宋体"/>
          <w:b/>
          <w:bCs/>
          <w:color w:val="auto"/>
          <w:sz w:val="36"/>
          <w:szCs w:val="36"/>
          <w:highlight w:val="none"/>
        </w:rPr>
        <w:t>购</w:t>
      </w:r>
      <w:r>
        <w:rPr>
          <w:rFonts w:hint="eastAsia" w:ascii="宋体" w:hAnsi="宋体" w:cs="宋体"/>
          <w:b/>
          <w:bCs/>
          <w:color w:val="auto"/>
          <w:sz w:val="36"/>
          <w:szCs w:val="36"/>
          <w:highlight w:val="none"/>
          <w:lang w:val="en-US" w:eastAsia="zh-CN"/>
        </w:rPr>
        <w:t xml:space="preserve"> </w:t>
      </w:r>
      <w:r>
        <w:rPr>
          <w:rFonts w:hint="eastAsia" w:ascii="宋体" w:hAnsi="宋体" w:cs="宋体"/>
          <w:b/>
          <w:bCs/>
          <w:color w:val="auto"/>
          <w:sz w:val="36"/>
          <w:szCs w:val="36"/>
          <w:highlight w:val="none"/>
        </w:rPr>
        <w:t>人：</w:t>
      </w:r>
      <w:r>
        <w:rPr>
          <w:rFonts w:hint="eastAsia" w:ascii="宋体" w:hAnsi="宋体" w:cs="宋体"/>
          <w:b/>
          <w:bCs/>
          <w:color w:val="auto"/>
          <w:sz w:val="36"/>
          <w:szCs w:val="36"/>
          <w:highlight w:val="none"/>
          <w:u w:val="single"/>
          <w:lang w:eastAsia="zh-CN"/>
        </w:rPr>
        <w:t>宁波市中级人民法院</w:t>
      </w:r>
    </w:p>
    <w:p>
      <w:pPr>
        <w:spacing w:line="360" w:lineRule="auto"/>
        <w:rPr>
          <w:rFonts w:ascii="宋体"/>
          <w:b/>
          <w:bCs/>
          <w:color w:val="000000" w:themeColor="text1"/>
          <w:sz w:val="36"/>
          <w:szCs w:val="36"/>
          <w:highlight w:val="none"/>
          <w14:textFill>
            <w14:solidFill>
              <w14:schemeClr w14:val="tx1"/>
            </w14:solidFill>
          </w14:textFill>
        </w:rPr>
      </w:pPr>
    </w:p>
    <w:p>
      <w:pPr>
        <w:pStyle w:val="17"/>
        <w:rPr>
          <w:highlight w:val="none"/>
        </w:rPr>
      </w:pPr>
    </w:p>
    <w:p>
      <w:pPr>
        <w:spacing w:line="360" w:lineRule="auto"/>
        <w:ind w:firstLine="360" w:firstLineChars="100"/>
        <w:rPr>
          <w:rFonts w:ascii="宋体"/>
          <w:b/>
          <w:bCs/>
          <w:color w:val="000000" w:themeColor="text1"/>
          <w:sz w:val="36"/>
          <w:szCs w:val="36"/>
          <w:highlight w:val="none"/>
          <w14:textFill>
            <w14:solidFill>
              <w14:schemeClr w14:val="tx1"/>
            </w14:solidFill>
          </w14:textFill>
        </w:rPr>
      </w:pPr>
    </w:p>
    <w:p>
      <w:pPr>
        <w:pStyle w:val="17"/>
        <w:rPr>
          <w:highlight w:val="none"/>
        </w:rPr>
      </w:pPr>
    </w:p>
    <w:p>
      <w:pPr>
        <w:spacing w:line="360" w:lineRule="auto"/>
        <w:ind w:firstLine="540" w:firstLineChars="150"/>
        <w:rPr>
          <w:rFonts w:asci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采购代理机构：</w:t>
      </w:r>
      <w:r>
        <w:rPr>
          <w:rFonts w:hint="eastAsia" w:ascii="宋体" w:hAnsi="宋体"/>
          <w:b/>
          <w:color w:val="000000" w:themeColor="text1"/>
          <w:sz w:val="36"/>
          <w:szCs w:val="36"/>
          <w:highlight w:val="none"/>
          <w:u w:val="single"/>
          <w14:textFill>
            <w14:solidFill>
              <w14:schemeClr w14:val="tx1"/>
            </w14:solidFill>
          </w14:textFill>
        </w:rPr>
        <w:t>宁波国际投资咨询有限公司</w:t>
      </w:r>
    </w:p>
    <w:p>
      <w:pPr>
        <w:spacing w:line="360" w:lineRule="auto"/>
        <w:jc w:val="center"/>
        <w:rPr>
          <w:rFonts w:ascii="宋体"/>
          <w:b/>
          <w:bCs/>
          <w:color w:val="000000" w:themeColor="text1"/>
          <w:sz w:val="36"/>
          <w:szCs w:val="36"/>
          <w:highlight w:val="none"/>
          <w14:textFill>
            <w14:solidFill>
              <w14:schemeClr w14:val="tx1"/>
            </w14:solidFill>
          </w14:textFill>
        </w:rPr>
      </w:pPr>
    </w:p>
    <w:p>
      <w:pPr>
        <w:pStyle w:val="2"/>
        <w:rPr>
          <w:rFonts w:cs="Times New Roman"/>
          <w:color w:val="000000" w:themeColor="text1"/>
          <w:highlight w:val="none"/>
          <w14:textFill>
            <w14:solidFill>
              <w14:schemeClr w14:val="tx1"/>
            </w14:solidFill>
          </w14:textFill>
        </w:rPr>
      </w:pPr>
    </w:p>
    <w:p>
      <w:pPr>
        <w:spacing w:line="240" w:lineRule="auto"/>
        <w:jc w:val="center"/>
        <w:rPr>
          <w:rFonts w:ascii="宋体"/>
          <w:b/>
          <w:bCs/>
          <w:color w:val="000000" w:themeColor="text1"/>
          <w:sz w:val="36"/>
          <w:szCs w:val="36"/>
          <w:highlight w:val="none"/>
          <w14:textFill>
            <w14:solidFill>
              <w14:schemeClr w14:val="tx1"/>
            </w14:solidFill>
          </w14:textFill>
        </w:rPr>
      </w:pPr>
      <w:r>
        <w:rPr>
          <w:rFonts w:ascii="宋体" w:hAnsi="宋体" w:cs="宋体"/>
          <w:b/>
          <w:bCs/>
          <w:color w:val="000000" w:themeColor="text1"/>
          <w:sz w:val="36"/>
          <w:szCs w:val="36"/>
          <w:highlight w:val="none"/>
          <w14:textFill>
            <w14:solidFill>
              <w14:schemeClr w14:val="tx1"/>
            </w14:solidFill>
          </w14:textFill>
        </w:rPr>
        <w:t>202</w:t>
      </w:r>
      <w:r>
        <w:rPr>
          <w:rFonts w:hint="eastAsia" w:ascii="宋体" w:hAnsi="宋体" w:cs="宋体"/>
          <w:b/>
          <w:bCs/>
          <w:color w:val="000000" w:themeColor="text1"/>
          <w:sz w:val="36"/>
          <w:szCs w:val="36"/>
          <w:highlight w:val="none"/>
          <w14:textFill>
            <w14:solidFill>
              <w14:schemeClr w14:val="tx1"/>
            </w14:solidFill>
          </w14:textFill>
        </w:rPr>
        <w:t>4年</w:t>
      </w:r>
      <w:r>
        <w:rPr>
          <w:rFonts w:hint="eastAsia" w:ascii="宋体" w:hAnsi="宋体" w:cs="宋体"/>
          <w:b/>
          <w:bCs/>
          <w:color w:val="000000" w:themeColor="text1"/>
          <w:sz w:val="36"/>
          <w:szCs w:val="36"/>
          <w:highlight w:val="none"/>
          <w:lang w:val="en-US" w:eastAsia="zh-CN"/>
          <w14:textFill>
            <w14:solidFill>
              <w14:schemeClr w14:val="tx1"/>
            </w14:solidFill>
          </w14:textFill>
        </w:rPr>
        <w:t>11</w:t>
      </w:r>
      <w:r>
        <w:rPr>
          <w:rFonts w:hint="eastAsia" w:ascii="宋体" w:hAnsi="宋体" w:cs="宋体"/>
          <w:b/>
          <w:bCs/>
          <w:color w:val="000000" w:themeColor="text1"/>
          <w:sz w:val="36"/>
          <w:szCs w:val="36"/>
          <w:highlight w:val="none"/>
          <w14:textFill>
            <w14:solidFill>
              <w14:schemeClr w14:val="tx1"/>
            </w14:solidFill>
          </w14:textFill>
        </w:rPr>
        <w:t>月</w:t>
      </w:r>
    </w:p>
    <w:p>
      <w:pPr>
        <w:spacing w:line="360" w:lineRule="auto"/>
        <w:rPr>
          <w:rFonts w:ascii="宋体"/>
          <w:b/>
          <w:bCs/>
          <w:color w:val="000000" w:themeColor="text1"/>
          <w:sz w:val="36"/>
          <w:szCs w:val="36"/>
          <w:highlight w:val="none"/>
          <w14:textFill>
            <w14:solidFill>
              <w14:schemeClr w14:val="tx1"/>
            </w14:solidFill>
          </w14:textFill>
        </w:rPr>
      </w:pPr>
    </w:p>
    <w:p>
      <w:pPr>
        <w:spacing w:line="360" w:lineRule="auto"/>
        <w:jc w:val="center"/>
        <w:rPr>
          <w:rFonts w:ascii="宋体" w:hAnsi="宋体" w:cs="宋体"/>
          <w:b/>
          <w:bCs/>
          <w:color w:val="000000" w:themeColor="text1"/>
          <w:sz w:val="36"/>
          <w:szCs w:val="36"/>
          <w:highlight w:val="none"/>
          <w14:textFill>
            <w14:solidFill>
              <w14:schemeClr w14:val="tx1"/>
            </w14:solidFill>
          </w14:textFill>
        </w:rPr>
        <w:sectPr>
          <w:headerReference r:id="rId3" w:type="default"/>
          <w:footerReference r:id="rId4" w:type="default"/>
          <w:pgSz w:w="11907" w:h="16840"/>
          <w:pgMar w:top="1276" w:right="1417" w:bottom="1276" w:left="1560" w:header="720" w:footer="720" w:gutter="0"/>
          <w:pgBorders>
            <w:top w:val="none" w:sz="0" w:space="0"/>
            <w:left w:val="none" w:sz="0" w:space="0"/>
            <w:bottom w:val="none" w:sz="0" w:space="0"/>
            <w:right w:val="none" w:sz="0" w:space="0"/>
          </w:pgBorders>
          <w:pgNumType w:start="1"/>
          <w:cols w:space="720" w:num="1"/>
          <w:docGrid w:type="linesAndChars" w:linePitch="285" w:charSpace="0"/>
        </w:sectPr>
      </w:pPr>
    </w:p>
    <w:p>
      <w:pPr>
        <w:spacing w:line="360" w:lineRule="auto"/>
        <w:jc w:val="center"/>
        <w:rPr>
          <w:rFonts w:asci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目  录</w:t>
      </w:r>
    </w:p>
    <w:p>
      <w:pPr>
        <w:spacing w:line="360" w:lineRule="auto"/>
        <w:jc w:val="center"/>
        <w:rPr>
          <w:rFonts w:ascii="宋体"/>
          <w:b/>
          <w:bCs/>
          <w:color w:val="000000" w:themeColor="text1"/>
          <w:sz w:val="36"/>
          <w:szCs w:val="36"/>
          <w:highlight w:val="none"/>
          <w14:textFill>
            <w14:solidFill>
              <w14:schemeClr w14:val="tx1"/>
            </w14:solidFill>
          </w14:textFill>
        </w:rPr>
      </w:pPr>
    </w:p>
    <w:p>
      <w:pPr>
        <w:pStyle w:val="28"/>
        <w:tabs>
          <w:tab w:val="right" w:leader="dot" w:pos="8930"/>
        </w:tabs>
      </w:pPr>
      <w:r>
        <w:rPr>
          <w:rFonts w:cs="宋体" w:asciiTheme="majorEastAsia" w:hAnsiTheme="majorEastAsia" w:eastAsiaTheme="majorEastAsia"/>
          <w:b/>
          <w:bCs/>
          <w:color w:val="000000" w:themeColor="text1"/>
          <w:highlight w:val="none"/>
          <w14:textFill>
            <w14:solidFill>
              <w14:schemeClr w14:val="tx1"/>
            </w14:solidFill>
          </w14:textFill>
        </w:rPr>
        <w:fldChar w:fldCharType="begin"/>
      </w:r>
      <w:r>
        <w:rPr>
          <w:rFonts w:cs="宋体" w:asciiTheme="majorEastAsia" w:hAnsiTheme="majorEastAsia" w:eastAsiaTheme="majorEastAsia"/>
          <w:b/>
          <w:bCs/>
          <w:color w:val="000000" w:themeColor="text1"/>
          <w:highlight w:val="none"/>
          <w14:textFill>
            <w14:solidFill>
              <w14:schemeClr w14:val="tx1"/>
            </w14:solidFill>
          </w14:textFill>
        </w:rPr>
        <w:instrText xml:space="preserve"> TOC \o "1-3" \h \z \u </w:instrText>
      </w:r>
      <w:r>
        <w:rPr>
          <w:rFonts w:cs="宋体" w:asciiTheme="majorEastAsia" w:hAnsiTheme="majorEastAsia" w:eastAsiaTheme="majorEastAsia"/>
          <w:b/>
          <w:bCs/>
          <w:color w:val="000000" w:themeColor="text1"/>
          <w:highlight w:val="none"/>
          <w14:textFill>
            <w14:solidFill>
              <w14:schemeClr w14:val="tx1"/>
            </w14:solidFill>
          </w14:textFill>
        </w:rPr>
        <w:fldChar w:fldCharType="separate"/>
      </w:r>
      <w:r>
        <w:rPr>
          <w:rFonts w:cs="宋体" w:asciiTheme="majorEastAsia" w:hAnsiTheme="majorEastAsia" w:eastAsiaTheme="majorEastAsia"/>
          <w:bCs/>
          <w:color w:val="000000" w:themeColor="text1"/>
          <w:szCs w:val="24"/>
          <w:highlight w:val="none"/>
          <w14:textFill>
            <w14:solidFill>
              <w14:schemeClr w14:val="tx1"/>
            </w14:solidFill>
          </w14:textFill>
        </w:rPr>
        <w:fldChar w:fldCharType="begin"/>
      </w:r>
      <w:r>
        <w:rPr>
          <w:rFonts w:cs="宋体" w:asciiTheme="majorEastAsia" w:hAnsiTheme="majorEastAsia" w:eastAsiaTheme="majorEastAsia"/>
          <w:bCs/>
          <w:szCs w:val="24"/>
          <w:highlight w:val="none"/>
        </w:rPr>
        <w:instrText xml:space="preserve"> HYPERLINK \l _Toc21124 </w:instrText>
      </w:r>
      <w:r>
        <w:rPr>
          <w:rFonts w:cs="宋体" w:asciiTheme="majorEastAsia" w:hAnsiTheme="majorEastAsia" w:eastAsiaTheme="majorEastAsia"/>
          <w:bCs/>
          <w:szCs w:val="24"/>
          <w:highlight w:val="none"/>
        </w:rPr>
        <w:fldChar w:fldCharType="separate"/>
      </w:r>
      <w:r>
        <w:rPr>
          <w:rFonts w:hint="eastAsia" w:ascii="宋体" w:hAnsi="宋体" w:cs="宋体"/>
          <w:szCs w:val="32"/>
          <w:highlight w:val="none"/>
        </w:rPr>
        <w:t>第一部分 采购公告（投标邀请）</w:t>
      </w:r>
      <w:r>
        <w:tab/>
      </w:r>
      <w:r>
        <w:fldChar w:fldCharType="begin"/>
      </w:r>
      <w:r>
        <w:instrText xml:space="preserve"> PAGEREF _Toc21124 \h </w:instrText>
      </w:r>
      <w:r>
        <w:fldChar w:fldCharType="separate"/>
      </w:r>
      <w:r>
        <w:t>2</w:t>
      </w:r>
      <w:r>
        <w:fldChar w:fldCharType="end"/>
      </w:r>
      <w:r>
        <w:rPr>
          <w:rFonts w:cs="宋体" w:asciiTheme="majorEastAsia" w:hAnsiTheme="majorEastAsia" w:eastAsiaTheme="majorEastAsia"/>
          <w:bCs/>
          <w:color w:val="000000" w:themeColor="text1"/>
          <w:szCs w:val="24"/>
          <w:highlight w:val="none"/>
          <w14:textFill>
            <w14:solidFill>
              <w14:schemeClr w14:val="tx1"/>
            </w14:solidFill>
          </w14:textFill>
        </w:rPr>
        <w:fldChar w:fldCharType="end"/>
      </w:r>
    </w:p>
    <w:p>
      <w:pPr>
        <w:pStyle w:val="28"/>
        <w:tabs>
          <w:tab w:val="right" w:leader="dot" w:pos="8930"/>
        </w:tabs>
      </w:pPr>
      <w:r>
        <w:rPr>
          <w:rFonts w:cs="宋体" w:asciiTheme="majorEastAsia" w:hAnsiTheme="majorEastAsia" w:eastAsiaTheme="majorEastAsia"/>
          <w:bCs/>
          <w:color w:val="000000" w:themeColor="text1"/>
          <w:szCs w:val="24"/>
          <w:highlight w:val="none"/>
          <w14:textFill>
            <w14:solidFill>
              <w14:schemeClr w14:val="tx1"/>
            </w14:solidFill>
          </w14:textFill>
        </w:rPr>
        <w:fldChar w:fldCharType="begin"/>
      </w:r>
      <w:r>
        <w:rPr>
          <w:rFonts w:cs="宋体" w:asciiTheme="majorEastAsia" w:hAnsiTheme="majorEastAsia" w:eastAsiaTheme="majorEastAsia"/>
          <w:bCs/>
          <w:szCs w:val="24"/>
          <w:highlight w:val="none"/>
        </w:rPr>
        <w:instrText xml:space="preserve"> HYPERLINK \l _Toc14353 </w:instrText>
      </w:r>
      <w:r>
        <w:rPr>
          <w:rFonts w:cs="宋体" w:asciiTheme="majorEastAsia" w:hAnsiTheme="majorEastAsia" w:eastAsiaTheme="majorEastAsia"/>
          <w:bCs/>
          <w:szCs w:val="24"/>
          <w:highlight w:val="none"/>
        </w:rPr>
        <w:fldChar w:fldCharType="separate"/>
      </w:r>
      <w:r>
        <w:rPr>
          <w:rFonts w:hint="eastAsia" w:ascii="宋体" w:hAnsi="宋体" w:cs="宋体"/>
          <w:szCs w:val="32"/>
          <w:highlight w:val="none"/>
        </w:rPr>
        <w:t>第二部分 招标项目需求</w:t>
      </w:r>
      <w:r>
        <w:tab/>
      </w:r>
      <w:r>
        <w:fldChar w:fldCharType="begin"/>
      </w:r>
      <w:r>
        <w:instrText xml:space="preserve"> PAGEREF _Toc14353 \h </w:instrText>
      </w:r>
      <w:r>
        <w:fldChar w:fldCharType="separate"/>
      </w:r>
      <w:r>
        <w:t>6</w:t>
      </w:r>
      <w:r>
        <w:fldChar w:fldCharType="end"/>
      </w:r>
      <w:r>
        <w:rPr>
          <w:rFonts w:cs="宋体" w:asciiTheme="majorEastAsia" w:hAnsiTheme="majorEastAsia" w:eastAsiaTheme="majorEastAsia"/>
          <w:bCs/>
          <w:color w:val="000000" w:themeColor="text1"/>
          <w:szCs w:val="24"/>
          <w:highlight w:val="none"/>
          <w14:textFill>
            <w14:solidFill>
              <w14:schemeClr w14:val="tx1"/>
            </w14:solidFill>
          </w14:textFill>
        </w:rPr>
        <w:fldChar w:fldCharType="end"/>
      </w:r>
    </w:p>
    <w:p>
      <w:pPr>
        <w:pStyle w:val="28"/>
        <w:tabs>
          <w:tab w:val="right" w:leader="dot" w:pos="8930"/>
        </w:tabs>
      </w:pPr>
      <w:r>
        <w:rPr>
          <w:rFonts w:cs="宋体" w:asciiTheme="majorEastAsia" w:hAnsiTheme="majorEastAsia" w:eastAsiaTheme="majorEastAsia"/>
          <w:bCs/>
          <w:color w:val="000000" w:themeColor="text1"/>
          <w:szCs w:val="24"/>
          <w:highlight w:val="none"/>
          <w14:textFill>
            <w14:solidFill>
              <w14:schemeClr w14:val="tx1"/>
            </w14:solidFill>
          </w14:textFill>
        </w:rPr>
        <w:fldChar w:fldCharType="begin"/>
      </w:r>
      <w:r>
        <w:rPr>
          <w:rFonts w:cs="宋体" w:asciiTheme="majorEastAsia" w:hAnsiTheme="majorEastAsia" w:eastAsiaTheme="majorEastAsia"/>
          <w:bCs/>
          <w:szCs w:val="24"/>
          <w:highlight w:val="none"/>
        </w:rPr>
        <w:instrText xml:space="preserve"> HYPERLINK \l _Toc19661 </w:instrText>
      </w:r>
      <w:r>
        <w:rPr>
          <w:rFonts w:cs="宋体" w:asciiTheme="majorEastAsia" w:hAnsiTheme="majorEastAsia" w:eastAsiaTheme="majorEastAsia"/>
          <w:bCs/>
          <w:szCs w:val="24"/>
          <w:highlight w:val="none"/>
        </w:rPr>
        <w:fldChar w:fldCharType="separate"/>
      </w:r>
      <w:r>
        <w:rPr>
          <w:rFonts w:hint="eastAsia" w:cs="宋体"/>
          <w:szCs w:val="32"/>
          <w:highlight w:val="none"/>
        </w:rPr>
        <w:t>第三部分 投标资料表</w:t>
      </w:r>
      <w:r>
        <w:tab/>
      </w:r>
      <w:r>
        <w:fldChar w:fldCharType="begin"/>
      </w:r>
      <w:r>
        <w:instrText xml:space="preserve"> PAGEREF _Toc19661 \h </w:instrText>
      </w:r>
      <w:r>
        <w:fldChar w:fldCharType="separate"/>
      </w:r>
      <w:r>
        <w:t>28</w:t>
      </w:r>
      <w:r>
        <w:fldChar w:fldCharType="end"/>
      </w:r>
      <w:r>
        <w:rPr>
          <w:rFonts w:cs="宋体" w:asciiTheme="majorEastAsia" w:hAnsiTheme="majorEastAsia" w:eastAsiaTheme="majorEastAsia"/>
          <w:bCs/>
          <w:color w:val="000000" w:themeColor="text1"/>
          <w:szCs w:val="24"/>
          <w:highlight w:val="none"/>
          <w14:textFill>
            <w14:solidFill>
              <w14:schemeClr w14:val="tx1"/>
            </w14:solidFill>
          </w14:textFill>
        </w:rPr>
        <w:fldChar w:fldCharType="end"/>
      </w:r>
    </w:p>
    <w:p>
      <w:pPr>
        <w:pStyle w:val="28"/>
        <w:tabs>
          <w:tab w:val="right" w:leader="dot" w:pos="8930"/>
        </w:tabs>
      </w:pPr>
      <w:r>
        <w:rPr>
          <w:rFonts w:cs="宋体" w:asciiTheme="majorEastAsia" w:hAnsiTheme="majorEastAsia" w:eastAsiaTheme="majorEastAsia"/>
          <w:bCs/>
          <w:color w:val="000000" w:themeColor="text1"/>
          <w:szCs w:val="24"/>
          <w:highlight w:val="none"/>
          <w14:textFill>
            <w14:solidFill>
              <w14:schemeClr w14:val="tx1"/>
            </w14:solidFill>
          </w14:textFill>
        </w:rPr>
        <w:fldChar w:fldCharType="begin"/>
      </w:r>
      <w:r>
        <w:rPr>
          <w:rFonts w:cs="宋体" w:asciiTheme="majorEastAsia" w:hAnsiTheme="majorEastAsia" w:eastAsiaTheme="majorEastAsia"/>
          <w:bCs/>
          <w:szCs w:val="24"/>
          <w:highlight w:val="none"/>
        </w:rPr>
        <w:instrText xml:space="preserve"> HYPERLINK \l _Toc13520 </w:instrText>
      </w:r>
      <w:r>
        <w:rPr>
          <w:rFonts w:cs="宋体" w:asciiTheme="majorEastAsia" w:hAnsiTheme="majorEastAsia" w:eastAsiaTheme="majorEastAsia"/>
          <w:bCs/>
          <w:szCs w:val="24"/>
          <w:highlight w:val="none"/>
        </w:rPr>
        <w:fldChar w:fldCharType="separate"/>
      </w:r>
      <w:r>
        <w:rPr>
          <w:rFonts w:hint="eastAsia"/>
          <w:szCs w:val="32"/>
          <w:highlight w:val="none"/>
        </w:rPr>
        <w:t>第四部分 投标人须知</w:t>
      </w:r>
      <w:r>
        <w:tab/>
      </w:r>
      <w:r>
        <w:fldChar w:fldCharType="begin"/>
      </w:r>
      <w:r>
        <w:instrText xml:space="preserve"> PAGEREF _Toc13520 \h </w:instrText>
      </w:r>
      <w:r>
        <w:fldChar w:fldCharType="separate"/>
      </w:r>
      <w:r>
        <w:t>31</w:t>
      </w:r>
      <w:r>
        <w:fldChar w:fldCharType="end"/>
      </w:r>
      <w:r>
        <w:rPr>
          <w:rFonts w:cs="宋体" w:asciiTheme="majorEastAsia" w:hAnsiTheme="majorEastAsia" w:eastAsiaTheme="majorEastAsia"/>
          <w:bCs/>
          <w:color w:val="000000" w:themeColor="text1"/>
          <w:szCs w:val="24"/>
          <w:highlight w:val="none"/>
          <w14:textFill>
            <w14:solidFill>
              <w14:schemeClr w14:val="tx1"/>
            </w14:solidFill>
          </w14:textFill>
        </w:rPr>
        <w:fldChar w:fldCharType="end"/>
      </w:r>
    </w:p>
    <w:p>
      <w:pPr>
        <w:pStyle w:val="28"/>
        <w:tabs>
          <w:tab w:val="right" w:leader="dot" w:pos="8930"/>
        </w:tabs>
      </w:pPr>
      <w:r>
        <w:rPr>
          <w:rFonts w:cs="宋体" w:asciiTheme="majorEastAsia" w:hAnsiTheme="majorEastAsia" w:eastAsiaTheme="majorEastAsia"/>
          <w:bCs/>
          <w:color w:val="000000" w:themeColor="text1"/>
          <w:szCs w:val="24"/>
          <w:highlight w:val="none"/>
          <w14:textFill>
            <w14:solidFill>
              <w14:schemeClr w14:val="tx1"/>
            </w14:solidFill>
          </w14:textFill>
        </w:rPr>
        <w:fldChar w:fldCharType="begin"/>
      </w:r>
      <w:r>
        <w:rPr>
          <w:rFonts w:cs="宋体" w:asciiTheme="majorEastAsia" w:hAnsiTheme="majorEastAsia" w:eastAsiaTheme="majorEastAsia"/>
          <w:bCs/>
          <w:szCs w:val="24"/>
          <w:highlight w:val="none"/>
        </w:rPr>
        <w:instrText xml:space="preserve"> HYPERLINK \l _Toc22320 </w:instrText>
      </w:r>
      <w:r>
        <w:rPr>
          <w:rFonts w:cs="宋体" w:asciiTheme="majorEastAsia" w:hAnsiTheme="majorEastAsia" w:eastAsiaTheme="majorEastAsia"/>
          <w:bCs/>
          <w:szCs w:val="24"/>
          <w:highlight w:val="none"/>
        </w:rPr>
        <w:fldChar w:fldCharType="separate"/>
      </w:r>
      <w:r>
        <w:rPr>
          <w:rFonts w:hint="eastAsia" w:ascii="宋体" w:hAnsi="宋体" w:cs="宋体"/>
          <w:szCs w:val="32"/>
        </w:rPr>
        <w:t xml:space="preserve">第五部分 </w:t>
      </w:r>
      <w:r>
        <w:rPr>
          <w:rFonts w:hint="eastAsia" w:ascii="宋体" w:hAnsi="宋体" w:cs="宋体"/>
          <w:szCs w:val="32"/>
          <w:highlight w:val="none"/>
        </w:rPr>
        <w:t>合同格式</w:t>
      </w:r>
      <w:r>
        <w:tab/>
      </w:r>
      <w:r>
        <w:fldChar w:fldCharType="begin"/>
      </w:r>
      <w:r>
        <w:instrText xml:space="preserve"> PAGEREF _Toc22320 \h </w:instrText>
      </w:r>
      <w:r>
        <w:fldChar w:fldCharType="separate"/>
      </w:r>
      <w:r>
        <w:t>46</w:t>
      </w:r>
      <w:r>
        <w:fldChar w:fldCharType="end"/>
      </w:r>
      <w:r>
        <w:rPr>
          <w:rFonts w:cs="宋体" w:asciiTheme="majorEastAsia" w:hAnsiTheme="majorEastAsia" w:eastAsiaTheme="majorEastAsia"/>
          <w:bCs/>
          <w:color w:val="000000" w:themeColor="text1"/>
          <w:szCs w:val="24"/>
          <w:highlight w:val="none"/>
          <w14:textFill>
            <w14:solidFill>
              <w14:schemeClr w14:val="tx1"/>
            </w14:solidFill>
          </w14:textFill>
        </w:rPr>
        <w:fldChar w:fldCharType="end"/>
      </w:r>
    </w:p>
    <w:p>
      <w:pPr>
        <w:pStyle w:val="28"/>
        <w:tabs>
          <w:tab w:val="right" w:leader="dot" w:pos="8930"/>
        </w:tabs>
      </w:pPr>
      <w:r>
        <w:rPr>
          <w:rFonts w:cs="宋体" w:asciiTheme="majorEastAsia" w:hAnsiTheme="majorEastAsia" w:eastAsiaTheme="majorEastAsia"/>
          <w:bCs/>
          <w:color w:val="000000" w:themeColor="text1"/>
          <w:szCs w:val="24"/>
          <w:highlight w:val="none"/>
          <w14:textFill>
            <w14:solidFill>
              <w14:schemeClr w14:val="tx1"/>
            </w14:solidFill>
          </w14:textFill>
        </w:rPr>
        <w:fldChar w:fldCharType="begin"/>
      </w:r>
      <w:r>
        <w:rPr>
          <w:rFonts w:cs="宋体" w:asciiTheme="majorEastAsia" w:hAnsiTheme="majorEastAsia" w:eastAsiaTheme="majorEastAsia"/>
          <w:bCs/>
          <w:szCs w:val="24"/>
          <w:highlight w:val="none"/>
        </w:rPr>
        <w:instrText xml:space="preserve"> HYPERLINK \l _Toc14550 </w:instrText>
      </w:r>
      <w:r>
        <w:rPr>
          <w:rFonts w:cs="宋体" w:asciiTheme="majorEastAsia" w:hAnsiTheme="majorEastAsia" w:eastAsiaTheme="majorEastAsia"/>
          <w:bCs/>
          <w:szCs w:val="24"/>
          <w:highlight w:val="none"/>
        </w:rPr>
        <w:fldChar w:fldCharType="separate"/>
      </w:r>
      <w:r>
        <w:rPr>
          <w:rFonts w:hint="eastAsia" w:ascii="宋体" w:hAnsi="宋体" w:cs="宋体"/>
          <w:szCs w:val="32"/>
          <w:highlight w:val="none"/>
        </w:rPr>
        <w:t>第六部分 评标办法</w:t>
      </w:r>
      <w:r>
        <w:tab/>
      </w:r>
      <w:r>
        <w:fldChar w:fldCharType="begin"/>
      </w:r>
      <w:r>
        <w:instrText xml:space="preserve"> PAGEREF _Toc14550 \h </w:instrText>
      </w:r>
      <w:r>
        <w:fldChar w:fldCharType="separate"/>
      </w:r>
      <w:r>
        <w:t>50</w:t>
      </w:r>
      <w:r>
        <w:fldChar w:fldCharType="end"/>
      </w:r>
      <w:r>
        <w:rPr>
          <w:rFonts w:cs="宋体" w:asciiTheme="majorEastAsia" w:hAnsiTheme="majorEastAsia" w:eastAsiaTheme="majorEastAsia"/>
          <w:bCs/>
          <w:color w:val="000000" w:themeColor="text1"/>
          <w:szCs w:val="24"/>
          <w:highlight w:val="none"/>
          <w14:textFill>
            <w14:solidFill>
              <w14:schemeClr w14:val="tx1"/>
            </w14:solidFill>
          </w14:textFill>
        </w:rPr>
        <w:fldChar w:fldCharType="end"/>
      </w:r>
    </w:p>
    <w:p>
      <w:pPr>
        <w:pStyle w:val="28"/>
        <w:tabs>
          <w:tab w:val="right" w:leader="dot" w:pos="8930"/>
        </w:tabs>
      </w:pPr>
      <w:r>
        <w:rPr>
          <w:rFonts w:cs="宋体" w:asciiTheme="majorEastAsia" w:hAnsiTheme="majorEastAsia" w:eastAsiaTheme="majorEastAsia"/>
          <w:bCs/>
          <w:color w:val="000000" w:themeColor="text1"/>
          <w:szCs w:val="24"/>
          <w:highlight w:val="none"/>
          <w14:textFill>
            <w14:solidFill>
              <w14:schemeClr w14:val="tx1"/>
            </w14:solidFill>
          </w14:textFill>
        </w:rPr>
        <w:fldChar w:fldCharType="begin"/>
      </w:r>
      <w:r>
        <w:rPr>
          <w:rFonts w:cs="宋体" w:asciiTheme="majorEastAsia" w:hAnsiTheme="majorEastAsia" w:eastAsiaTheme="majorEastAsia"/>
          <w:bCs/>
          <w:szCs w:val="24"/>
          <w:highlight w:val="none"/>
        </w:rPr>
        <w:instrText xml:space="preserve"> HYPERLINK \l _Toc21257 </w:instrText>
      </w:r>
      <w:r>
        <w:rPr>
          <w:rFonts w:cs="宋体" w:asciiTheme="majorEastAsia" w:hAnsiTheme="majorEastAsia" w:eastAsiaTheme="majorEastAsia"/>
          <w:bCs/>
          <w:szCs w:val="24"/>
          <w:highlight w:val="none"/>
        </w:rPr>
        <w:fldChar w:fldCharType="separate"/>
      </w:r>
      <w:r>
        <w:rPr>
          <w:rFonts w:hint="eastAsia" w:ascii="宋体" w:hAnsi="宋体" w:cs="宋体"/>
          <w:szCs w:val="32"/>
          <w:highlight w:val="none"/>
        </w:rPr>
        <w:t>第七部分 附件（投标文件格式）</w:t>
      </w:r>
      <w:r>
        <w:tab/>
      </w:r>
      <w:r>
        <w:fldChar w:fldCharType="begin"/>
      </w:r>
      <w:r>
        <w:instrText xml:space="preserve"> PAGEREF _Toc21257 \h </w:instrText>
      </w:r>
      <w:r>
        <w:fldChar w:fldCharType="separate"/>
      </w:r>
      <w:r>
        <w:t>58</w:t>
      </w:r>
      <w:r>
        <w:fldChar w:fldCharType="end"/>
      </w:r>
      <w:r>
        <w:rPr>
          <w:rFonts w:cs="宋体" w:asciiTheme="majorEastAsia" w:hAnsiTheme="majorEastAsia" w:eastAsiaTheme="majorEastAsia"/>
          <w:bCs/>
          <w:color w:val="000000" w:themeColor="text1"/>
          <w:szCs w:val="24"/>
          <w:highlight w:val="none"/>
          <w14:textFill>
            <w14:solidFill>
              <w14:schemeClr w14:val="tx1"/>
            </w14:solidFill>
          </w14:textFill>
        </w:rPr>
        <w:fldChar w:fldCharType="end"/>
      </w:r>
    </w:p>
    <w:p>
      <w:pPr>
        <w:spacing w:line="360" w:lineRule="auto"/>
        <w:rPr>
          <w:rFonts w:ascii="宋体"/>
          <w:b/>
          <w:bCs/>
          <w:color w:val="000000" w:themeColor="text1"/>
          <w:sz w:val="36"/>
          <w:szCs w:val="36"/>
          <w:highlight w:val="none"/>
          <w14:textFill>
            <w14:solidFill>
              <w14:schemeClr w14:val="tx1"/>
            </w14:solidFill>
          </w14:textFill>
        </w:rPr>
        <w:sectPr>
          <w:footerReference r:id="rId5" w:type="default"/>
          <w:pgSz w:w="11907" w:h="16840"/>
          <w:pgMar w:top="1276" w:right="1417" w:bottom="1276" w:left="1560" w:header="720" w:footer="720" w:gutter="0"/>
          <w:pgBorders>
            <w:top w:val="none" w:sz="0" w:space="0"/>
            <w:left w:val="none" w:sz="0" w:space="0"/>
            <w:bottom w:val="none" w:sz="0" w:space="0"/>
            <w:right w:val="none" w:sz="0" w:space="0"/>
          </w:pgBorders>
          <w:pgNumType w:start="1"/>
          <w:cols w:space="720" w:num="1"/>
          <w:docGrid w:type="linesAndChars" w:linePitch="285" w:charSpace="0"/>
        </w:sectPr>
      </w:pPr>
      <w:r>
        <w:rPr>
          <w:rFonts w:cs="宋体" w:asciiTheme="majorEastAsia" w:hAnsiTheme="majorEastAsia" w:eastAsiaTheme="majorEastAsia"/>
          <w:b/>
          <w:bCs/>
          <w:color w:val="000000" w:themeColor="text1"/>
          <w:sz w:val="24"/>
          <w:szCs w:val="24"/>
          <w:highlight w:val="none"/>
          <w14:textFill>
            <w14:solidFill>
              <w14:schemeClr w14:val="tx1"/>
            </w14:solidFill>
          </w14:textFill>
        </w:rPr>
        <w:fldChar w:fldCharType="end"/>
      </w: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sectPr>
          <w:headerReference r:id="rId6" w:type="default"/>
          <w:footerReference r:id="rId7" w:type="default"/>
          <w:type w:val="continuous"/>
          <w:pgSz w:w="11907" w:h="16840"/>
          <w:pgMar w:top="1111" w:right="1701" w:bottom="1428" w:left="1701" w:header="720" w:footer="720" w:gutter="0"/>
          <w:pgBorders>
            <w:top w:val="none" w:sz="0" w:space="0"/>
            <w:left w:val="none" w:sz="0" w:space="0"/>
            <w:bottom w:val="none" w:sz="0" w:space="0"/>
            <w:right w:val="none" w:sz="0" w:space="0"/>
          </w:pgBorders>
          <w:cols w:space="720" w:num="1"/>
          <w:docGrid w:type="linesAndChars" w:linePitch="286" w:charSpace="0"/>
        </w:sectPr>
      </w:pPr>
      <w:bookmarkStart w:id="0" w:name="_Toc298230957"/>
      <w:bookmarkStart w:id="1" w:name="_Toc141797660"/>
    </w:p>
    <w:p>
      <w:pPr>
        <w:pStyle w:val="3"/>
        <w:spacing w:beforeLines="0" w:afterLines="0" w:line="360" w:lineRule="auto"/>
        <w:rPr>
          <w:rFonts w:ascii="宋体"/>
          <w:color w:val="000000" w:themeColor="text1"/>
          <w:sz w:val="32"/>
          <w:szCs w:val="32"/>
          <w:highlight w:val="none"/>
          <w14:textFill>
            <w14:solidFill>
              <w14:schemeClr w14:val="tx1"/>
            </w14:solidFill>
          </w14:textFill>
        </w:rPr>
      </w:pPr>
      <w:bookmarkStart w:id="2" w:name="_Toc21124"/>
      <w:bookmarkStart w:id="3" w:name="_Toc19317"/>
      <w:r>
        <w:rPr>
          <w:rFonts w:hint="eastAsia" w:ascii="宋体" w:hAnsi="宋体" w:cs="宋体"/>
          <w:color w:val="000000" w:themeColor="text1"/>
          <w:sz w:val="32"/>
          <w:szCs w:val="32"/>
          <w:highlight w:val="none"/>
          <w14:textFill>
            <w14:solidFill>
              <w14:schemeClr w14:val="tx1"/>
            </w14:solidFill>
          </w14:textFill>
        </w:rPr>
        <w:t>第一部分</w:t>
      </w:r>
      <w:bookmarkEnd w:id="0"/>
      <w:r>
        <w:rPr>
          <w:rFonts w:hint="eastAsia" w:ascii="宋体" w:hAnsi="宋体" w:cs="宋体"/>
          <w:color w:val="000000" w:themeColor="text1"/>
          <w:sz w:val="32"/>
          <w:szCs w:val="32"/>
          <w:highlight w:val="none"/>
          <w14:textFill>
            <w14:solidFill>
              <w14:schemeClr w14:val="tx1"/>
            </w14:solidFill>
          </w14:textFill>
        </w:rPr>
        <w:t xml:space="preserve"> 采购公告</w:t>
      </w:r>
      <w:bookmarkEnd w:id="1"/>
      <w:bookmarkEnd w:id="2"/>
      <w:bookmarkEnd w:id="3"/>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u w:val="single"/>
          <w:lang w:eastAsia="zh-CN"/>
          <w14:textFill>
            <w14:solidFill>
              <w14:schemeClr w14:val="tx1"/>
            </w14:solidFill>
          </w14:textFill>
        </w:rPr>
        <w:t>宁波法院信息化基础支撑体系集约化建设项目</w:t>
      </w:r>
      <w:r>
        <w:rPr>
          <w:rFonts w:hint="eastAsia" w:ascii="宋体" w:hAnsi="宋体" w:cs="宋体"/>
          <w:color w:val="000000" w:themeColor="text1"/>
          <w:highlight w:val="none"/>
          <w14:textFill>
            <w14:solidFill>
              <w14:schemeClr w14:val="tx1"/>
            </w14:solidFill>
          </w14:textFill>
        </w:rPr>
        <w:t>的潜在投标人应在</w:t>
      </w:r>
      <w:r>
        <w:rPr>
          <w:rFonts w:hint="eastAsia" w:ascii="宋体" w:hAnsi="宋体" w:cs="宋体"/>
          <w:color w:val="000000" w:themeColor="text1"/>
          <w:highlight w:val="none"/>
          <w:u w:val="single"/>
          <w14:textFill>
            <w14:solidFill>
              <w14:schemeClr w14:val="tx1"/>
            </w14:solidFill>
          </w14:textFill>
        </w:rPr>
        <w:t>政府采购云平台（</w:t>
      </w:r>
      <w:r>
        <w:rPr>
          <w:color w:val="auto"/>
          <w:highlight w:val="none"/>
        </w:rPr>
        <w:fldChar w:fldCharType="begin"/>
      </w:r>
      <w:r>
        <w:rPr>
          <w:color w:val="auto"/>
          <w:highlight w:val="none"/>
        </w:rPr>
        <w:instrText xml:space="preserve"> HYPERLINK "http://www.zcygov.cn）获取（下载）招标文件，并于2020年" </w:instrText>
      </w:r>
      <w:r>
        <w:rPr>
          <w:color w:val="auto"/>
          <w:highlight w:val="none"/>
        </w:rPr>
        <w:fldChar w:fldCharType="separate"/>
      </w:r>
      <w:r>
        <w:rPr>
          <w:rStyle w:val="45"/>
          <w:rFonts w:cs="宋体" w:asciiTheme="majorEastAsia" w:hAnsiTheme="majorEastAsia" w:eastAsiaTheme="majorEastAsia"/>
          <w:color w:val="auto"/>
          <w:highlight w:val="none"/>
        </w:rPr>
        <w:t>www.zcygov.cn</w:t>
      </w:r>
      <w:r>
        <w:rPr>
          <w:rStyle w:val="45"/>
          <w:rFonts w:hint="eastAsia" w:cs="宋体" w:asciiTheme="majorEastAsia" w:hAnsiTheme="majorEastAsia" w:eastAsiaTheme="majorEastAsia"/>
          <w:color w:val="auto"/>
          <w:highlight w:val="none"/>
        </w:rPr>
        <w:t>）获取（下载）招标文件，并于</w:t>
      </w:r>
      <w:r>
        <w:rPr>
          <w:rStyle w:val="45"/>
          <w:rFonts w:cs="宋体" w:asciiTheme="majorEastAsia" w:hAnsiTheme="majorEastAsia" w:eastAsiaTheme="majorEastAsia"/>
          <w:color w:val="auto"/>
          <w:highlight w:val="none"/>
        </w:rPr>
        <w:t>202</w:t>
      </w:r>
      <w:r>
        <w:rPr>
          <w:rStyle w:val="45"/>
          <w:rFonts w:hint="eastAsia" w:cs="宋体" w:asciiTheme="majorEastAsia" w:hAnsiTheme="majorEastAsia" w:eastAsiaTheme="majorEastAsia"/>
          <w:color w:val="auto"/>
          <w:highlight w:val="none"/>
        </w:rPr>
        <w:t>4年</w:t>
      </w:r>
      <w:r>
        <w:rPr>
          <w:rStyle w:val="45"/>
          <w:rFonts w:hint="eastAsia" w:cs="宋体" w:asciiTheme="majorEastAsia" w:hAnsiTheme="majorEastAsia" w:eastAsiaTheme="majorEastAsia"/>
          <w:color w:val="auto"/>
          <w:highlight w:val="none"/>
        </w:rPr>
        <w:fldChar w:fldCharType="end"/>
      </w:r>
      <w:r>
        <w:rPr>
          <w:rStyle w:val="45"/>
          <w:rFonts w:hint="eastAsia" w:cs="宋体" w:asciiTheme="majorEastAsia" w:hAnsiTheme="majorEastAsia" w:eastAsiaTheme="majorEastAsia"/>
          <w:color w:val="auto"/>
          <w:highlight w:val="none"/>
          <w:lang w:val="en-US" w:eastAsia="zh-CN"/>
        </w:rPr>
        <w:t>12</w:t>
      </w:r>
      <w:r>
        <w:rPr>
          <w:rFonts w:hint="eastAsia" w:cs="宋体" w:asciiTheme="majorEastAsia" w:hAnsiTheme="majorEastAsia" w:eastAsiaTheme="majorEastAsia"/>
          <w:color w:val="auto"/>
          <w:highlight w:val="none"/>
          <w:u w:val="single"/>
        </w:rPr>
        <w:t>月</w:t>
      </w:r>
      <w:r>
        <w:rPr>
          <w:rFonts w:hint="eastAsia" w:cs="宋体" w:asciiTheme="majorEastAsia" w:hAnsiTheme="majorEastAsia" w:eastAsiaTheme="majorEastAsia"/>
          <w:color w:val="auto"/>
          <w:highlight w:val="none"/>
          <w:u w:val="single"/>
          <w:lang w:val="en-US" w:eastAsia="zh-CN"/>
        </w:rPr>
        <w:t>5</w:t>
      </w:r>
      <w:r>
        <w:rPr>
          <w:rFonts w:hint="eastAsia" w:cs="宋体" w:asciiTheme="majorEastAsia" w:hAnsiTheme="majorEastAsia" w:eastAsiaTheme="majorEastAsia"/>
          <w:color w:val="auto"/>
          <w:highlight w:val="none"/>
          <w:u w:val="single"/>
        </w:rPr>
        <w:t>日14</w:t>
      </w:r>
      <w:r>
        <w:rPr>
          <w:rFonts w:hint="eastAsia" w:ascii="宋体" w:hAnsi="宋体" w:cs="宋体"/>
          <w:color w:val="auto"/>
          <w:highlight w:val="none"/>
          <w:u w:val="single"/>
        </w:rPr>
        <w:t>点00分（</w:t>
      </w:r>
      <w:r>
        <w:rPr>
          <w:rFonts w:hint="eastAsia" w:ascii="宋体" w:hAnsi="宋体" w:cs="宋体"/>
          <w:color w:val="auto"/>
          <w:highlight w:val="none"/>
        </w:rPr>
        <w:t>北京时间）前递交投标文件。</w:t>
      </w:r>
    </w:p>
    <w:p>
      <w:pPr>
        <w:ind w:firstLine="200"/>
        <w:rPr>
          <w:rFonts w:ascii="宋体"/>
          <w:color w:val="000000" w:themeColor="text1"/>
          <w:highlight w:val="none"/>
          <w14:textFill>
            <w14:solidFill>
              <w14:schemeClr w14:val="tx1"/>
            </w14:solidFill>
          </w14:textFill>
        </w:rPr>
      </w:pPr>
    </w:p>
    <w:p>
      <w:pPr>
        <w:pStyle w:val="2"/>
        <w:spacing w:line="360" w:lineRule="auto"/>
        <w:jc w:val="both"/>
        <w:rPr>
          <w:rFonts w:ascii="宋体" w:cs="Times New Roman"/>
          <w:color w:val="000000" w:themeColor="text1"/>
          <w:sz w:val="21"/>
          <w:szCs w:val="21"/>
          <w:highlight w:val="none"/>
          <w14:textFill>
            <w14:solidFill>
              <w14:schemeClr w14:val="tx1"/>
            </w14:solidFill>
          </w14:textFill>
        </w:rPr>
      </w:pPr>
      <w:bookmarkStart w:id="4" w:name="_Toc35393790"/>
      <w:bookmarkStart w:id="5" w:name="_Toc35393621"/>
      <w:bookmarkStart w:id="6" w:name="_Toc28359079"/>
      <w:bookmarkStart w:id="7" w:name="_Toc28359002"/>
      <w:bookmarkStart w:id="8" w:name="_Toc141797105"/>
      <w:bookmarkStart w:id="9" w:name="_Toc24683"/>
      <w:bookmarkStart w:id="10" w:name="_Toc12151"/>
      <w:bookmarkStart w:id="11" w:name="_Toc141797661"/>
      <w:bookmarkStart w:id="12" w:name="_Hlk24379207"/>
      <w:r>
        <w:rPr>
          <w:rFonts w:hint="eastAsia" w:ascii="宋体" w:hAnsi="宋体" w:cs="宋体"/>
          <w:color w:val="000000" w:themeColor="text1"/>
          <w:sz w:val="21"/>
          <w:szCs w:val="21"/>
          <w:highlight w:val="none"/>
          <w14:textFill>
            <w14:solidFill>
              <w14:schemeClr w14:val="tx1"/>
            </w14:solidFill>
          </w14:textFill>
        </w:rPr>
        <w:t>一、项目基本情况</w:t>
      </w:r>
      <w:bookmarkEnd w:id="4"/>
      <w:bookmarkEnd w:id="5"/>
      <w:bookmarkEnd w:id="6"/>
      <w:bookmarkEnd w:id="7"/>
      <w:bookmarkEnd w:id="8"/>
      <w:bookmarkEnd w:id="9"/>
      <w:bookmarkEnd w:id="10"/>
      <w:bookmarkEnd w:id="11"/>
    </w:p>
    <w:bookmarkEnd w:id="12"/>
    <w:p>
      <w:pPr>
        <w:spacing w:line="360" w:lineRule="auto"/>
        <w:ind w:firstLine="420" w:firstLineChars="200"/>
        <w:rPr>
          <w:rFonts w:hint="eastAsia" w:ascii="宋体" w:eastAsia="宋体"/>
          <w:color w:val="auto"/>
          <w:highlight w:val="none"/>
          <w:lang w:eastAsia="zh-CN"/>
        </w:rPr>
      </w:pPr>
      <w:r>
        <w:rPr>
          <w:rFonts w:hint="eastAsia" w:ascii="宋体" w:hAnsi="宋体" w:cs="宋体"/>
          <w:color w:val="auto"/>
          <w:highlight w:val="none"/>
        </w:rPr>
        <w:t>项目编号：</w:t>
      </w:r>
      <w:r>
        <w:rPr>
          <w:rFonts w:hint="eastAsia" w:ascii="宋体" w:hAnsi="宋体" w:cs="宋体"/>
          <w:color w:val="auto"/>
          <w:highlight w:val="none"/>
          <w:lang w:eastAsia="zh-CN"/>
        </w:rPr>
        <w:t>NBGODOZB224313G</w:t>
      </w:r>
    </w:p>
    <w:p>
      <w:pPr>
        <w:spacing w:line="360" w:lineRule="auto"/>
        <w:ind w:firstLine="420" w:firstLineChars="200"/>
        <w:rPr>
          <w:rFonts w:hint="eastAsia" w:ascii="宋体" w:eastAsia="宋体"/>
          <w:color w:val="auto"/>
          <w:highlight w:val="none"/>
          <w:lang w:eastAsia="zh-CN"/>
        </w:rPr>
      </w:pPr>
      <w:r>
        <w:rPr>
          <w:rFonts w:hint="eastAsia" w:ascii="宋体" w:hAnsi="宋体" w:cs="宋体"/>
          <w:color w:val="auto"/>
          <w:highlight w:val="none"/>
        </w:rPr>
        <w:t>项目名称：</w:t>
      </w:r>
      <w:r>
        <w:rPr>
          <w:rFonts w:hint="eastAsia" w:ascii="宋体" w:hAnsi="宋体" w:cs="宋体"/>
          <w:color w:val="auto"/>
          <w:highlight w:val="none"/>
          <w:lang w:eastAsia="zh-CN"/>
        </w:rPr>
        <w:t>宁波法院信息化基础支撑体系集约化建设项目</w:t>
      </w:r>
    </w:p>
    <w:p>
      <w:pPr>
        <w:spacing w:line="360" w:lineRule="auto"/>
        <w:ind w:firstLine="420" w:firstLineChars="200"/>
        <w:rPr>
          <w:rFonts w:hint="default" w:ascii="宋体" w:eastAsia="宋体"/>
          <w:color w:val="auto"/>
          <w:highlight w:val="none"/>
          <w:lang w:val="en-US" w:eastAsia="zh-CN"/>
        </w:rPr>
      </w:pPr>
      <w:r>
        <w:rPr>
          <w:rFonts w:hint="eastAsia" w:ascii="宋体" w:hAnsi="宋体" w:cs="宋体"/>
          <w:color w:val="auto"/>
          <w:highlight w:val="none"/>
        </w:rPr>
        <w:t>预算金额（元）：</w:t>
      </w:r>
      <w:r>
        <w:rPr>
          <w:rFonts w:hint="default" w:ascii="宋体" w:hAnsi="宋体" w:cs="宋体"/>
          <w:color w:val="auto"/>
          <w:highlight w:val="none"/>
          <w:lang w:val="en-US"/>
        </w:rPr>
        <w:t>2423295.60</w:t>
      </w:r>
    </w:p>
    <w:p>
      <w:pPr>
        <w:spacing w:line="360" w:lineRule="auto"/>
        <w:ind w:firstLine="420" w:firstLineChars="200"/>
        <w:rPr>
          <w:rFonts w:hint="default" w:ascii="宋体" w:eastAsia="宋体"/>
          <w:color w:val="auto"/>
          <w:highlight w:val="none"/>
          <w:lang w:val="en-US" w:eastAsia="zh-CN"/>
        </w:rPr>
      </w:pPr>
      <w:r>
        <w:rPr>
          <w:rFonts w:hint="eastAsia" w:ascii="宋体" w:hAnsi="宋体" w:cs="宋体"/>
          <w:color w:val="auto"/>
          <w:highlight w:val="none"/>
        </w:rPr>
        <w:t>最高限价（元）：</w:t>
      </w:r>
      <w:r>
        <w:rPr>
          <w:rFonts w:hint="default" w:ascii="宋体" w:hAnsi="宋体" w:cs="宋体"/>
          <w:color w:val="auto"/>
          <w:highlight w:val="none"/>
          <w:lang w:val="en-US"/>
        </w:rPr>
        <w:t>2423295.60</w:t>
      </w:r>
    </w:p>
    <w:p>
      <w:pPr>
        <w:spacing w:line="360" w:lineRule="auto"/>
        <w:ind w:firstLine="420" w:firstLineChars="200"/>
        <w:rPr>
          <w:rFonts w:ascii="宋体"/>
          <w:color w:val="auto"/>
          <w:highlight w:val="none"/>
        </w:rPr>
      </w:pPr>
      <w:r>
        <w:rPr>
          <w:rFonts w:hint="eastAsia" w:ascii="宋体" w:hAnsi="宋体" w:cs="宋体"/>
          <w:color w:val="auto"/>
          <w:highlight w:val="none"/>
        </w:rPr>
        <w:t>采购需求：</w:t>
      </w:r>
    </w:p>
    <w:p>
      <w:pPr>
        <w:spacing w:line="360" w:lineRule="auto"/>
        <w:ind w:firstLine="420" w:firstLineChars="200"/>
        <w:rPr>
          <w:rFonts w:hint="eastAsia" w:ascii="宋体" w:eastAsia="宋体"/>
          <w:color w:val="auto"/>
          <w:highlight w:val="none"/>
          <w:lang w:eastAsia="zh-CN"/>
        </w:rPr>
      </w:pPr>
      <w:r>
        <w:rPr>
          <w:rFonts w:hint="eastAsia" w:ascii="宋体" w:hAnsi="宋体" w:cs="宋体"/>
          <w:color w:val="auto"/>
          <w:highlight w:val="none"/>
        </w:rPr>
        <w:t>标项名称：</w:t>
      </w:r>
      <w:r>
        <w:rPr>
          <w:rFonts w:hint="eastAsia" w:ascii="宋体" w:hAnsi="宋体" w:cs="宋体"/>
          <w:color w:val="auto"/>
          <w:highlight w:val="none"/>
          <w:lang w:eastAsia="zh-CN"/>
        </w:rPr>
        <w:t>宁波法院信息化基础支撑体系集约化建设项目</w:t>
      </w:r>
    </w:p>
    <w:p>
      <w:pPr>
        <w:spacing w:line="360" w:lineRule="auto"/>
        <w:ind w:firstLine="420" w:firstLineChars="200"/>
        <w:rPr>
          <w:rFonts w:ascii="宋体"/>
          <w:color w:val="auto"/>
          <w:highlight w:val="none"/>
        </w:rPr>
      </w:pPr>
      <w:r>
        <w:rPr>
          <w:rFonts w:hint="eastAsia" w:ascii="宋体" w:hAnsi="宋体" w:cs="宋体"/>
          <w:color w:val="auto"/>
          <w:highlight w:val="none"/>
        </w:rPr>
        <w:t>数量：</w:t>
      </w:r>
      <w:r>
        <w:rPr>
          <w:rFonts w:hint="eastAsia" w:ascii="宋体" w:hAnsi="宋体"/>
          <w:color w:val="auto"/>
          <w:highlight w:val="none"/>
        </w:rPr>
        <w:t>1批</w:t>
      </w:r>
    </w:p>
    <w:p>
      <w:pPr>
        <w:spacing w:line="360" w:lineRule="auto"/>
        <w:ind w:firstLine="420" w:firstLineChars="200"/>
        <w:rPr>
          <w:rFonts w:hint="default" w:ascii="宋体" w:eastAsia="宋体"/>
          <w:color w:val="auto"/>
          <w:highlight w:val="none"/>
          <w:lang w:val="en-US" w:eastAsia="zh-CN"/>
        </w:rPr>
      </w:pPr>
      <w:r>
        <w:rPr>
          <w:rFonts w:hint="eastAsia" w:ascii="宋体" w:hAnsi="宋体" w:cs="宋体"/>
          <w:color w:val="auto"/>
          <w:highlight w:val="none"/>
        </w:rPr>
        <w:t>预算金额（元）：</w:t>
      </w:r>
      <w:r>
        <w:rPr>
          <w:rFonts w:hint="default" w:ascii="宋体" w:hAnsi="宋体" w:cs="宋体"/>
          <w:color w:val="auto"/>
          <w:highlight w:val="none"/>
          <w:lang w:val="en-US"/>
        </w:rPr>
        <w:t>2423295.60</w:t>
      </w:r>
    </w:p>
    <w:p>
      <w:pPr>
        <w:spacing w:line="360" w:lineRule="auto"/>
        <w:ind w:firstLine="420" w:firstLineChars="200"/>
        <w:rPr>
          <w:rFonts w:ascii="Helvetica" w:hAnsi="Helvetica" w:eastAsia="Helvetica" w:cs="Helvetica"/>
          <w:color w:val="000000" w:themeColor="text1"/>
          <w:highlight w:val="none"/>
          <w:shd w:val="clear" w:color="auto" w:fill="FFFFFF"/>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简要规格描述或项目基本概况介绍、用途：</w:t>
      </w:r>
      <w:r>
        <w:rPr>
          <w:rFonts w:hint="eastAsia" w:ascii="宋体" w:hAnsi="宋体" w:cs="仿宋_GB2312"/>
          <w:color w:val="000000" w:themeColor="text1"/>
          <w:highlight w:val="none"/>
          <w14:textFill>
            <w14:solidFill>
              <w14:schemeClr w14:val="tx1"/>
            </w14:solidFill>
          </w14:textFill>
        </w:rPr>
        <w:t>详见第二部分“招标项目需求”</w:t>
      </w:r>
      <w:r>
        <w:rPr>
          <w:rFonts w:ascii="Helvetica" w:hAnsi="Helvetica" w:eastAsia="Helvetica" w:cs="Helvetica"/>
          <w:color w:val="000000" w:themeColor="text1"/>
          <w:highlight w:val="none"/>
          <w:shd w:val="clear" w:color="auto" w:fill="FFFFFF"/>
          <w14:textFill>
            <w14:solidFill>
              <w14:schemeClr w14:val="tx1"/>
            </w14:solidFill>
          </w14:textFill>
        </w:rPr>
        <w:t>。</w:t>
      </w:r>
    </w:p>
    <w:p>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备注：</w:t>
      </w:r>
    </w:p>
    <w:p>
      <w:pPr>
        <w:spacing w:line="360" w:lineRule="auto"/>
        <w:ind w:firstLine="420" w:firstLineChars="200"/>
        <w:rPr>
          <w:rFonts w:ascii="宋体"/>
          <w:color w:val="auto"/>
          <w:highlight w:val="none"/>
        </w:rPr>
      </w:pPr>
      <w:r>
        <w:rPr>
          <w:rFonts w:hint="eastAsia" w:ascii="宋体" w:hAnsi="宋体" w:cs="宋体"/>
          <w:color w:val="auto"/>
          <w:highlight w:val="none"/>
        </w:rPr>
        <w:t>合同履行期限：</w:t>
      </w:r>
      <w:r>
        <w:rPr>
          <w:rFonts w:hint="eastAsia" w:ascii="Times New Roman" w:hAnsi="Times New Roman" w:cs="Times New Roman"/>
          <w:highlight w:val="none"/>
        </w:rPr>
        <w:t>合同签定后180天内完成</w:t>
      </w:r>
      <w:r>
        <w:rPr>
          <w:rFonts w:hint="eastAsia" w:cs="Times New Roman"/>
          <w:highlight w:val="none"/>
          <w:lang w:val="en-US" w:eastAsia="zh-CN"/>
        </w:rPr>
        <w:t>本项目</w:t>
      </w:r>
      <w:r>
        <w:rPr>
          <w:rFonts w:hint="eastAsia" w:ascii="Times New Roman" w:hAnsi="Times New Roman" w:cs="Times New Roman"/>
          <w:highlight w:val="none"/>
        </w:rPr>
        <w:t>整体基础支撑体系集约化工程</w:t>
      </w:r>
      <w:r>
        <w:rPr>
          <w:rFonts w:hint="eastAsia" w:cs="Times New Roman"/>
          <w:highlight w:val="none"/>
          <w:lang w:eastAsia="zh-CN"/>
        </w:rPr>
        <w:t>（</w:t>
      </w:r>
      <w:r>
        <w:rPr>
          <w:rFonts w:hint="eastAsia" w:cs="Times New Roman"/>
          <w:highlight w:val="none"/>
          <w:lang w:val="en-US" w:eastAsia="zh-CN"/>
        </w:rPr>
        <w:t>包含中心机房改造</w:t>
      </w:r>
      <w:r>
        <w:rPr>
          <w:rFonts w:hint="eastAsia" w:cs="Times New Roman"/>
          <w:highlight w:val="none"/>
          <w:lang w:eastAsia="zh-CN"/>
        </w:rPr>
        <w:t>）</w:t>
      </w:r>
      <w:r>
        <w:rPr>
          <w:rFonts w:hint="eastAsia" w:ascii="Times New Roman" w:hAnsi="Times New Roman" w:cs="Times New Roman"/>
          <w:highlight w:val="none"/>
        </w:rPr>
        <w:t>，其中中心机房改造在合同签定后90天内完成</w:t>
      </w:r>
      <w:r>
        <w:rPr>
          <w:rFonts w:hint="eastAsia" w:cs="Times New Roman"/>
          <w:highlight w:val="none"/>
          <w:lang w:eastAsia="zh-CN"/>
        </w:rPr>
        <w:t>。</w:t>
      </w:r>
      <w:r>
        <w:rPr>
          <w:rFonts w:hint="eastAsia" w:ascii="Times New Roman" w:hAnsi="Times New Roman" w:cs="Times New Roman"/>
          <w:highlight w:val="none"/>
        </w:rPr>
        <w:t>（包含休息日，不含国家法定节假日）</w:t>
      </w:r>
    </w:p>
    <w:p>
      <w:pPr>
        <w:spacing w:line="360" w:lineRule="auto"/>
        <w:ind w:firstLine="420" w:firstLineChars="200"/>
        <w:rPr>
          <w:rFonts w:ascii="宋体"/>
          <w:color w:val="auto"/>
          <w:highlight w:val="none"/>
        </w:rPr>
      </w:pPr>
      <w:r>
        <w:rPr>
          <w:rFonts w:hint="eastAsia" w:ascii="宋体" w:hAnsi="宋体" w:cs="宋体"/>
          <w:color w:val="auto"/>
          <w:highlight w:val="none"/>
        </w:rPr>
        <w:t>本项目</w:t>
      </w:r>
      <w:r>
        <w:rPr>
          <w:rFonts w:hint="eastAsia" w:ascii="宋体" w:hAnsi="宋体"/>
          <w:color w:val="auto"/>
          <w:highlight w:val="none"/>
        </w:rPr>
        <w:t>（否）</w:t>
      </w:r>
      <w:r>
        <w:rPr>
          <w:rFonts w:hint="eastAsia" w:ascii="宋体" w:hAnsi="宋体" w:cs="宋体"/>
          <w:color w:val="auto"/>
          <w:highlight w:val="none"/>
        </w:rPr>
        <w:t>接受联合体投标。</w:t>
      </w:r>
    </w:p>
    <w:p>
      <w:pPr>
        <w:pStyle w:val="2"/>
        <w:spacing w:line="360" w:lineRule="auto"/>
        <w:jc w:val="both"/>
        <w:rPr>
          <w:rFonts w:ascii="宋体" w:cs="Times New Roman"/>
          <w:color w:val="auto"/>
          <w:sz w:val="21"/>
          <w:szCs w:val="21"/>
          <w:highlight w:val="none"/>
        </w:rPr>
      </w:pPr>
      <w:bookmarkStart w:id="13" w:name="_Toc28359080"/>
      <w:bookmarkStart w:id="14" w:name="_Toc25146"/>
      <w:bookmarkStart w:id="15" w:name="_Toc141797662"/>
      <w:bookmarkStart w:id="16" w:name="_Toc35393791"/>
      <w:bookmarkStart w:id="17" w:name="_Toc141797106"/>
      <w:bookmarkStart w:id="18" w:name="_Toc9049"/>
      <w:bookmarkStart w:id="19" w:name="_Toc35393622"/>
      <w:bookmarkStart w:id="20" w:name="_Toc28359003"/>
      <w:r>
        <w:rPr>
          <w:rFonts w:hint="eastAsia" w:ascii="宋体" w:hAnsi="宋体" w:cs="宋体"/>
          <w:color w:val="auto"/>
          <w:sz w:val="21"/>
          <w:szCs w:val="21"/>
          <w:highlight w:val="none"/>
        </w:rPr>
        <w:t>二、申请人的资格要求：</w:t>
      </w:r>
      <w:bookmarkEnd w:id="13"/>
      <w:bookmarkEnd w:id="14"/>
      <w:bookmarkEnd w:id="15"/>
      <w:bookmarkEnd w:id="16"/>
      <w:bookmarkEnd w:id="17"/>
      <w:bookmarkEnd w:id="18"/>
      <w:bookmarkEnd w:id="19"/>
      <w:bookmarkEnd w:id="20"/>
    </w:p>
    <w:p>
      <w:pPr>
        <w:spacing w:line="360" w:lineRule="auto"/>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20" w:firstLineChars="200"/>
        <w:rPr>
          <w:rFonts w:ascii="宋体" w:hAnsi="宋体"/>
          <w:color w:val="auto"/>
          <w:highlight w:val="none"/>
        </w:rPr>
      </w:pPr>
      <w:r>
        <w:rPr>
          <w:rFonts w:hint="eastAsia" w:ascii="宋体" w:hAnsi="宋体"/>
          <w:color w:val="auto"/>
          <w:highlight w:val="none"/>
        </w:rPr>
        <w:t>2.落实政府采购政策需满足的资格要求：</w:t>
      </w:r>
      <w:r>
        <w:rPr>
          <w:rFonts w:hint="eastAsia" w:ascii="宋体" w:hAnsi="宋体"/>
          <w:color w:val="auto"/>
          <w:highlight w:val="none"/>
          <w:lang w:val="en-US" w:eastAsia="zh-CN"/>
        </w:rPr>
        <w:t>无</w:t>
      </w:r>
      <w:r>
        <w:rPr>
          <w:rFonts w:hint="eastAsia" w:ascii="宋体" w:hAnsi="宋体" w:cs="宋体"/>
          <w:color w:val="auto"/>
          <w:highlight w:val="none"/>
        </w:rPr>
        <w:t>。</w:t>
      </w:r>
    </w:p>
    <w:p>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3.本项目的特定资格要求：无；</w:t>
      </w:r>
    </w:p>
    <w:p>
      <w:pPr>
        <w:pStyle w:val="2"/>
        <w:spacing w:line="360" w:lineRule="auto"/>
        <w:jc w:val="both"/>
        <w:rPr>
          <w:rFonts w:ascii="宋体" w:cs="Times New Roman"/>
          <w:color w:val="000000" w:themeColor="text1"/>
          <w:sz w:val="21"/>
          <w:szCs w:val="21"/>
          <w:highlight w:val="none"/>
          <w14:textFill>
            <w14:solidFill>
              <w14:schemeClr w14:val="tx1"/>
            </w14:solidFill>
          </w14:textFill>
        </w:rPr>
      </w:pPr>
      <w:bookmarkStart w:id="21" w:name="_Toc28359004"/>
      <w:bookmarkStart w:id="22" w:name="_Toc141797663"/>
      <w:bookmarkStart w:id="23" w:name="_Toc35393623"/>
      <w:bookmarkStart w:id="24" w:name="_Toc4523"/>
      <w:bookmarkStart w:id="25" w:name="_Toc28359081"/>
      <w:bookmarkStart w:id="26" w:name="_Toc141797107"/>
      <w:bookmarkStart w:id="27" w:name="_Toc35393792"/>
      <w:bookmarkStart w:id="28" w:name="_Toc29368"/>
      <w:r>
        <w:rPr>
          <w:rFonts w:hint="eastAsia" w:ascii="宋体" w:hAnsi="宋体" w:cs="宋体"/>
          <w:color w:val="000000" w:themeColor="text1"/>
          <w:sz w:val="21"/>
          <w:szCs w:val="21"/>
          <w:highlight w:val="none"/>
          <w14:textFill>
            <w14:solidFill>
              <w14:schemeClr w14:val="tx1"/>
            </w14:solidFill>
          </w14:textFill>
        </w:rPr>
        <w:t>三、获取招标文件</w:t>
      </w:r>
      <w:bookmarkEnd w:id="21"/>
      <w:bookmarkEnd w:id="22"/>
      <w:bookmarkEnd w:id="23"/>
      <w:bookmarkEnd w:id="24"/>
      <w:bookmarkEnd w:id="25"/>
      <w:bookmarkEnd w:id="26"/>
      <w:bookmarkEnd w:id="27"/>
      <w:bookmarkEnd w:id="28"/>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时间：</w:t>
      </w:r>
      <w:r>
        <w:rPr>
          <w:rFonts w:hint="eastAsia" w:ascii="宋体" w:hAnsi="宋体" w:cs="宋体"/>
          <w:color w:val="auto"/>
          <w:highlight w:val="none"/>
          <w:u w:val="single"/>
        </w:rPr>
        <w:t>2024年</w:t>
      </w:r>
      <w:r>
        <w:rPr>
          <w:rFonts w:hint="eastAsia" w:ascii="宋体" w:hAnsi="宋体" w:cs="宋体"/>
          <w:color w:val="auto"/>
          <w:highlight w:val="none"/>
          <w:u w:val="single"/>
          <w:lang w:val="en-US" w:eastAsia="zh-CN"/>
        </w:rPr>
        <w:t>11</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15</w:t>
      </w:r>
      <w:r>
        <w:rPr>
          <w:rFonts w:hint="eastAsia" w:ascii="宋体" w:hAnsi="宋体" w:cs="宋体"/>
          <w:color w:val="auto"/>
          <w:highlight w:val="none"/>
          <w:u w:val="single"/>
        </w:rPr>
        <w:t>日至</w:t>
      </w:r>
      <w:r>
        <w:rPr>
          <w:rFonts w:hint="eastAsia" w:ascii="宋体" w:hAnsi="宋体" w:cs="宋体"/>
          <w:color w:val="auto"/>
          <w:highlight w:val="none"/>
          <w:u w:val="single"/>
        </w:rPr>
        <w:t>2024年</w:t>
      </w:r>
      <w:r>
        <w:rPr>
          <w:rFonts w:hint="eastAsia" w:ascii="宋体" w:hAnsi="宋体" w:cs="宋体"/>
          <w:color w:val="auto"/>
          <w:highlight w:val="none"/>
          <w:u w:val="single"/>
          <w:lang w:val="en-US" w:eastAsia="zh-CN"/>
        </w:rPr>
        <w:t>11</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22</w:t>
      </w:r>
      <w:r>
        <w:rPr>
          <w:rFonts w:hint="eastAsia" w:ascii="宋体" w:hAnsi="宋体" w:cs="宋体"/>
          <w:color w:val="auto"/>
          <w:highlight w:val="none"/>
          <w:u w:val="single"/>
        </w:rPr>
        <w:t>日</w:t>
      </w:r>
      <w:r>
        <w:rPr>
          <w:rFonts w:hint="eastAsia" w:ascii="宋体" w:hAnsi="宋体" w:cs="宋体"/>
          <w:color w:val="000000" w:themeColor="text1"/>
          <w:highlight w:val="none"/>
          <w14:textFill>
            <w14:solidFill>
              <w14:schemeClr w14:val="tx1"/>
            </w14:solidFill>
          </w14:textFill>
        </w:rPr>
        <w:t>，每天上午</w:t>
      </w:r>
      <w:r>
        <w:rPr>
          <w:rFonts w:hint="eastAsia" w:ascii="宋体" w:hAnsi="宋体" w:cs="宋体"/>
          <w:color w:val="000000" w:themeColor="text1"/>
          <w:highlight w:val="none"/>
          <w:u w:val="single"/>
          <w14:textFill>
            <w14:solidFill>
              <w14:schemeClr w14:val="tx1"/>
            </w14:solidFill>
          </w14:textFill>
        </w:rPr>
        <w:t>00:00</w:t>
      </w:r>
      <w:r>
        <w:rPr>
          <w:rFonts w:hint="eastAsia" w:ascii="宋体" w:hAnsi="宋体" w:cs="宋体"/>
          <w:color w:val="000000" w:themeColor="text1"/>
          <w:highlight w:val="none"/>
          <w14:textFill>
            <w14:solidFill>
              <w14:schemeClr w14:val="tx1"/>
            </w14:solidFill>
          </w14:textFill>
        </w:rPr>
        <w:t>至</w:t>
      </w:r>
      <w:r>
        <w:rPr>
          <w:rFonts w:hint="eastAsia" w:ascii="宋体" w:hAnsi="宋体" w:cs="宋体"/>
          <w:color w:val="000000" w:themeColor="text1"/>
          <w:highlight w:val="none"/>
          <w:u w:val="single"/>
          <w14:textFill>
            <w14:solidFill>
              <w14:schemeClr w14:val="tx1"/>
            </w14:solidFill>
          </w14:textFill>
        </w:rPr>
        <w:t>12:00</w:t>
      </w:r>
      <w:r>
        <w:rPr>
          <w:rFonts w:hint="eastAsia" w:ascii="宋体" w:hAnsi="宋体" w:cs="宋体"/>
          <w:color w:val="000000" w:themeColor="text1"/>
          <w:highlight w:val="none"/>
          <w14:textFill>
            <w14:solidFill>
              <w14:schemeClr w14:val="tx1"/>
            </w14:solidFill>
          </w14:textFill>
        </w:rPr>
        <w:t>，下午</w:t>
      </w:r>
      <w:r>
        <w:rPr>
          <w:rFonts w:hint="eastAsia" w:ascii="宋体" w:hAnsi="宋体" w:cs="宋体"/>
          <w:color w:val="000000" w:themeColor="text1"/>
          <w:highlight w:val="none"/>
          <w:u w:val="single"/>
          <w14:textFill>
            <w14:solidFill>
              <w14:schemeClr w14:val="tx1"/>
            </w14:solidFill>
          </w14:textFill>
        </w:rPr>
        <w:t>12:00</w:t>
      </w:r>
      <w:r>
        <w:rPr>
          <w:rFonts w:hint="eastAsia" w:ascii="宋体" w:hAnsi="宋体" w:cs="宋体"/>
          <w:color w:val="000000" w:themeColor="text1"/>
          <w:highlight w:val="none"/>
          <w14:textFill>
            <w14:solidFill>
              <w14:schemeClr w14:val="tx1"/>
            </w14:solidFill>
          </w14:textFill>
        </w:rPr>
        <w:t>至</w:t>
      </w:r>
      <w:r>
        <w:rPr>
          <w:rFonts w:hint="eastAsia" w:ascii="宋体" w:hAnsi="宋体" w:cs="宋体"/>
          <w:color w:val="000000" w:themeColor="text1"/>
          <w:highlight w:val="none"/>
          <w:u w:val="single"/>
          <w14:textFill>
            <w14:solidFill>
              <w14:schemeClr w14:val="tx1"/>
            </w14:solidFill>
          </w14:textFill>
        </w:rPr>
        <w:t>23:59</w:t>
      </w:r>
      <w:r>
        <w:rPr>
          <w:rFonts w:hint="eastAsia" w:ascii="宋体" w:hAnsi="宋体" w:cs="宋体"/>
          <w:color w:val="000000" w:themeColor="text1"/>
          <w:highlight w:val="none"/>
          <w14:textFill>
            <w14:solidFill>
              <w14:schemeClr w14:val="tx1"/>
            </w14:solidFill>
          </w14:textFill>
        </w:rPr>
        <w:t>（北京时间，线上获取法定节假日均可，线下获取文件法定节假日除外）</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地点（网址）：</w:t>
      </w:r>
      <w:r>
        <w:rPr>
          <w:rFonts w:hint="eastAsia" w:ascii="宋体" w:hAnsi="宋体"/>
          <w:color w:val="000000" w:themeColor="text1"/>
          <w:highlight w:val="none"/>
          <w14:textFill>
            <w14:solidFill>
              <w14:schemeClr w14:val="tx1"/>
            </w14:solidFill>
          </w14:textFill>
        </w:rPr>
        <w:t>政府采购云平台（http://www.zcygov.cn/）。</w:t>
      </w:r>
    </w:p>
    <w:p>
      <w:pPr>
        <w:snapToGrid w:val="0"/>
        <w:spacing w:line="400" w:lineRule="exact"/>
        <w:ind w:firstLine="411" w:firstLineChars="196"/>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方式：（1）本项目招标文件实行“政府采购云平台”在线获取，不提供招标文件纸质版。投标人获取招标文件前应先完成“政府采购云平台”的账号注册；</w:t>
      </w:r>
    </w:p>
    <w:p>
      <w:pPr>
        <w:snapToGrid w:val="0"/>
        <w:spacing w:line="400" w:lineRule="exact"/>
        <w:ind w:firstLine="411" w:firstLineChars="196"/>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潜在供应商登陆政采云平台，在线申请获取招标文件（进入“项目采购”应用，在获取招标文件菜单中选择项目，申请获取招标文件；仅需浏览招标文件的投标人可点击“游客，浏览招标文件”直接下载招标文件浏览）； </w:t>
      </w:r>
    </w:p>
    <w:p>
      <w:pPr>
        <w:snapToGrid w:val="0"/>
        <w:spacing w:line="400" w:lineRule="exact"/>
        <w:ind w:firstLine="411" w:firstLineChars="196"/>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招标公告附件内的招标文件仅供阅览使用，投标人只有在“政府采购云平台”完成获取招标文件申请并下载了招标文件后才视作依法获取招标文件（法律法规所指的投标人获取招标文件时间以投标人完成获取招标文件申请后下载招标文件的时间为准）。</w:t>
      </w:r>
      <w:r>
        <w:rPr>
          <w:rFonts w:hint="eastAsia" w:cs="Arial" w:asciiTheme="minorEastAsia" w:hAnsiTheme="minorEastAsia" w:eastAsiaTheme="minorEastAsia"/>
          <w:color w:val="000000" w:themeColor="text1"/>
          <w:highlight w:val="none"/>
          <w14:textFill>
            <w14:solidFill>
              <w14:schemeClr w14:val="tx1"/>
            </w14:solidFill>
          </w14:textFill>
        </w:rPr>
        <w:t>未按照招标文件规定程序依法获取招标文件的潜在投标人，对招标文件提起质疑的，按照无效质疑处理。采购代理机构拒绝接收未依法获取本项目招标</w:t>
      </w:r>
      <w:r>
        <w:rPr>
          <w:rFonts w:cs="Arial" w:asciiTheme="minorEastAsia" w:hAnsiTheme="minorEastAsia" w:eastAsiaTheme="minorEastAsia"/>
          <w:color w:val="000000" w:themeColor="text1"/>
          <w:highlight w:val="none"/>
          <w14:textFill>
            <w14:solidFill>
              <w14:schemeClr w14:val="tx1"/>
            </w14:solidFill>
          </w14:textFill>
        </w:rPr>
        <w:t>文件</w:t>
      </w:r>
      <w:r>
        <w:rPr>
          <w:rFonts w:hint="eastAsia" w:cs="Arial" w:asciiTheme="minorEastAsia" w:hAnsiTheme="minorEastAsia" w:eastAsiaTheme="minorEastAsia"/>
          <w:color w:val="000000" w:themeColor="text1"/>
          <w:highlight w:val="none"/>
          <w14:textFill>
            <w14:solidFill>
              <w14:schemeClr w14:val="tx1"/>
            </w14:solidFill>
          </w14:textFill>
        </w:rPr>
        <w:t>的投标人提交的投标文件。</w:t>
      </w:r>
    </w:p>
    <w:p>
      <w:pPr>
        <w:snapToGrid w:val="0"/>
        <w:spacing w:line="400" w:lineRule="exact"/>
        <w:ind w:firstLine="411" w:firstLineChars="196"/>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注：请投标人按上述要求获取招标文件，如未在“政采云”系统内完成相关流程，引起的投标无效责任自负。  </w:t>
      </w:r>
    </w:p>
    <w:p>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售价：0元。</w:t>
      </w:r>
    </w:p>
    <w:p>
      <w:pPr>
        <w:pStyle w:val="2"/>
        <w:spacing w:line="360" w:lineRule="auto"/>
        <w:jc w:val="both"/>
        <w:rPr>
          <w:rFonts w:ascii="宋体" w:cs="Times New Roman"/>
          <w:color w:val="000000" w:themeColor="text1"/>
          <w:sz w:val="21"/>
          <w:szCs w:val="21"/>
          <w:highlight w:val="none"/>
          <w14:textFill>
            <w14:solidFill>
              <w14:schemeClr w14:val="tx1"/>
            </w14:solidFill>
          </w14:textFill>
        </w:rPr>
      </w:pPr>
      <w:bookmarkStart w:id="29" w:name="_Toc28359082"/>
      <w:bookmarkStart w:id="30" w:name="_Toc28359005"/>
      <w:bookmarkStart w:id="31" w:name="_Toc16368"/>
      <w:bookmarkStart w:id="32" w:name="_Toc141797664"/>
      <w:bookmarkStart w:id="33" w:name="_Toc141797108"/>
      <w:bookmarkStart w:id="34" w:name="_Toc35393793"/>
      <w:bookmarkStart w:id="35" w:name="_Toc25084"/>
      <w:bookmarkStart w:id="36" w:name="_Toc35393624"/>
      <w:r>
        <w:rPr>
          <w:rFonts w:hint="eastAsia" w:ascii="宋体" w:hAnsi="宋体" w:cs="宋体"/>
          <w:color w:val="000000" w:themeColor="text1"/>
          <w:sz w:val="21"/>
          <w:szCs w:val="21"/>
          <w:highlight w:val="none"/>
          <w14:textFill>
            <w14:solidFill>
              <w14:schemeClr w14:val="tx1"/>
            </w14:solidFill>
          </w14:textFill>
        </w:rPr>
        <w:t>四、提交投标文件</w:t>
      </w:r>
      <w:bookmarkEnd w:id="29"/>
      <w:bookmarkEnd w:id="30"/>
      <w:r>
        <w:rPr>
          <w:rFonts w:hint="eastAsia" w:ascii="宋体" w:hAnsi="宋体" w:cs="宋体"/>
          <w:color w:val="000000" w:themeColor="text1"/>
          <w:sz w:val="21"/>
          <w:szCs w:val="21"/>
          <w:highlight w:val="none"/>
          <w14:textFill>
            <w14:solidFill>
              <w14:schemeClr w14:val="tx1"/>
            </w14:solidFill>
          </w14:textFill>
        </w:rPr>
        <w:t>截止时间、开标时间和地点</w:t>
      </w:r>
      <w:bookmarkEnd w:id="31"/>
      <w:bookmarkEnd w:id="32"/>
      <w:bookmarkEnd w:id="33"/>
      <w:bookmarkEnd w:id="34"/>
      <w:bookmarkEnd w:id="35"/>
      <w:bookmarkEnd w:id="36"/>
    </w:p>
    <w:p>
      <w:pPr>
        <w:keepNext w:val="0"/>
        <w:keepLines w:val="0"/>
        <w:pageBreakBefore w:val="0"/>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提交投标文件截止时间：</w:t>
      </w:r>
      <w:r>
        <w:rPr>
          <w:rFonts w:hint="eastAsia" w:ascii="宋体" w:hAnsi="宋体" w:eastAsia="宋体" w:cs="宋体"/>
          <w:color w:val="auto"/>
          <w:sz w:val="21"/>
          <w:szCs w:val="21"/>
          <w:highlight w:val="none"/>
          <w:lang w:eastAsia="zh-CN"/>
        </w:rPr>
        <w:t>202</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lang w:eastAsia="zh-CN"/>
        </w:rPr>
        <w:t>点</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lang w:eastAsia="zh-CN"/>
        </w:rPr>
        <w:t>分00秒</w:t>
      </w:r>
      <w:r>
        <w:rPr>
          <w:rFonts w:hint="eastAsia" w:ascii="宋体" w:hAnsi="宋体" w:eastAsia="宋体" w:cs="宋体"/>
          <w:color w:val="auto"/>
          <w:sz w:val="21"/>
          <w:szCs w:val="21"/>
          <w:highlight w:val="none"/>
        </w:rPr>
        <w:t>（北京时间）</w:t>
      </w:r>
    </w:p>
    <w:p>
      <w:pPr>
        <w:wordWrap w:val="0"/>
        <w:spacing w:line="360" w:lineRule="auto"/>
        <w:ind w:firstLine="420"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投标地点（网址）：</w:t>
      </w:r>
      <w:r>
        <w:rPr>
          <w:rFonts w:hint="eastAsia" w:ascii="宋体" w:hAnsi="宋体"/>
          <w:color w:val="auto"/>
          <w:szCs w:val="21"/>
          <w:highlight w:val="none"/>
        </w:rPr>
        <w:t>政府采购云平台（http://www.zcygov.cn/）（线上）（宁波市鄞州世纪大道北段555号1918室（宁波国际投资咨询有限公司））</w:t>
      </w:r>
    </w:p>
    <w:p>
      <w:pPr>
        <w:keepNext w:val="0"/>
        <w:keepLines w:val="0"/>
        <w:pageBreakBefore w:val="0"/>
        <w:kinsoku/>
        <w:wordWrap/>
        <w:overflowPunct/>
        <w:topLinePunct w:val="0"/>
        <w:autoSpaceDE/>
        <w:autoSpaceDN/>
        <w:bidi w:val="0"/>
        <w:adjustRightInd w:val="0"/>
        <w:snapToGrid/>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
          <w:color w:val="auto"/>
          <w:sz w:val="21"/>
          <w:szCs w:val="21"/>
          <w:highlight w:val="none"/>
        </w:rPr>
        <w:t>开标时间：</w:t>
      </w:r>
      <w:r>
        <w:rPr>
          <w:rFonts w:hint="eastAsia" w:ascii="宋体" w:hAnsi="宋体" w:eastAsia="宋体" w:cs="宋体"/>
          <w:color w:val="auto"/>
          <w:sz w:val="21"/>
          <w:szCs w:val="21"/>
          <w:highlight w:val="none"/>
          <w:lang w:eastAsia="zh-CN"/>
        </w:rPr>
        <w:t>202</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lang w:eastAsia="zh-CN"/>
        </w:rPr>
        <w:t>点</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lang w:eastAsia="zh-CN"/>
        </w:rPr>
        <w:t>分00秒</w:t>
      </w:r>
    </w:p>
    <w:p>
      <w:pPr>
        <w:wordWrap w:val="0"/>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开标地点（网址）：</w:t>
      </w:r>
      <w:r>
        <w:rPr>
          <w:rFonts w:hint="eastAsia" w:ascii="宋体" w:hAnsi="宋体"/>
          <w:szCs w:val="21"/>
          <w:highlight w:val="none"/>
        </w:rPr>
        <w:t>政府采购云平台（http://www.zcygov.cn/）（线上）（宁波市鄞州世纪大道北段555号1918室（宁波国际投资咨询有限公司））</w:t>
      </w:r>
    </w:p>
    <w:p>
      <w:pPr>
        <w:pStyle w:val="2"/>
        <w:spacing w:line="360" w:lineRule="auto"/>
        <w:jc w:val="both"/>
        <w:rPr>
          <w:rFonts w:ascii="宋体" w:cs="Times New Roman"/>
          <w:color w:val="000000" w:themeColor="text1"/>
          <w:sz w:val="21"/>
          <w:szCs w:val="21"/>
          <w:highlight w:val="none"/>
          <w14:textFill>
            <w14:solidFill>
              <w14:schemeClr w14:val="tx1"/>
            </w14:solidFill>
          </w14:textFill>
        </w:rPr>
      </w:pPr>
      <w:bookmarkStart w:id="37" w:name="_Toc28359007"/>
      <w:bookmarkStart w:id="38" w:name="_Toc11718"/>
      <w:bookmarkStart w:id="39" w:name="_Toc28359084"/>
      <w:bookmarkStart w:id="40" w:name="_Toc141797665"/>
      <w:bookmarkStart w:id="41" w:name="_Toc141797109"/>
      <w:bookmarkStart w:id="42" w:name="_Toc35393794"/>
      <w:bookmarkStart w:id="43" w:name="_Toc35393625"/>
      <w:bookmarkStart w:id="44" w:name="_Toc8380"/>
      <w:r>
        <w:rPr>
          <w:rFonts w:hint="eastAsia" w:ascii="宋体" w:hAnsi="宋体" w:cs="宋体"/>
          <w:color w:val="000000" w:themeColor="text1"/>
          <w:sz w:val="21"/>
          <w:szCs w:val="21"/>
          <w:highlight w:val="none"/>
          <w14:textFill>
            <w14:solidFill>
              <w14:schemeClr w14:val="tx1"/>
            </w14:solidFill>
          </w14:textFill>
        </w:rPr>
        <w:t>五、公告期限</w:t>
      </w:r>
      <w:bookmarkEnd w:id="37"/>
      <w:bookmarkEnd w:id="38"/>
      <w:bookmarkEnd w:id="39"/>
      <w:bookmarkEnd w:id="40"/>
      <w:bookmarkEnd w:id="41"/>
      <w:bookmarkEnd w:id="42"/>
      <w:bookmarkEnd w:id="43"/>
      <w:bookmarkEnd w:id="44"/>
    </w:p>
    <w:p>
      <w:pPr>
        <w:spacing w:line="360" w:lineRule="auto"/>
        <w:ind w:firstLine="420" w:firstLineChars="200"/>
        <w:rPr>
          <w:rFonts w:ascii="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自本公告发布之日起</w:t>
      </w:r>
      <w:r>
        <w:rPr>
          <w:rFonts w:ascii="宋体" w:hAnsi="宋体" w:cs="宋体"/>
          <w:color w:val="000000" w:themeColor="text1"/>
          <w:kern w:val="0"/>
          <w:highlight w:val="none"/>
          <w14:textFill>
            <w14:solidFill>
              <w14:schemeClr w14:val="tx1"/>
            </w14:solidFill>
          </w14:textFill>
        </w:rPr>
        <w:t>5</w:t>
      </w:r>
      <w:r>
        <w:rPr>
          <w:rFonts w:hint="eastAsia" w:ascii="宋体" w:hAnsi="宋体" w:cs="宋体"/>
          <w:color w:val="000000" w:themeColor="text1"/>
          <w:kern w:val="0"/>
          <w:highlight w:val="none"/>
          <w14:textFill>
            <w14:solidFill>
              <w14:schemeClr w14:val="tx1"/>
            </w14:solidFill>
          </w14:textFill>
        </w:rPr>
        <w:t>个工作日。</w:t>
      </w:r>
    </w:p>
    <w:p>
      <w:pPr>
        <w:pStyle w:val="2"/>
        <w:spacing w:line="360" w:lineRule="auto"/>
        <w:jc w:val="both"/>
        <w:rPr>
          <w:rFonts w:ascii="宋体" w:cs="Times New Roman"/>
          <w:color w:val="000000" w:themeColor="text1"/>
          <w:sz w:val="21"/>
          <w:szCs w:val="21"/>
          <w:highlight w:val="none"/>
          <w14:textFill>
            <w14:solidFill>
              <w14:schemeClr w14:val="tx1"/>
            </w14:solidFill>
          </w14:textFill>
        </w:rPr>
      </w:pPr>
      <w:bookmarkStart w:id="45" w:name="_Toc4296"/>
      <w:bookmarkStart w:id="46" w:name="_Toc35393795"/>
      <w:bookmarkStart w:id="47" w:name="_Toc141797110"/>
      <w:bookmarkStart w:id="48" w:name="_Toc12036"/>
      <w:bookmarkStart w:id="49" w:name="_Toc35393626"/>
      <w:bookmarkStart w:id="50" w:name="_Toc141797666"/>
      <w:r>
        <w:rPr>
          <w:rFonts w:hint="eastAsia" w:ascii="宋体" w:hAnsi="宋体" w:cs="宋体"/>
          <w:color w:val="000000" w:themeColor="text1"/>
          <w:sz w:val="21"/>
          <w:szCs w:val="21"/>
          <w:highlight w:val="none"/>
          <w14:textFill>
            <w14:solidFill>
              <w14:schemeClr w14:val="tx1"/>
            </w14:solidFill>
          </w14:textFill>
        </w:rPr>
        <w:t>六、其他补充事宜</w:t>
      </w:r>
      <w:bookmarkEnd w:id="45"/>
      <w:bookmarkEnd w:id="46"/>
      <w:bookmarkEnd w:id="47"/>
      <w:bookmarkEnd w:id="48"/>
      <w:bookmarkEnd w:id="49"/>
      <w:bookmarkEnd w:id="50"/>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1.投标人认为招标文件使自己的权益受到损害的，可以自获取招标文件之日或者招标文件公告期限届满之日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2.其他事项：</w:t>
      </w:r>
    </w:p>
    <w:p>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2.1落实政策：</w:t>
      </w:r>
      <w:r>
        <w:rPr>
          <w:rFonts w:hint="eastAsia" w:ascii="宋体" w:hAnsi="宋体" w:cs="宋体"/>
          <w:highlight w:val="none"/>
        </w:rPr>
        <w:t>《关于促进残疾人就业政府采购政策的通知》（财库[2017]141号）、《政府采购促进中小企业发展管理办法》（财库〔2020〕46号）、《关于政府采购支持监狱企业发展有关问题的通知》(财库[2014]68号)、《关于调整优化节能产品、环境标志产品政府采购执行机制的通知》（财库〔2019〕9号文）、《关于印发环境标志产品政府采购品目清单的通知》（财库〔2019〕18号）和《关于印发节能产品政府采购品目清单的通知》（财库〔2019〕19号）。</w:t>
      </w:r>
    </w:p>
    <w:p>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①单位负责人为同一人或者存在直接控股、管理关系的不同供应商，不得同时参加同一合同项下的政府采购活动；②为采购项目提供整体设计、规范编制或者项目管理、监理、检测等服务后不得再参加该采购项目的其他采购活动；③公益一类事业单位、使用事业编制且由财政拨款保障的群团组织不属于政府购买服务的承接主体，不得参与承接购买服务。</w:t>
      </w:r>
    </w:p>
    <w:p>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 xml:space="preserve">2.3各投标人应在开标前确保成为浙江省政府采购网正式注册入库投标人，并完成CA数字证书办理。因未注册入库、未办理CA数字证书等原因造成无法投标或投标失败等后果由投标人自行承担。（具体操作详见投标人CA申领操作指南https://help.zcygov.cn/web/site_2/2018/11-29/2452.html）。 </w:t>
      </w:r>
    </w:p>
    <w:p>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2.4本次政府采购活动有关信息在“浙江政府采购网（http://zfcg.czt.zj.gov.cn/）”、“宁波市政府采购网（www.nbzfcg.cn）”网站上公布，公布信息视同送达所有潜在投标人。</w:t>
      </w:r>
    </w:p>
    <w:p>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 xml:space="preserve">2.5投标人提交电子备份投标文件方式： </w:t>
      </w:r>
    </w:p>
    <w:p>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 xml:space="preserve">2.5.1采用邮寄方式提交电子备份投标文件，需按以下要求递交： </w:t>
      </w:r>
    </w:p>
    <w:p>
      <w:pPr>
        <w:keepNext w:val="0"/>
        <w:keepLines w:val="0"/>
        <w:pageBreakBefore w:val="0"/>
        <w:widowControl w:val="0"/>
        <w:kinsoku/>
        <w:wordWrap/>
        <w:overflowPunct/>
        <w:topLinePunct w:val="0"/>
        <w:autoSpaceDE/>
        <w:autoSpaceDN/>
        <w:bidi w:val="0"/>
        <w:adjustRightInd/>
        <w:snapToGrid w:val="0"/>
        <w:spacing w:line="360" w:lineRule="auto"/>
        <w:ind w:firstLine="411" w:firstLineChars="196"/>
        <w:textAlignment w:val="auto"/>
        <w:rPr>
          <w:rFonts w:hint="eastAsia"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投标人须在</w:t>
      </w:r>
      <w:r>
        <w:rPr>
          <w:rFonts w:hint="eastAsia" w:cs="宋体" w:asciiTheme="minorEastAsia" w:hAnsiTheme="minorEastAsia" w:eastAsiaTheme="minorEastAsia"/>
          <w:b/>
          <w:bCs/>
          <w:color w:val="000000" w:themeColor="text1"/>
          <w:highlight w:val="none"/>
          <w14:textFill>
            <w14:solidFill>
              <w14:schemeClr w14:val="tx1"/>
            </w14:solidFill>
          </w14:textFill>
        </w:rPr>
        <w:t>开标日前一个工作日16:00</w:t>
      </w:r>
      <w:r>
        <w:rPr>
          <w:rFonts w:hint="eastAsia" w:cs="宋体" w:asciiTheme="minorEastAsia" w:hAnsiTheme="minorEastAsia" w:eastAsiaTheme="minorEastAsia"/>
          <w:color w:val="000000" w:themeColor="text1"/>
          <w:highlight w:val="none"/>
          <w14:textFill>
            <w14:solidFill>
              <w14:schemeClr w14:val="tx1"/>
            </w14:solidFill>
          </w14:textFill>
        </w:rPr>
        <w:t>（北京时间）前将电子备份投标文件邮寄至规定地点，由采购代理机构工作人员进行签收。各投标人自行考虑邮寄在途时间，邮寄过程中无论何种因素导致电子备份投标文件未按时递交的后果，均由投标人自行负责。电子备份投标文件递交时间以招标代理实际收到电子备份投标文件的时间为准。迟到的电子备份投标文件将被拒收。请各投标人确保密封包装在邮寄过程密封包装完好，并在邮寄包裹上注明项目名称，因邮寄过程的密封破损造成不符合开标要求的，本招标代理及采购人概不负责。</w:t>
      </w:r>
    </w:p>
    <w:p>
      <w:pPr>
        <w:keepNext w:val="0"/>
        <w:keepLines w:val="0"/>
        <w:pageBreakBefore w:val="0"/>
        <w:widowControl w:val="0"/>
        <w:kinsoku/>
        <w:wordWrap/>
        <w:overflowPunct/>
        <w:topLinePunct w:val="0"/>
        <w:autoSpaceDE/>
        <w:autoSpaceDN/>
        <w:bidi w:val="0"/>
        <w:adjustRightInd/>
        <w:snapToGrid w:val="0"/>
        <w:spacing w:line="360" w:lineRule="auto"/>
        <w:ind w:firstLine="411" w:firstLineChars="196"/>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电子备份投标文件邮寄地址为：宁波市鄞州区世纪大道北段555号名汇东方19楼1920室</w:t>
      </w:r>
    </w:p>
    <w:p>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hint="default" w:cs="宋体" w:asciiTheme="minorEastAsia" w:hAnsiTheme="minorEastAsia" w:eastAsiaTheme="minorEastAsia"/>
          <w:color w:val="000000" w:themeColor="text1"/>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收件人：</w:t>
      </w:r>
      <w:r>
        <w:rPr>
          <w:rFonts w:hint="eastAsia" w:cs="宋体" w:asciiTheme="minorEastAsia" w:hAnsiTheme="minorEastAsia" w:eastAsiaTheme="minorEastAsia"/>
          <w:color w:val="000000" w:themeColor="text1"/>
          <w:highlight w:val="none"/>
          <w:lang w:val="en-US" w:eastAsia="zh-CN"/>
          <w14:textFill>
            <w14:solidFill>
              <w14:schemeClr w14:val="tx1"/>
            </w14:solidFill>
          </w14:textFill>
        </w:rPr>
        <w:t>史梦铅</w:t>
      </w:r>
      <w:r>
        <w:rPr>
          <w:rFonts w:hint="eastAsia" w:cs="宋体" w:asciiTheme="minorEastAsia" w:hAnsiTheme="minorEastAsia" w:eastAsiaTheme="minorEastAsia"/>
          <w:color w:val="000000" w:themeColor="text1"/>
          <w:highlight w:val="none"/>
          <w14:textFill>
            <w14:solidFill>
              <w14:schemeClr w14:val="tx1"/>
            </w14:solidFill>
          </w14:textFill>
        </w:rPr>
        <w:t xml:space="preserve"> 联系方式：</w:t>
      </w:r>
      <w:r>
        <w:rPr>
          <w:rFonts w:hint="eastAsia" w:cs="宋体" w:asciiTheme="minorEastAsia" w:hAnsiTheme="minorEastAsia" w:eastAsiaTheme="minorEastAsia"/>
          <w:color w:val="000000" w:themeColor="text1"/>
          <w:spacing w:val="-2"/>
          <w:highlight w:val="none"/>
          <w14:textFill>
            <w14:solidFill>
              <w14:schemeClr w14:val="tx1"/>
            </w14:solidFill>
          </w14:textFill>
        </w:rPr>
        <w:t>0574-</w:t>
      </w:r>
      <w:r>
        <w:rPr>
          <w:rFonts w:hint="eastAsia" w:cs="宋体" w:asciiTheme="minorEastAsia" w:hAnsiTheme="minorEastAsia" w:eastAsiaTheme="minorEastAsia"/>
          <w:color w:val="000000" w:themeColor="text1"/>
          <w:spacing w:val="-2"/>
          <w:highlight w:val="none"/>
          <w:lang w:val="en-US" w:eastAsia="zh-CN"/>
          <w14:textFill>
            <w14:solidFill>
              <w14:schemeClr w14:val="tx1"/>
            </w14:solidFill>
          </w14:textFill>
        </w:rPr>
        <w:t>87298907</w:t>
      </w:r>
    </w:p>
    <w:p>
      <w:pPr>
        <w:keepNext w:val="0"/>
        <w:keepLines w:val="0"/>
        <w:pageBreakBefore w:val="0"/>
        <w:widowControl w:val="0"/>
        <w:kinsoku/>
        <w:wordWrap/>
        <w:overflowPunct/>
        <w:topLinePunct w:val="0"/>
        <w:autoSpaceDE/>
        <w:autoSpaceDN/>
        <w:bidi w:val="0"/>
        <w:adjustRightInd/>
        <w:snapToGrid w:val="0"/>
        <w:spacing w:line="360" w:lineRule="auto"/>
        <w:ind w:firstLine="411" w:firstLineChars="196"/>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2.5.2采用现场递交方式递交电子备份投标文件：投标人安排人员现场递交。</w:t>
      </w:r>
    </w:p>
    <w:p>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2.6中标通知书领取方式：根据投标人要求采用邮寄或采购代理机构现场领取。</w:t>
      </w:r>
    </w:p>
    <w:p>
      <w:pPr>
        <w:pStyle w:val="2"/>
        <w:spacing w:line="360" w:lineRule="auto"/>
        <w:jc w:val="both"/>
        <w:rPr>
          <w:rFonts w:ascii="宋体" w:cs="Times New Roman"/>
          <w:color w:val="000000" w:themeColor="text1"/>
          <w:sz w:val="21"/>
          <w:szCs w:val="21"/>
          <w:highlight w:val="none"/>
          <w14:textFill>
            <w14:solidFill>
              <w14:schemeClr w14:val="tx1"/>
            </w14:solidFill>
          </w14:textFill>
        </w:rPr>
      </w:pPr>
      <w:bookmarkStart w:id="51" w:name="_Toc28359085"/>
      <w:bookmarkStart w:id="52" w:name="_Toc28359008"/>
      <w:bookmarkStart w:id="53" w:name="_Toc35393796"/>
      <w:bookmarkStart w:id="54" w:name="_Toc35393627"/>
      <w:bookmarkStart w:id="55" w:name="_Toc141797667"/>
      <w:bookmarkStart w:id="56" w:name="_Toc1517"/>
      <w:bookmarkStart w:id="57" w:name="_Toc141797111"/>
      <w:bookmarkStart w:id="58" w:name="_Toc27898"/>
      <w:r>
        <w:rPr>
          <w:rFonts w:hint="eastAsia" w:ascii="宋体" w:hAnsi="宋体" w:cs="宋体"/>
          <w:color w:val="000000" w:themeColor="text1"/>
          <w:sz w:val="21"/>
          <w:szCs w:val="21"/>
          <w:highlight w:val="none"/>
          <w14:textFill>
            <w14:solidFill>
              <w14:schemeClr w14:val="tx1"/>
            </w14:solidFill>
          </w14:textFill>
        </w:rPr>
        <w:t>七、</w:t>
      </w:r>
      <w:bookmarkEnd w:id="51"/>
      <w:bookmarkEnd w:id="52"/>
      <w:bookmarkEnd w:id="53"/>
      <w:bookmarkEnd w:id="54"/>
      <w:r>
        <w:rPr>
          <w:rFonts w:hint="eastAsia" w:ascii="宋体" w:hAnsi="宋体" w:cs="宋体"/>
          <w:color w:val="000000" w:themeColor="text1"/>
          <w:sz w:val="21"/>
          <w:szCs w:val="21"/>
          <w:highlight w:val="none"/>
          <w14:textFill>
            <w14:solidFill>
              <w14:schemeClr w14:val="tx1"/>
            </w14:solidFill>
          </w14:textFill>
        </w:rPr>
        <w:t>对本次招标提出询问、质疑、投诉，请按以下方式联系。</w:t>
      </w:r>
      <w:bookmarkEnd w:id="55"/>
      <w:bookmarkEnd w:id="56"/>
      <w:bookmarkEnd w:id="57"/>
      <w:bookmarkEnd w:id="58"/>
    </w:p>
    <w:p>
      <w:pPr>
        <w:widowControl/>
        <w:spacing w:line="360" w:lineRule="auto"/>
        <w:ind w:firstLine="420" w:firstLineChars="200"/>
        <w:jc w:val="left"/>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采购人信息</w:t>
      </w:r>
    </w:p>
    <w:p>
      <w:pPr>
        <w:widowControl/>
        <w:spacing w:line="360" w:lineRule="auto"/>
        <w:ind w:firstLine="420" w:firstLineChars="200"/>
        <w:jc w:val="left"/>
        <w:rPr>
          <w:rFonts w:hint="eastAsia" w:ascii="宋体" w:hAnsi="宋体" w:eastAsia="宋体" w:cs="宋体"/>
          <w:color w:val="000000" w:themeColor="text1"/>
          <w:highlight w:val="none"/>
          <w:u w:val="none"/>
          <w:lang w:eastAsia="zh-CN"/>
          <w14:textFill>
            <w14:solidFill>
              <w14:schemeClr w14:val="tx1"/>
            </w14:solidFill>
          </w14:textFill>
        </w:rPr>
      </w:pPr>
      <w:r>
        <w:rPr>
          <w:rFonts w:hint="eastAsia" w:ascii="宋体" w:hAnsi="宋体" w:cs="宋体"/>
          <w:color w:val="000000" w:themeColor="text1"/>
          <w:highlight w:val="none"/>
          <w:u w:val="none"/>
          <w14:textFill>
            <w14:solidFill>
              <w14:schemeClr w14:val="tx1"/>
            </w14:solidFill>
          </w14:textFill>
        </w:rPr>
        <w:t>名    称：</w:t>
      </w:r>
      <w:r>
        <w:rPr>
          <w:rFonts w:hint="eastAsia" w:ascii="宋体" w:hAnsi="宋体" w:cs="宋体"/>
          <w:color w:val="000000" w:themeColor="text1"/>
          <w:highlight w:val="none"/>
          <w:u w:val="none"/>
          <w:lang w:eastAsia="zh-CN"/>
          <w14:textFill>
            <w14:solidFill>
              <w14:schemeClr w14:val="tx1"/>
            </w14:solidFill>
          </w14:textFill>
        </w:rPr>
        <w:t>宁波市中级人民法院</w:t>
      </w:r>
    </w:p>
    <w:p>
      <w:pPr>
        <w:widowControl/>
        <w:spacing w:line="360" w:lineRule="auto"/>
        <w:ind w:firstLine="420" w:firstLineChars="200"/>
        <w:jc w:val="left"/>
        <w:rPr>
          <w:rFonts w:ascii="宋体" w:hAnsi="宋体" w:cs="宋体"/>
          <w:color w:val="000000" w:themeColor="text1"/>
          <w:highlight w:val="none"/>
          <w:u w:val="none"/>
          <w14:textFill>
            <w14:solidFill>
              <w14:schemeClr w14:val="tx1"/>
            </w14:solidFill>
          </w14:textFill>
        </w:rPr>
      </w:pPr>
      <w:r>
        <w:rPr>
          <w:rFonts w:hint="eastAsia" w:ascii="宋体" w:hAnsi="宋体" w:cs="宋体"/>
          <w:color w:val="000000" w:themeColor="text1"/>
          <w:highlight w:val="none"/>
          <w:u w:val="none"/>
          <w14:textFill>
            <w14:solidFill>
              <w14:schemeClr w14:val="tx1"/>
            </w14:solidFill>
          </w14:textFill>
        </w:rPr>
        <w:t>地    址：</w:t>
      </w:r>
      <w:r>
        <w:rPr>
          <w:rFonts w:hint="eastAsia" w:ascii="宋体" w:hAnsi="宋体" w:cs="宋体"/>
          <w:color w:val="000000" w:themeColor="text1"/>
          <w:highlight w:val="none"/>
          <w:u w:val="none"/>
          <w:lang w:eastAsia="zh-CN"/>
          <w14:textFill>
            <w14:solidFill>
              <w14:schemeClr w14:val="tx1"/>
            </w14:solidFill>
          </w14:textFill>
        </w:rPr>
        <w:t>宁波市鄞州区兴宁路48号</w:t>
      </w:r>
    </w:p>
    <w:p>
      <w:pPr>
        <w:tabs>
          <w:tab w:val="left" w:pos="0"/>
        </w:tabs>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项目联系人（询问）：</w:t>
      </w:r>
      <w:r>
        <w:rPr>
          <w:rFonts w:hint="eastAsia" w:ascii="宋体" w:hAnsi="宋体"/>
          <w:color w:val="000000" w:themeColor="text1"/>
          <w:szCs w:val="21"/>
          <w:highlight w:val="none"/>
          <w:lang w:val="en-US" w:eastAsia="zh-CN"/>
          <w14:textFill>
            <w14:solidFill>
              <w14:schemeClr w14:val="tx1"/>
            </w14:solidFill>
          </w14:textFill>
        </w:rPr>
        <w:t>陈老师</w:t>
      </w:r>
    </w:p>
    <w:p>
      <w:pPr>
        <w:tabs>
          <w:tab w:val="left" w:pos="0"/>
        </w:tabs>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项目联系方式（询问）：</w:t>
      </w:r>
      <w:r>
        <w:rPr>
          <w:rFonts w:hint="eastAsia" w:ascii="宋体" w:hAnsi="宋体"/>
          <w:color w:val="000000" w:themeColor="text1"/>
          <w:szCs w:val="21"/>
          <w:highlight w:val="none"/>
          <w14:textFill>
            <w14:solidFill>
              <w14:schemeClr w14:val="tx1"/>
            </w14:solidFill>
          </w14:textFill>
        </w:rPr>
        <w:t>0574-87009545</w:t>
      </w:r>
    </w:p>
    <w:p>
      <w:pPr>
        <w:tabs>
          <w:tab w:val="left" w:pos="0"/>
        </w:tabs>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质疑联系人：</w:t>
      </w:r>
      <w:r>
        <w:rPr>
          <w:rFonts w:hint="eastAsia" w:ascii="宋体" w:hAnsi="宋体" w:cs="宋体"/>
          <w:color w:val="000000" w:themeColor="text1"/>
          <w:highlight w:val="none"/>
          <w14:textFill>
            <w14:solidFill>
              <w14:schemeClr w14:val="tx1"/>
            </w14:solidFill>
          </w14:textFill>
        </w:rPr>
        <w:t>葛先生</w:t>
      </w:r>
    </w:p>
    <w:p>
      <w:pPr>
        <w:tabs>
          <w:tab w:val="left" w:pos="0"/>
        </w:tabs>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质疑联系方式：</w:t>
      </w:r>
      <w:r>
        <w:rPr>
          <w:rFonts w:hint="eastAsia" w:ascii="宋体" w:hAnsi="宋体" w:cs="宋体"/>
          <w:color w:val="000000" w:themeColor="text1"/>
          <w:highlight w:val="none"/>
          <w14:textFill>
            <w14:solidFill>
              <w14:schemeClr w14:val="tx1"/>
            </w14:solidFill>
          </w14:textFill>
        </w:rPr>
        <w:t>0574-87009112</w:t>
      </w:r>
    </w:p>
    <w:p>
      <w:pPr>
        <w:widowControl/>
        <w:spacing w:line="360" w:lineRule="auto"/>
        <w:ind w:firstLine="420" w:firstLineChars="200"/>
        <w:jc w:val="left"/>
        <w:rPr>
          <w:rFonts w:ascii="宋体" w:hAnsi="宋体" w:cs="宋体"/>
          <w:color w:val="000000" w:themeColor="text1"/>
          <w:highlight w:val="none"/>
          <w14:textFill>
            <w14:solidFill>
              <w14:schemeClr w14:val="tx1"/>
            </w14:solidFill>
          </w14:textFill>
        </w:rPr>
      </w:pPr>
    </w:p>
    <w:p>
      <w:pPr>
        <w:widowControl/>
        <w:spacing w:line="360" w:lineRule="auto"/>
        <w:ind w:firstLine="420" w:firstLineChars="200"/>
        <w:jc w:val="left"/>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采购代理机构信息</w:t>
      </w:r>
    </w:p>
    <w:p>
      <w:pPr>
        <w:widowControl/>
        <w:spacing w:line="360" w:lineRule="auto"/>
        <w:ind w:firstLine="420" w:firstLineChars="200"/>
        <w:jc w:val="left"/>
        <w:rPr>
          <w:rFonts w:ascii="宋体" w:hAnsi="宋体" w:cs="宋体"/>
          <w:color w:val="000000" w:themeColor="text1"/>
          <w:highlight w:val="none"/>
          <w:u w:val="none"/>
          <w14:textFill>
            <w14:solidFill>
              <w14:schemeClr w14:val="tx1"/>
            </w14:solidFill>
          </w14:textFill>
        </w:rPr>
      </w:pPr>
      <w:r>
        <w:rPr>
          <w:rFonts w:hint="eastAsia" w:ascii="宋体" w:hAnsi="宋体" w:cs="宋体"/>
          <w:color w:val="000000" w:themeColor="text1"/>
          <w:highlight w:val="none"/>
          <w:u w:val="none"/>
          <w14:textFill>
            <w14:solidFill>
              <w14:schemeClr w14:val="tx1"/>
            </w14:solidFill>
          </w14:textFill>
        </w:rPr>
        <w:t>名    称：  宁波国际投资咨询有限公司</w:t>
      </w:r>
    </w:p>
    <w:p>
      <w:pPr>
        <w:widowControl/>
        <w:spacing w:line="360" w:lineRule="auto"/>
        <w:ind w:firstLine="420" w:firstLineChars="200"/>
        <w:jc w:val="left"/>
        <w:rPr>
          <w:rFonts w:ascii="宋体" w:hAnsi="宋体" w:cs="宋体"/>
          <w:color w:val="000000" w:themeColor="text1"/>
          <w:highlight w:val="none"/>
          <w:u w:val="none"/>
          <w14:textFill>
            <w14:solidFill>
              <w14:schemeClr w14:val="tx1"/>
            </w14:solidFill>
          </w14:textFill>
        </w:rPr>
      </w:pPr>
      <w:r>
        <w:rPr>
          <w:rFonts w:hint="eastAsia" w:ascii="宋体" w:hAnsi="宋体" w:cs="宋体"/>
          <w:color w:val="000000" w:themeColor="text1"/>
          <w:highlight w:val="none"/>
          <w:u w:val="none"/>
          <w14:textFill>
            <w14:solidFill>
              <w14:schemeClr w14:val="tx1"/>
            </w14:solidFill>
          </w14:textFill>
        </w:rPr>
        <w:t xml:space="preserve">地    址：  </w:t>
      </w:r>
      <w:r>
        <w:rPr>
          <w:rFonts w:hint="eastAsia" w:ascii="宋体" w:hAnsi="宋体" w:cs="Arial"/>
          <w:color w:val="000000" w:themeColor="text1"/>
          <w:highlight w:val="none"/>
          <w:u w:val="none"/>
          <w14:textFill>
            <w14:solidFill>
              <w14:schemeClr w14:val="tx1"/>
            </w14:solidFill>
          </w14:textFill>
        </w:rPr>
        <w:t>宁波市世纪大道北段555号名汇东方大厦19楼1920室</w:t>
      </w:r>
    </w:p>
    <w:p>
      <w:pPr>
        <w:widowControl/>
        <w:spacing w:line="360" w:lineRule="auto"/>
        <w:ind w:firstLine="420" w:firstLineChars="200"/>
        <w:jc w:val="left"/>
        <w:rPr>
          <w:rFonts w:hint="eastAsia" w:ascii="宋体" w:hAnsi="宋体" w:cs="宋体"/>
          <w:bCs/>
          <w:highlight w:val="none"/>
          <w:lang w:val="en-US" w:eastAsia="zh-CN"/>
        </w:rPr>
      </w:pPr>
      <w:r>
        <w:rPr>
          <w:rFonts w:hint="eastAsia" w:ascii="宋体" w:hAnsi="宋体" w:cs="宋体"/>
          <w:color w:val="000000" w:themeColor="text1"/>
          <w:highlight w:val="none"/>
          <w:u w:val="none"/>
          <w14:textFill>
            <w14:solidFill>
              <w14:schemeClr w14:val="tx1"/>
            </w14:solidFill>
          </w14:textFill>
        </w:rPr>
        <w:t>项目联系人（询问）：</w:t>
      </w:r>
      <w:r>
        <w:rPr>
          <w:rFonts w:hint="eastAsia" w:ascii="宋体" w:hAnsi="宋体" w:cs="宋体"/>
          <w:bCs/>
          <w:highlight w:val="none"/>
        </w:rPr>
        <w:t>史梦铅、马森</w:t>
      </w:r>
      <w:r>
        <w:rPr>
          <w:rFonts w:hint="eastAsia" w:ascii="宋体" w:hAnsi="宋体" w:cs="宋体"/>
          <w:bCs/>
          <w:highlight w:val="none"/>
          <w:lang w:eastAsia="zh-CN"/>
        </w:rPr>
        <w:t>、</w:t>
      </w:r>
      <w:r>
        <w:rPr>
          <w:rFonts w:hint="eastAsia" w:ascii="宋体" w:hAnsi="宋体" w:cs="宋体"/>
          <w:bCs/>
          <w:highlight w:val="none"/>
          <w:lang w:val="en-US" w:eastAsia="zh-CN"/>
        </w:rPr>
        <w:t>忻秉明、沈鑫侃</w:t>
      </w:r>
    </w:p>
    <w:p>
      <w:pPr>
        <w:widowControl/>
        <w:spacing w:line="360" w:lineRule="auto"/>
        <w:ind w:firstLine="420" w:firstLineChars="200"/>
        <w:jc w:val="left"/>
        <w:rPr>
          <w:rFonts w:hint="default" w:ascii="宋体" w:hAnsi="宋体" w:eastAsia="宋体" w:cs="宋体"/>
          <w:color w:val="000000" w:themeColor="text1"/>
          <w:highlight w:val="none"/>
          <w:u w:val="none"/>
          <w:lang w:val="en-US" w:eastAsia="zh-CN"/>
          <w14:textFill>
            <w14:solidFill>
              <w14:schemeClr w14:val="tx1"/>
            </w14:solidFill>
          </w14:textFill>
        </w:rPr>
      </w:pPr>
      <w:r>
        <w:rPr>
          <w:rFonts w:hint="eastAsia" w:ascii="宋体" w:hAnsi="宋体" w:cs="宋体"/>
          <w:color w:val="000000" w:themeColor="text1"/>
          <w:highlight w:val="none"/>
          <w:u w:val="none"/>
          <w14:textFill>
            <w14:solidFill>
              <w14:schemeClr w14:val="tx1"/>
            </w14:solidFill>
          </w14:textFill>
        </w:rPr>
        <w:t>项目联系方式（询问）：</w:t>
      </w:r>
      <w:r>
        <w:rPr>
          <w:rFonts w:ascii="宋体" w:hAnsi="宋体" w:cs="宋体"/>
          <w:color w:val="000000" w:themeColor="text1"/>
          <w:highlight w:val="none"/>
          <w:u w:val="none"/>
          <w14:textFill>
            <w14:solidFill>
              <w14:schemeClr w14:val="tx1"/>
            </w14:solidFill>
          </w14:textFill>
        </w:rPr>
        <w:t>0574-</w:t>
      </w:r>
      <w:r>
        <w:rPr>
          <w:rFonts w:hint="eastAsia" w:ascii="宋体" w:hAnsi="宋体" w:cs="宋体"/>
          <w:color w:val="000000" w:themeColor="text1"/>
          <w:highlight w:val="none"/>
          <w:u w:val="none"/>
          <w:lang w:val="en-US" w:eastAsia="zh-CN"/>
          <w14:textFill>
            <w14:solidFill>
              <w14:schemeClr w14:val="tx1"/>
            </w14:solidFill>
          </w14:textFill>
        </w:rPr>
        <w:t>55717438</w:t>
      </w:r>
    </w:p>
    <w:p>
      <w:pPr>
        <w:widowControl/>
        <w:spacing w:line="360" w:lineRule="auto"/>
        <w:ind w:firstLine="420" w:firstLineChars="200"/>
        <w:jc w:val="left"/>
        <w:rPr>
          <w:rFonts w:hint="default" w:ascii="宋体" w:hAnsi="宋体" w:eastAsia="宋体" w:cs="宋体"/>
          <w:color w:val="000000" w:themeColor="text1"/>
          <w:highlight w:val="none"/>
          <w:u w:val="none"/>
          <w:lang w:val="en-US" w:eastAsia="zh-CN"/>
          <w14:textFill>
            <w14:solidFill>
              <w14:schemeClr w14:val="tx1"/>
            </w14:solidFill>
          </w14:textFill>
        </w:rPr>
      </w:pPr>
      <w:r>
        <w:rPr>
          <w:rFonts w:hint="eastAsia" w:ascii="宋体" w:hAnsi="宋体" w:cs="宋体"/>
          <w:color w:val="000000" w:themeColor="text1"/>
          <w:highlight w:val="none"/>
          <w:u w:val="none"/>
          <w14:textFill>
            <w14:solidFill>
              <w14:schemeClr w14:val="tx1"/>
            </w14:solidFill>
          </w14:textFill>
        </w:rPr>
        <w:t>质疑联系人：</w:t>
      </w:r>
      <w:r>
        <w:rPr>
          <w:rFonts w:hint="eastAsia" w:ascii="宋体" w:hAnsi="宋体" w:cs="宋体"/>
          <w:color w:val="000000" w:themeColor="text1"/>
          <w:highlight w:val="none"/>
          <w:u w:val="none"/>
          <w:lang w:val="en-US" w:eastAsia="zh-CN"/>
          <w14:textFill>
            <w14:solidFill>
              <w14:schemeClr w14:val="tx1"/>
            </w14:solidFill>
          </w14:textFill>
        </w:rPr>
        <w:t>忻秉明</w:t>
      </w:r>
    </w:p>
    <w:p>
      <w:pPr>
        <w:widowControl/>
        <w:spacing w:line="360" w:lineRule="auto"/>
        <w:ind w:firstLine="420" w:firstLineChars="200"/>
        <w:jc w:val="left"/>
        <w:rPr>
          <w:rFonts w:ascii="宋体" w:hAnsi="宋体" w:cs="宋体"/>
          <w:color w:val="000000" w:themeColor="text1"/>
          <w:highlight w:val="none"/>
          <w:u w:val="none"/>
          <w14:textFill>
            <w14:solidFill>
              <w14:schemeClr w14:val="tx1"/>
            </w14:solidFill>
          </w14:textFill>
        </w:rPr>
      </w:pPr>
      <w:r>
        <w:rPr>
          <w:rFonts w:hint="eastAsia" w:ascii="宋体" w:hAnsi="宋体" w:cs="宋体"/>
          <w:color w:val="000000" w:themeColor="text1"/>
          <w:highlight w:val="none"/>
          <w:u w:val="none"/>
          <w14:textFill>
            <w14:solidFill>
              <w14:schemeClr w14:val="tx1"/>
            </w14:solidFill>
          </w14:textFill>
        </w:rPr>
        <w:t>质疑联系方式：0574-87329207</w:t>
      </w:r>
    </w:p>
    <w:p>
      <w:pPr>
        <w:widowControl/>
        <w:spacing w:line="360" w:lineRule="auto"/>
        <w:ind w:firstLine="420" w:firstLineChars="200"/>
        <w:jc w:val="left"/>
        <w:rPr>
          <w:rFonts w:ascii="宋体"/>
          <w:color w:val="000000" w:themeColor="text1"/>
          <w:highlight w:val="none"/>
          <w:u w:val="none"/>
          <w14:textFill>
            <w14:solidFill>
              <w14:schemeClr w14:val="tx1"/>
            </w14:solidFill>
          </w14:textFill>
        </w:rPr>
      </w:pPr>
      <w:r>
        <w:rPr>
          <w:rFonts w:hint="eastAsia" w:ascii="宋体" w:hAnsi="宋体" w:cs="宋体"/>
          <w:color w:val="000000" w:themeColor="text1"/>
          <w:highlight w:val="none"/>
          <w:u w:val="none"/>
          <w14:textFill>
            <w14:solidFill>
              <w14:schemeClr w14:val="tx1"/>
            </w14:solidFill>
          </w14:textFill>
        </w:rPr>
        <w:t xml:space="preserve">电子邮箱： </w:t>
      </w:r>
      <w:r>
        <w:rPr>
          <w:rFonts w:hint="eastAsia" w:ascii="宋体" w:hAnsi="宋体" w:cs="宋体"/>
          <w:color w:val="000000" w:themeColor="text1"/>
          <w:highlight w:val="none"/>
          <w:u w:val="none"/>
          <w:lang w:val="en-US" w:eastAsia="zh-CN"/>
          <w14:textFill>
            <w14:solidFill>
              <w14:schemeClr w14:val="tx1"/>
            </w14:solidFill>
          </w14:textFill>
        </w:rPr>
        <w:t>642558158</w:t>
      </w:r>
      <w:r>
        <w:rPr>
          <w:rFonts w:hint="eastAsia" w:ascii="宋体" w:hAnsi="宋体" w:cs="宋体"/>
          <w:color w:val="000000" w:themeColor="text1"/>
          <w:highlight w:val="none"/>
          <w:u w:val="none"/>
          <w14:textFill>
            <w14:solidFill>
              <w14:schemeClr w14:val="tx1"/>
            </w14:solidFill>
          </w14:textFill>
        </w:rPr>
        <w:t>@qq.com</w:t>
      </w:r>
    </w:p>
    <w:p>
      <w:pPr>
        <w:widowControl/>
        <w:spacing w:line="360" w:lineRule="auto"/>
        <w:ind w:firstLine="420" w:firstLineChars="200"/>
        <w:jc w:val="left"/>
        <w:rPr>
          <w:rFonts w:ascii="宋体"/>
          <w:color w:val="000000" w:themeColor="text1"/>
          <w:highlight w:val="none"/>
          <w14:textFill>
            <w14:solidFill>
              <w14:schemeClr w14:val="tx1"/>
            </w14:solidFill>
          </w14:textFill>
        </w:rPr>
      </w:pPr>
    </w:p>
    <w:p>
      <w:pPr>
        <w:wordWrap w:val="0"/>
        <w:spacing w:line="360" w:lineRule="auto"/>
        <w:ind w:firstLine="420" w:firstLineChars="200"/>
        <w:rPr>
          <w:rFonts w:ascii="宋体" w:hAnsi="宋体"/>
          <w:szCs w:val="21"/>
          <w:highlight w:val="none"/>
        </w:rPr>
      </w:pPr>
      <w:bookmarkStart w:id="59" w:name="_Toc298230958"/>
      <w:bookmarkStart w:id="60" w:name="_Toc141797668"/>
      <w:r>
        <w:rPr>
          <w:rFonts w:ascii="宋体" w:hAnsi="宋体"/>
          <w:szCs w:val="21"/>
          <w:highlight w:val="none"/>
        </w:rPr>
        <w:t>3.同级政府采购监督管理部门</w:t>
      </w:r>
    </w:p>
    <w:p>
      <w:pPr>
        <w:wordWrap w:val="0"/>
        <w:spacing w:line="360" w:lineRule="auto"/>
        <w:ind w:firstLine="420" w:firstLineChars="200"/>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宁波市财政局政府采购监管处</w:t>
      </w:r>
    </w:p>
    <w:p>
      <w:pPr>
        <w:wordWrap w:val="0"/>
        <w:spacing w:line="360" w:lineRule="auto"/>
        <w:ind w:firstLine="420" w:firstLineChars="200"/>
        <w:rPr>
          <w:rFonts w:ascii="宋体" w:hAnsi="宋体"/>
          <w:szCs w:val="21"/>
          <w:highlight w:val="none"/>
        </w:rPr>
      </w:pPr>
      <w:r>
        <w:rPr>
          <w:rFonts w:hint="eastAsia" w:ascii="宋体" w:hAnsi="宋体"/>
          <w:szCs w:val="21"/>
          <w:highlight w:val="none"/>
        </w:rPr>
        <w:t>地址：宁波市海曙区中山西路</w:t>
      </w:r>
      <w:r>
        <w:rPr>
          <w:rFonts w:ascii="宋体" w:hAnsi="宋体"/>
          <w:szCs w:val="21"/>
          <w:highlight w:val="none"/>
        </w:rPr>
        <w:t>19</w:t>
      </w:r>
      <w:r>
        <w:rPr>
          <w:rFonts w:hint="eastAsia" w:ascii="宋体" w:hAnsi="宋体"/>
          <w:szCs w:val="21"/>
          <w:highlight w:val="none"/>
        </w:rPr>
        <w:t>号</w:t>
      </w:r>
    </w:p>
    <w:p>
      <w:pPr>
        <w:wordWrap w:val="0"/>
        <w:spacing w:line="360" w:lineRule="auto"/>
        <w:ind w:firstLine="420" w:firstLineChars="200"/>
        <w:rPr>
          <w:rFonts w:ascii="宋体" w:hAnsi="宋体"/>
          <w:szCs w:val="21"/>
          <w:highlight w:val="none"/>
        </w:rPr>
      </w:pPr>
      <w:r>
        <w:rPr>
          <w:rFonts w:hint="eastAsia" w:ascii="宋体" w:hAnsi="宋体"/>
          <w:szCs w:val="21"/>
          <w:highlight w:val="none"/>
        </w:rPr>
        <w:t>传真：</w:t>
      </w:r>
      <w:r>
        <w:rPr>
          <w:rFonts w:ascii="宋体" w:hAnsi="宋体"/>
          <w:szCs w:val="21"/>
          <w:highlight w:val="none"/>
        </w:rPr>
        <w:t>/</w:t>
      </w:r>
    </w:p>
    <w:p>
      <w:pPr>
        <w:wordWrap w:val="0"/>
        <w:spacing w:line="360" w:lineRule="auto"/>
        <w:ind w:firstLine="420" w:firstLineChars="200"/>
        <w:rPr>
          <w:rFonts w:ascii="宋体" w:hAnsi="宋体"/>
          <w:szCs w:val="21"/>
          <w:highlight w:val="none"/>
        </w:rPr>
      </w:pPr>
      <w:r>
        <w:rPr>
          <w:rFonts w:hint="eastAsia" w:ascii="宋体" w:hAnsi="宋体"/>
          <w:szCs w:val="21"/>
          <w:highlight w:val="none"/>
        </w:rPr>
        <w:t>联系人：李老师</w:t>
      </w:r>
    </w:p>
    <w:p>
      <w:pPr>
        <w:wordWrap w:val="0"/>
        <w:spacing w:line="360" w:lineRule="auto"/>
        <w:ind w:firstLine="420" w:firstLineChars="200"/>
        <w:rPr>
          <w:rFonts w:ascii="宋体" w:hAnsi="宋体"/>
          <w:szCs w:val="21"/>
          <w:highlight w:val="none"/>
        </w:rPr>
      </w:pPr>
      <w:r>
        <w:rPr>
          <w:rFonts w:hint="eastAsia" w:ascii="宋体" w:hAnsi="宋体"/>
          <w:szCs w:val="21"/>
          <w:highlight w:val="none"/>
        </w:rPr>
        <w:t>监督投诉电话：</w:t>
      </w:r>
      <w:r>
        <w:rPr>
          <w:rFonts w:ascii="宋体" w:hAnsi="宋体"/>
          <w:szCs w:val="21"/>
          <w:highlight w:val="none"/>
        </w:rPr>
        <w:t>0574-</w:t>
      </w:r>
      <w:r>
        <w:rPr>
          <w:rFonts w:hint="eastAsia" w:ascii="宋体" w:hAnsi="宋体"/>
          <w:szCs w:val="21"/>
          <w:highlight w:val="none"/>
        </w:rPr>
        <w:t>89388042</w:t>
      </w:r>
    </w:p>
    <w:p>
      <w:pPr>
        <w:wordWrap w:val="0"/>
        <w:spacing w:line="360" w:lineRule="auto"/>
        <w:ind w:firstLine="420" w:firstLineChars="200"/>
        <w:rPr>
          <w:rFonts w:ascii="宋体" w:hAnsi="宋体"/>
          <w:szCs w:val="21"/>
          <w:highlight w:val="none"/>
        </w:rPr>
      </w:pPr>
      <w:r>
        <w:rPr>
          <w:rFonts w:ascii="宋体" w:hAnsi="宋体"/>
          <w:szCs w:val="21"/>
          <w:highlight w:val="none"/>
        </w:rPr>
        <w:t>若对项目采购电子交易系统操作有疑问，可登录政采云（https://www.zcygov.cn/），点击右侧咨询小采，获取采小蜜智能服务管家帮助，或拨打政采云服务热线</w:t>
      </w:r>
      <w:r>
        <w:rPr>
          <w:rFonts w:hint="eastAsia" w:ascii="宋体" w:hAnsi="宋体" w:cs="宋体"/>
          <w:bCs/>
          <w:highlight w:val="none"/>
        </w:rPr>
        <w:t>95763</w:t>
      </w:r>
      <w:r>
        <w:rPr>
          <w:rFonts w:ascii="宋体" w:hAnsi="宋体"/>
          <w:szCs w:val="21"/>
          <w:highlight w:val="none"/>
        </w:rPr>
        <w:t>获取热线服务帮助。</w:t>
      </w:r>
    </w:p>
    <w:p>
      <w:pPr>
        <w:wordWrap w:val="0"/>
        <w:spacing w:line="360" w:lineRule="auto"/>
        <w:ind w:firstLine="420" w:firstLineChars="200"/>
        <w:rPr>
          <w:rFonts w:ascii="宋体" w:hAnsi="宋体" w:cs="宋体"/>
          <w:kern w:val="0"/>
          <w:szCs w:val="21"/>
          <w:highlight w:val="none"/>
        </w:rPr>
      </w:pPr>
      <w:r>
        <w:rPr>
          <w:rFonts w:ascii="宋体" w:hAnsi="宋体"/>
          <w:szCs w:val="21"/>
          <w:highlight w:val="none"/>
        </w:rPr>
        <w:t>CA问题联系电话（人工）：汇信CA 400-888-4636；天谷CA 400-087-8198。</w:t>
      </w:r>
    </w:p>
    <w:p>
      <w:pPr>
        <w:pStyle w:val="3"/>
        <w:spacing w:beforeLines="0" w:afterLines="0" w:line="360" w:lineRule="auto"/>
        <w:rPr>
          <w:rFonts w:ascii="宋体" w:hAnsi="宋体" w:cs="宋体"/>
          <w:color w:val="000000" w:themeColor="text1"/>
          <w:sz w:val="32"/>
          <w:szCs w:val="32"/>
          <w:highlight w:val="none"/>
          <w14:textFill>
            <w14:solidFill>
              <w14:schemeClr w14:val="tx1"/>
            </w14:solidFill>
          </w14:textFill>
        </w:rPr>
        <w:sectPr>
          <w:pgSz w:w="11907" w:h="16840"/>
          <w:pgMar w:top="1111" w:right="1701" w:bottom="1428" w:left="1701" w:header="720" w:footer="720" w:gutter="0"/>
          <w:pgBorders>
            <w:top w:val="none" w:sz="0" w:space="0"/>
            <w:left w:val="none" w:sz="0" w:space="0"/>
            <w:bottom w:val="none" w:sz="0" w:space="0"/>
            <w:right w:val="none" w:sz="0" w:space="0"/>
          </w:pgBorders>
          <w:cols w:space="720" w:num="1"/>
          <w:docGrid w:type="linesAndChars" w:linePitch="286" w:charSpace="0"/>
        </w:sectPr>
      </w:pPr>
    </w:p>
    <w:p>
      <w:pPr>
        <w:pStyle w:val="3"/>
        <w:spacing w:beforeLines="0" w:afterLines="0" w:line="360" w:lineRule="auto"/>
        <w:rPr>
          <w:rFonts w:ascii="宋体" w:hAnsi="宋体" w:cs="宋体"/>
          <w:color w:val="000000" w:themeColor="text1"/>
          <w:sz w:val="32"/>
          <w:szCs w:val="32"/>
          <w:highlight w:val="none"/>
          <w14:textFill>
            <w14:solidFill>
              <w14:schemeClr w14:val="tx1"/>
            </w14:solidFill>
          </w14:textFill>
        </w:rPr>
      </w:pPr>
      <w:bookmarkStart w:id="61" w:name="OLE_LINK1"/>
      <w:bookmarkStart w:id="62" w:name="_Toc18486"/>
      <w:bookmarkStart w:id="63" w:name="_Toc14353"/>
      <w:r>
        <w:rPr>
          <w:rFonts w:hint="eastAsia" w:ascii="宋体" w:hAnsi="宋体" w:cs="宋体"/>
          <w:color w:val="000000" w:themeColor="text1"/>
          <w:sz w:val="32"/>
          <w:szCs w:val="32"/>
          <w:highlight w:val="none"/>
          <w14:textFill>
            <w14:solidFill>
              <w14:schemeClr w14:val="tx1"/>
            </w14:solidFill>
          </w14:textFill>
        </w:rPr>
        <w:t xml:space="preserve">第二部分 </w:t>
      </w:r>
      <w:bookmarkEnd w:id="59"/>
      <w:r>
        <w:rPr>
          <w:rFonts w:hint="eastAsia" w:ascii="宋体" w:hAnsi="宋体" w:cs="宋体"/>
          <w:color w:val="000000" w:themeColor="text1"/>
          <w:sz w:val="32"/>
          <w:szCs w:val="32"/>
          <w:highlight w:val="none"/>
          <w14:textFill>
            <w14:solidFill>
              <w14:schemeClr w14:val="tx1"/>
            </w14:solidFill>
          </w14:textFill>
        </w:rPr>
        <w:t>招标项目需求</w:t>
      </w:r>
      <w:bookmarkEnd w:id="60"/>
      <w:bookmarkEnd w:id="61"/>
      <w:bookmarkEnd w:id="62"/>
      <w:bookmarkEnd w:id="63"/>
    </w:p>
    <w:p>
      <w:pPr>
        <w:jc w:val="center"/>
        <w:rPr>
          <w:color w:val="000000" w:themeColor="text1"/>
          <w:sz w:val="28"/>
          <w:szCs w:val="28"/>
          <w:highlight w:val="none"/>
          <w14:textFill>
            <w14:solidFill>
              <w14:schemeClr w14:val="tx1"/>
            </w14:solidFill>
          </w14:textFill>
        </w:rPr>
      </w:pPr>
      <w:r>
        <w:rPr>
          <w:rFonts w:hint="eastAsia" w:cs="宋体"/>
          <w:color w:val="000000" w:themeColor="text1"/>
          <w:sz w:val="28"/>
          <w:szCs w:val="28"/>
          <w:highlight w:val="none"/>
          <w14:textFill>
            <w14:solidFill>
              <w14:schemeClr w14:val="tx1"/>
            </w14:solidFill>
          </w14:textFill>
        </w:rPr>
        <w:t>项目需求前附表</w:t>
      </w:r>
    </w:p>
    <w:tbl>
      <w:tblPr>
        <w:tblStyle w:val="38"/>
        <w:tblW w:w="8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359"/>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51" w:type="dxa"/>
            <w:vAlign w:val="center"/>
          </w:tcPr>
          <w:p>
            <w:pPr>
              <w:spacing w:line="360" w:lineRule="auto"/>
              <w:jc w:val="center"/>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序号</w:t>
            </w:r>
          </w:p>
        </w:tc>
        <w:tc>
          <w:tcPr>
            <w:tcW w:w="2359" w:type="dxa"/>
            <w:vAlign w:val="center"/>
          </w:tcPr>
          <w:p>
            <w:pPr>
              <w:spacing w:line="360" w:lineRule="auto"/>
              <w:jc w:val="center"/>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项目</w:t>
            </w:r>
          </w:p>
        </w:tc>
        <w:tc>
          <w:tcPr>
            <w:tcW w:w="5597" w:type="dxa"/>
            <w:vAlign w:val="center"/>
          </w:tcPr>
          <w:p>
            <w:pPr>
              <w:spacing w:line="360" w:lineRule="auto"/>
              <w:jc w:val="center"/>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采购需求内容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采购内容</w:t>
            </w:r>
          </w:p>
        </w:tc>
        <w:tc>
          <w:tcPr>
            <w:tcW w:w="5597" w:type="dxa"/>
            <w:vAlign w:val="center"/>
          </w:tcPr>
          <w:p>
            <w:pPr>
              <w:spacing w:line="360" w:lineRule="auto"/>
              <w:ind w:firstLine="0" w:firstLineChars="0"/>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详见第一部分《采购公告》及本部分“技术要求表”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2</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单位及数量</w:t>
            </w:r>
          </w:p>
        </w:tc>
        <w:tc>
          <w:tcPr>
            <w:tcW w:w="5597"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详见第一部分《采购公告》及本部分“技术要求表”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w:t>
            </w:r>
          </w:p>
        </w:tc>
        <w:tc>
          <w:tcPr>
            <w:tcW w:w="2359" w:type="dxa"/>
            <w:vAlign w:val="center"/>
          </w:tcPr>
          <w:p>
            <w:pPr>
              <w:spacing w:line="360" w:lineRule="auto"/>
              <w:jc w:val="left"/>
              <w:textAlignment w:val="baseline"/>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交付或者实施的时间和地点</w:t>
            </w:r>
          </w:p>
        </w:tc>
        <w:tc>
          <w:tcPr>
            <w:tcW w:w="5597"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4</w:t>
            </w:r>
          </w:p>
        </w:tc>
        <w:tc>
          <w:tcPr>
            <w:tcW w:w="2359" w:type="dxa"/>
            <w:vAlign w:val="center"/>
          </w:tcPr>
          <w:p>
            <w:pPr>
              <w:spacing w:line="360" w:lineRule="auto"/>
              <w:jc w:val="left"/>
              <w:textAlignment w:val="baseline"/>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需实现的功能或者目标</w:t>
            </w:r>
          </w:p>
        </w:tc>
        <w:tc>
          <w:tcPr>
            <w:tcW w:w="5597"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详见技术要求表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技术规格要求</w:t>
            </w:r>
          </w:p>
        </w:tc>
        <w:tc>
          <w:tcPr>
            <w:tcW w:w="5597"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详见技术要求表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6</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物理特性要求</w:t>
            </w:r>
          </w:p>
        </w:tc>
        <w:tc>
          <w:tcPr>
            <w:tcW w:w="5597"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详见技术要求表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质量、安全要求</w:t>
            </w:r>
          </w:p>
        </w:tc>
        <w:tc>
          <w:tcPr>
            <w:tcW w:w="5597" w:type="dxa"/>
            <w:vAlign w:val="center"/>
          </w:tcPr>
          <w:p>
            <w:pPr>
              <w:spacing w:line="360" w:lineRule="auto"/>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中标人确保提供的货物完全是崭新产品。所提供货物质量必须满足本次采购的要求，若所供货物经产品质量检测机构检测认定质量不合格，造成的损失和后果由该供应商负全责。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8</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服务标准、期限、效率</w:t>
            </w:r>
            <w:r>
              <w:rPr>
                <w:rFonts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培训等）</w:t>
            </w:r>
          </w:p>
        </w:tc>
        <w:tc>
          <w:tcPr>
            <w:tcW w:w="5597"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详见技术要求表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9</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验收标准</w:t>
            </w:r>
          </w:p>
        </w:tc>
        <w:tc>
          <w:tcPr>
            <w:tcW w:w="5597" w:type="dxa"/>
            <w:vAlign w:val="center"/>
          </w:tcPr>
          <w:p>
            <w:pPr>
              <w:spacing w:line="360" w:lineRule="auto"/>
              <w:rPr>
                <w:rFonts w:ascii="宋体"/>
                <w:i/>
                <w:i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产品安装调试后，所有资料提供齐全后，采购人将对货物组织专业人员进行最终验收，验收以国家行业标准为基础，结合本次招标文件和正式合同为依据进行，双方签署最终验收合格书。如不符要求，一律返工，直到符合要求为止，否则采购人有权解除合同，拒付货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0</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现场踏勘</w:t>
            </w:r>
          </w:p>
        </w:tc>
        <w:tc>
          <w:tcPr>
            <w:tcW w:w="5597" w:type="dxa"/>
            <w:vAlign w:val="center"/>
          </w:tcPr>
          <w:p>
            <w:pPr>
              <w:spacing w:line="360" w:lineRule="auto"/>
              <w:rPr>
                <w:rFonts w:hint="eastAsia"/>
                <w:highlight w:val="none"/>
              </w:rPr>
            </w:pPr>
            <w:r>
              <w:rPr>
                <w:rFonts w:hint="eastAsia"/>
                <w:highlight w:val="none"/>
              </w:rPr>
              <w:t>本项目不统一组织现场勘察，投标人可自行对本项目现场和周围环境进行勘察。勘察现场所发生的费用由投标人自己承担。不论何种原因所造成，在勘察过程中，投标人自行对由此次踏勘现场而造成的死亡、人身伤害、财产损失、损害以及任何其它损失、损害和引起的费用和开支承担责任。</w:t>
            </w:r>
          </w:p>
          <w:p>
            <w:pPr>
              <w:pStyle w:val="47"/>
              <w:ind w:firstLine="0" w:firstLineChars="0"/>
              <w:rPr>
                <w:rFonts w:hint="default" w:eastAsia="宋体"/>
                <w:lang w:val="en-US" w:eastAsia="zh-CN"/>
              </w:rPr>
            </w:pPr>
            <w:r>
              <w:rPr>
                <w:rFonts w:hint="eastAsia" w:ascii="宋体" w:hAnsi="宋体" w:cs="宋体"/>
                <w:color w:val="000000" w:themeColor="text1"/>
                <w:highlight w:val="none"/>
                <w:lang w:val="en-US" w:eastAsia="zh-CN"/>
                <w14:textFill>
                  <w14:solidFill>
                    <w14:schemeClr w14:val="tx1"/>
                  </w14:solidFill>
                </w14:textFill>
              </w:rPr>
              <w:t>现场踏勘联系人：陈老师，0574-87009114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Align w:val="center"/>
          </w:tcPr>
          <w:p>
            <w:pPr>
              <w:spacing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1</w:t>
            </w:r>
          </w:p>
        </w:tc>
        <w:tc>
          <w:tcPr>
            <w:tcW w:w="2359" w:type="dxa"/>
            <w:vAlign w:val="center"/>
          </w:tcPr>
          <w:p>
            <w:pPr>
              <w:spacing w:line="360" w:lineRule="auto"/>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演示时间及地点</w:t>
            </w:r>
          </w:p>
        </w:tc>
        <w:tc>
          <w:tcPr>
            <w:tcW w:w="5597" w:type="dxa"/>
            <w:vAlign w:val="center"/>
          </w:tcPr>
          <w:p>
            <w:pPr>
              <w:spacing w:line="360" w:lineRule="auto"/>
              <w:rPr>
                <w:rFonts w:hint="default" w:ascii="宋体" w:eastAsia="宋体"/>
                <w:color w:val="000000" w:themeColor="text1"/>
                <w:highlight w:val="none"/>
                <w:lang w:val="en-US" w:eastAsia="zh-CN"/>
                <w14:textFill>
                  <w14:solidFill>
                    <w14:schemeClr w14:val="tx1"/>
                  </w14:solidFill>
                </w14:textFill>
              </w:rPr>
            </w:pPr>
            <w:r>
              <w:rPr>
                <w:rFonts w:hint="eastAsia" w:ascii="宋体"/>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Align w:val="center"/>
          </w:tcPr>
          <w:p>
            <w:pPr>
              <w:spacing w:line="360" w:lineRule="auto"/>
              <w:jc w:val="center"/>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2</w:t>
            </w:r>
          </w:p>
        </w:tc>
        <w:tc>
          <w:tcPr>
            <w:tcW w:w="2359" w:type="dxa"/>
            <w:vAlign w:val="center"/>
          </w:tcPr>
          <w:p>
            <w:pPr>
              <w:spacing w:line="360" w:lineRule="auto"/>
              <w:jc w:val="left"/>
              <w:rPr>
                <w:rFonts w:ascii="宋体"/>
                <w:color w:val="auto"/>
                <w:highlight w:val="none"/>
              </w:rPr>
            </w:pPr>
            <w:r>
              <w:rPr>
                <w:rFonts w:hint="eastAsia" w:ascii="宋体" w:hAnsi="宋体" w:cs="宋体"/>
                <w:color w:val="auto"/>
                <w:highlight w:val="none"/>
              </w:rPr>
              <w:t>样品要求</w:t>
            </w:r>
          </w:p>
        </w:tc>
        <w:tc>
          <w:tcPr>
            <w:tcW w:w="5597" w:type="dxa"/>
            <w:vAlign w:val="center"/>
          </w:tcPr>
          <w:p>
            <w:pPr>
              <w:spacing w:line="360" w:lineRule="auto"/>
              <w:rPr>
                <w:rFonts w:hint="eastAsia" w:ascii="宋体" w:eastAsia="宋体"/>
                <w:b/>
                <w:bCs/>
                <w:color w:val="auto"/>
                <w:highlight w:val="none"/>
                <w:lang w:eastAsia="zh-CN"/>
              </w:rPr>
            </w:pPr>
            <w:r>
              <w:rPr>
                <w:rFonts w:hint="eastAsia" w:ascii="宋体" w:hAnsi="宋体" w:cs="宋体"/>
                <w:b w:val="0"/>
                <w:bCs w:val="0"/>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1" w:type="dxa"/>
            <w:vAlign w:val="center"/>
          </w:tcPr>
          <w:p>
            <w:pPr>
              <w:spacing w:line="360" w:lineRule="auto"/>
              <w:jc w:val="center"/>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3</w:t>
            </w:r>
          </w:p>
        </w:tc>
        <w:tc>
          <w:tcPr>
            <w:tcW w:w="2359" w:type="dxa"/>
            <w:vAlign w:val="center"/>
          </w:tcPr>
          <w:p>
            <w:pPr>
              <w:spacing w:line="360" w:lineRule="auto"/>
            </w:pPr>
            <w:r>
              <w:rPr>
                <w:rFonts w:hint="eastAsia" w:ascii="宋体" w:hAnsi="宋体" w:cs="宋体"/>
                <w:color w:val="auto"/>
                <w:highlight w:val="none"/>
              </w:rPr>
              <w:t>本项目的核心产品</w:t>
            </w:r>
          </w:p>
        </w:tc>
        <w:tc>
          <w:tcPr>
            <w:tcW w:w="5597" w:type="dxa"/>
            <w:vAlign w:val="center"/>
          </w:tcPr>
          <w:p>
            <w:pPr>
              <w:spacing w:line="360" w:lineRule="auto"/>
              <w:rPr>
                <w:rFonts w:hint="default" w:ascii="宋体" w:eastAsia="宋体"/>
                <w:b/>
                <w:bCs/>
                <w:color w:val="auto"/>
                <w:highlight w:val="none"/>
                <w:lang w:val="en-US" w:eastAsia="zh-CN"/>
              </w:rPr>
            </w:pPr>
            <w:r>
              <w:rPr>
                <w:rFonts w:hint="default" w:ascii="宋体" w:eastAsia="宋体"/>
                <w:b/>
                <w:bCs/>
                <w:color w:val="auto"/>
                <w:highlight w:val="none"/>
                <w:lang w:val="en-US" w:eastAsia="zh-CN"/>
              </w:rPr>
              <w:t>核心汇聚交换机</w:t>
            </w:r>
          </w:p>
        </w:tc>
      </w:tr>
    </w:tbl>
    <w:p>
      <w:pPr>
        <w:rPr>
          <w:color w:val="000000" w:themeColor="text1"/>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36"/>
        <w:ind w:firstLine="211"/>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spacing w:line="360" w:lineRule="auto"/>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一、商务要求表：</w:t>
      </w:r>
    </w:p>
    <w:tbl>
      <w:tblPr>
        <w:tblStyle w:val="38"/>
        <w:tblW w:w="86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8"/>
        <w:gridCol w:w="68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项目</w:t>
            </w:r>
          </w:p>
        </w:tc>
        <w:tc>
          <w:tcPr>
            <w:tcW w:w="6821" w:type="dxa"/>
            <w:tcBorders>
              <w:top w:val="single" w:color="auto" w:sz="4" w:space="0"/>
              <w:left w:val="single" w:color="auto" w:sz="4" w:space="0"/>
              <w:bottom w:val="single" w:color="auto" w:sz="4" w:space="0"/>
            </w:tcBorders>
            <w:vAlign w:val="center"/>
          </w:tcPr>
          <w:p>
            <w:pPr>
              <w:spacing w:line="360" w:lineRule="auto"/>
              <w:jc w:val="center"/>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、合同履行期限</w:t>
            </w:r>
          </w:p>
        </w:tc>
        <w:tc>
          <w:tcPr>
            <w:tcW w:w="6821" w:type="dxa"/>
            <w:tcBorders>
              <w:top w:val="single" w:color="auto" w:sz="4" w:space="0"/>
              <w:left w:val="single" w:color="auto" w:sz="4" w:space="0"/>
              <w:bottom w:val="single" w:color="auto" w:sz="4" w:space="0"/>
            </w:tcBorders>
            <w:vAlign w:val="center"/>
          </w:tcPr>
          <w:p>
            <w:pPr>
              <w:numPr>
                <w:ilvl w:val="-1"/>
                <w:numId w:val="0"/>
              </w:numPr>
              <w:spacing w:line="380" w:lineRule="exact"/>
              <w:rPr>
                <w:rFonts w:ascii="宋体" w:hAnsi="宋体" w:cs="宋体"/>
                <w:color w:val="000000" w:themeColor="text1"/>
                <w:highlight w:val="none"/>
                <w14:textFill>
                  <w14:solidFill>
                    <w14:schemeClr w14:val="tx1"/>
                  </w14:solidFill>
                </w14:textFill>
              </w:rPr>
            </w:pPr>
            <w:r>
              <w:rPr>
                <w:rFonts w:hint="eastAsia" w:ascii="Times New Roman" w:hAnsi="Times New Roman" w:cs="Times New Roman"/>
                <w:highlight w:val="none"/>
              </w:rPr>
              <w:t>合同签定后180天内完成</w:t>
            </w:r>
            <w:r>
              <w:rPr>
                <w:rFonts w:hint="eastAsia" w:cs="Times New Roman"/>
                <w:highlight w:val="none"/>
                <w:lang w:val="en-US" w:eastAsia="zh-CN"/>
              </w:rPr>
              <w:t>本项目</w:t>
            </w:r>
            <w:r>
              <w:rPr>
                <w:rFonts w:hint="eastAsia" w:ascii="Times New Roman" w:hAnsi="Times New Roman" w:cs="Times New Roman"/>
                <w:highlight w:val="none"/>
              </w:rPr>
              <w:t>整体基础支撑体系集约化工程</w:t>
            </w:r>
            <w:r>
              <w:rPr>
                <w:rFonts w:hint="eastAsia" w:cs="Times New Roman"/>
                <w:highlight w:val="none"/>
                <w:lang w:eastAsia="zh-CN"/>
              </w:rPr>
              <w:t>（</w:t>
            </w:r>
            <w:r>
              <w:rPr>
                <w:rFonts w:hint="eastAsia" w:cs="Times New Roman"/>
                <w:highlight w:val="none"/>
                <w:lang w:val="en-US" w:eastAsia="zh-CN"/>
              </w:rPr>
              <w:t>包含中心机房改造</w:t>
            </w:r>
            <w:r>
              <w:rPr>
                <w:rFonts w:hint="eastAsia" w:cs="Times New Roman"/>
                <w:highlight w:val="none"/>
                <w:lang w:eastAsia="zh-CN"/>
              </w:rPr>
              <w:t>）</w:t>
            </w:r>
            <w:r>
              <w:rPr>
                <w:rFonts w:hint="eastAsia" w:ascii="Times New Roman" w:hAnsi="Times New Roman" w:cs="Times New Roman"/>
                <w:highlight w:val="none"/>
              </w:rPr>
              <w:t>，其中中心机房改造在合同签定后90天内完成</w:t>
            </w:r>
            <w:r>
              <w:rPr>
                <w:rFonts w:hint="eastAsia" w:cs="Times New Roman"/>
                <w:highlight w:val="none"/>
                <w:lang w:eastAsia="zh-CN"/>
              </w:rPr>
              <w:t>。</w:t>
            </w:r>
            <w:r>
              <w:rPr>
                <w:rFonts w:hint="eastAsia" w:ascii="Times New Roman" w:hAnsi="Times New Roman" w:cs="Times New Roman"/>
                <w:highlight w:val="none"/>
              </w:rPr>
              <w:t>（包含休息日，不含国家法定节假日）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、交货地点</w:t>
            </w:r>
          </w:p>
        </w:tc>
        <w:tc>
          <w:tcPr>
            <w:tcW w:w="6821" w:type="dxa"/>
            <w:tcBorders>
              <w:top w:val="single" w:color="auto" w:sz="4" w:space="0"/>
              <w:left w:val="single" w:color="auto" w:sz="4" w:space="0"/>
              <w:bottom w:val="single" w:color="auto" w:sz="4" w:space="0"/>
            </w:tcBorders>
            <w:vAlign w:val="center"/>
          </w:tcPr>
          <w:p>
            <w:pPr>
              <w:spacing w:line="380" w:lineRule="exact"/>
              <w:rPr>
                <w:rFonts w:ascii="宋体"/>
                <w:color w:val="000000" w:themeColor="text1"/>
                <w:highlight w:val="none"/>
                <w14:textFill>
                  <w14:solidFill>
                    <w14:schemeClr w14:val="tx1"/>
                  </w14:solidFill>
                </w14:textFill>
              </w:rPr>
            </w:pPr>
            <w:r>
              <w:rPr>
                <w:rFonts w:hint="eastAsia" w:ascii="宋体" w:cs="宋体"/>
                <w:color w:val="000000" w:themeColor="text1"/>
                <w:highlight w:val="none"/>
                <w14:textFill>
                  <w14:solidFill>
                    <w14:schemeClr w14:val="tx1"/>
                  </w14:solidFill>
                </w14:textFill>
              </w:rPr>
              <w:t>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ascii="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、付款条件</w:t>
            </w:r>
          </w:p>
        </w:tc>
        <w:tc>
          <w:tcPr>
            <w:tcW w:w="6821" w:type="dxa"/>
            <w:tcBorders>
              <w:top w:val="single" w:color="auto" w:sz="4" w:space="0"/>
              <w:left w:val="single" w:color="auto" w:sz="4" w:space="0"/>
              <w:bottom w:val="single" w:color="auto" w:sz="4" w:space="0"/>
            </w:tcBorders>
            <w:vAlign w:val="center"/>
          </w:tcPr>
          <w:p>
            <w:pPr>
              <w:spacing w:line="380" w:lineRule="exact"/>
              <w:rPr>
                <w:rFonts w:hint="eastAsia"/>
                <w:highlight w:val="none"/>
                <w:lang w:val="en-US" w:eastAsia="zh-CN"/>
              </w:rPr>
            </w:pPr>
            <w:r>
              <w:rPr>
                <w:rFonts w:hint="eastAsia"/>
                <w:highlight w:val="none"/>
                <w:lang w:val="en-US" w:eastAsia="zh-CN"/>
              </w:rPr>
              <w:t>合同签定以及具备实施条件后7个工作日内支付合同金额的</w:t>
            </w:r>
            <w:r>
              <w:rPr>
                <w:rFonts w:hint="eastAsia" w:ascii="Times New Roman" w:hAnsi="Times New Roman" w:eastAsia="宋体" w:cs="Times New Roman"/>
                <w:kern w:val="2"/>
                <w:sz w:val="21"/>
                <w:szCs w:val="21"/>
                <w:highlight w:val="none"/>
                <w:lang w:val="en-US" w:eastAsia="zh-CN" w:bidi="ar-SA"/>
              </w:rPr>
              <w:t>50%</w:t>
            </w:r>
            <w:r>
              <w:rPr>
                <w:rFonts w:hint="eastAsia"/>
                <w:highlight w:val="none"/>
                <w:lang w:val="en-US" w:eastAsia="zh-CN"/>
              </w:rPr>
              <w:t>作为预付款，终验通过后支付合同金额的50%。</w:t>
            </w:r>
          </w:p>
          <w:p>
            <w:pPr>
              <w:spacing w:line="380" w:lineRule="exact"/>
              <w:rPr>
                <w:rFonts w:hint="eastAsia"/>
                <w:highlight w:val="none"/>
              </w:rPr>
            </w:pPr>
            <w:r>
              <w:rPr>
                <w:rFonts w:hint="eastAsia"/>
                <w:highlight w:val="none"/>
                <w:lang w:val="en-US" w:eastAsia="zh-CN"/>
              </w:rPr>
              <w:t>注：采购人支付前，中标人须提供正规财务发票，否则采购人有权不予支付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hint="default" w:ascii="宋体" w:eastAsia="宋体"/>
                <w:color w:val="auto"/>
                <w:highlight w:val="none"/>
                <w:lang w:val="en-US" w:eastAsia="zh-CN"/>
              </w:rPr>
            </w:pPr>
            <w:r>
              <w:rPr>
                <w:rFonts w:ascii="宋体" w:hAnsi="宋体" w:cs="宋体"/>
                <w:color w:val="auto"/>
                <w:highlight w:val="none"/>
              </w:rPr>
              <w:t>4</w:t>
            </w:r>
            <w:r>
              <w:rPr>
                <w:rFonts w:hint="eastAsia" w:ascii="宋体" w:hAnsi="宋体" w:cs="宋体"/>
                <w:color w:val="auto"/>
                <w:highlight w:val="none"/>
              </w:rPr>
              <w:t>、履约保证金</w:t>
            </w:r>
          </w:p>
        </w:tc>
        <w:tc>
          <w:tcPr>
            <w:tcW w:w="6821" w:type="dxa"/>
            <w:tcBorders>
              <w:top w:val="single" w:color="auto" w:sz="4" w:space="0"/>
              <w:left w:val="single" w:color="auto" w:sz="4" w:space="0"/>
              <w:bottom w:val="single" w:color="auto" w:sz="4" w:space="0"/>
            </w:tcBorders>
            <w:vAlign w:val="center"/>
          </w:tcPr>
          <w:p>
            <w:pPr>
              <w:spacing w:line="380" w:lineRule="exact"/>
              <w:rPr>
                <w:rFonts w:hint="eastAsia" w:ascii="宋体" w:eastAsia="宋体"/>
                <w:color w:val="000000" w:themeColor="text1"/>
                <w:highlight w:val="none"/>
                <w:lang w:eastAsia="zh-CN"/>
                <w14:textFill>
                  <w14:solidFill>
                    <w14:schemeClr w14:val="tx1"/>
                  </w14:solidFill>
                </w14:textFill>
              </w:rPr>
            </w:pPr>
            <w:r>
              <w:rPr>
                <w:rFonts w:hint="eastAsia" w:ascii="宋体"/>
                <w:color w:val="000000" w:themeColor="text1"/>
                <w:highlight w:val="none"/>
                <w:lang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ascii="宋体"/>
                <w:color w:val="auto"/>
                <w:highlight w:val="none"/>
              </w:rPr>
            </w:pPr>
            <w:r>
              <w:rPr>
                <w:rFonts w:hint="eastAsia" w:ascii="宋体" w:hAnsi="宋体" w:cs="宋体"/>
                <w:color w:val="auto"/>
                <w:highlight w:val="none"/>
              </w:rPr>
              <w:t>★</w:t>
            </w:r>
            <w:r>
              <w:rPr>
                <w:rFonts w:ascii="宋体" w:hAnsi="宋体" w:cs="宋体"/>
                <w:color w:val="auto"/>
                <w:highlight w:val="none"/>
              </w:rPr>
              <w:t>5</w:t>
            </w:r>
            <w:r>
              <w:rPr>
                <w:rFonts w:hint="eastAsia" w:ascii="宋体" w:hAnsi="宋体" w:cs="宋体"/>
                <w:color w:val="auto"/>
                <w:highlight w:val="none"/>
              </w:rPr>
              <w:t>、质保期</w:t>
            </w:r>
          </w:p>
        </w:tc>
        <w:tc>
          <w:tcPr>
            <w:tcW w:w="6821" w:type="dxa"/>
            <w:tcBorders>
              <w:top w:val="single" w:color="auto" w:sz="4" w:space="0"/>
              <w:left w:val="single" w:color="auto" w:sz="4" w:space="0"/>
              <w:bottom w:val="single" w:color="auto" w:sz="4" w:space="0"/>
            </w:tcBorders>
            <w:vAlign w:val="center"/>
          </w:tcPr>
          <w:p>
            <w:pPr>
              <w:spacing w:line="380" w:lineRule="exact"/>
              <w:ind w:right="0" w:rightChars="0" w:firstLine="0" w:firstLineChars="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本项目提供三年整体保修。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auto"/>
                <w:highlight w:val="none"/>
              </w:rPr>
              <w:t>★</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售后技术服务要求</w:t>
            </w:r>
          </w:p>
        </w:tc>
        <w:tc>
          <w:tcPr>
            <w:tcW w:w="6821" w:type="dxa"/>
            <w:tcBorders>
              <w:top w:val="single" w:color="auto" w:sz="4" w:space="0"/>
              <w:left w:val="single" w:color="auto" w:sz="4" w:space="0"/>
              <w:bottom w:val="single" w:color="auto" w:sz="4" w:space="0"/>
            </w:tcBorders>
            <w:vAlign w:val="center"/>
          </w:tcPr>
          <w:p>
            <w:pPr>
              <w:widowControl/>
              <w:numPr>
                <w:ilvl w:val="0"/>
                <w:numId w:val="0"/>
              </w:numPr>
              <w:spacing w:line="380" w:lineRule="exact"/>
              <w:ind w:right="0" w:rightChars="0"/>
              <w:rPr>
                <w:rFonts w:hint="eastAsia"/>
                <w:lang w:eastAsia="zh-CN"/>
              </w:rPr>
            </w:pPr>
            <w:r>
              <w:rPr>
                <w:rFonts w:hint="eastAsia" w:ascii="宋体" w:hAnsi="宋体"/>
                <w:color w:val="000000" w:themeColor="text1"/>
                <w:highlight w:val="none"/>
                <w14:textFill>
                  <w14:solidFill>
                    <w14:schemeClr w14:val="tx1"/>
                  </w14:solidFill>
                </w14:textFill>
              </w:rPr>
              <w:t>在质保期间</w:t>
            </w:r>
            <w:r>
              <w:rPr>
                <w:rFonts w:hint="eastAsia" w:ascii="宋体" w:hAnsi="宋体"/>
                <w:color w:val="000000" w:themeColor="text1"/>
                <w:highlight w:val="none"/>
                <w:lang w:val="en-US" w:eastAsia="zh-CN"/>
                <w14:textFill>
                  <w14:solidFill>
                    <w14:schemeClr w14:val="tx1"/>
                  </w14:solidFill>
                </w14:textFill>
              </w:rPr>
              <w:t>中标人</w:t>
            </w:r>
            <w:r>
              <w:rPr>
                <w:rFonts w:hint="eastAsia" w:ascii="宋体" w:hAnsi="宋体"/>
                <w:color w:val="000000" w:themeColor="text1"/>
                <w:highlight w:val="none"/>
                <w14:textFill>
                  <w14:solidFill>
                    <w14:schemeClr w14:val="tx1"/>
                  </w14:solidFill>
                </w14:textFill>
              </w:rPr>
              <w:t>在接到</w:t>
            </w:r>
            <w:r>
              <w:rPr>
                <w:rFonts w:hint="eastAsia" w:ascii="宋体" w:hAnsi="宋体"/>
                <w:color w:val="000000" w:themeColor="text1"/>
                <w:highlight w:val="none"/>
                <w:lang w:val="en-US" w:eastAsia="zh-CN"/>
                <w14:textFill>
                  <w14:solidFill>
                    <w14:schemeClr w14:val="tx1"/>
                  </w14:solidFill>
                </w14:textFill>
              </w:rPr>
              <w:t>采购人</w:t>
            </w:r>
            <w:r>
              <w:rPr>
                <w:rFonts w:hint="eastAsia" w:ascii="宋体" w:hAnsi="宋体"/>
                <w:color w:val="000000" w:themeColor="text1"/>
                <w:highlight w:val="none"/>
                <w14:textFill>
                  <w14:solidFill>
                    <w14:schemeClr w14:val="tx1"/>
                  </w14:solidFill>
                </w14:textFill>
              </w:rPr>
              <w:t>通知后，如发生故障</w:t>
            </w:r>
            <w:r>
              <w:rPr>
                <w:rFonts w:hint="eastAsia" w:ascii="宋体" w:hAnsi="宋体"/>
                <w:color w:val="000000" w:themeColor="text1"/>
                <w:highlight w:val="none"/>
                <w:lang w:eastAsia="zh-CN"/>
                <w14:textFill>
                  <w14:solidFill>
                    <w14:schemeClr w14:val="tx1"/>
                  </w14:solidFill>
                </w14:textFill>
              </w:rPr>
              <w:t>的</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须</w:t>
            </w:r>
            <w:r>
              <w:rPr>
                <w:rFonts w:hint="eastAsia" w:ascii="宋体" w:hAnsi="宋体"/>
                <w:color w:val="000000" w:themeColor="text1"/>
                <w:highlight w:val="none"/>
                <w14:textFill>
                  <w14:solidFill>
                    <w14:schemeClr w14:val="tx1"/>
                  </w14:solidFill>
                </w14:textFill>
              </w:rPr>
              <w:t>在1小时内响应，4小时内解决问题。另外，需提供每季度上门巡检服务。一是使用健康检查工具（如红外热成像</w:t>
            </w:r>
            <w:r>
              <w:rPr>
                <w:rFonts w:hint="eastAsia" w:ascii="宋体" w:hAnsi="宋体"/>
                <w:color w:val="000000" w:themeColor="text1"/>
                <w:highlight w:val="none"/>
                <w:lang w:val="en-US" w:eastAsia="zh-CN"/>
                <w14:textFill>
                  <w14:solidFill>
                    <w14:schemeClr w14:val="tx1"/>
                  </w14:solidFill>
                </w14:textFill>
              </w:rPr>
              <w:t>仪</w:t>
            </w:r>
            <w:r>
              <w:rPr>
                <w:rFonts w:hint="eastAsia" w:ascii="宋体" w:hAnsi="宋体"/>
                <w:color w:val="000000" w:themeColor="text1"/>
                <w:highlight w:val="none"/>
                <w14:textFill>
                  <w14:solidFill>
                    <w14:schemeClr w14:val="tx1"/>
                  </w14:solidFill>
                </w14:textFill>
              </w:rPr>
              <w:t>等）对</w:t>
            </w:r>
            <w:r>
              <w:rPr>
                <w:rFonts w:hint="eastAsia" w:ascii="宋体" w:hAnsi="宋体"/>
                <w:color w:val="000000" w:themeColor="text1"/>
                <w:highlight w:val="none"/>
                <w:lang w:val="en-US" w:eastAsia="zh-CN"/>
                <w14:textFill>
                  <w14:solidFill>
                    <w14:schemeClr w14:val="tx1"/>
                  </w14:solidFill>
                </w14:textFill>
              </w:rPr>
              <w:t>机房</w:t>
            </w:r>
            <w:r>
              <w:rPr>
                <w:rFonts w:hint="eastAsia" w:ascii="宋体" w:hAnsi="宋体"/>
                <w:color w:val="000000" w:themeColor="text1"/>
                <w:highlight w:val="none"/>
                <w14:textFill>
                  <w14:solidFill>
                    <w14:schemeClr w14:val="tx1"/>
                  </w14:solidFill>
                </w14:textFill>
              </w:rPr>
              <w:t>设备进行健康检查和性能分析；二是更换</w:t>
            </w:r>
            <w:r>
              <w:rPr>
                <w:rFonts w:hint="eastAsia" w:ascii="宋体" w:hAnsi="宋体"/>
                <w:color w:val="000000" w:themeColor="text1"/>
                <w:highlight w:val="none"/>
                <w:lang w:val="en-US" w:eastAsia="zh-CN"/>
                <w14:textFill>
                  <w14:solidFill>
                    <w14:schemeClr w14:val="tx1"/>
                  </w14:solidFill>
                </w14:textFill>
              </w:rPr>
              <w:t>机房精密</w:t>
            </w:r>
            <w:r>
              <w:rPr>
                <w:rFonts w:hint="eastAsia" w:ascii="宋体" w:hAnsi="宋体"/>
                <w:color w:val="000000" w:themeColor="text1"/>
                <w:highlight w:val="none"/>
                <w14:textFill>
                  <w14:solidFill>
                    <w14:schemeClr w14:val="tx1"/>
                  </w14:solidFill>
                </w14:textFill>
              </w:rPr>
              <w:t>空调过滤网，清洗</w:t>
            </w:r>
            <w:r>
              <w:rPr>
                <w:rFonts w:hint="eastAsia" w:ascii="宋体" w:hAnsi="宋体"/>
                <w:color w:val="000000" w:themeColor="text1"/>
                <w:highlight w:val="none"/>
                <w:lang w:val="en-US" w:eastAsia="zh-CN"/>
                <w14:textFill>
                  <w14:solidFill>
                    <w14:schemeClr w14:val="tx1"/>
                  </w14:solidFill>
                </w14:textFill>
              </w:rPr>
              <w:t>精密</w:t>
            </w:r>
            <w:r>
              <w:rPr>
                <w:rFonts w:hint="eastAsia" w:ascii="宋体" w:hAnsi="宋体"/>
                <w:color w:val="000000" w:themeColor="text1"/>
                <w:highlight w:val="none"/>
                <w14:textFill>
                  <w14:solidFill>
                    <w14:schemeClr w14:val="tx1"/>
                  </w14:solidFill>
                </w14:textFill>
              </w:rPr>
              <w:t>空调室外机；三是每季度提供巡检报告。</w:t>
            </w:r>
            <w:r>
              <w:rPr>
                <w:rFonts w:hint="eastAsia" w:ascii="宋体" w:hAnsi="宋体"/>
                <w:color w:val="000000" w:themeColor="text1"/>
                <w:highlight w:val="none"/>
                <w:lang w:val="en-US" w:eastAsia="zh-CN"/>
                <w14:textFill>
                  <w14:solidFill>
                    <w14:schemeClr w14:val="tx1"/>
                  </w14:solidFill>
                </w14:textFill>
              </w:rPr>
              <w:t>中标人</w:t>
            </w:r>
            <w:r>
              <w:rPr>
                <w:rFonts w:hint="eastAsia" w:ascii="宋体" w:hAnsi="宋体"/>
                <w:color w:val="000000" w:themeColor="text1"/>
                <w:highlight w:val="none"/>
                <w14:textFill>
                  <w14:solidFill>
                    <w14:schemeClr w14:val="tx1"/>
                  </w14:solidFill>
                </w14:textFill>
              </w:rPr>
              <w:t>不在约定期限内派人保修的，</w:t>
            </w:r>
            <w:r>
              <w:rPr>
                <w:rFonts w:hint="eastAsia" w:ascii="宋体" w:hAnsi="宋体"/>
                <w:color w:val="000000" w:themeColor="text1"/>
                <w:highlight w:val="none"/>
                <w:lang w:val="en-US" w:eastAsia="zh-CN"/>
                <w14:textFill>
                  <w14:solidFill>
                    <w14:schemeClr w14:val="tx1"/>
                  </w14:solidFill>
                </w14:textFill>
              </w:rPr>
              <w:t>采购人</w:t>
            </w:r>
            <w:r>
              <w:rPr>
                <w:rFonts w:hint="eastAsia" w:ascii="宋体" w:hAnsi="宋体"/>
                <w:color w:val="000000" w:themeColor="text1"/>
                <w:highlight w:val="none"/>
                <w14:textFill>
                  <w14:solidFill>
                    <w14:schemeClr w14:val="tx1"/>
                  </w14:solidFill>
                </w14:textFill>
              </w:rPr>
              <w:t>可以委托他人修理，保修费用从质量担保中扣除，由此引起的相关责任及所有费用由</w:t>
            </w:r>
            <w:r>
              <w:rPr>
                <w:rFonts w:hint="eastAsia" w:ascii="宋体" w:hAnsi="宋体"/>
                <w:color w:val="000000" w:themeColor="text1"/>
                <w:highlight w:val="none"/>
                <w:lang w:val="en-US" w:eastAsia="zh-CN"/>
                <w14:textFill>
                  <w14:solidFill>
                    <w14:schemeClr w14:val="tx1"/>
                  </w14:solidFill>
                </w14:textFill>
              </w:rPr>
              <w:t>中标人</w:t>
            </w:r>
            <w:r>
              <w:rPr>
                <w:rFonts w:hint="eastAsia" w:ascii="宋体" w:hAnsi="宋体"/>
                <w:color w:val="000000" w:themeColor="text1"/>
                <w:highlight w:val="none"/>
                <w14:textFill>
                  <w14:solidFill>
                    <w14:schemeClr w14:val="tx1"/>
                  </w14:solidFill>
                </w14:textFill>
              </w:rPr>
              <w:t>承担</w:t>
            </w:r>
            <w:r>
              <w:rPr>
                <w:rFonts w:hint="eastAsia" w:ascii="宋体" w:hAnsi="宋体"/>
                <w:color w:val="000000" w:themeColor="text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kern w:val="0"/>
                <w:highlight w:val="none"/>
              </w:rPr>
            </w:pPr>
            <w:r>
              <w:rPr>
                <w:rFonts w:hint="eastAsia" w:ascii="宋体" w:hAnsi="宋体" w:cs="宋体"/>
                <w:color w:val="auto"/>
                <w:highlight w:val="none"/>
              </w:rPr>
              <w:t>★</w:t>
            </w:r>
            <w:r>
              <w:rPr>
                <w:rFonts w:hint="eastAsia" w:ascii="宋体" w:hAnsi="宋体" w:cs="宋体"/>
                <w:kern w:val="0"/>
                <w:highlight w:val="none"/>
                <w:lang w:val="en-US" w:eastAsia="zh-CN"/>
              </w:rPr>
              <w:t>7</w:t>
            </w:r>
            <w:r>
              <w:rPr>
                <w:rFonts w:hint="eastAsia" w:ascii="宋体" w:hAnsi="宋体" w:cs="宋体"/>
                <w:kern w:val="0"/>
                <w:highlight w:val="none"/>
              </w:rPr>
              <w:t>、质量标准</w:t>
            </w:r>
          </w:p>
        </w:tc>
        <w:tc>
          <w:tcPr>
            <w:tcW w:w="6821" w:type="dxa"/>
            <w:tcBorders>
              <w:top w:val="single" w:color="auto" w:sz="4" w:space="0"/>
              <w:left w:val="single" w:color="auto" w:sz="4" w:space="0"/>
              <w:bottom w:val="single" w:color="auto" w:sz="4" w:space="0"/>
            </w:tcBorders>
            <w:vAlign w:val="center"/>
          </w:tcPr>
          <w:p>
            <w:pPr>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保证所提供的设备、材料是全新的、未使用过的且原包装未拆封的；提供的产品是技术先进、质量上乘、外表美观并完全符合合同规定的质量、规格、性能要求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8"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auto"/>
                <w:highlight w:val="none"/>
              </w:rPr>
              <w:t>★</w:t>
            </w:r>
            <w:r>
              <w:rPr>
                <w:rFonts w:hint="eastAsia" w:ascii="宋体" w:hAnsi="宋体" w:cs="宋体"/>
                <w:highlight w:val="none"/>
                <w:lang w:val="en-US" w:eastAsia="zh-CN"/>
              </w:rPr>
              <w:t>8</w:t>
            </w:r>
            <w:r>
              <w:rPr>
                <w:rFonts w:hint="eastAsia" w:ascii="宋体" w:hAnsi="宋体" w:cs="宋体"/>
                <w:highlight w:val="none"/>
              </w:rPr>
              <w:t>、应提供的伴随服务</w:t>
            </w:r>
          </w:p>
        </w:tc>
        <w:tc>
          <w:tcPr>
            <w:tcW w:w="6821" w:type="dxa"/>
            <w:tcBorders>
              <w:top w:val="single" w:color="auto" w:sz="4" w:space="0"/>
              <w:left w:val="single" w:color="auto" w:sz="4" w:space="0"/>
              <w:bottom w:val="single" w:color="auto" w:sz="4" w:space="0"/>
            </w:tcBorders>
            <w:vAlign w:val="center"/>
          </w:tcPr>
          <w:p>
            <w:pPr>
              <w:spacing w:line="360" w:lineRule="auto"/>
              <w:ind w:firstLine="0" w:firstLineChars="0"/>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招标项目需求中的</w:t>
            </w:r>
            <w:r>
              <w:rPr>
                <w:rFonts w:hint="eastAsia" w:ascii="宋体" w:hAnsi="宋体"/>
                <w:color w:val="000000" w:themeColor="text1"/>
                <w:szCs w:val="21"/>
                <w:highlight w:val="none"/>
                <w14:textFill>
                  <w14:solidFill>
                    <w14:schemeClr w14:val="tx1"/>
                  </w14:solidFill>
                </w14:textFill>
              </w:rPr>
              <w:t>设备采购及安装调试。包括产品制造、供货、安装、调试、验收、售后服务、保修等所有相关工作。</w:t>
            </w:r>
          </w:p>
        </w:tc>
      </w:tr>
    </w:tbl>
    <w:p>
      <w:pPr>
        <w:pStyle w:val="3"/>
        <w:spacing w:before="286" w:after="286"/>
        <w:jc w:val="left"/>
        <w:rPr>
          <w:rFonts w:hint="eastAsia" w:ascii="宋体" w:hAnsi="宋体" w:cs="宋体"/>
          <w:b/>
          <w:bCs/>
          <w:color w:val="000000" w:themeColor="text1"/>
          <w:sz w:val="21"/>
          <w:szCs w:val="21"/>
          <w:highlight w:val="none"/>
          <w14:textFill>
            <w14:solidFill>
              <w14:schemeClr w14:val="tx1"/>
            </w14:solidFill>
          </w14:textFill>
        </w:rPr>
      </w:pPr>
      <w:r>
        <w:rPr>
          <w:rFonts w:ascii="宋体"/>
          <w:color w:val="000000" w:themeColor="text1"/>
          <w:sz w:val="24"/>
          <w:szCs w:val="24"/>
          <w:highlight w:val="none"/>
          <w14:textFill>
            <w14:solidFill>
              <w14:schemeClr w14:val="tx1"/>
            </w14:solidFill>
          </w14:textFill>
        </w:rPr>
        <w:br w:type="page"/>
      </w:r>
      <w:bookmarkStart w:id="64" w:name="_Toc10395"/>
      <w:bookmarkStart w:id="65" w:name="_Toc2204"/>
      <w:r>
        <w:rPr>
          <w:rFonts w:hint="eastAsia" w:ascii="宋体"/>
          <w:color w:val="000000" w:themeColor="text1"/>
          <w:sz w:val="21"/>
          <w:szCs w:val="21"/>
          <w:highlight w:val="none"/>
          <w:lang w:val="en-US" w:eastAsia="zh-CN"/>
          <w14:textFill>
            <w14:solidFill>
              <w14:schemeClr w14:val="tx1"/>
            </w14:solidFill>
          </w14:textFill>
        </w:rPr>
        <w:t>二、</w:t>
      </w:r>
      <w:r>
        <w:rPr>
          <w:rFonts w:hint="eastAsia" w:ascii="宋体" w:hAnsi="宋体" w:cs="宋体"/>
          <w:b/>
          <w:bCs/>
          <w:color w:val="000000" w:themeColor="text1"/>
          <w:sz w:val="21"/>
          <w:szCs w:val="21"/>
          <w:highlight w:val="none"/>
          <w14:textFill>
            <w14:solidFill>
              <w14:schemeClr w14:val="tx1"/>
            </w14:solidFill>
          </w14:textFill>
        </w:rPr>
        <w:t>技术要求</w:t>
      </w:r>
      <w:bookmarkEnd w:id="64"/>
      <w:bookmarkEnd w:id="65"/>
      <w:bookmarkStart w:id="66" w:name="_Toc141797672"/>
    </w:p>
    <w:p>
      <w:pPr>
        <w:pStyle w:val="3"/>
        <w:spacing w:before="286" w:after="286"/>
        <w:jc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第一节 项目概况及采购清单</w:t>
      </w:r>
    </w:p>
    <w:p>
      <w:pPr>
        <w:pStyle w:val="158"/>
        <w:keepNext w:val="0"/>
        <w:keepLines w:val="0"/>
        <w:pageBreakBefore w:val="0"/>
        <w:widowControl w:val="0"/>
        <w:kinsoku/>
        <w:wordWrap/>
        <w:overflowPunct/>
        <w:topLinePunct w:val="0"/>
        <w:autoSpaceDE/>
        <w:autoSpaceDN/>
        <w:bidi w:val="0"/>
        <w:adjustRightInd/>
        <w:snapToGrid/>
        <w:spacing w:beforeLines="0" w:afterLines="0" w:line="400" w:lineRule="exact"/>
        <w:ind w:firstLine="420" w:firstLineChars="200"/>
        <w:jc w:val="left"/>
        <w:textAlignment w:val="auto"/>
        <w:rPr>
          <w:rFonts w:hint="eastAsia" w:ascii="宋体" w:hAnsi="宋体" w:eastAsia="宋体" w:cs="宋体"/>
          <w:b/>
          <w:bCs w:val="0"/>
          <w:color w:val="000000"/>
          <w:sz w:val="21"/>
          <w:szCs w:val="21"/>
          <w:lang w:eastAsia="zh-CN"/>
        </w:rPr>
      </w:pPr>
      <w:r>
        <w:rPr>
          <w:rFonts w:hint="eastAsia" w:ascii="宋体" w:hAnsi="宋体" w:eastAsia="宋体" w:cs="宋体"/>
          <w:b/>
          <w:bCs w:val="0"/>
          <w:sz w:val="21"/>
          <w:szCs w:val="21"/>
          <w:lang w:val="en-US" w:eastAsia="zh-CN"/>
        </w:rPr>
        <w:t>一、</w:t>
      </w:r>
      <w:r>
        <w:rPr>
          <w:rFonts w:hint="eastAsia" w:ascii="宋体" w:hAnsi="宋体" w:eastAsia="宋体" w:cs="宋体"/>
          <w:b/>
          <w:bCs w:val="0"/>
          <w:sz w:val="21"/>
          <w:szCs w:val="21"/>
        </w:rPr>
        <w:t>项目</w:t>
      </w:r>
      <w:r>
        <w:rPr>
          <w:rFonts w:hint="eastAsia" w:ascii="宋体" w:hAnsi="宋体" w:eastAsia="宋体" w:cs="宋体"/>
          <w:b/>
          <w:bCs w:val="0"/>
          <w:sz w:val="21"/>
          <w:szCs w:val="21"/>
          <w:lang w:val="en-US" w:eastAsia="zh-CN"/>
        </w:rPr>
        <w:t>背景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根据</w:t>
      </w:r>
      <w:r>
        <w:rPr>
          <w:rFonts w:hint="eastAsia" w:ascii="宋体" w:hAnsi="宋体" w:eastAsia="宋体" w:cs="宋体"/>
          <w:sz w:val="21"/>
          <w:szCs w:val="21"/>
          <w:lang w:eastAsia="zh-CN"/>
        </w:rPr>
        <w:t>浙江</w:t>
      </w:r>
      <w:r>
        <w:rPr>
          <w:rFonts w:hint="eastAsia" w:ascii="宋体" w:hAnsi="宋体" w:eastAsia="宋体" w:cs="宋体"/>
          <w:sz w:val="21"/>
          <w:szCs w:val="21"/>
        </w:rPr>
        <w:t>省</w:t>
      </w:r>
      <w:r>
        <w:rPr>
          <w:rFonts w:hint="eastAsia" w:ascii="宋体" w:hAnsi="宋体" w:eastAsia="宋体" w:cs="宋体"/>
          <w:sz w:val="21"/>
          <w:szCs w:val="21"/>
          <w:lang w:eastAsia="zh-CN"/>
        </w:rPr>
        <w:t>高级人民法</w:t>
      </w:r>
      <w:r>
        <w:rPr>
          <w:rFonts w:hint="eastAsia" w:ascii="宋体" w:hAnsi="宋体" w:eastAsia="宋体" w:cs="宋体"/>
          <w:sz w:val="21"/>
          <w:szCs w:val="21"/>
        </w:rPr>
        <w:t>院</w:t>
      </w:r>
      <w:r>
        <w:rPr>
          <w:rFonts w:hint="eastAsia" w:ascii="宋体" w:hAnsi="宋体" w:eastAsia="宋体" w:cs="宋体"/>
          <w:sz w:val="21"/>
          <w:szCs w:val="21"/>
          <w:lang w:val="en-US" w:eastAsia="zh-CN"/>
        </w:rPr>
        <w:t>通知</w:t>
      </w:r>
      <w:r>
        <w:rPr>
          <w:rFonts w:hint="eastAsia" w:ascii="宋体" w:hAnsi="宋体" w:eastAsia="宋体" w:cs="宋体"/>
          <w:sz w:val="21"/>
          <w:szCs w:val="21"/>
        </w:rPr>
        <w:t>要求，各</w:t>
      </w:r>
      <w:r>
        <w:rPr>
          <w:rFonts w:hint="eastAsia" w:ascii="宋体" w:hAnsi="宋体" w:eastAsia="宋体" w:cs="宋体"/>
          <w:sz w:val="21"/>
          <w:szCs w:val="21"/>
          <w:lang w:eastAsia="zh-CN"/>
        </w:rPr>
        <w:t>中级法院</w:t>
      </w:r>
      <w:r>
        <w:rPr>
          <w:rFonts w:hint="eastAsia" w:ascii="宋体" w:hAnsi="宋体" w:eastAsia="宋体" w:cs="宋体"/>
          <w:sz w:val="21"/>
          <w:szCs w:val="21"/>
        </w:rPr>
        <w:t>需结合本辖区法院信息化基础设施建设现状和信创改造工作任务，</w:t>
      </w:r>
      <w:r>
        <w:rPr>
          <w:rFonts w:hint="eastAsia" w:ascii="宋体" w:hAnsi="宋体" w:eastAsia="宋体" w:cs="宋体"/>
          <w:sz w:val="21"/>
          <w:szCs w:val="21"/>
          <w:lang w:val="en-US" w:eastAsia="zh-CN"/>
        </w:rPr>
        <w:t>完成集约化机房基础设施建设，以及基层院网络安全、存储、服务器等设备的迁移和网络优化改造工作，实现基础网络、网络安全、数据中心和运维管理的集约化。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二、项目建设内容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本项目</w:t>
      </w:r>
      <w:r>
        <w:rPr>
          <w:rFonts w:hint="eastAsia" w:ascii="宋体" w:hAnsi="宋体" w:eastAsia="宋体" w:cs="宋体"/>
          <w:sz w:val="21"/>
          <w:szCs w:val="21"/>
          <w:lang w:val="en-US" w:eastAsia="zh-CN"/>
        </w:rPr>
        <w:t>共包含两部分建设内容</w:t>
      </w:r>
      <w:r>
        <w:rPr>
          <w:rFonts w:hint="eastAsia" w:ascii="宋体" w:hAnsi="宋体" w:eastAsia="宋体" w:cs="宋体"/>
          <w:sz w:val="21"/>
          <w:szCs w:val="21"/>
        </w:rPr>
        <w:t>：</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bookmarkStart w:id="67" w:name="OLE_LINK4"/>
      <w:r>
        <w:rPr>
          <w:rFonts w:hint="eastAsia" w:ascii="宋体" w:hAnsi="宋体" w:eastAsia="宋体" w:cs="宋体"/>
          <w:sz w:val="21"/>
          <w:szCs w:val="21"/>
        </w:rPr>
        <w:t>中心机房</w:t>
      </w:r>
      <w:r>
        <w:rPr>
          <w:rFonts w:hint="eastAsia" w:ascii="宋体" w:hAnsi="宋体" w:eastAsia="宋体" w:cs="宋体"/>
          <w:sz w:val="21"/>
          <w:szCs w:val="21"/>
          <w:lang w:eastAsia="zh-CN"/>
        </w:rPr>
        <w:t>扩建</w:t>
      </w:r>
    </w:p>
    <w:bookmarkEnd w:id="67"/>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将原机房操作间和备用机房改建为集约化机房</w:t>
      </w:r>
      <w:r>
        <w:rPr>
          <w:rFonts w:hint="eastAsia" w:ascii="宋体" w:hAnsi="宋体" w:eastAsia="宋体" w:cs="宋体"/>
          <w:sz w:val="21"/>
          <w:szCs w:val="21"/>
          <w:lang w:eastAsia="zh-CN"/>
        </w:rPr>
        <w:t>（约</w:t>
      </w:r>
      <w:r>
        <w:rPr>
          <w:rFonts w:hint="eastAsia" w:ascii="宋体" w:hAnsi="宋体" w:eastAsia="宋体" w:cs="宋体"/>
          <w:sz w:val="21"/>
          <w:szCs w:val="21"/>
          <w:lang w:val="en-US" w:eastAsia="zh-CN"/>
        </w:rPr>
        <w:t>125平米</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原备品备件库改为机房操作间。集约化</w:t>
      </w:r>
      <w:r>
        <w:rPr>
          <w:rFonts w:hint="eastAsia" w:ascii="宋体" w:hAnsi="宋体" w:eastAsia="宋体" w:cs="宋体"/>
          <w:sz w:val="21"/>
          <w:szCs w:val="21"/>
          <w:lang w:eastAsia="zh-CN"/>
        </w:rPr>
        <w:t>机房</w:t>
      </w:r>
      <w:r>
        <w:rPr>
          <w:rFonts w:hint="eastAsia" w:ascii="宋体" w:hAnsi="宋体" w:eastAsia="宋体" w:cs="宋体"/>
          <w:sz w:val="21"/>
          <w:szCs w:val="21"/>
        </w:rPr>
        <w:t>按信息化机房标准进行装修和综合布线，</w:t>
      </w:r>
      <w:r>
        <w:rPr>
          <w:rFonts w:hint="eastAsia" w:ascii="宋体" w:hAnsi="宋体" w:eastAsia="宋体" w:cs="宋体"/>
          <w:sz w:val="21"/>
          <w:szCs w:val="21"/>
          <w:lang w:val="en-US" w:eastAsia="zh-CN"/>
        </w:rPr>
        <w:t>采购46个机柜，包括40个服务器机柜、3个网络列头柜和3个动力列头柜，并</w:t>
      </w:r>
      <w:r>
        <w:rPr>
          <w:rFonts w:hint="eastAsia" w:ascii="宋体" w:hAnsi="宋体" w:eastAsia="宋体" w:cs="宋体"/>
          <w:sz w:val="21"/>
          <w:szCs w:val="21"/>
        </w:rPr>
        <w:t>建设配电、暖通、消防、安防和动力环控</w:t>
      </w:r>
      <w:r>
        <w:rPr>
          <w:rFonts w:hint="eastAsia" w:ascii="宋体" w:hAnsi="宋体" w:eastAsia="宋体" w:cs="宋体"/>
          <w:sz w:val="21"/>
          <w:szCs w:val="21"/>
          <w:lang w:eastAsia="zh-CN"/>
        </w:rPr>
        <w:t>等子</w:t>
      </w:r>
      <w:r>
        <w:rPr>
          <w:rFonts w:hint="eastAsia" w:ascii="宋体" w:hAnsi="宋体" w:eastAsia="宋体" w:cs="宋体"/>
          <w:sz w:val="21"/>
          <w:szCs w:val="21"/>
        </w:rPr>
        <w:t>系统</w:t>
      </w:r>
      <w:r>
        <w:rPr>
          <w:rFonts w:hint="eastAsia" w:ascii="宋体" w:hAnsi="宋体" w:eastAsia="宋体" w:cs="宋体"/>
          <w:sz w:val="21"/>
          <w:szCs w:val="21"/>
          <w:lang w:eastAsia="zh-CN"/>
        </w:rPr>
        <w:t>。</w:t>
      </w:r>
      <w:r>
        <w:rPr>
          <w:rFonts w:hint="eastAsia" w:ascii="宋体" w:hAnsi="宋体" w:eastAsia="宋体" w:cs="宋体"/>
          <w:sz w:val="21"/>
          <w:szCs w:val="21"/>
        </w:rPr>
        <w:t>集约化机房与</w:t>
      </w:r>
      <w:r>
        <w:rPr>
          <w:rFonts w:hint="eastAsia" w:ascii="宋体" w:hAnsi="宋体" w:eastAsia="宋体" w:cs="宋体"/>
          <w:sz w:val="21"/>
          <w:szCs w:val="21"/>
          <w:lang w:eastAsia="zh-CN"/>
        </w:rPr>
        <w:t>原</w:t>
      </w:r>
      <w:r>
        <w:rPr>
          <w:rFonts w:hint="eastAsia" w:ascii="宋体" w:hAnsi="宋体" w:eastAsia="宋体" w:cs="宋体"/>
          <w:sz w:val="21"/>
          <w:szCs w:val="21"/>
        </w:rPr>
        <w:t>中心机房共用UPS和备用电池。原中心机房9个机柜同步改造，为现有机柜增加柜门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PDU及</w:t>
      </w:r>
      <w:r>
        <w:rPr>
          <w:rFonts w:hint="eastAsia" w:ascii="宋体" w:hAnsi="宋体" w:cs="宋体"/>
          <w:sz w:val="21"/>
          <w:szCs w:val="21"/>
          <w:lang w:val="en-US" w:eastAsia="zh-CN"/>
        </w:rPr>
        <w:t>网络、电源等</w:t>
      </w:r>
      <w:r>
        <w:rPr>
          <w:rFonts w:hint="eastAsia" w:ascii="宋体" w:hAnsi="宋体" w:eastAsia="宋体" w:cs="宋体"/>
          <w:sz w:val="21"/>
          <w:szCs w:val="21"/>
        </w:rPr>
        <w:t>线</w:t>
      </w:r>
      <w:r>
        <w:rPr>
          <w:rFonts w:hint="eastAsia" w:ascii="宋体" w:hAnsi="宋体" w:eastAsia="宋体" w:cs="宋体"/>
          <w:sz w:val="21"/>
          <w:szCs w:val="21"/>
          <w:lang w:val="en-US" w:eastAsia="zh-CN"/>
        </w:rPr>
        <w:t>缆</w:t>
      </w:r>
      <w:r>
        <w:rPr>
          <w:rFonts w:hint="eastAsia" w:ascii="宋体" w:hAnsi="宋体" w:eastAsia="宋体" w:cs="宋体"/>
          <w:sz w:val="21"/>
          <w:szCs w:val="21"/>
        </w:rPr>
        <w:t>。</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基础支撑体系集约化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一是数据中心集约化。</w:t>
      </w:r>
      <w:r>
        <w:rPr>
          <w:rFonts w:hint="eastAsia" w:ascii="宋体" w:hAnsi="宋体" w:eastAsia="宋体" w:cs="宋体"/>
          <w:sz w:val="21"/>
          <w:szCs w:val="21"/>
          <w:lang w:val="en-US" w:eastAsia="zh-CN"/>
        </w:rPr>
        <w:t>基于浙江法院办案办公业务已集中部署在云端（政法云、政务云）的现状，建设微型数据中心，将基层法院的服务器、存储、安全设备等共计</w:t>
      </w:r>
      <w:r>
        <w:rPr>
          <w:rFonts w:hint="eastAsia" w:ascii="宋体" w:hAnsi="宋体" w:cs="宋体"/>
          <w:sz w:val="21"/>
          <w:szCs w:val="21"/>
          <w:lang w:val="en-US" w:eastAsia="zh-CN"/>
        </w:rPr>
        <w:t>122台</w:t>
      </w:r>
      <w:r>
        <w:rPr>
          <w:rFonts w:hint="eastAsia" w:ascii="宋体" w:hAnsi="宋体" w:eastAsia="宋体" w:cs="宋体"/>
          <w:sz w:val="21"/>
          <w:szCs w:val="21"/>
          <w:lang w:val="en-US" w:eastAsia="zh-CN"/>
        </w:rPr>
        <w:t>设备迁至宁波中院集约化机房，在集约化机房中搭建数据中心基础环境。采购2台数据中心汇聚交换机，用于连接基层院迁至中院的服务器和存储；采购4台国产化服务器和1套服务器集约平台管理软件，组成集约化服务器资源池，将各基层院部署的共计</w:t>
      </w:r>
      <w:r>
        <w:rPr>
          <w:rFonts w:hint="eastAsia" w:ascii="宋体" w:hAnsi="宋体" w:cs="宋体"/>
          <w:sz w:val="21"/>
          <w:szCs w:val="21"/>
          <w:lang w:val="en-US" w:eastAsia="zh-CN"/>
        </w:rPr>
        <w:t>39个应用</w:t>
      </w:r>
      <w:r>
        <w:rPr>
          <w:rFonts w:hint="eastAsia" w:ascii="宋体" w:hAnsi="宋体" w:eastAsia="宋体" w:cs="宋体"/>
          <w:sz w:val="21"/>
          <w:szCs w:val="21"/>
          <w:lang w:val="en-US" w:eastAsia="zh-CN"/>
        </w:rPr>
        <w:t>统一迁至资源池，并在基层院服务器和存储搬迁时作数据中转和备份使用；采购2台万兆交换机，用于系统内部设备互联及管理。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二是基础网络集约化。</w:t>
      </w:r>
      <w:r>
        <w:rPr>
          <w:rFonts w:hint="eastAsia" w:ascii="宋体" w:hAnsi="宋体" w:eastAsia="宋体" w:cs="宋体"/>
          <w:sz w:val="21"/>
          <w:szCs w:val="21"/>
          <w:lang w:val="en-US" w:eastAsia="zh-CN"/>
        </w:rPr>
        <w:t>完成网络优化和升级改造，采用以中院为中心的大二层组网架构，将2台数据中心汇聚交换机虚拟化后，作为核心层承载网关使用，同时取消中院与基层院之间的边界路由器，中院和基层院作为整体接入法院专网。每家基层院继续沿用原有四条线路上联至中院，一条传输办公办案数据，一条传输视频会议信号，一条传输数字法庭信号，一条传输看守所远程开庭视频信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三是网络安全集约化。</w:t>
      </w:r>
      <w:r>
        <w:rPr>
          <w:rFonts w:hint="eastAsia" w:ascii="宋体" w:hAnsi="宋体" w:eastAsia="宋体" w:cs="宋体"/>
          <w:sz w:val="21"/>
          <w:szCs w:val="21"/>
          <w:lang w:val="en-US" w:eastAsia="zh-CN"/>
        </w:rPr>
        <w:t>将网络安全设备集中部署、共同使用、统一管理，满足网络安全等级保护第三级测评和密评要求。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三、总体要求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（一）中心机房扩建施工要求</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0" w:firstLineChars="200"/>
        <w:jc w:val="both"/>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eastAsia="zh-CN" w:bidi="ar"/>
        </w:rPr>
        <w:t>装修要求。</w:t>
      </w:r>
      <w:r>
        <w:rPr>
          <w:rFonts w:hint="eastAsia" w:ascii="宋体" w:hAnsi="宋体" w:eastAsia="宋体" w:cs="宋体"/>
          <w:color w:val="auto"/>
          <w:kern w:val="0"/>
          <w:sz w:val="21"/>
          <w:szCs w:val="21"/>
          <w:lang w:bidi="ar"/>
        </w:rPr>
        <w:t>机房</w:t>
      </w:r>
      <w:r>
        <w:rPr>
          <w:rFonts w:hint="eastAsia" w:ascii="宋体" w:hAnsi="宋体" w:eastAsia="宋体" w:cs="宋体"/>
          <w:color w:val="auto"/>
          <w:kern w:val="0"/>
          <w:sz w:val="21"/>
          <w:szCs w:val="21"/>
          <w:lang w:val="en-US" w:eastAsia="zh-CN" w:bidi="ar"/>
        </w:rPr>
        <w:t>内各子系统</w:t>
      </w:r>
      <w:r>
        <w:rPr>
          <w:rFonts w:hint="eastAsia" w:ascii="宋体" w:hAnsi="宋体" w:eastAsia="宋体" w:cs="宋体"/>
          <w:color w:val="auto"/>
          <w:kern w:val="0"/>
          <w:sz w:val="21"/>
          <w:szCs w:val="21"/>
          <w:lang w:bidi="ar"/>
        </w:rPr>
        <w:t>均按</w:t>
      </w:r>
      <w:r>
        <w:rPr>
          <w:rFonts w:hint="eastAsia" w:ascii="宋体" w:hAnsi="宋体" w:eastAsia="宋体" w:cs="宋体"/>
          <w:color w:val="auto"/>
          <w:kern w:val="0"/>
          <w:sz w:val="21"/>
          <w:szCs w:val="21"/>
          <w:lang w:val="en-US" w:eastAsia="zh-CN" w:bidi="ar"/>
        </w:rPr>
        <w:t>GB 50174数据中心规范进行</w:t>
      </w:r>
      <w:r>
        <w:rPr>
          <w:rFonts w:hint="eastAsia" w:ascii="宋体" w:hAnsi="宋体" w:eastAsia="宋体" w:cs="宋体"/>
          <w:color w:val="auto"/>
          <w:kern w:val="0"/>
          <w:sz w:val="21"/>
          <w:szCs w:val="21"/>
          <w:lang w:bidi="ar"/>
        </w:rPr>
        <w:t>施工</w:t>
      </w:r>
      <w:r>
        <w:rPr>
          <w:rFonts w:hint="eastAsia" w:ascii="宋体" w:hAnsi="宋体" w:cs="宋体"/>
          <w:color w:val="auto"/>
          <w:kern w:val="0"/>
          <w:sz w:val="21"/>
          <w:szCs w:val="21"/>
          <w:lang w:val="en-US" w:eastAsia="zh-CN" w:bidi="ar"/>
        </w:rPr>
        <w:t>建设</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2.消防联动要求。一是集约化机房</w:t>
      </w:r>
      <w:r>
        <w:rPr>
          <w:rFonts w:hint="eastAsia" w:ascii="宋体" w:hAnsi="宋体" w:eastAsia="宋体" w:cs="宋体"/>
          <w:color w:val="auto"/>
          <w:kern w:val="0"/>
          <w:sz w:val="21"/>
          <w:szCs w:val="21"/>
          <w:lang w:bidi="ar"/>
        </w:rPr>
        <w:t>气体灭火系统的火警信号、故障信号要送至大楼消防控制中心</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二是</w:t>
      </w:r>
      <w:r>
        <w:rPr>
          <w:rFonts w:hint="eastAsia" w:ascii="宋体" w:hAnsi="宋体" w:eastAsia="宋体" w:cs="宋体"/>
          <w:color w:val="auto"/>
          <w:kern w:val="0"/>
          <w:sz w:val="21"/>
          <w:szCs w:val="21"/>
          <w:lang w:bidi="ar"/>
        </w:rPr>
        <w:t>与</w:t>
      </w:r>
      <w:r>
        <w:rPr>
          <w:rFonts w:hint="eastAsia" w:ascii="宋体" w:hAnsi="宋体" w:eastAsia="宋体" w:cs="宋体"/>
          <w:color w:val="auto"/>
          <w:kern w:val="0"/>
          <w:sz w:val="21"/>
          <w:szCs w:val="21"/>
          <w:lang w:val="en-US" w:eastAsia="zh-CN" w:bidi="ar"/>
        </w:rPr>
        <w:t>集约化机房</w:t>
      </w:r>
      <w:r>
        <w:rPr>
          <w:rFonts w:hint="eastAsia" w:ascii="宋体" w:hAnsi="宋体" w:eastAsia="宋体" w:cs="宋体"/>
          <w:color w:val="auto"/>
          <w:kern w:val="0"/>
          <w:sz w:val="21"/>
          <w:szCs w:val="21"/>
          <w:lang w:bidi="ar"/>
        </w:rPr>
        <w:t>门禁联动</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有消防告警信号时自动解除</w:t>
      </w:r>
      <w:r>
        <w:rPr>
          <w:rFonts w:hint="eastAsia" w:ascii="宋体" w:hAnsi="宋体" w:eastAsia="宋体" w:cs="宋体"/>
          <w:color w:val="auto"/>
          <w:kern w:val="0"/>
          <w:sz w:val="21"/>
          <w:szCs w:val="21"/>
          <w:lang w:val="en-US" w:eastAsia="zh-CN" w:bidi="ar"/>
        </w:rPr>
        <w:t>新建机房</w:t>
      </w:r>
      <w:r>
        <w:rPr>
          <w:rFonts w:hint="eastAsia" w:ascii="宋体" w:hAnsi="宋体" w:eastAsia="宋体" w:cs="宋体"/>
          <w:color w:val="auto"/>
          <w:kern w:val="0"/>
          <w:sz w:val="21"/>
          <w:szCs w:val="21"/>
          <w:lang w:bidi="ar"/>
        </w:rPr>
        <w:t>门禁的关门状态</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三是与集约化机房</w:t>
      </w:r>
      <w:r>
        <w:rPr>
          <w:rFonts w:hint="eastAsia" w:ascii="宋体" w:hAnsi="宋体" w:eastAsia="宋体" w:cs="宋体"/>
          <w:color w:val="auto"/>
          <w:kern w:val="0"/>
          <w:sz w:val="21"/>
          <w:szCs w:val="21"/>
          <w:lang w:bidi="ar"/>
        </w:rPr>
        <w:t>市电配电柜联动</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有消防告警信号时自动脱扣市电输入以利于火灾的</w:t>
      </w:r>
      <w:r>
        <w:rPr>
          <w:rFonts w:hint="eastAsia" w:ascii="宋体" w:hAnsi="宋体" w:eastAsia="宋体" w:cs="宋体"/>
          <w:color w:val="auto"/>
          <w:kern w:val="0"/>
          <w:sz w:val="21"/>
          <w:szCs w:val="21"/>
          <w:lang w:eastAsia="zh-CN" w:bidi="ar"/>
        </w:rPr>
        <w:t>扑救</w:t>
      </w:r>
      <w:r>
        <w:rPr>
          <w:rFonts w:hint="eastAsia" w:ascii="宋体" w:hAnsi="宋体" w:eastAsia="宋体" w:cs="宋体"/>
          <w:color w:val="auto"/>
          <w:kern w:val="0"/>
          <w:sz w:val="21"/>
          <w:szCs w:val="21"/>
          <w:lang w:bidi="ar"/>
        </w:rPr>
        <w:t>。</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3.系统对接要求。原机房门禁系统和动环控制系统均利旧，新安装设备需接入原有系统。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w:t>
      </w:r>
      <w:r>
        <w:rPr>
          <w:rFonts w:hint="eastAsia" w:ascii="宋体" w:hAnsi="宋体" w:eastAsia="宋体" w:cs="宋体"/>
          <w:sz w:val="21"/>
          <w:szCs w:val="21"/>
        </w:rPr>
        <w:t>基础支撑体系集约化</w:t>
      </w:r>
      <w:r>
        <w:rPr>
          <w:rFonts w:hint="eastAsia" w:ascii="宋体" w:hAnsi="宋体" w:eastAsia="宋体" w:cs="宋体"/>
          <w:sz w:val="21"/>
          <w:szCs w:val="21"/>
          <w:lang w:val="en-US" w:eastAsia="zh-CN"/>
        </w:rPr>
        <w:t>施工要求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网络改造要求。目前，每家基层法院至中院有4条千兆波分复用线路。基层法院互联至中院边界部署有路由器、防火墙等设备。本次改造将取消中院与基层院的路由器，中院路由器替换为两台核心层交换机，负责基层法院核心网络的接入。各基层法院核心交换机通过运营商链路与中院新增的2台核心交换机互联，取消原来与中院之间互联的边界路由器，实现扁平化的网络架构，重新规划设计中院及各基层院各网段的网络地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2.应用迁移要求。本次项目</w:t>
      </w:r>
      <w:r>
        <w:rPr>
          <w:rFonts w:hint="eastAsia" w:ascii="宋体" w:hAnsi="宋体" w:eastAsia="宋体" w:cs="宋体"/>
          <w:sz w:val="21"/>
          <w:szCs w:val="21"/>
          <w:lang w:val="zh-CN" w:eastAsia="zh-CN"/>
        </w:rPr>
        <w:t>建设的</w:t>
      </w:r>
      <w:r>
        <w:rPr>
          <w:rFonts w:hint="eastAsia" w:ascii="宋体" w:hAnsi="宋体" w:eastAsia="宋体" w:cs="宋体"/>
          <w:sz w:val="21"/>
          <w:szCs w:val="21"/>
          <w:lang w:val="en-US" w:eastAsia="zh-CN"/>
        </w:rPr>
        <w:t>集约化服务器管理</w:t>
      </w:r>
      <w:r>
        <w:rPr>
          <w:rFonts w:hint="eastAsia" w:ascii="宋体" w:hAnsi="宋体" w:eastAsia="宋体" w:cs="宋体"/>
          <w:sz w:val="21"/>
          <w:szCs w:val="21"/>
          <w:lang w:val="zh-CN" w:eastAsia="zh-CN"/>
        </w:rPr>
        <w:t>平台，</w:t>
      </w:r>
      <w:r>
        <w:rPr>
          <w:rFonts w:hint="eastAsia" w:ascii="宋体" w:hAnsi="宋体" w:eastAsia="宋体" w:cs="宋体"/>
          <w:sz w:val="21"/>
          <w:szCs w:val="21"/>
          <w:lang w:val="en-US" w:eastAsia="zh-CN"/>
        </w:rPr>
        <w:t>需具备</w:t>
      </w:r>
      <w:r>
        <w:rPr>
          <w:rFonts w:hint="eastAsia" w:ascii="宋体" w:hAnsi="宋体" w:eastAsia="宋体" w:cs="宋体"/>
          <w:sz w:val="21"/>
          <w:szCs w:val="21"/>
          <w:lang w:val="zh-CN" w:eastAsia="zh-CN"/>
        </w:rPr>
        <w:t>虚拟化灵活扩展</w:t>
      </w:r>
      <w:r>
        <w:rPr>
          <w:rFonts w:hint="eastAsia" w:ascii="宋体" w:hAnsi="宋体" w:eastAsia="宋体" w:cs="宋体"/>
          <w:sz w:val="21"/>
          <w:szCs w:val="21"/>
          <w:lang w:val="en-US" w:eastAsia="zh-CN"/>
        </w:rPr>
        <w:t>和</w:t>
      </w:r>
      <w:r>
        <w:rPr>
          <w:rFonts w:hint="eastAsia" w:ascii="宋体" w:hAnsi="宋体" w:eastAsia="宋体" w:cs="宋体"/>
          <w:sz w:val="21"/>
          <w:szCs w:val="21"/>
          <w:lang w:val="zh-CN" w:eastAsia="zh-CN"/>
        </w:rPr>
        <w:t>动态调度</w:t>
      </w:r>
      <w:r>
        <w:rPr>
          <w:rFonts w:hint="eastAsia" w:ascii="宋体" w:hAnsi="宋体" w:eastAsia="宋体" w:cs="宋体"/>
          <w:sz w:val="21"/>
          <w:szCs w:val="21"/>
          <w:lang w:val="en-US" w:eastAsia="zh-CN"/>
        </w:rPr>
        <w:t>功能，</w:t>
      </w:r>
      <w:r>
        <w:rPr>
          <w:rFonts w:hint="eastAsia" w:ascii="宋体" w:hAnsi="宋体" w:eastAsia="宋体" w:cs="宋体"/>
          <w:sz w:val="21"/>
          <w:szCs w:val="21"/>
          <w:lang w:val="zh-CN" w:eastAsia="zh-CN"/>
        </w:rPr>
        <w:t>提高资源利用率。</w:t>
      </w:r>
      <w:r>
        <w:rPr>
          <w:rFonts w:hint="eastAsia" w:ascii="宋体" w:hAnsi="宋体" w:eastAsia="宋体" w:cs="宋体"/>
          <w:sz w:val="21"/>
          <w:szCs w:val="21"/>
          <w:lang w:val="en-US" w:eastAsia="zh-CN"/>
        </w:rPr>
        <w:t>运行稳定可靠，操作便捷易上手，提高运维效率。要将各基层法院的非核心应用系统，平稳迁移至集约化数据中心，确保系统正常使用。迁移内容包括但不限于数据库、中间件和应用系统的迁移。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设备搬迁要求。将各基层法院的服务器、存储设备、网络设备、安全设备等搬迁至中院，进行集约化数据中心部署、完成安装上架、调试、利旧、再集成工作，确保设备正常使用。由于法院业务为在线业务，要求在项目实施、迁移、搬迁过程中不影响中院及各基层法院业务系统的正常运行，避免发生各业务系统的运行中断、数据丢失等情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（三）信息安全要求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中标人需与宁波中院签定保密协议，明确施工人员的施工范围和双方责任。如因中标人过失发生失泄密事件，将扣除合同金额20%费用，并追究相关人员责任。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（四）售后服务要求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sz w:val="21"/>
          <w:szCs w:val="21"/>
          <w:lang w:val="en-US" w:eastAsia="zh-CN"/>
        </w:rPr>
        <w:t>中标人应根据项目建设全部内容提供为期三年的免费质保服务，在本地有售后服务机构，如发生故障，需能在1小时内响应，4小时内解决问题。另外，需</w:t>
      </w:r>
      <w:r>
        <w:rPr>
          <w:rFonts w:hint="eastAsia" w:ascii="宋体" w:hAnsi="宋体" w:eastAsia="宋体" w:cs="宋体"/>
          <w:color w:val="auto"/>
          <w:sz w:val="21"/>
          <w:szCs w:val="21"/>
          <w:lang w:val="en-US" w:eastAsia="zh-CN"/>
        </w:rPr>
        <w:t>提供</w:t>
      </w:r>
      <w:r>
        <w:rPr>
          <w:rFonts w:hint="eastAsia" w:ascii="宋体" w:hAnsi="宋体" w:eastAsia="宋体" w:cs="宋体"/>
          <w:color w:val="auto"/>
          <w:kern w:val="0"/>
          <w:sz w:val="21"/>
          <w:szCs w:val="21"/>
          <w:lang w:val="en-US" w:eastAsia="zh-CN" w:bidi="ar"/>
        </w:rPr>
        <w:t>每季度上门巡检服务。一是使用健康检查工具（如红外热成像</w:t>
      </w:r>
      <w:r>
        <w:rPr>
          <w:rFonts w:hint="eastAsia" w:ascii="宋体" w:hAnsi="宋体" w:cs="宋体"/>
          <w:color w:val="auto"/>
          <w:kern w:val="0"/>
          <w:sz w:val="21"/>
          <w:szCs w:val="21"/>
          <w:lang w:val="en-US" w:eastAsia="zh-CN" w:bidi="ar"/>
        </w:rPr>
        <w:t>仪</w:t>
      </w:r>
      <w:r>
        <w:rPr>
          <w:rFonts w:hint="eastAsia" w:ascii="宋体" w:hAnsi="宋体" w:eastAsia="宋体" w:cs="宋体"/>
          <w:color w:val="auto"/>
          <w:kern w:val="0"/>
          <w:sz w:val="21"/>
          <w:szCs w:val="21"/>
          <w:lang w:val="en-US" w:eastAsia="zh-CN" w:bidi="ar"/>
        </w:rPr>
        <w:t>等）对</w:t>
      </w:r>
      <w:r>
        <w:rPr>
          <w:rFonts w:hint="eastAsia" w:ascii="宋体" w:hAnsi="宋体" w:cs="宋体"/>
          <w:color w:val="auto"/>
          <w:kern w:val="0"/>
          <w:sz w:val="21"/>
          <w:szCs w:val="21"/>
          <w:lang w:val="en-US" w:eastAsia="zh-CN" w:bidi="ar"/>
        </w:rPr>
        <w:t>机房</w:t>
      </w:r>
      <w:r>
        <w:rPr>
          <w:rFonts w:hint="eastAsia" w:ascii="宋体" w:hAnsi="宋体" w:eastAsia="宋体" w:cs="宋体"/>
          <w:color w:val="auto"/>
          <w:kern w:val="0"/>
          <w:sz w:val="21"/>
          <w:szCs w:val="21"/>
          <w:lang w:val="en-US" w:eastAsia="zh-CN" w:bidi="ar"/>
        </w:rPr>
        <w:t>设备进行健康检查和性能分析；二是更换</w:t>
      </w:r>
      <w:r>
        <w:rPr>
          <w:rFonts w:hint="eastAsia" w:ascii="宋体" w:hAnsi="宋体" w:cs="宋体"/>
          <w:color w:val="auto"/>
          <w:kern w:val="0"/>
          <w:sz w:val="21"/>
          <w:szCs w:val="21"/>
          <w:lang w:val="en-US" w:eastAsia="zh-CN" w:bidi="ar"/>
        </w:rPr>
        <w:t>精密</w:t>
      </w:r>
      <w:r>
        <w:rPr>
          <w:rFonts w:hint="eastAsia" w:ascii="宋体" w:hAnsi="宋体" w:eastAsia="宋体" w:cs="宋体"/>
          <w:color w:val="auto"/>
          <w:kern w:val="0"/>
          <w:sz w:val="21"/>
          <w:szCs w:val="21"/>
          <w:lang w:val="en-US" w:eastAsia="zh-CN" w:bidi="ar"/>
        </w:rPr>
        <w:t>空调过滤网，清洗空调室外机；三是每季度提供巡检报告。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（五）其它要求</w:t>
      </w:r>
    </w:p>
    <w:p>
      <w:pPr>
        <w:pStyle w:val="20"/>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1.中标人在施工过程中，须确保在不损坏我院装饰装修，不影响正常办公的前提下进行，如因中标人原因发生装饰装修破损和原有机器、线路损坏事件，由中标人负责修复。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四、项目实施计划</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Times New Roman" w:hAnsi="Times New Roman" w:cs="Times New Roman"/>
          <w:highlight w:val="none"/>
        </w:rPr>
      </w:pPr>
      <w:r>
        <w:rPr>
          <w:rFonts w:hint="eastAsia" w:ascii="宋体" w:hAnsi="宋体" w:eastAsia="宋体" w:cs="宋体"/>
          <w:b w:val="0"/>
          <w:bCs w:val="0"/>
          <w:sz w:val="21"/>
          <w:szCs w:val="21"/>
          <w:highlight w:val="none"/>
          <w:lang w:val="en-US" w:eastAsia="zh-CN"/>
        </w:rPr>
        <w:t>（一）</w:t>
      </w:r>
      <w:r>
        <w:rPr>
          <w:rFonts w:hint="eastAsia" w:ascii="Times New Roman" w:hAnsi="Times New Roman" w:cs="Times New Roman"/>
          <w:highlight w:val="none"/>
        </w:rPr>
        <w:t>合同签定后180天内完成</w:t>
      </w:r>
      <w:r>
        <w:rPr>
          <w:rFonts w:hint="eastAsia" w:cs="Times New Roman"/>
          <w:highlight w:val="none"/>
          <w:lang w:val="en-US" w:eastAsia="zh-CN"/>
        </w:rPr>
        <w:t>本项目</w:t>
      </w:r>
      <w:r>
        <w:rPr>
          <w:rFonts w:hint="eastAsia" w:ascii="Times New Roman" w:hAnsi="Times New Roman" w:cs="Times New Roman"/>
          <w:highlight w:val="none"/>
        </w:rPr>
        <w:t>整体基础支撑体系集约化工程</w:t>
      </w:r>
      <w:r>
        <w:rPr>
          <w:rFonts w:hint="eastAsia" w:cs="Times New Roman"/>
          <w:highlight w:val="none"/>
          <w:lang w:eastAsia="zh-CN"/>
        </w:rPr>
        <w:t>（</w:t>
      </w:r>
      <w:r>
        <w:rPr>
          <w:rFonts w:hint="eastAsia" w:cs="Times New Roman"/>
          <w:highlight w:val="none"/>
          <w:lang w:val="en-US" w:eastAsia="zh-CN"/>
        </w:rPr>
        <w:t>包含中心机房改造</w:t>
      </w:r>
      <w:r>
        <w:rPr>
          <w:rFonts w:hint="eastAsia" w:cs="Times New Roman"/>
          <w:highlight w:val="none"/>
          <w:lang w:eastAsia="zh-CN"/>
        </w:rPr>
        <w:t>）</w:t>
      </w:r>
      <w:r>
        <w:rPr>
          <w:rFonts w:hint="eastAsia" w:ascii="Times New Roman" w:hAnsi="Times New Roman" w:cs="Times New Roman"/>
          <w:highlight w:val="none"/>
        </w:rPr>
        <w:t>，其中中心机房改造在合同签定后90天内完成</w:t>
      </w:r>
      <w:r>
        <w:rPr>
          <w:rFonts w:hint="eastAsia" w:cs="Times New Roman"/>
          <w:highlight w:val="none"/>
          <w:lang w:eastAsia="zh-CN"/>
        </w:rPr>
        <w:t>。</w:t>
      </w:r>
      <w:r>
        <w:rPr>
          <w:rFonts w:hint="eastAsia" w:ascii="Times New Roman" w:hAnsi="Times New Roman" w:cs="Times New Roman"/>
          <w:highlight w:val="none"/>
        </w:rPr>
        <w:t>（包含休息日，不含国家法定节假日）</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b w:val="0"/>
          <w:bCs w:val="0"/>
          <w:sz w:val="21"/>
          <w:szCs w:val="21"/>
          <w:highlight w:val="none"/>
          <w:lang w:val="en-US" w:eastAsia="zh-CN"/>
        </w:rPr>
      </w:pPr>
      <w:r>
        <w:rPr>
          <w:rFonts w:hint="eastAsia" w:cs="Times New Roman"/>
          <w:highlight w:val="none"/>
          <w:lang w:val="en-US" w:eastAsia="zh-CN"/>
        </w:rPr>
        <w:t>（二）项目</w:t>
      </w:r>
      <w:r>
        <w:rPr>
          <w:rFonts w:hint="eastAsia" w:ascii="宋体" w:hAnsi="宋体" w:eastAsia="宋体" w:cs="宋体"/>
          <w:b w:val="0"/>
          <w:bCs w:val="0"/>
          <w:sz w:val="21"/>
          <w:szCs w:val="21"/>
          <w:highlight w:val="none"/>
          <w:lang w:val="en-US" w:eastAsia="zh-CN"/>
        </w:rPr>
        <w:t>具体迁移工作分三个阶段进行：</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第一阶段：迁移象山、余姚、奉化法院的设备。</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第二阶段：迁移海曙、江北、鄞州法院的设备。</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第三阶段：迁移高新、宁海、慈溪、北仑、镇海法院的设备。</w:t>
      </w:r>
    </w:p>
    <w:p>
      <w:pPr>
        <w:pStyle w:val="20"/>
        <w:numPr>
          <w:ilvl w:val="0"/>
          <w:numId w:val="0"/>
        </w:numPr>
        <w:spacing w:line="400" w:lineRule="exact"/>
        <w:ind w:left="0" w:leftChars="0" w:firstLine="420" w:firstLineChars="200"/>
        <w:rPr>
          <w:rFonts w:hint="default" w:ascii="宋体" w:hAnsi="宋体" w:cs="宋体"/>
          <w:b/>
          <w:bCs/>
          <w:sz w:val="21"/>
          <w:szCs w:val="21"/>
          <w:lang w:val="en-US" w:eastAsia="zh-CN"/>
        </w:rPr>
      </w:pPr>
      <w:r>
        <w:rPr>
          <w:rFonts w:hint="eastAsia" w:ascii="宋体" w:hAnsi="宋体" w:cs="宋体"/>
          <w:b/>
          <w:bCs/>
          <w:sz w:val="21"/>
          <w:szCs w:val="21"/>
          <w:lang w:val="en-US" w:eastAsia="zh-CN"/>
        </w:rPr>
        <w:t>五、采购清单</w:t>
      </w:r>
    </w:p>
    <w:p>
      <w:pPr>
        <w:numPr>
          <w:ilvl w:val="-1"/>
          <w:numId w:val="0"/>
        </w:numPr>
        <w:rPr>
          <w:rFonts w:hint="default" w:ascii="Times New Roman" w:hAnsi="Times New Roman" w:eastAsia="宋体" w:cs="Times New Roman"/>
          <w:sz w:val="21"/>
          <w:szCs w:val="21"/>
          <w:lang w:val="en-US" w:eastAsia="zh-CN"/>
        </w:rPr>
      </w:pPr>
    </w:p>
    <w:p>
      <w:pPr>
        <w:pStyle w:val="2"/>
        <w:jc w:val="center"/>
        <w:rPr>
          <w:rFonts w:hint="eastAsia"/>
          <w:sz w:val="21"/>
          <w:szCs w:val="21"/>
          <w:lang w:val="en-US" w:eastAsia="zh-CN"/>
        </w:rPr>
      </w:pPr>
      <w:bookmarkStart w:id="68" w:name="_Toc23766"/>
      <w:bookmarkStart w:id="69" w:name="_Toc20232"/>
      <w:r>
        <w:rPr>
          <w:rFonts w:hint="eastAsia"/>
          <w:sz w:val="21"/>
          <w:szCs w:val="21"/>
          <w:lang w:val="en-US" w:eastAsia="zh-CN"/>
        </w:rPr>
        <w:t>5.1中心机房扩建改造品目清单</w:t>
      </w:r>
      <w:bookmarkEnd w:id="68"/>
      <w:bookmarkEnd w:id="69"/>
    </w:p>
    <w:tbl>
      <w:tblPr>
        <w:tblStyle w:val="38"/>
        <w:tblW w:w="8578"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62"/>
        <w:gridCol w:w="2289"/>
        <w:gridCol w:w="3795"/>
        <w:gridCol w:w="645"/>
        <w:gridCol w:w="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序号</w:t>
            </w:r>
          </w:p>
        </w:tc>
        <w:tc>
          <w:tcPr>
            <w:tcW w:w="2289" w:type="dxa"/>
            <w:tcBorders>
              <w:tl2br w:val="nil"/>
              <w:tr2bl w:val="nil"/>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项目名称</w:t>
            </w:r>
          </w:p>
        </w:tc>
        <w:tc>
          <w:tcPr>
            <w:tcW w:w="3795" w:type="dxa"/>
            <w:tcBorders>
              <w:tl2br w:val="nil"/>
              <w:tr2bl w:val="nil"/>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项目特征</w:t>
            </w:r>
          </w:p>
        </w:tc>
        <w:tc>
          <w:tcPr>
            <w:tcW w:w="645" w:type="dxa"/>
            <w:tcBorders>
              <w:tl2br w:val="nil"/>
              <w:tr2bl w:val="nil"/>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计量单位</w:t>
            </w:r>
          </w:p>
        </w:tc>
        <w:tc>
          <w:tcPr>
            <w:tcW w:w="987"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一、装修系统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隔断隔墙拆除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轻钢龙骨+石膏板拆除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金属门窗拆除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天棚面龙骨及饰面拆除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原操作间 天棚拆除 龙骨及饰面拆除 金属龙骨石膏面</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天棚面龙骨及饰面拆除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备用机房 天棚拆除 龙骨及饰面拆除 金属龙骨金属面</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楼地面龙骨及饰面拆除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原操作间  复合木地板拆除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楼地面龙骨及饰面拆除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备用机房 防静电地板拆除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消防喷淋管拆除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备用机房 消防喷淋管拆除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砌块墙</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200mm厚B06-A3.5加气混凝土砌块墙</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实心砖墙</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200mm厚MU10混凝土实心砖墙</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聚氨脂（PU）发泡剂嵌缝</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砌块墙顶与梁板连接处采用聚氨脂（PU）发泡剂嵌缝，综合单价包含双面嵌缝费用</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构造柱</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C20构造柱</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墙面一般抹灰</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1、20mm厚 DP M15.0水泥砂浆粉刷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2、贴玻纤网格布满铺</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保温隔热楼地面</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地面20mm厚橡塑保温棉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地面铺0.5mm厚镀锌板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地面铺0.5mm厚镀锌板</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防静电活动地板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600*600防静电架空地板(原防静电架空地板利旧，支架无法利旧)安装，含可调整支架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防静电活动地板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600*600防静电送风架空地板，含可调整支架等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防静电活动地板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600*600防静电可视架空地板，含可调整支架等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成品踢脚线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1、80mm高1.2厚不锈钢成品踢脚线，卡扣式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2、80mm高10mm厚阻燃板基层</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墙面装饰板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1、75系列轻钢龙骨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2、内填50mm厚岩棉板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3、12+0.6单面彩钢复合板，含白色压边条</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墙面装饰板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1、75系列轻钢龙骨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2、内填50mm厚岩棉板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3、12mm厚防火石膏板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4、板缝贴胶带、点锈</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墙面喷刷涂料</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1、防尘漆二遍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2、石膏板满刮腻子二遍</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吊顶天棚</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1、U38轻钢龙骨，Φ8圆钢吊杆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2、600*600微孔铝扣板吊顶，含白色压边条</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抹灰面油漆</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地面防尘漆二遍</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保温隔热天棚</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天棚20mm厚橡塑保温棉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钢质防火门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1500*2200甲级钢制防火门（门利旧）安装</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植筋</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植筋(钢筋直径6.5mm以内)</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现浇构件钢筋</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现浇构件圆钢筋HPB300 直径10mm以内</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预埋铁件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设备底座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预埋铁件及金属面防锈漆一遍</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空调挡水围堰</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精密空调四周挡水围堰 100mm高，内刷防水涂料，每个挡水围堰内含1个DN32排水及1个DN40地漏及下层排水管路</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钢制踏步</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钢制踏步，现场定制，不锈钢收边，含四周镀锌角钢。</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钢制坡道</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钢制坡道，现场定制，不锈钢收边，含四周镀锌角钢。</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建筑垃圾外运及处置</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建筑垃圾外运及处置等综合费用</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其他措施费</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原地面及其他利旧部位成品保护，场地保洁，脚手架搭建等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构造柱</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构造柱木模</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二、配电系统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前端配电改造</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称：前端配电改造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2.市电配电柜AP3及UPS配电柜UP3配电改造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（市电前端取自老动力机房AP3柜（需做改造）引一路4*35+1*16电缆至新机房市电配电柜位置；UPS电前端取自老动力机房UPS 3柜（需做改造），引一路4*70+1*35电缆至机房UPS输出配电柜，UPS输出配电柜各引2路4*25+1*16电缆至三台精密列头柜）</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UPS输出配电柜</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1.名称：UPS输出配电柜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格：UPS输出配电柜，采用施耐德、ABB或西门子元器件，中文智能电量仪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3.安装方式：落地</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市电配电柜</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1.名称：市电配电柜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格：市电配电柜，采用施耐德、ABB或西门子元器件，中文智能电量仪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3.安装方式：落地</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列头配电柜</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1.名称：列头配电柜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格：精密配电柜，采用施耐德、ABB或西门子元器件，触控显示屏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3.安装方式：落地</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电源三级防雷器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1.名称：电源三级防雷器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格：最大放电电流20KA</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1、名称：铜芯电力电缆（UP3柜至新增UPS输出配电柜）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2、型号、规格：ZC-YJVR-4*70+1*35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1、名称：铜芯电力电缆（市电配电柜输入电缆）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2、型号、规格：ZC-YJVR-4*35+1*16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1、名称：铜芯电力电缆（精密列头柜输入电缆）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2、型号、规格：ZC-YJVR-4*25+1*16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1、名称：铜芯电力电缆（50KW制冷量精密空调输入电缆）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2、型号、规格：ZC-YJVR5*16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1、名称：铜芯电力电缆（机柜电力电缆）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2、型号、规格：ZC-YJV3*6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1、名称：铜芯电力电缆（新风机输入电缆）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2、型号、规格：ZC-YJV3*4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1、名称：铜芯电力电缆（灾后排风机输入电缆）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2、型号、规格：ZC-YJV5*2.5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称：绝缘导线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2.配线形式：管内穿线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3.配线型号：BV2.5</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289.78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称：绝缘导线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2.配线形式：管内穿线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3.配线型号：BVR2.5</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称：钢制槽式桥架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格：300*100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3、含桥架支架制安和支架刷油</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称：钢制槽式桥架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格：200*100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3、含桥架支架制安和支架刷油</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配管</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1.名称：JDG20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2.配置形式：砖、混凝土结构暗配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3.含砖墙开槽、补槽</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配管</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1.名称：JDG25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2.配置形式：砖、混凝土结构暗配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3.含砖墙开槽、补槽</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称：3+2五孔插座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3.规 格：10A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工业连接器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称：工业连接器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格：32A，220V</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新机房机柜PDU</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称：新机房机柜PDU</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格：输入：1路32A；输出：2路16A+22路10A</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老机房机柜PDU</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称：老机房机柜PDU</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格：与原PDU一致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照明开关</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称：双联单控开关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嵌入式平板灯</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1.荧光灯名称：嵌入式平板灯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2.荧光灯型号：LED  36W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3.规 格：600*600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4.含接线盒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(原有20套安装利旧）</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单向疏散指示灯</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1.装饰灯名称：单向疏散指示灯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2.装饰灯规格：消防3C认证产品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安全出口标志灯</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1.装饰灯名称：安全出口标志灯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2.装饰灯规格：安全出口指示灯,消防3C认证产品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消防应急照明灯</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1.装饰灯名称：消防应急照明灯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2.装饰灯规格：超长延时LED照明灯，消防3C认证产品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称：接地铜排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质：30*3mm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接地母线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称：接地线缆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质：ZR-BVR16</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接地铜箔</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称：接地铜箔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质：100*0.3铜箔</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接地母线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称：接地线缆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质：ZR-BVR6</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接地母线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称：接地线缆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质：ZR-BVR50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接地端子箱</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称：接地端子箱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质：300*200*120mm（长*宽*厚），冷轧钢板1.2mm厚</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服务器机柜</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称：服务器机柜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2.技术参数：600mm(W)*1200mm(D)*2000mm(H)-42U</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老机房服务器机柜利旧</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称：老机房服务器机柜利旧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2.5个机柜安装前后门，2个机柜安装后门</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网络列头机柜</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称：网络列头机柜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2.技术参数：800mm(W)*1200mm(D)*2000mm(H)-42U</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轻载滑道</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称：轻载滑道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2.轻载滑道-承载50Kg-用于1200mm深机柜，需成对配置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固定托盘</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称：固定托盘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2.固定托盘-1U-承载100Kg-用于1200mm深机柜</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三、暖通系统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空调器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 称：精密空调</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 格：XLQ=50KW L=13600m3/h N=24.4kW/380V 下送风型,含室外机</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制冷剂</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称：制冷剂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格：配套精密空调</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瓶</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铜管</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称：铜管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格：精密空调气液管配套</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称：RVV7*1.5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格：精密空调电源控制线</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空调外机支架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称：空调外机支架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进排水系统</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称：进排水系统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格：进水采用PPR20或25，排水采用不低于PPR25规格，含阀门等辅材、管路保温处理。</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新风机</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称：新风机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格：L=≥1500m3/h 余压:110Pa N=0.3kW/220V，含控制开关</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白铁皮风管</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称：白铁皮风管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格：风管接口,φ200，特级白铁皮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柔性软风管</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称：柔性软风管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格：铝箔保温安装 250*160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新风百叶风口</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称：新风百叶风口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格：铝合金百叶风口300*300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70°C防火阀</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称：70°C防火阀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格：250*160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轴流通风机</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1.名称：轴流通风机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2.型号：高功率电机，风量≥2500m3/h，N=0.25kW/380V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3.减振底座形式、数量：弹簧减震式底座</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70°C防火阀</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称：70°C防火阀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格：320*250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控制开关</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称：控制开关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格：排风控制开关</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柔性软风管</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称：柔性软风管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格：铝箔保温软管安装 公称直径(mm以内)400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灾后排风百叶风口</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称：灾后排风百叶风口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格：铝合金百叶风口320*250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四、消防系统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气体灭火控制器/火灾报警控制器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1.名称:气体灭火控制器/火灾报警控制器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具有火灾探测报警和气体灭火控制双重功能，配接编码火灾探测器、手动报警按钮、紧急启/停按钮、声光整报器、气体喷酒指示灯、手自动转换开关以及输出模块，实现1/2/4个防火区的火灾报警和气体灭火控制，含外接电源箱，输入输出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（要求：机房火灾报警信号要求接入消控室）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柜式七氟丙烷装置</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1.名称:柜式七氟丙烷装置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2.技术参数:120L，2.5MP</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药剂</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1.名称:药剂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2.技术参数:层高按3.8m计算，纯度 ＞99.6%，酸度(以HF计)(mg/Kg) ＜1，水含量(mg/Kg) ＜10，蒸发残留物 ＜0.01%，悬浮或沉淀物不可见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泄压口</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1.名称:泄压口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2.技术参数:300x300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放气指示灯</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1.名称:放气指示灯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2.技术参数:表面安装式，电压24V/DC</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紧急启停按钮</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1.名称:紧急启停按钮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2.技术参数:用于手动控制气体灭火系统紧急启动和紧急停止（止喷）</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消防警铃</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1.名称:消防警铃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2.技术参数:频率范围124Hz~6300Hz(+3dB)、额定功率3w</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感温探测器连底座</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1.名称:感温探测器连底座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2.技术参数:内置独立的微处理器对火警信息分析，辨别是否真正火警，带底座</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声光报警器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1.名称:声光报警器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2.技术参数:有源DC24V常开触点进行控制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1.名称:导线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2.技术参数:NH-RVS-2*1.5</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极早期移位调整</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1.名称:极早期移位调整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2.技术参数:原有极早期移位调整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五、综合布线系统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5.1 新建机房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6类网线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1.名称:六类双绞线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2.技术参数:符合ISO/IEC 11801:2000标准和ANSI/TIA/EIA568-C.2的标准；传输带宽高达250MHz以上；支持千兆以太网</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24口数据配线架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1.名称:24口数据配线架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2.技术参数:24口，1U；符合 ANSI/TIA/EIA-568-B.2-1, ISO/IEC 11801 2nd 版本 (2002)，带后部线缆管理支撑架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理线架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1.名称:理线架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2.技术参数:配套机柜</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光纤配线架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1.名称:光纤配线架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2.技术参数:符合TIA/EIA-568B.3标准，12口24芯lc口</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24芯多模光纤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1.名称:24芯多模光纤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2.技术参数:符合ANSI－FDDI、TIA/EIA568B.2、IEC/ISO IS11801(1995)和CENELEC　EN　50173标准；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光缆类型：多模芯数：24芯</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LC/LC双芯多模光跳线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1.名称:LC/LC双芯多模光跳线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2.技术参数:符合ITU-T G.652、IEC-60793-2-50标准；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插入损耗小于0.3dB，回波损耗大于50dB；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接头：LC；芯数：双芯；光纤类型：多模长度：2m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光纤尾纤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1.名称:光纤尾纤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2.技术参数:符合ITU-T G.652、IEC-60793-2-50标准；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插入损耗小于0.3dB，回波损耗大于50dB；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接头：LC；光纤类型：多模长度：1m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网络跳线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1.名称:网络跳线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2.技术参数:符合TIA/EIA568-C.2标准对六类软线的要求；水晶头簧片镀金50微英寸；超过250MHz带宽；插头接插次数≥750次；长度2m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光纤熔接</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1.名称:光纤熔接</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芯</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1.名称:弱电桥架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2.技术参数:主干弱电槽式桥架，国标，200*100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1.名称:弱电桥架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2.技术参数:弱电网格桥架，国标，300*100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5.2 老机房A列机柜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6类网线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1.名称:六类双绞线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2.技术参数:符合ISO/IEC 11801:2000标准和ANSI/TIA/EIA568-C.2的标准；传输带宽高达250MHz以上；支持千兆以太网</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24口数据配线架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1.名称:24口数据配线架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2.技术参数:24口，1U；符合 ANSI/TIA/EIA-568-B.2-1, ISO/IEC 11801 2nd 版本 (2002)，带后部线缆管理支撑架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理线架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1.名称:理线架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2.技术参数:配套机柜</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光纤配线架</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1.名称:光纤配线架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2.技术参数:符合TIA/EIA-568B.3标准，12口24芯lc口</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24芯多模光纤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1.名称:24芯多模光纤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2.技术参数:符合ANSI－FDDI、TIA/EIA568B.2、IEC/ISO IS11801(1995)和CENELEC　EN　50173标准；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光缆类型：多模芯数：24芯</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LC/LC双芯多模光跳线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1.名称:LC/LC双芯多模光跳线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2.技术参数:符合ITU-T G.652、IEC-60793-2-50标准；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插入损耗小于0.3dB，回波损耗大于50dB；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接头：LC；芯数：双芯；光纤类型：多模长度：2m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光纤尾纤</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1.名称:光纤尾纤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2.技术参数:符合ITU-T G.652、IEC-60793-2-50标准；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插入损耗小于0.3dB，回波损耗大于50dB；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接头：LC；光纤类型：多模长度：1m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光纤熔接</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1.名称:光纤熔接</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芯</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六、安防系统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6.1 视频监控系统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彩色半球摄像机</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1.名称:彩色半球摄像机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2.技术参数:400万像素CMOS传感器，红外补光距离不小于50米。最高1920x1080@30fps，支持H.264、H.265、MJPEG视频编码格式，具大于100dB宽动态，POE供电。</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硬盘录像机</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1.名称:硬盘录像机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2.技术参数:不小于16路网络硬盘录像机NVR，8盘位，2U，1个HDMI、1个VGA，HDMI1支持4K，VGA支持2K显示，视频解码格式H.265;Smart265;H.264;Smart264，2个RJ45 10M/100M/1000M自适应以太网口，2个USB 2.0，1个USB 3.0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监控级硬盘</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1.名称:监控级硬盘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2.技术参数:6T</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24口接入层交换机</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1.名称:24口接入层交换机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2.技术参数:POE千兆以太网交换机，24个10/100/1000Base-T以太网端口，4个1000Base-X以太网端口</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六类双绞线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1.名称:六类双绞线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2.技术参数:符合ISO/IEC 11801:2000标准和ANSI/TIA/EIA568-C.2的标准；传输带宽高达250MHz以上；支持千兆以太网</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配管</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1.名称：JDG20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2.配置形式：砖、混凝土结构暗配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3.含砖墙开槽、补槽</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6.2 门禁系统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门禁读卡器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1.名称:门禁读卡器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2.技术参数:配套原有门禁主机，含接线盒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门禁电源</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1.名称:门禁电源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2.技术参数:标准电压 12V，额定容量 7.0Ah</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开门按钮</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1.名称:开门按钮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2.技术参数:86型出门按钮，含接线盒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双门磁力锁</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1.名称:双门磁力锁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2.技术参数:DC12V，12V/450mA，功率3A，含接线盒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六类双绞线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1.名称:六类双绞线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2.技术参数:符合ISO/IEC 11801:2000标准和ANSI/TIA/EIA568-C.2的标准；传输带宽高达250MHz以上；支持千兆以太网</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配管</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1.名称：JDG20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2.配置形式：砖、混凝土结构暗配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3.含砖墙开槽、补槽</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七、动力环控系统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7.1 供配电系统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电量仪通讯转换模块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1.名称:电量仪通讯转换模块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2.技术参数:实时采集电量仪相关数据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电量仪监控协议软件接口模块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1.名称:电量仪监控协议软件接口模块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2.技术参数:实时监测市电电量参数：相电压、相电流、有功功率、频率、功率因数、无功功率、视在功率、有功电度、无功电度等。图形化界面显示，反应报警状态和正常状态。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精密配电柜监控协议软件接口模块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1.名称:精密配电柜监控协议软件接口模块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2.技术参数:实时监测市电电量参数：相电压、相电流、有功功率、频率、功率因数、无功功率、视在功率、有功电度、无功电度等。图形化界面显示，反应报警状态和正常状态。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7.2 精密空调监测系统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精密空调通讯转换模块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1.名称:精密空调通讯转换模块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2.技术参数:实时采集精密空调相关数据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精密空调监控协议软件接口模块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1.名称:精密空调监控协议软件接口模块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2.技术参数:实时采集精密空调的回风温度湿度、设置温度湿度、压缩机、风机、制冷、制热、除湿、加湿等报警和状态。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7.3 漏水监测系统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泄漏检测控制器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1.名称:泄漏检测控制器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2.技术参数:1路检测线缆接口，接入2芯漏水检测线缆。 实时响应，响应时间&lt;3s。</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泄漏检测绳</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1.名称:泄漏检测控制器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2.技术参数:5米感应绳</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引出线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1.名称:引出线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2.技术参数:4米引出线</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漏水信号采集模块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1.名称:漏水信号采集模块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2.技术参数:漏水信号采集</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区域式泄漏检测软件接口模块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1.名称:区域式泄漏检测软件接口模块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2.技术参数:显示漏水报警情况和数据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7.4 温湿度监控系统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数字型温湿度传感器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1.名称:数字型温湿度传感器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2.技术参数:RS485接口，标准MODBUS协议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温湿度通讯转换模块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1.名称:温湿度通讯转换模块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2.技术参数:采集温湿度传感器数据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温湿度监控协议软件接口模块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1.名称:温湿度监控协议软件接口模块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2.技术参数:显示温湿度具体地址及编号，温度及湿度实时数值，超限报警</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7.5 烟雾监测系统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烟感探测器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1.名称:烟雾探测器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2.技术参数:光电探测方式,吸顶安装,低功耗CMOS微处理器,含底座</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开关量采集模块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1.名称:开关量采集模块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2.技术参数:8路采集模块</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烟感监测软件接口模块</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1.名称:烟感监测软件接口模块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2.技术参数:实时采集烟感探测器的报警状态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7.6系统配置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串口服务器</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1.名称:串口服务器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2.技术参数:标准19英寸，网口：10/100M模式自适应，8口，串口：RS-232/RS-422/485串口自由组合，TCP方式符合RFC2217标准，提供标准化编程接口</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集中监控采集箱</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1.名称:集中监控采集箱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2.技术参数:机架式信号采集箱</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工业电源</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1.名称:工业电源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2.技术参数:AC220V输入，DC12V3A输出</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管线</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2.技术参数:动力环控包括但不限于管、线、接线盒等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八、第三方检测费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防雷接地检测</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1.名称:防雷接地检测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2.技术参数:提供测试报告</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消防检测</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1.名称:消防检测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2.技术参数:提供测试报告</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57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九、安装调试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安装调试</w:t>
            </w:r>
          </w:p>
        </w:tc>
        <w:tc>
          <w:tcPr>
            <w:tcW w:w="379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所有系统的安装调试</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pPr>
        <w:keepNext w:val="0"/>
        <w:keepLines w:val="0"/>
        <w:pageBreakBefore w:val="0"/>
        <w:widowControl/>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5.2</w:t>
      </w:r>
      <w:r>
        <w:rPr>
          <w:rFonts w:hint="eastAsia" w:ascii="宋体" w:hAnsi="宋体" w:eastAsia="宋体" w:cs="宋体"/>
          <w:b/>
          <w:bCs/>
          <w:sz w:val="24"/>
          <w:szCs w:val="24"/>
        </w:rPr>
        <w:t>基础支撑体系集约化</w:t>
      </w:r>
      <w:r>
        <w:rPr>
          <w:rFonts w:hint="eastAsia" w:ascii="宋体" w:hAnsi="宋体" w:cs="宋体"/>
          <w:b/>
          <w:bCs/>
          <w:sz w:val="24"/>
          <w:szCs w:val="24"/>
          <w:lang w:val="en-US" w:eastAsia="zh-CN"/>
        </w:rPr>
        <w:t>部分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32"/>
          <w:szCs w:val="32"/>
          <w:lang w:val="en-US"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.2.1设备</w:t>
      </w:r>
      <w:r>
        <w:rPr>
          <w:rFonts w:hint="eastAsia" w:ascii="宋体" w:hAnsi="宋体" w:cs="宋体"/>
          <w:b/>
          <w:bCs/>
          <w:sz w:val="24"/>
          <w:szCs w:val="24"/>
          <w:lang w:val="en-US" w:eastAsia="zh-CN"/>
        </w:rPr>
        <w:t>采购</w:t>
      </w:r>
      <w:r>
        <w:rPr>
          <w:rFonts w:hint="eastAsia" w:ascii="宋体" w:hAnsi="宋体" w:eastAsia="宋体" w:cs="宋体"/>
          <w:b/>
          <w:bCs/>
          <w:sz w:val="24"/>
          <w:szCs w:val="24"/>
          <w:lang w:val="en-US" w:eastAsia="zh-CN"/>
        </w:rPr>
        <w:t>清单</w:t>
      </w:r>
    </w:p>
    <w:tbl>
      <w:tblPr>
        <w:tblStyle w:val="38"/>
        <w:tblW w:w="8538" w:type="dxa"/>
        <w:tblInd w:w="1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2"/>
        <w:gridCol w:w="5045"/>
        <w:gridCol w:w="1162"/>
        <w:gridCol w:w="1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numPr>
                <w:ilvl w:val="0"/>
                <w:numId w:val="0"/>
              </w:numPr>
              <w:jc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序号</w:t>
            </w:r>
          </w:p>
        </w:tc>
        <w:tc>
          <w:tcPr>
            <w:tcW w:w="50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类型</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数量</w:t>
            </w:r>
          </w:p>
        </w:tc>
        <w:tc>
          <w:tcPr>
            <w:tcW w:w="15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1</w:t>
            </w:r>
          </w:p>
        </w:tc>
        <w:tc>
          <w:tcPr>
            <w:tcW w:w="5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核心汇聚交换机</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2</w:t>
            </w:r>
          </w:p>
        </w:tc>
        <w:tc>
          <w:tcPr>
            <w:tcW w:w="5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集约化服务器</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4</w:t>
            </w:r>
          </w:p>
        </w:tc>
        <w:tc>
          <w:tcPr>
            <w:tcW w:w="15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3</w:t>
            </w:r>
          </w:p>
        </w:tc>
        <w:tc>
          <w:tcPr>
            <w:tcW w:w="5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服务器区万兆交换机</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4</w:t>
            </w:r>
          </w:p>
        </w:tc>
        <w:tc>
          <w:tcPr>
            <w:tcW w:w="5045"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center"/>
              <w:textAlignment w:val="bottom"/>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服务器集约管理平台软件</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8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5</w:t>
            </w:r>
          </w:p>
        </w:tc>
        <w:tc>
          <w:tcPr>
            <w:tcW w:w="5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辅材</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22" w:type="dxa"/>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6</w:t>
            </w:r>
          </w:p>
        </w:tc>
        <w:tc>
          <w:tcPr>
            <w:tcW w:w="5045" w:type="dxa"/>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系统集成</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Theme="majorEastAsia" w:hAnsiTheme="majorEastAsia" w:eastAsiaTheme="majorEastAsia" w:cstheme="majorEastAsia"/>
                <w:b w:val="0"/>
                <w:bCs w:val="0"/>
                <w:i w:val="0"/>
                <w:iCs w:val="0"/>
                <w:color w:val="000000"/>
                <w:sz w:val="21"/>
                <w:szCs w:val="21"/>
                <w:u w:val="none"/>
              </w:rPr>
            </w:pPr>
            <w:r>
              <w:rPr>
                <w:rFonts w:hint="eastAsia" w:asciiTheme="majorEastAsia" w:hAnsiTheme="majorEastAsia" w:eastAsiaTheme="majorEastAsia" w:cstheme="majorEastAsia"/>
                <w:b w:val="0"/>
                <w:bCs w:val="0"/>
                <w:i w:val="0"/>
                <w:iCs w:val="0"/>
                <w:color w:val="000000"/>
                <w:kern w:val="0"/>
                <w:sz w:val="21"/>
                <w:szCs w:val="21"/>
                <w:u w:val="none"/>
                <w:lang w:val="en-US" w:eastAsia="zh-CN" w:bidi="ar"/>
              </w:rPr>
              <w:t>项</w:t>
            </w:r>
          </w:p>
        </w:tc>
      </w:tr>
    </w:tbl>
    <w:p>
      <w:pPr>
        <w:keepNext w:val="0"/>
        <w:keepLines w:val="0"/>
        <w:numPr>
          <w:ilvl w:val="0"/>
          <w:numId w:val="0"/>
        </w:numPr>
        <w:spacing w:line="560" w:lineRule="exact"/>
        <w:jc w:val="center"/>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.2.</w:t>
      </w:r>
      <w:r>
        <w:rPr>
          <w:rFonts w:hint="eastAsia" w:ascii="宋体" w:hAnsi="宋体" w:cs="宋体"/>
          <w:b/>
          <w:bCs/>
          <w:sz w:val="24"/>
          <w:szCs w:val="24"/>
          <w:lang w:val="en-US" w:eastAsia="zh-CN"/>
        </w:rPr>
        <w:t>2</w:t>
      </w:r>
      <w:r>
        <w:rPr>
          <w:rFonts w:hint="eastAsia" w:ascii="宋体" w:hAnsi="宋体" w:eastAsia="宋体" w:cs="宋体"/>
          <w:b/>
          <w:bCs/>
          <w:sz w:val="24"/>
          <w:szCs w:val="24"/>
        </w:rPr>
        <w:t>核心汇聚交换机</w:t>
      </w:r>
      <w:r>
        <w:rPr>
          <w:rFonts w:hint="eastAsia" w:ascii="宋体" w:hAnsi="宋体" w:cs="宋体"/>
          <w:b/>
          <w:bCs/>
          <w:sz w:val="24"/>
          <w:szCs w:val="24"/>
          <w:lang w:val="en-US" w:eastAsia="zh-CN"/>
        </w:rPr>
        <w:t>技术</w:t>
      </w:r>
      <w:r>
        <w:rPr>
          <w:rFonts w:hint="eastAsia" w:ascii="宋体" w:hAnsi="宋体" w:eastAsia="宋体" w:cs="宋体"/>
          <w:b/>
          <w:bCs/>
          <w:sz w:val="24"/>
          <w:szCs w:val="24"/>
          <w:lang w:val="en-US" w:eastAsia="zh-CN"/>
        </w:rPr>
        <w:t>参数要求</w:t>
      </w:r>
    </w:p>
    <w:tbl>
      <w:tblPr>
        <w:tblStyle w:val="159"/>
        <w:tblW w:w="869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263"/>
        <w:gridCol w:w="6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spacing w:line="360" w:lineRule="auto"/>
              <w:jc w:val="center"/>
              <w:rPr>
                <w:rFonts w:hint="eastAsia" w:asciiTheme="majorEastAsia" w:hAnsiTheme="majorEastAsia" w:eastAsiaTheme="majorEastAsia" w:cstheme="majorEastAsia"/>
                <w:b/>
                <w:bCs/>
                <w:kern w:val="0"/>
                <w:szCs w:val="21"/>
                <w:lang w:val="en-US" w:eastAsia="zh-CN"/>
              </w:rPr>
            </w:pPr>
            <w:r>
              <w:rPr>
                <w:rFonts w:hint="eastAsia" w:asciiTheme="majorEastAsia" w:hAnsiTheme="majorEastAsia" w:eastAsiaTheme="majorEastAsia" w:cstheme="majorEastAsia"/>
                <w:b/>
                <w:bCs/>
                <w:kern w:val="0"/>
                <w:szCs w:val="21"/>
                <w:lang w:val="en-US" w:eastAsia="zh-CN"/>
              </w:rPr>
              <w:t>序号</w:t>
            </w:r>
          </w:p>
        </w:tc>
        <w:tc>
          <w:tcPr>
            <w:tcW w:w="1263" w:type="dxa"/>
            <w:vAlign w:val="center"/>
          </w:tcPr>
          <w:p>
            <w:pPr>
              <w:spacing w:line="360"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b/>
                <w:bCs/>
                <w:kern w:val="0"/>
                <w:szCs w:val="21"/>
              </w:rPr>
              <w:t>指标项</w:t>
            </w:r>
          </w:p>
        </w:tc>
        <w:tc>
          <w:tcPr>
            <w:tcW w:w="6368" w:type="dxa"/>
            <w:vAlign w:val="center"/>
          </w:tcPr>
          <w:p>
            <w:pPr>
              <w:spacing w:line="36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spacing w:line="360" w:lineRule="auto"/>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一、</w:t>
            </w:r>
          </w:p>
        </w:tc>
        <w:tc>
          <w:tcPr>
            <w:tcW w:w="7631" w:type="dxa"/>
            <w:gridSpan w:val="2"/>
            <w:vAlign w:val="center"/>
          </w:tcPr>
          <w:p>
            <w:pPr>
              <w:spacing w:line="360" w:lineRule="auto"/>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核心汇聚交换机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Align w:val="center"/>
          </w:tcPr>
          <w:p>
            <w:pPr>
              <w:spacing w:line="24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交换容量</w:t>
            </w:r>
          </w:p>
        </w:tc>
        <w:tc>
          <w:tcPr>
            <w:tcW w:w="6368"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kern w:val="0"/>
                <w:szCs w:val="21"/>
              </w:rPr>
              <w:t>▲</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val="en-US" w:eastAsia="zh-CN"/>
              </w:rPr>
              <w:t>430</w:t>
            </w:r>
            <w:r>
              <w:rPr>
                <w:rFonts w:hint="eastAsia" w:asciiTheme="majorEastAsia" w:hAnsiTheme="majorEastAsia" w:eastAsiaTheme="majorEastAsia" w:cstheme="majorEastAsia"/>
              </w:rPr>
              <w:t>Tbps，</w:t>
            </w:r>
            <w:r>
              <w:rPr>
                <w:rFonts w:hint="eastAsia" w:asciiTheme="majorEastAsia" w:hAnsiTheme="majorEastAsia" w:eastAsiaTheme="majorEastAsia" w:cstheme="majorEastAsia"/>
                <w:color w:val="000000"/>
                <w:kern w:val="0"/>
                <w:szCs w:val="21"/>
              </w:rPr>
              <w:t>提供对外官网截图说明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Align w:val="center"/>
          </w:tcPr>
          <w:p>
            <w:pPr>
              <w:spacing w:line="24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转发能力</w:t>
            </w:r>
          </w:p>
        </w:tc>
        <w:tc>
          <w:tcPr>
            <w:tcW w:w="6368"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kern w:val="0"/>
                <w:szCs w:val="21"/>
              </w:rPr>
              <w:t>▲</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val="en-US" w:eastAsia="zh-CN"/>
              </w:rPr>
              <w:t>172800</w:t>
            </w:r>
            <w:r>
              <w:rPr>
                <w:rFonts w:hint="eastAsia" w:asciiTheme="majorEastAsia" w:hAnsiTheme="majorEastAsia" w:eastAsiaTheme="majorEastAsia" w:cstheme="majorEastAsia"/>
              </w:rPr>
              <w:t>Mpps，</w:t>
            </w:r>
            <w:r>
              <w:rPr>
                <w:rFonts w:hint="eastAsia" w:asciiTheme="majorEastAsia" w:hAnsiTheme="majorEastAsia" w:eastAsiaTheme="majorEastAsia" w:cstheme="majorEastAsia"/>
                <w:color w:val="000000"/>
                <w:kern w:val="0"/>
                <w:szCs w:val="21"/>
              </w:rPr>
              <w:t>提供对外官网截图说明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Align w:val="center"/>
          </w:tcPr>
          <w:p>
            <w:pPr>
              <w:spacing w:line="24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冗余设计</w:t>
            </w:r>
          </w:p>
        </w:tc>
        <w:tc>
          <w:tcPr>
            <w:tcW w:w="6368"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采用冗余主控、电源、风扇设计，主控交换卡、电源、接口模块、风扇、网板等关键部件可热插拔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Align w:val="center"/>
          </w:tcPr>
          <w:p>
            <w:pPr>
              <w:spacing w:line="24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接口要求</w:t>
            </w:r>
          </w:p>
        </w:tc>
        <w:tc>
          <w:tcPr>
            <w:tcW w:w="6368" w:type="dxa"/>
            <w:vAlign w:val="center"/>
          </w:tcPr>
          <w:p>
            <w:pPr>
              <w:spacing w:line="240" w:lineRule="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支持高密GE/10GE/25GE/40GE/100GE及400G高速以太网端口</w:t>
            </w:r>
            <w:r>
              <w:rPr>
                <w:rFonts w:hint="eastAsia" w:asciiTheme="majorEastAsia" w:hAnsiTheme="majorEastAsia" w:eastAsiaTheme="majorEastAsia" w:cstheme="maj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Align w:val="center"/>
          </w:tcPr>
          <w:p>
            <w:pPr>
              <w:spacing w:line="24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5</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链路聚合</w:t>
            </w:r>
          </w:p>
        </w:tc>
        <w:tc>
          <w:tcPr>
            <w:tcW w:w="6368"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支持跨设备链路聚合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Align w:val="center"/>
          </w:tcPr>
          <w:p>
            <w:pPr>
              <w:spacing w:line="24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6</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ACL</w:t>
            </w:r>
          </w:p>
        </w:tc>
        <w:tc>
          <w:tcPr>
            <w:tcW w:w="6368"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支持双向ACL，ACL≥122K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Align w:val="center"/>
          </w:tcPr>
          <w:p>
            <w:pPr>
              <w:spacing w:line="24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7</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QOS</w:t>
            </w:r>
          </w:p>
        </w:tc>
        <w:tc>
          <w:tcPr>
            <w:tcW w:w="6368"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支持队列调度：包括PQ（SP）方式、WRR方式、PQ（SP）+WRR方式、DRR方式、PQ（SP）+DRR方式、WFQ方式、PQ（SP）+WFQ方式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Align w:val="center"/>
          </w:tcPr>
          <w:p>
            <w:pPr>
              <w:spacing w:line="24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8</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可靠性</w:t>
            </w:r>
          </w:p>
        </w:tc>
        <w:tc>
          <w:tcPr>
            <w:tcW w:w="6368"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支持设备重启百秒通流，从设备上电到流量转发仅需百秒；支持IPv4/IPv6硬件BFD，最小时间间隔为3ms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restart"/>
            <w:vAlign w:val="center"/>
          </w:tcPr>
          <w:p>
            <w:pPr>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9</w:t>
            </w:r>
          </w:p>
        </w:tc>
        <w:tc>
          <w:tcPr>
            <w:tcW w:w="1263" w:type="dxa"/>
            <w:vMerge w:val="restart"/>
            <w:vAlign w:val="center"/>
          </w:tcPr>
          <w:p>
            <w:pPr>
              <w:spacing w:line="36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性能</w:t>
            </w:r>
          </w:p>
        </w:tc>
        <w:tc>
          <w:tcPr>
            <w:tcW w:w="6368" w:type="dxa"/>
            <w:vAlign w:val="center"/>
          </w:tcPr>
          <w:p>
            <w:pPr>
              <w:spacing w:line="36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IPv4 FIB表项≥3M，IPv6 FIB表项≥1M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spacing w:line="360" w:lineRule="auto"/>
              <w:rPr>
                <w:rFonts w:hint="eastAsia" w:asciiTheme="majorEastAsia" w:hAnsiTheme="majorEastAsia" w:eastAsiaTheme="majorEastAsia" w:cstheme="majorEastAsia"/>
              </w:rPr>
            </w:pPr>
          </w:p>
        </w:tc>
        <w:tc>
          <w:tcPr>
            <w:tcW w:w="6368" w:type="dxa"/>
            <w:vAlign w:val="center"/>
          </w:tcPr>
          <w:p>
            <w:pPr>
              <w:spacing w:line="36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ARP表项≥272K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spacing w:line="360" w:lineRule="auto"/>
              <w:rPr>
                <w:rFonts w:hint="eastAsia" w:asciiTheme="majorEastAsia" w:hAnsiTheme="majorEastAsia" w:eastAsiaTheme="majorEastAsia" w:cstheme="majorEastAsia"/>
              </w:rPr>
            </w:pPr>
          </w:p>
        </w:tc>
        <w:tc>
          <w:tcPr>
            <w:tcW w:w="6368" w:type="dxa"/>
            <w:vAlign w:val="center"/>
          </w:tcPr>
          <w:p>
            <w:pPr>
              <w:spacing w:line="36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支持多虚一技术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Align w:val="center"/>
          </w:tcPr>
          <w:p>
            <w:pPr>
              <w:spacing w:line="24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10</w:t>
            </w:r>
          </w:p>
        </w:tc>
        <w:tc>
          <w:tcPr>
            <w:tcW w:w="1263"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VxLAN</w:t>
            </w:r>
          </w:p>
        </w:tc>
        <w:tc>
          <w:tcPr>
            <w:tcW w:w="6368" w:type="dxa"/>
            <w:vAlign w:val="center"/>
          </w:tcPr>
          <w:p>
            <w:pPr>
              <w:spacing w:line="24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支持VxLAN 网关，支持基于IPv4/IPv6的VxLAN二三层互通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68" w:type="dxa"/>
            <w:vAlign w:val="center"/>
          </w:tcPr>
          <w:p>
            <w:pPr>
              <w:widowControl/>
              <w:spacing w:line="240" w:lineRule="auto"/>
              <w:jc w:val="center"/>
              <w:rPr>
                <w:rFonts w:hint="default" w:asciiTheme="majorEastAsia" w:hAnsiTheme="majorEastAsia" w:eastAsiaTheme="majorEastAsia" w:cstheme="majorEastAsia"/>
                <w:kern w:val="0"/>
                <w:szCs w:val="21"/>
                <w:lang w:val="en-US" w:eastAsia="zh-CN"/>
              </w:rPr>
            </w:pPr>
            <w:r>
              <w:rPr>
                <w:rFonts w:hint="eastAsia" w:asciiTheme="majorEastAsia" w:hAnsiTheme="majorEastAsia" w:eastAsiaTheme="majorEastAsia" w:cstheme="majorEastAsia"/>
                <w:kern w:val="0"/>
                <w:szCs w:val="21"/>
                <w:lang w:val="en-US" w:eastAsia="zh-CN"/>
              </w:rPr>
              <w:t>11</w:t>
            </w:r>
          </w:p>
        </w:tc>
        <w:tc>
          <w:tcPr>
            <w:tcW w:w="1263" w:type="dxa"/>
            <w:vAlign w:val="center"/>
          </w:tcPr>
          <w:p>
            <w:pPr>
              <w:widowControl/>
              <w:spacing w:line="240" w:lineRule="auto"/>
              <w:rPr>
                <w:rFonts w:hint="eastAsia"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本次实配</w:t>
            </w:r>
          </w:p>
        </w:tc>
        <w:tc>
          <w:tcPr>
            <w:tcW w:w="6368" w:type="dxa"/>
            <w:vAlign w:val="center"/>
          </w:tcPr>
          <w:p>
            <w:pPr>
              <w:spacing w:line="240" w:lineRule="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rPr>
              <w:t>双主控、双电源、</w:t>
            </w:r>
            <w:r>
              <w:rPr>
                <w:rFonts w:hint="eastAsia" w:asciiTheme="majorEastAsia" w:hAnsiTheme="majorEastAsia" w:eastAsiaTheme="majorEastAsia" w:cstheme="majorEastAsia"/>
                <w:lang w:eastAsia="zh-CN"/>
              </w:rPr>
              <w:t>双交换网板、</w:t>
            </w:r>
            <w:r>
              <w:rPr>
                <w:rFonts w:hint="eastAsia" w:asciiTheme="majorEastAsia" w:hAnsiTheme="majorEastAsia" w:eastAsiaTheme="majorEastAsia" w:cstheme="majorEastAsia"/>
              </w:rPr>
              <w:t>千兆电口≥48，万兆光口≥72，40G光口≥2，40G 3m堆叠线缆≥1；</w:t>
            </w:r>
            <w:r>
              <w:rPr>
                <w:rFonts w:hint="eastAsia" w:asciiTheme="majorEastAsia" w:hAnsiTheme="majorEastAsia" w:eastAsiaTheme="majorEastAsia" w:cstheme="majorEastAsia"/>
                <w:lang w:val="en-US" w:eastAsia="zh-CN"/>
              </w:rPr>
              <w:t>万兆多模模块</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val="en-US" w:eastAsia="zh-CN"/>
              </w:rPr>
              <w:t>12；千兆单模模块（10km）</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12</w:t>
            </w:r>
          </w:p>
        </w:tc>
        <w:tc>
          <w:tcPr>
            <w:tcW w:w="1263" w:type="dxa"/>
            <w:vAlign w:val="center"/>
          </w:tcPr>
          <w:p>
            <w:pPr>
              <w:tabs>
                <w:tab w:val="left" w:pos="6463"/>
              </w:tabs>
              <w:spacing w:line="360" w:lineRule="auto"/>
              <w:rPr>
                <w:rFonts w:hint="eastAsia" w:asciiTheme="majorEastAsia" w:hAnsiTheme="majorEastAsia" w:eastAsiaTheme="majorEastAsia" w:cstheme="majorEastAsia"/>
              </w:rPr>
            </w:pPr>
            <w:r>
              <w:rPr>
                <w:rFonts w:hint="eastAsia" w:asciiTheme="majorEastAsia" w:hAnsiTheme="majorEastAsia" w:eastAsiaTheme="majorEastAsia" w:cstheme="majorEastAsia"/>
              </w:rPr>
              <w:t>原厂服务</w:t>
            </w:r>
          </w:p>
        </w:tc>
        <w:tc>
          <w:tcPr>
            <w:tcW w:w="6368" w:type="dxa"/>
            <w:vAlign w:val="center"/>
          </w:tcPr>
          <w:p>
            <w:pPr>
              <w:spacing w:line="360" w:lineRule="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szCs w:val="21"/>
              </w:rPr>
              <w:t>原厂三年质保</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numPr>
                <w:ilvl w:val="-1"/>
                <w:numId w:val="0"/>
              </w:numPr>
              <w:tabs>
                <w:tab w:val="left" w:pos="6463"/>
              </w:tabs>
              <w:spacing w:line="360" w:lineRule="auto"/>
              <w:ind w:firstLine="0" w:firstLineChars="0"/>
              <w:jc w:val="center"/>
              <w:rPr>
                <w:rFonts w:hint="eastAsia" w:ascii="仿宋" w:hAnsi="仿宋" w:eastAsia="仿宋" w:cs="仿宋"/>
                <w:szCs w:val="21"/>
              </w:rPr>
            </w:pPr>
            <w:r>
              <w:rPr>
                <w:rFonts w:hint="eastAsia" w:asciiTheme="majorEastAsia" w:hAnsiTheme="majorEastAsia" w:eastAsiaTheme="majorEastAsia" w:cstheme="majorEastAsia"/>
                <w:b/>
                <w:bCs/>
                <w:lang w:val="en-US" w:eastAsia="zh-CN"/>
              </w:rPr>
              <w:t>二、</w:t>
            </w:r>
          </w:p>
        </w:tc>
        <w:tc>
          <w:tcPr>
            <w:tcW w:w="7631" w:type="dxa"/>
            <w:gridSpan w:val="2"/>
            <w:vAlign w:val="center"/>
          </w:tcPr>
          <w:p>
            <w:pPr>
              <w:numPr>
                <w:ilvl w:val="-1"/>
                <w:numId w:val="0"/>
              </w:numPr>
              <w:tabs>
                <w:tab w:val="left" w:pos="6463"/>
              </w:tabs>
              <w:spacing w:line="360" w:lineRule="auto"/>
              <w:ind w:firstLine="0" w:firstLineChars="0"/>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集约化服务器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机型</w:t>
            </w:r>
          </w:p>
        </w:tc>
        <w:tc>
          <w:tcPr>
            <w:tcW w:w="6368"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≥2U机架式服务器，标配原厂导轨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处理器</w:t>
            </w:r>
          </w:p>
        </w:tc>
        <w:tc>
          <w:tcPr>
            <w:tcW w:w="6368"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0"/>
                <w:sz w:val="21"/>
                <w:szCs w:val="21"/>
              </w:rPr>
              <w:t>▲</w:t>
            </w:r>
            <w:r>
              <w:rPr>
                <w:rFonts w:hint="eastAsia" w:asciiTheme="majorEastAsia" w:hAnsiTheme="majorEastAsia" w:eastAsiaTheme="majorEastAsia" w:cstheme="majorEastAsia"/>
                <w:sz w:val="21"/>
                <w:szCs w:val="21"/>
              </w:rPr>
              <w:t>配置≥2颗C86架构CPU(2.0GHz/32核/64MB/208W)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内存</w:t>
            </w:r>
          </w:p>
        </w:tc>
        <w:tc>
          <w:tcPr>
            <w:tcW w:w="6368"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0"/>
                <w:sz w:val="21"/>
                <w:szCs w:val="21"/>
              </w:rPr>
              <w:t>▲</w:t>
            </w:r>
            <w:r>
              <w:rPr>
                <w:rFonts w:hint="eastAsia" w:asciiTheme="majorEastAsia" w:hAnsiTheme="majorEastAsia" w:eastAsiaTheme="majorEastAsia" w:cstheme="majorEastAsia"/>
                <w:sz w:val="21"/>
                <w:szCs w:val="21"/>
              </w:rPr>
              <w:t>配置≥384G DDR4内存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硬盘</w:t>
            </w:r>
          </w:p>
        </w:tc>
        <w:tc>
          <w:tcPr>
            <w:tcW w:w="6368" w:type="dxa"/>
            <w:vAlign w:val="center"/>
          </w:tcPr>
          <w:p>
            <w:pPr>
              <w:spacing w:line="24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0"/>
                <w:sz w:val="21"/>
                <w:szCs w:val="21"/>
              </w:rPr>
              <w:t>▲</w:t>
            </w:r>
            <w:r>
              <w:rPr>
                <w:rFonts w:hint="eastAsia" w:asciiTheme="majorEastAsia" w:hAnsiTheme="majorEastAsia" w:eastAsiaTheme="majorEastAsia" w:cstheme="majorEastAsia"/>
                <w:sz w:val="21"/>
                <w:szCs w:val="21"/>
              </w:rPr>
              <w:t>配置≥2*480GB企业级SSD硬盘，≥2*1.6TB企业级SSD硬盘，≥6*8TB企业级SATA HDD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Align w:val="center"/>
          </w:tcPr>
          <w:p>
            <w:pPr>
              <w:tabs>
                <w:tab w:val="left" w:pos="6463"/>
              </w:tabs>
              <w:spacing w:line="24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5</w:t>
            </w:r>
          </w:p>
        </w:tc>
        <w:tc>
          <w:tcPr>
            <w:tcW w:w="1263" w:type="dxa"/>
            <w:vAlign w:val="center"/>
          </w:tcPr>
          <w:p>
            <w:pPr>
              <w:spacing w:line="24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硬盘控制器</w:t>
            </w:r>
          </w:p>
        </w:tc>
        <w:tc>
          <w:tcPr>
            <w:tcW w:w="6368" w:type="dxa"/>
            <w:vAlign w:val="center"/>
          </w:tcPr>
          <w:p>
            <w:pPr>
              <w:spacing w:line="24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≥2GB缓存，支持缓存数据保护，且后备保护时间不受限制支持RAID0/1/10/5/6/50/60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6</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网卡</w:t>
            </w:r>
          </w:p>
        </w:tc>
        <w:tc>
          <w:tcPr>
            <w:tcW w:w="6368"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配置≥4个千兆电口</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 xml:space="preserve"> ≥4个万兆光口（含模块）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7</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PCIe插槽</w:t>
            </w:r>
          </w:p>
        </w:tc>
        <w:tc>
          <w:tcPr>
            <w:tcW w:w="6368"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支持提供≥10个PCIe 3.0插槽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Align w:val="center"/>
          </w:tcPr>
          <w:p>
            <w:pPr>
              <w:tabs>
                <w:tab w:val="left" w:pos="6463"/>
              </w:tabs>
              <w:spacing w:line="24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8</w:t>
            </w:r>
          </w:p>
        </w:tc>
        <w:tc>
          <w:tcPr>
            <w:tcW w:w="1263" w:type="dxa"/>
            <w:vAlign w:val="center"/>
          </w:tcPr>
          <w:p>
            <w:pPr>
              <w:spacing w:line="24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接口</w:t>
            </w:r>
          </w:p>
        </w:tc>
        <w:tc>
          <w:tcPr>
            <w:tcW w:w="6368" w:type="dxa"/>
            <w:vAlign w:val="center"/>
          </w:tcPr>
          <w:p>
            <w:pPr>
              <w:spacing w:line="24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至少6个USB3.0接口，标配1个VGA和1个串口，支持独立的管理端口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9</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GPU</w:t>
            </w:r>
          </w:p>
        </w:tc>
        <w:tc>
          <w:tcPr>
            <w:tcW w:w="6368"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可配置≥3块双宽或8块单宽GPU卡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10</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电源</w:t>
            </w:r>
          </w:p>
        </w:tc>
        <w:tc>
          <w:tcPr>
            <w:tcW w:w="6368"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2个≥800w白金版热插拔冗余电源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11</w:t>
            </w:r>
          </w:p>
        </w:tc>
        <w:tc>
          <w:tcPr>
            <w:tcW w:w="1263"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风扇</w:t>
            </w:r>
          </w:p>
        </w:tc>
        <w:tc>
          <w:tcPr>
            <w:tcW w:w="6368" w:type="dxa"/>
            <w:vAlign w:val="center"/>
          </w:tcPr>
          <w:p>
            <w:pPr>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配置可热插拔冗余风扇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12</w:t>
            </w:r>
          </w:p>
        </w:tc>
        <w:tc>
          <w:tcPr>
            <w:tcW w:w="1263" w:type="dxa"/>
            <w:vAlign w:val="center"/>
          </w:tcPr>
          <w:p>
            <w:pPr>
              <w:tabs>
                <w:tab w:val="left" w:pos="6463"/>
              </w:tabs>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原厂服务</w:t>
            </w:r>
          </w:p>
        </w:tc>
        <w:tc>
          <w:tcPr>
            <w:tcW w:w="6368" w:type="dxa"/>
            <w:vAlign w:val="center"/>
          </w:tcPr>
          <w:p>
            <w:pPr>
              <w:tabs>
                <w:tab w:val="left" w:pos="6463"/>
              </w:tabs>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Cs w:val="21"/>
              </w:rPr>
              <w:t>原厂三年质保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三、</w:t>
            </w:r>
          </w:p>
        </w:tc>
        <w:tc>
          <w:tcPr>
            <w:tcW w:w="7631" w:type="dxa"/>
            <w:gridSpan w:val="2"/>
            <w:vAlign w:val="center"/>
          </w:tcPr>
          <w:p>
            <w:pPr>
              <w:tabs>
                <w:tab w:val="left" w:pos="6463"/>
              </w:tabs>
              <w:spacing w:line="360" w:lineRule="auto"/>
              <w:rPr>
                <w:rFonts w:hint="eastAsia" w:ascii="仿宋" w:hAnsi="仿宋" w:eastAsia="仿宋" w:cs="仿宋"/>
                <w:szCs w:val="21"/>
              </w:rPr>
            </w:pPr>
            <w:r>
              <w:rPr>
                <w:rFonts w:hint="eastAsia" w:asciiTheme="majorEastAsia" w:hAnsiTheme="majorEastAsia" w:eastAsiaTheme="majorEastAsia" w:cstheme="majorEastAsia"/>
                <w:b/>
                <w:bCs/>
                <w:sz w:val="21"/>
                <w:szCs w:val="21"/>
                <w:lang w:val="en-US" w:eastAsia="zh-CN"/>
              </w:rPr>
              <w:t>万兆交换机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w:t>
            </w:r>
          </w:p>
        </w:tc>
        <w:tc>
          <w:tcPr>
            <w:tcW w:w="1263"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交换容量</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▲≥2.56Tbps，</w:t>
            </w:r>
            <w:r>
              <w:rPr>
                <w:rFonts w:hint="eastAsia" w:asciiTheme="majorEastAsia" w:hAnsiTheme="majorEastAsia" w:eastAsiaTheme="majorEastAsia" w:cstheme="majorEastAsia"/>
                <w:color w:val="000000"/>
                <w:kern w:val="0"/>
                <w:sz w:val="21"/>
                <w:szCs w:val="21"/>
              </w:rPr>
              <w:t>提供对外官网截图说明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w:t>
            </w:r>
          </w:p>
        </w:tc>
        <w:tc>
          <w:tcPr>
            <w:tcW w:w="1263"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转发性能</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▲≥1080Mpps，</w:t>
            </w:r>
            <w:r>
              <w:rPr>
                <w:rFonts w:hint="eastAsia" w:asciiTheme="majorEastAsia" w:hAnsiTheme="majorEastAsia" w:eastAsiaTheme="majorEastAsia" w:cstheme="majorEastAsia"/>
                <w:color w:val="000000"/>
                <w:kern w:val="0"/>
                <w:sz w:val="21"/>
                <w:szCs w:val="21"/>
              </w:rPr>
              <w:t>提供对外官网截图说明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Align w:val="center"/>
          </w:tcPr>
          <w:p>
            <w:pPr>
              <w:tabs>
                <w:tab w:val="left" w:pos="6463"/>
              </w:tabs>
              <w:spacing w:line="24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w:t>
            </w:r>
          </w:p>
        </w:tc>
        <w:tc>
          <w:tcPr>
            <w:tcW w:w="1263" w:type="dxa"/>
            <w:vAlign w:val="center"/>
          </w:tcPr>
          <w:p>
            <w:pPr>
              <w:widowControl/>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接口类型</w:t>
            </w:r>
          </w:p>
        </w:tc>
        <w:tc>
          <w:tcPr>
            <w:tcW w:w="6368" w:type="dxa"/>
            <w:vAlign w:val="center"/>
          </w:tcPr>
          <w:p>
            <w:pPr>
              <w:widowControl/>
              <w:spacing w:line="240" w:lineRule="auto"/>
              <w:rPr>
                <w:rFonts w:hint="eastAsia" w:asciiTheme="majorEastAsia" w:hAnsiTheme="majorEastAsia" w:eastAsiaTheme="majorEastAsia" w:cstheme="majorEastAsia"/>
                <w:color w:val="000000"/>
                <w:kern w:val="0"/>
                <w:sz w:val="21"/>
                <w:szCs w:val="21"/>
                <w:lang w:val="en-US" w:eastAsia="zh-CN" w:bidi="ar-SA"/>
              </w:rPr>
            </w:pPr>
            <w:r>
              <w:rPr>
                <w:rFonts w:hint="eastAsia" w:asciiTheme="majorEastAsia" w:hAnsiTheme="majorEastAsia" w:eastAsiaTheme="majorEastAsia" w:cstheme="majorEastAsia"/>
                <w:kern w:val="0"/>
                <w:sz w:val="21"/>
                <w:szCs w:val="21"/>
              </w:rPr>
              <w:t>≥</w:t>
            </w:r>
            <w:r>
              <w:rPr>
                <w:rFonts w:hint="eastAsia" w:asciiTheme="majorEastAsia" w:hAnsiTheme="majorEastAsia" w:eastAsiaTheme="majorEastAsia" w:cstheme="majorEastAsia"/>
                <w:kern w:val="0"/>
                <w:sz w:val="21"/>
                <w:szCs w:val="21"/>
                <w:highlight w:val="none"/>
              </w:rPr>
              <w:t>24个1/10G SFP Plus端口</w:t>
            </w:r>
            <w:r>
              <w:rPr>
                <w:rFonts w:hint="eastAsia" w:asciiTheme="majorEastAsia" w:hAnsiTheme="majorEastAsia" w:eastAsiaTheme="majorEastAsia" w:cstheme="majorEastAsia"/>
                <w:kern w:val="0"/>
                <w:sz w:val="21"/>
                <w:szCs w:val="21"/>
              </w:rPr>
              <w:t>，≥24个1000Base-T端口，≥2个40GE QSFP+端口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w:t>
            </w:r>
          </w:p>
        </w:tc>
        <w:tc>
          <w:tcPr>
            <w:tcW w:w="1263"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性能指标</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MAC地址表（max）≥32K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5</w:t>
            </w:r>
          </w:p>
        </w:tc>
        <w:tc>
          <w:tcPr>
            <w:tcW w:w="1263"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VLAN</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支持基于端口的VLAN，支持基于协议的VLAN；支持基于MAC的VLAN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6</w:t>
            </w:r>
          </w:p>
        </w:tc>
        <w:tc>
          <w:tcPr>
            <w:tcW w:w="1263" w:type="dxa"/>
            <w:vMerge w:val="restart"/>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堆叠</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支持通过标准以太端口进行堆叠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支持远程堆叠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7</w:t>
            </w:r>
          </w:p>
        </w:tc>
        <w:tc>
          <w:tcPr>
            <w:tcW w:w="1263"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链路聚合</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支持链路聚合基本功能及聚合零丢包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8</w:t>
            </w:r>
          </w:p>
        </w:tc>
        <w:tc>
          <w:tcPr>
            <w:tcW w:w="1263"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镜像功能</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支持本地端口镜像和远程端口镜像；支持流镜像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9</w:t>
            </w:r>
          </w:p>
        </w:tc>
        <w:tc>
          <w:tcPr>
            <w:tcW w:w="1263" w:type="dxa"/>
            <w:vMerge w:val="restart"/>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路由协议</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支持IPv4静态路由、RIP、OSPF、ISIS、BGP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支持IPv6静态路由、RIPng、OSPFv3、ISISv6、BGP4+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支持IPv4和IPv6环境下的策略路由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支持IPv6手动隧道、6to4隧道和ISATAP隧道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10</w:t>
            </w:r>
          </w:p>
        </w:tc>
        <w:tc>
          <w:tcPr>
            <w:tcW w:w="1263" w:type="dxa"/>
            <w:vMerge w:val="restart"/>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可靠性</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支持BFD FOR VRRP功能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支持RRPP（快速环网保护协议）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11</w:t>
            </w:r>
          </w:p>
        </w:tc>
        <w:tc>
          <w:tcPr>
            <w:tcW w:w="1263"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CPU保护</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支持CPU保护功能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12</w:t>
            </w:r>
          </w:p>
        </w:tc>
        <w:tc>
          <w:tcPr>
            <w:tcW w:w="1263"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ERPS</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支持ERPS功能，收敛时间小于50ms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13</w:t>
            </w:r>
          </w:p>
        </w:tc>
        <w:tc>
          <w:tcPr>
            <w:tcW w:w="1263" w:type="dxa"/>
            <w:vMerge w:val="restart"/>
            <w:vAlign w:val="center"/>
          </w:tcPr>
          <w:p>
            <w:pPr>
              <w:widowControl/>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访问控制策略</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支持基于第二层、第三层和第四层的ACL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240" w:lineRule="auto"/>
              <w:rPr>
                <w:rFonts w:hint="eastAsia" w:asciiTheme="majorEastAsia" w:hAnsiTheme="majorEastAsia" w:eastAsiaTheme="majorEastAsia" w:cstheme="majorEastAsia"/>
              </w:rPr>
            </w:pP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支持基于端口和VLAN的 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14</w:t>
            </w:r>
          </w:p>
        </w:tc>
        <w:tc>
          <w:tcPr>
            <w:tcW w:w="1263" w:type="dxa"/>
            <w:vMerge w:val="restart"/>
            <w:vAlign w:val="center"/>
          </w:tcPr>
          <w:p>
            <w:pPr>
              <w:widowControl/>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管理和维护</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支持SNMP V1/V2/V3、RMON、SSHV2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支持OAM(802.1AG， 802.3AH)以太网运行、维护和管理标准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15</w:t>
            </w:r>
          </w:p>
        </w:tc>
        <w:tc>
          <w:tcPr>
            <w:tcW w:w="1263" w:type="dxa"/>
            <w:vAlign w:val="center"/>
          </w:tcPr>
          <w:p>
            <w:pPr>
              <w:tabs>
                <w:tab w:val="left" w:pos="6463"/>
              </w:tabs>
              <w:spacing w:line="36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原厂服务</w:t>
            </w:r>
          </w:p>
        </w:tc>
        <w:tc>
          <w:tcPr>
            <w:tcW w:w="6368" w:type="dxa"/>
            <w:vAlign w:val="center"/>
          </w:tcPr>
          <w:p>
            <w:pPr>
              <w:widowControl/>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Cs w:val="21"/>
              </w:rPr>
              <w:t>原厂三年质保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四、</w:t>
            </w:r>
          </w:p>
        </w:tc>
        <w:tc>
          <w:tcPr>
            <w:tcW w:w="7631" w:type="dxa"/>
            <w:gridSpan w:val="2"/>
            <w:vAlign w:val="center"/>
          </w:tcPr>
          <w:p>
            <w:pPr>
              <w:tabs>
                <w:tab w:val="left" w:pos="6463"/>
              </w:tabs>
              <w:spacing w:line="360" w:lineRule="auto"/>
              <w:rPr>
                <w:rFonts w:hint="eastAsia" w:ascii="仿宋" w:hAnsi="仿宋" w:eastAsia="仿宋" w:cs="仿宋"/>
                <w:szCs w:val="21"/>
              </w:rPr>
            </w:pPr>
            <w:r>
              <w:rPr>
                <w:rFonts w:hint="eastAsia" w:asciiTheme="majorEastAsia" w:hAnsiTheme="majorEastAsia" w:eastAsiaTheme="majorEastAsia" w:cstheme="majorEastAsia"/>
                <w:b/>
                <w:bCs/>
                <w:sz w:val="21"/>
                <w:szCs w:val="21"/>
                <w:lang w:val="en-US" w:eastAsia="zh-CN"/>
              </w:rPr>
              <w:t>服务器集约管理平台软件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1</w:t>
            </w:r>
          </w:p>
        </w:tc>
        <w:tc>
          <w:tcPr>
            <w:tcW w:w="1263" w:type="dxa"/>
            <w:vMerge w:val="restart"/>
            <w:vAlign w:val="center"/>
          </w:tcPr>
          <w:p>
            <w:pPr>
              <w:tabs>
                <w:tab w:val="left" w:pos="6463"/>
              </w:tabs>
              <w:spacing w:line="360" w:lineRule="auto"/>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color w:val="000000"/>
                <w:kern w:val="0"/>
                <w:sz w:val="21"/>
                <w:szCs w:val="21"/>
                <w:lang w:val="en-US" w:eastAsia="zh-CN"/>
              </w:rPr>
              <w:t>管理平台</w:t>
            </w:r>
          </w:p>
        </w:tc>
        <w:tc>
          <w:tcPr>
            <w:tcW w:w="6368" w:type="dxa"/>
            <w:vAlign w:val="center"/>
          </w:tcPr>
          <w:p>
            <w:pPr>
              <w:spacing w:line="240" w:lineRule="auto"/>
              <w:rPr>
                <w:rFonts w:hint="eastAsia" w:asciiTheme="majorEastAsia" w:hAnsiTheme="majorEastAsia" w:eastAsiaTheme="majorEastAsia" w:cstheme="majorEastAsia"/>
                <w:color w:val="000000"/>
                <w:kern w:val="0"/>
                <w:sz w:val="21"/>
                <w:szCs w:val="21"/>
                <w:lang w:val="en-US" w:eastAsia="zh-CN" w:bidi="ar-SA"/>
              </w:rPr>
            </w:pPr>
            <w:r>
              <w:rPr>
                <w:rFonts w:hint="eastAsia" w:asciiTheme="majorEastAsia" w:hAnsiTheme="majorEastAsia" w:eastAsiaTheme="majorEastAsia" w:cstheme="majorEastAsia"/>
                <w:color w:val="000000"/>
                <w:kern w:val="0"/>
                <w:sz w:val="21"/>
                <w:szCs w:val="21"/>
              </w:rPr>
              <w:t>本次采购包含计算虚拟化专业版、存储虚拟化专业版、网络虚拟化专业版、统一云管平台高级版各8颗CPU授权，含三年软件版本升级服务和远程技术支持服务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tabs>
                <w:tab w:val="left" w:pos="6463"/>
              </w:tabs>
              <w:spacing w:line="240" w:lineRule="auto"/>
              <w:rPr>
                <w:rFonts w:hint="eastAsia" w:asciiTheme="majorEastAsia" w:hAnsiTheme="majorEastAsia" w:eastAsiaTheme="majorEastAsia" w:cstheme="majorEastAsia"/>
                <w:color w:val="000000"/>
                <w:kern w:val="0"/>
                <w:sz w:val="21"/>
                <w:szCs w:val="21"/>
                <w:lang w:val="en-US" w:eastAsia="zh-CN" w:bidi="ar-SA"/>
              </w:rPr>
            </w:pPr>
            <w:r>
              <w:rPr>
                <w:rFonts w:hint="eastAsia" w:asciiTheme="majorEastAsia" w:hAnsiTheme="majorEastAsia" w:eastAsiaTheme="majorEastAsia" w:cstheme="majorEastAsia"/>
                <w:color w:val="000000"/>
                <w:kern w:val="0"/>
                <w:sz w:val="21"/>
                <w:szCs w:val="21"/>
                <w:lang w:val="en-US" w:eastAsia="zh-CN"/>
              </w:rPr>
              <w:t>管理</w:t>
            </w:r>
            <w:r>
              <w:rPr>
                <w:rFonts w:hint="eastAsia" w:asciiTheme="majorEastAsia" w:hAnsiTheme="majorEastAsia" w:eastAsiaTheme="majorEastAsia" w:cstheme="majorEastAsia"/>
                <w:color w:val="000000"/>
                <w:kern w:val="0"/>
                <w:sz w:val="21"/>
                <w:szCs w:val="21"/>
              </w:rPr>
              <w:t>软件</w:t>
            </w:r>
            <w:r>
              <w:rPr>
                <w:rFonts w:hint="eastAsia" w:asciiTheme="majorEastAsia" w:hAnsiTheme="majorEastAsia" w:eastAsiaTheme="majorEastAsia" w:cstheme="majorEastAsia"/>
                <w:color w:val="000000"/>
                <w:kern w:val="0"/>
                <w:sz w:val="21"/>
                <w:szCs w:val="21"/>
                <w:lang w:val="en-US" w:eastAsia="zh-CN"/>
              </w:rPr>
              <w:t>为</w:t>
            </w:r>
            <w:r>
              <w:rPr>
                <w:rFonts w:hint="eastAsia" w:asciiTheme="majorEastAsia" w:hAnsiTheme="majorEastAsia" w:eastAsiaTheme="majorEastAsia" w:cstheme="majorEastAsia"/>
                <w:color w:val="000000"/>
                <w:kern w:val="0"/>
                <w:sz w:val="21"/>
                <w:szCs w:val="21"/>
              </w:rPr>
              <w:t>自主研发产品，拥有自主知识产权，非基于第三方云平台（如OpenStack、CloudStack等）软件二次开发产品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color w:val="000000"/>
                <w:kern w:val="0"/>
                <w:sz w:val="21"/>
                <w:szCs w:val="21"/>
                <w:lang w:val="en-US" w:eastAsia="zh-CN" w:bidi="ar-SA"/>
              </w:rPr>
            </w:pPr>
            <w:r>
              <w:rPr>
                <w:rFonts w:hint="eastAsia" w:asciiTheme="majorEastAsia" w:hAnsiTheme="majorEastAsia" w:eastAsiaTheme="majorEastAsia" w:cstheme="majorEastAsia"/>
                <w:kern w:val="0"/>
                <w:sz w:val="21"/>
                <w:szCs w:val="21"/>
              </w:rPr>
              <w:t>支持服务器节点退役功能，退役主机的数据自动迁移之其它正常服务器节点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支持虚拟机跨平台在线迁移（P2V和V2V）功能，迁移过程中不影响业务正常运行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支持回收站功能，支持虚拟资源的回收功能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w:t>
            </w:r>
          </w:p>
        </w:tc>
        <w:tc>
          <w:tcPr>
            <w:tcW w:w="1263" w:type="dxa"/>
            <w:vMerge w:val="restart"/>
            <w:vAlign w:val="center"/>
          </w:tcPr>
          <w:p>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kern w:val="0"/>
                <w:sz w:val="21"/>
                <w:szCs w:val="21"/>
              </w:rPr>
              <w:t>计算虚拟化要求</w:t>
            </w: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支持以虚拟机为单位的隔离保护，任意虚拟机发生故障均不会影响同一个物理机上的其它虚拟机运行，以保障系统平台的安全性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支持虚拟机级别副本设置，可以按照业务的安全需求给不同虚拟机设置不同数量副本，提升灵活性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支持虚拟机存储本地化设置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支持虚拟机存储链路冗余设置，可以设置多条访问存储卷的链路，提升虚拟机访问存储的可靠性和性能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支持蓝屏检测技术，自动触发，通过界面记录虚拟机重新拉起过程，包括故障、蓝屏、HA等过程进行记录，可在虚拟机详情日志页面里面查看详情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color w:val="000000"/>
                <w:kern w:val="0"/>
                <w:sz w:val="21"/>
                <w:szCs w:val="21"/>
                <w:lang w:val="en-US" w:eastAsia="zh-CN" w:bidi="ar-SA"/>
              </w:rPr>
            </w:pPr>
            <w:r>
              <w:rPr>
                <w:rFonts w:hint="eastAsia" w:asciiTheme="majorEastAsia" w:hAnsiTheme="majorEastAsia" w:eastAsiaTheme="majorEastAsia" w:cstheme="majorEastAsia"/>
                <w:kern w:val="0"/>
                <w:sz w:val="21"/>
                <w:szCs w:val="21"/>
              </w:rPr>
              <w:t>支持虚拟机最后一屏功能，在发生意外故障导致的虚拟机停机，可以将虚拟机最后一屏信息进行截图，为后续排错提供依据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jc w:val="center"/>
              <w:rPr>
                <w:rFonts w:hint="eastAsia" w:asciiTheme="majorEastAsia" w:hAnsiTheme="majorEastAsia" w:eastAsiaTheme="majorEastAsia" w:cstheme="majorEastAsia"/>
                <w:kern w:val="0"/>
                <w:sz w:val="21"/>
                <w:szCs w:val="21"/>
                <w:lang w:val="en-US" w:eastAsia="zh-CN" w:bidi="ar-SA"/>
              </w:rPr>
            </w:pPr>
          </w:p>
        </w:tc>
        <w:tc>
          <w:tcPr>
            <w:tcW w:w="6368" w:type="dxa"/>
            <w:vAlign w:val="center"/>
          </w:tcPr>
          <w:p>
            <w:pPr>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存储虚拟化采用分布式架构，实现存储容量和性能的横向扩展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3</w:t>
            </w:r>
          </w:p>
        </w:tc>
        <w:tc>
          <w:tcPr>
            <w:tcW w:w="1263" w:type="dxa"/>
            <w:vMerge w:val="restart"/>
            <w:vAlign w:val="center"/>
          </w:tcPr>
          <w:p>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kern w:val="0"/>
                <w:sz w:val="21"/>
                <w:szCs w:val="21"/>
              </w:rPr>
              <w:t>存储虚拟化要求</w:t>
            </w: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支持存储网络隔离，可以设置独立的私有网络，保持与其他物理网络隔离，仅作为集群内存储节点间的数据交换使用，避免受到病毒攻击、ARP攻击</w:t>
            </w:r>
            <w:r>
              <w:rPr>
                <w:rFonts w:hint="eastAsia" w:asciiTheme="majorEastAsia" w:hAnsiTheme="majorEastAsia" w:eastAsiaTheme="majorEastAsia" w:cstheme="majorEastAsia"/>
                <w:kern w:val="0"/>
                <w:sz w:val="21"/>
                <w:szCs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支持服务器在线扩容磁盘，增加一体机存储容量，最少可以支持1块磁盘扩容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color w:val="000000"/>
                <w:kern w:val="0"/>
                <w:sz w:val="21"/>
                <w:szCs w:val="21"/>
                <w:lang w:val="en-US" w:eastAsia="zh-CN" w:bidi="ar-SA"/>
              </w:rPr>
            </w:pPr>
            <w:r>
              <w:rPr>
                <w:rFonts w:hint="eastAsia" w:asciiTheme="majorEastAsia" w:hAnsiTheme="majorEastAsia" w:eastAsiaTheme="majorEastAsia" w:cstheme="majorEastAsia"/>
                <w:kern w:val="0"/>
                <w:sz w:val="21"/>
                <w:szCs w:val="21"/>
              </w:rPr>
              <w:t>支持磁盘退役功能，被设置为退役的硬盘，数据自动迁移到集群其它服务器节点磁盘中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支持数据写入优化机制，支持数据读取优化机制，可以将内存、SSD作为读、写缓存使用，实现内存、SSD、HDD三级存储分层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color w:val="000000"/>
                <w:kern w:val="0"/>
                <w:sz w:val="21"/>
                <w:szCs w:val="21"/>
              </w:rPr>
              <w:t>支持快照功能，支持数据一致性，支持对虚拟机业务按照小时/天/周</w:t>
            </w:r>
            <w:r>
              <w:rPr>
                <w:rFonts w:hint="eastAsia" w:asciiTheme="majorEastAsia" w:hAnsiTheme="majorEastAsia" w:eastAsiaTheme="majorEastAsia" w:cstheme="majorEastAsia"/>
                <w:color w:val="000000"/>
                <w:kern w:val="0"/>
                <w:sz w:val="21"/>
                <w:szCs w:val="21"/>
                <w:lang w:eastAsia="zh-CN"/>
              </w:rPr>
              <w:t>等</w:t>
            </w:r>
            <w:r>
              <w:rPr>
                <w:rFonts w:hint="eastAsia" w:asciiTheme="majorEastAsia" w:hAnsiTheme="majorEastAsia" w:eastAsiaTheme="majorEastAsia" w:cstheme="majorEastAsia"/>
                <w:color w:val="000000"/>
                <w:kern w:val="0"/>
                <w:sz w:val="21"/>
                <w:szCs w:val="21"/>
              </w:rPr>
              <w:t>自定义设置定时快照策略，以便业务发生故障时可以快速回滚覆盖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支持磁盘健康检测功能，实时检测及监控HDD和SSD盘的健康状态，内容包括规格、温度、错误告警、SSD寿命等参数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支持磁盘坏道扫描及修复功能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jc w:val="center"/>
              <w:rPr>
                <w:rFonts w:hint="eastAsia" w:asciiTheme="majorEastAsia" w:hAnsiTheme="majorEastAsia" w:eastAsiaTheme="majorEastAsia" w:cstheme="majorEastAsia"/>
              </w:rPr>
            </w:pPr>
          </w:p>
        </w:tc>
        <w:tc>
          <w:tcPr>
            <w:tcW w:w="6368" w:type="dxa"/>
            <w:vAlign w:val="center"/>
          </w:tcPr>
          <w:p>
            <w:pPr>
              <w:spacing w:line="36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支持纠删码数据分布技术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jc w:val="center"/>
              <w:rPr>
                <w:rFonts w:hint="eastAsia" w:asciiTheme="majorEastAsia" w:hAnsiTheme="majorEastAsia" w:eastAsiaTheme="majorEastAsia" w:cstheme="majorEastAsia"/>
                <w:lang w:val="en-US" w:eastAsia="zh-CN"/>
              </w:rPr>
            </w:pPr>
          </w:p>
        </w:tc>
        <w:tc>
          <w:tcPr>
            <w:tcW w:w="1263" w:type="dxa"/>
            <w:vMerge w:val="continue"/>
            <w:vAlign w:val="center"/>
          </w:tcPr>
          <w:p>
            <w:pPr>
              <w:jc w:val="center"/>
              <w:rPr>
                <w:rFonts w:hint="eastAsia" w:asciiTheme="majorEastAsia" w:hAnsiTheme="majorEastAsia" w:eastAsiaTheme="majorEastAsia" w:cstheme="majorEastAsia"/>
                <w:kern w:val="0"/>
                <w:sz w:val="21"/>
                <w:szCs w:val="21"/>
                <w:lang w:val="en-US" w:eastAsia="zh-CN" w:bidi="ar-S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支持本地网络功能，通过划分不同的虚拟网络交换机和虚拟端口组进行网络规划，支持端口镜像功能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restart"/>
            <w:vAlign w:val="center"/>
          </w:tcPr>
          <w:p>
            <w:pPr>
              <w:tabs>
                <w:tab w:val="left" w:pos="6463"/>
              </w:tabs>
              <w:spacing w:line="360" w:lineRule="auto"/>
              <w:jc w:val="center"/>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4</w:t>
            </w:r>
          </w:p>
        </w:tc>
        <w:tc>
          <w:tcPr>
            <w:tcW w:w="1263" w:type="dxa"/>
            <w:vMerge w:val="restart"/>
            <w:vAlign w:val="center"/>
          </w:tcPr>
          <w:p>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kern w:val="0"/>
                <w:sz w:val="21"/>
                <w:szCs w:val="21"/>
              </w:rPr>
              <w:t>网络虚拟化要求</w:t>
            </w: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支持可视化网络功能，网络功能通过软件定义形成独立网元，包括虚拟交换机、虚拟路由器及虚拟出口等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kern w:val="0"/>
                <w:sz w:val="21"/>
                <w:szCs w:val="21"/>
              </w:rPr>
              <w:t>支持网络监控与分析，可在图形化界面中查看网络流量走向，查看源对象、源IP、目标对象、目的IP访问关系，提供流量分析。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Merge w:val="continue"/>
            <w:vAlign w:val="center"/>
          </w:tcPr>
          <w:p>
            <w:pPr>
              <w:tabs>
                <w:tab w:val="left" w:pos="6463"/>
              </w:tabs>
              <w:spacing w:line="360" w:lineRule="auto"/>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支持Geneve隧道协议，满足大二层网络需求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支持安全组功能，可用于某一特定虚拟机上的网卡的出入流量进行控制，具有默认安全规则以及自定义规则，支持1-4层的安全防护；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68" w:type="dxa"/>
            <w:vMerge w:val="continue"/>
            <w:vAlign w:val="center"/>
          </w:tcPr>
          <w:p>
            <w:pPr>
              <w:tabs>
                <w:tab w:val="left" w:pos="6463"/>
              </w:tabs>
              <w:spacing w:line="360" w:lineRule="auto"/>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支持SNAT，DNAT等多种NAT模式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68" w:type="dxa"/>
            <w:vMerge w:val="continue"/>
            <w:vAlign w:val="center"/>
          </w:tcPr>
          <w:p>
            <w:pPr>
              <w:tabs>
                <w:tab w:val="left" w:pos="6463"/>
              </w:tabs>
              <w:spacing w:line="360" w:lineRule="auto"/>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支持在图形管理界面中提供IP资源池管理功能，统一分配和变更 IP资源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68" w:type="dxa"/>
            <w:vMerge w:val="continue"/>
            <w:vAlign w:val="center"/>
          </w:tcPr>
          <w:p>
            <w:pPr>
              <w:tabs>
                <w:tab w:val="left" w:pos="6463"/>
              </w:tabs>
              <w:spacing w:line="360" w:lineRule="auto"/>
              <w:rPr>
                <w:rFonts w:hint="eastAsia" w:asciiTheme="majorEastAsia" w:hAnsiTheme="majorEastAsia" w:eastAsiaTheme="majorEastAsia" w:cstheme="majorEastAsia"/>
                <w:lang w:val="en-US" w:eastAsia="zh-CN"/>
              </w:rPr>
            </w:pPr>
          </w:p>
        </w:tc>
        <w:tc>
          <w:tcPr>
            <w:tcW w:w="1263" w:type="dxa"/>
            <w:vMerge w:val="continue"/>
            <w:vAlign w:val="center"/>
          </w:tcPr>
          <w:p>
            <w:pPr>
              <w:tabs>
                <w:tab w:val="left" w:pos="6463"/>
              </w:tabs>
              <w:spacing w:line="360" w:lineRule="auto"/>
              <w:rPr>
                <w:rFonts w:hint="eastAsia" w:asciiTheme="majorEastAsia" w:hAnsiTheme="majorEastAsia" w:eastAsiaTheme="majorEastAsia" w:cstheme="majorEastAsia"/>
              </w:rPr>
            </w:pPr>
          </w:p>
        </w:tc>
        <w:tc>
          <w:tcPr>
            <w:tcW w:w="6368" w:type="dxa"/>
            <w:vAlign w:val="center"/>
          </w:tcPr>
          <w:p>
            <w:pPr>
              <w:spacing w:line="240" w:lineRule="auto"/>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rPr>
              <w:t>支持链路探测功能，自定义源端和目标端，支持网络IP、端口等参数的检测</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sectPr>
          <w:headerReference r:id="rId8" w:type="default"/>
          <w:pgSz w:w="11907" w:h="16840"/>
          <w:pgMar w:top="1111" w:right="1701" w:bottom="1428" w:left="1701" w:header="720" w:footer="720" w:gutter="0"/>
          <w:pgBorders>
            <w:top w:val="none" w:sz="0" w:space="0"/>
            <w:left w:val="none" w:sz="0" w:space="0"/>
            <w:bottom w:val="none" w:sz="0" w:space="0"/>
            <w:right w:val="none" w:sz="0" w:space="0"/>
          </w:pgBorders>
          <w:cols w:space="720" w:num="1"/>
          <w:docGrid w:type="linesAndChars" w:linePitch="286" w:charSpace="0"/>
        </w:sectPr>
      </w:pPr>
    </w:p>
    <w:p>
      <w:pPr>
        <w:keepNext w:val="0"/>
        <w:keepLines w:val="0"/>
        <w:pageBreakBefore w:val="0"/>
        <w:widowControl w:val="0"/>
        <w:kinsoku/>
        <w:wordWrap/>
        <w:overflowPunct/>
        <w:topLinePunct w:val="0"/>
        <w:autoSpaceDE/>
        <w:autoSpaceDN/>
        <w:bidi w:val="0"/>
        <w:adjustRightInd/>
        <w:snapToGrid/>
        <w:spacing w:line="760" w:lineRule="exact"/>
        <w:jc w:val="left"/>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六、相关资料</w:t>
      </w: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CESI仿宋-GB2312" w:hAnsi="CESI仿宋-GB2312" w:eastAsia="CESI仿宋-GB2312" w:cs="CESI仿宋-GB2312"/>
          <w:b/>
          <w:bCs/>
          <w:sz w:val="28"/>
          <w:szCs w:val="28"/>
          <w:lang w:val="en-US" w:eastAsia="zh-CN"/>
        </w:rPr>
      </w:pPr>
      <w:r>
        <w:rPr>
          <w:rFonts w:hint="eastAsia" w:ascii="仿宋" w:hAnsi="仿宋" w:eastAsia="仿宋" w:cs="仿宋"/>
          <w:b/>
          <w:bCs/>
          <w:sz w:val="28"/>
          <w:szCs w:val="28"/>
          <w:lang w:val="en-US" w:eastAsia="zh-CN"/>
        </w:rPr>
        <w:t>6.1</w:t>
      </w:r>
      <w:r>
        <w:rPr>
          <w:rFonts w:hint="eastAsia" w:ascii="CESI仿宋-GB2312" w:hAnsi="CESI仿宋-GB2312" w:eastAsia="CESI仿宋-GB2312" w:cs="CESI仿宋-GB2312"/>
          <w:b/>
          <w:bCs/>
          <w:sz w:val="28"/>
          <w:szCs w:val="28"/>
          <w:lang w:val="en-US" w:eastAsia="zh-CN"/>
        </w:rPr>
        <w:t>改造前机房平面图</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drawing>
          <wp:anchor distT="0" distB="0" distL="114300" distR="114300" simplePos="0" relativeHeight="251659264" behindDoc="0" locked="0" layoutInCell="1" allowOverlap="1">
            <wp:simplePos x="0" y="0"/>
            <wp:positionH relativeFrom="column">
              <wp:posOffset>-393700</wp:posOffset>
            </wp:positionH>
            <wp:positionV relativeFrom="paragraph">
              <wp:posOffset>92075</wp:posOffset>
            </wp:positionV>
            <wp:extent cx="6146165" cy="3529330"/>
            <wp:effectExtent l="0" t="0" r="6985" b="13970"/>
            <wp:wrapTopAndBottom/>
            <wp:docPr id="2" name="图片 2" descr="172948431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9484315240"/>
                    <pic:cNvPicPr>
                      <a:picLocks noChangeAspect="1"/>
                    </pic:cNvPicPr>
                  </pic:nvPicPr>
                  <pic:blipFill>
                    <a:blip r:embed="rId23"/>
                    <a:stretch>
                      <a:fillRect/>
                    </a:stretch>
                  </pic:blipFill>
                  <pic:spPr>
                    <a:xfrm>
                      <a:off x="0" y="0"/>
                      <a:ext cx="6146165" cy="35293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drawing>
          <wp:anchor distT="0" distB="0" distL="114300" distR="114300" simplePos="0" relativeHeight="251660288" behindDoc="0" locked="0" layoutInCell="1" allowOverlap="1">
            <wp:simplePos x="0" y="0"/>
            <wp:positionH relativeFrom="column">
              <wp:posOffset>-346075</wp:posOffset>
            </wp:positionH>
            <wp:positionV relativeFrom="paragraph">
              <wp:posOffset>506095</wp:posOffset>
            </wp:positionV>
            <wp:extent cx="6117590" cy="3512820"/>
            <wp:effectExtent l="0" t="0" r="16510" b="11430"/>
            <wp:wrapSquare wrapText="bothSides"/>
            <wp:docPr id="1" name="图片 1" descr="172966413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9664135209"/>
                    <pic:cNvPicPr>
                      <a:picLocks noChangeAspect="1"/>
                    </pic:cNvPicPr>
                  </pic:nvPicPr>
                  <pic:blipFill>
                    <a:blip r:embed="rId24"/>
                    <a:stretch>
                      <a:fillRect/>
                    </a:stretch>
                  </pic:blipFill>
                  <pic:spPr>
                    <a:xfrm>
                      <a:off x="0" y="0"/>
                      <a:ext cx="6117590" cy="3512820"/>
                    </a:xfrm>
                    <a:prstGeom prst="rect">
                      <a:avLst/>
                    </a:prstGeom>
                  </pic:spPr>
                </pic:pic>
              </a:graphicData>
            </a:graphic>
          </wp:anchor>
        </w:drawing>
      </w:r>
      <w:r>
        <w:rPr>
          <w:rFonts w:hint="eastAsia" w:ascii="CESI仿宋-GB2312" w:hAnsi="CESI仿宋-GB2312" w:eastAsia="CESI仿宋-GB2312" w:cs="CESI仿宋-GB2312"/>
          <w:sz w:val="32"/>
          <w:szCs w:val="32"/>
          <w:lang w:val="en-US" w:eastAsia="zh-CN"/>
        </w:rPr>
        <w:t>改造后机房平面图</w:t>
      </w:r>
    </w:p>
    <w:p>
      <w:pPr>
        <w:spacing w:line="520" w:lineRule="exact"/>
        <w:jc w:val="center"/>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6.2配电、综合布线图</w:t>
      </w:r>
    </w:p>
    <w:p>
      <w:pPr>
        <w:pStyle w:val="47"/>
        <w:ind w:firstLine="0" w:firstLineChars="0"/>
        <w:rPr>
          <w:rFonts w:hint="default"/>
          <w:lang w:val="en-US" w:eastAsia="zh-CN"/>
        </w:rPr>
      </w:pPr>
      <w:r>
        <w:rPr>
          <w:rFonts w:hint="default"/>
          <w:lang w:val="en-US" w:eastAsia="zh-CN"/>
        </w:rPr>
        <w:drawing>
          <wp:anchor distT="0" distB="0" distL="114300" distR="114300" simplePos="0" relativeHeight="251661312" behindDoc="1" locked="0" layoutInCell="1" allowOverlap="1">
            <wp:simplePos x="0" y="0"/>
            <wp:positionH relativeFrom="column">
              <wp:posOffset>-98425</wp:posOffset>
            </wp:positionH>
            <wp:positionV relativeFrom="paragraph">
              <wp:posOffset>113665</wp:posOffset>
            </wp:positionV>
            <wp:extent cx="5390515" cy="3255010"/>
            <wp:effectExtent l="0" t="0" r="635" b="2540"/>
            <wp:wrapTight wrapText="bothSides">
              <wp:wrapPolygon>
                <wp:start x="0" y="0"/>
                <wp:lineTo x="0" y="21490"/>
                <wp:lineTo x="21526" y="21490"/>
                <wp:lineTo x="21526" y="0"/>
                <wp:lineTo x="0" y="0"/>
              </wp:wrapPolygon>
            </wp:wrapTight>
            <wp:docPr id="6" name="图片 6" descr="173155824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1558246516"/>
                    <pic:cNvPicPr>
                      <a:picLocks noChangeAspect="1"/>
                    </pic:cNvPicPr>
                  </pic:nvPicPr>
                  <pic:blipFill>
                    <a:blip r:embed="rId25"/>
                    <a:stretch>
                      <a:fillRect/>
                    </a:stretch>
                  </pic:blipFill>
                  <pic:spPr>
                    <a:xfrm>
                      <a:off x="0" y="0"/>
                      <a:ext cx="5390515" cy="3255010"/>
                    </a:xfrm>
                    <a:prstGeom prst="rect">
                      <a:avLst/>
                    </a:prstGeom>
                  </pic:spPr>
                </pic:pic>
              </a:graphicData>
            </a:graphic>
          </wp:anchor>
        </w:drawing>
      </w:r>
    </w:p>
    <w:p>
      <w:pPr>
        <w:pStyle w:val="47"/>
        <w:ind w:firstLine="0" w:firstLineChars="0"/>
        <w:rPr>
          <w:rFonts w:hint="default"/>
          <w:lang w:val="en-US" w:eastAsia="zh-CN"/>
        </w:rPr>
      </w:pPr>
    </w:p>
    <w:p>
      <w:pPr>
        <w:pStyle w:val="47"/>
        <w:rPr>
          <w:rFonts w:hint="default"/>
          <w:lang w:val="en-US" w:eastAsia="zh-CN"/>
        </w:rPr>
      </w:pPr>
      <w:r>
        <w:rPr>
          <w:rFonts w:hint="default"/>
          <w:lang w:val="en-US" w:eastAsia="zh-CN"/>
        </w:rPr>
        <w:drawing>
          <wp:anchor distT="0" distB="0" distL="114300" distR="114300" simplePos="0" relativeHeight="251662336" behindDoc="1" locked="0" layoutInCell="1" allowOverlap="1">
            <wp:simplePos x="0" y="0"/>
            <wp:positionH relativeFrom="column">
              <wp:posOffset>-111125</wp:posOffset>
            </wp:positionH>
            <wp:positionV relativeFrom="paragraph">
              <wp:posOffset>16510</wp:posOffset>
            </wp:positionV>
            <wp:extent cx="5426710" cy="3731260"/>
            <wp:effectExtent l="0" t="0" r="2540" b="2540"/>
            <wp:wrapTight wrapText="bothSides">
              <wp:wrapPolygon>
                <wp:start x="0" y="0"/>
                <wp:lineTo x="0" y="21504"/>
                <wp:lineTo x="21534" y="21504"/>
                <wp:lineTo x="21534" y="0"/>
                <wp:lineTo x="0" y="0"/>
              </wp:wrapPolygon>
            </wp:wrapTight>
            <wp:docPr id="9" name="图片 9" descr="173155818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1558187958"/>
                    <pic:cNvPicPr>
                      <a:picLocks noChangeAspect="1"/>
                    </pic:cNvPicPr>
                  </pic:nvPicPr>
                  <pic:blipFill>
                    <a:blip r:embed="rId26"/>
                    <a:stretch>
                      <a:fillRect/>
                    </a:stretch>
                  </pic:blipFill>
                  <pic:spPr>
                    <a:xfrm>
                      <a:off x="0" y="0"/>
                      <a:ext cx="5426710" cy="37312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val="en-US" w:eastAsia="zh-CN"/>
        </w:rPr>
      </w:pPr>
      <w:r>
        <w:rPr>
          <w:rFonts w:hint="eastAsia" w:ascii="CESI仿宋-GB2312" w:hAnsi="CESI仿宋-GB2312" w:eastAsia="CESI仿宋-GB2312" w:cs="CESI仿宋-GB2312"/>
          <w:b/>
          <w:bCs/>
          <w:sz w:val="28"/>
          <w:szCs w:val="28"/>
          <w:lang w:val="en-US" w:eastAsia="zh-CN"/>
        </w:rPr>
        <w:t>6.3改造前和改造后网络拓扑图</w:t>
      </w:r>
      <w:r>
        <w:rPr>
          <w:rFonts w:hint="eastAsia"/>
          <w:lang w:val="en-US" w:eastAsia="zh-CN"/>
        </w:rPr>
        <w:drawing>
          <wp:inline distT="0" distB="0" distL="114300" distR="114300">
            <wp:extent cx="5391785" cy="3447415"/>
            <wp:effectExtent l="0" t="0" r="18415" b="635"/>
            <wp:docPr id="4" name="图片 4" descr="24.2.2 改造前网络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2.2 改造前网络拓扑图"/>
                    <pic:cNvPicPr>
                      <a:picLocks noChangeAspect="1"/>
                    </pic:cNvPicPr>
                  </pic:nvPicPr>
                  <pic:blipFill>
                    <a:blip r:embed="rId27"/>
                    <a:stretch>
                      <a:fillRect/>
                    </a:stretch>
                  </pic:blipFill>
                  <pic:spPr>
                    <a:xfrm>
                      <a:off x="0" y="0"/>
                      <a:ext cx="5391785" cy="3447415"/>
                    </a:xfrm>
                    <a:prstGeom prst="rect">
                      <a:avLst/>
                    </a:prstGeom>
                  </pic:spPr>
                </pic:pic>
              </a:graphicData>
            </a:graphic>
          </wp:inline>
        </w:drawing>
      </w:r>
    </w:p>
    <w:p>
      <w:pPr>
        <w:widowControl/>
        <w:numPr>
          <w:ilvl w:val="0"/>
          <w:numId w:val="0"/>
        </w:numPr>
        <w:jc w:val="center"/>
        <w:rPr>
          <w:rFonts w:hint="eastAsia" w:ascii="仿宋" w:hAnsi="仿宋" w:eastAsia="仿宋" w:cs="仿宋"/>
          <w:b/>
          <w:bCs/>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34965" cy="3705225"/>
            <wp:effectExtent l="0" t="0" r="13335" b="9525"/>
            <wp:docPr id="12" name="图片 12" descr="24.7.29 改造后网络拓扑图(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4.7.29 改造后网络拓扑图(改)"/>
                    <pic:cNvPicPr>
                      <a:picLocks noChangeAspect="1"/>
                    </pic:cNvPicPr>
                  </pic:nvPicPr>
                  <pic:blipFill>
                    <a:blip r:embed="rId28"/>
                    <a:stretch>
                      <a:fillRect/>
                    </a:stretch>
                  </pic:blipFill>
                  <pic:spPr>
                    <a:xfrm>
                      <a:off x="0" y="0"/>
                      <a:ext cx="5434965" cy="3705225"/>
                    </a:xfrm>
                    <a:prstGeom prst="rect">
                      <a:avLst/>
                    </a:prstGeom>
                  </pic:spPr>
                </pic:pic>
              </a:graphicData>
            </a:graphic>
          </wp:inline>
        </w:drawing>
      </w:r>
    </w:p>
    <w:p>
      <w:pPr>
        <w:pStyle w:val="47"/>
        <w:rPr>
          <w:rFonts w:hint="eastAsia"/>
          <w:lang w:val="en-US" w:eastAsia="zh-CN"/>
        </w:rPr>
        <w:sectPr>
          <w:pgSz w:w="11907" w:h="16840"/>
          <w:pgMar w:top="1111" w:right="1701" w:bottom="1428" w:left="1701" w:header="720" w:footer="720" w:gutter="0"/>
          <w:pgBorders>
            <w:top w:val="none" w:sz="0" w:space="0"/>
            <w:left w:val="none" w:sz="0" w:space="0"/>
            <w:bottom w:val="none" w:sz="0" w:space="0"/>
            <w:right w:val="none" w:sz="0" w:space="0"/>
          </w:pgBorders>
          <w:cols w:space="720" w:num="1"/>
          <w:docGrid w:type="linesAndChars" w:linePitch="286" w:charSpace="0"/>
        </w:sectPr>
      </w:pPr>
    </w:p>
    <w:p>
      <w:pPr>
        <w:pStyle w:val="3"/>
        <w:spacing w:before="286" w:after="286"/>
        <w:rPr>
          <w:color w:val="000000" w:themeColor="text1"/>
          <w:sz w:val="32"/>
          <w:szCs w:val="32"/>
          <w:highlight w:val="none"/>
          <w14:textFill>
            <w14:solidFill>
              <w14:schemeClr w14:val="tx1"/>
            </w14:solidFill>
          </w14:textFill>
        </w:rPr>
      </w:pPr>
      <w:bookmarkStart w:id="70" w:name="_Toc31956"/>
      <w:bookmarkStart w:id="71" w:name="_Toc19661"/>
      <w:bookmarkStart w:id="255" w:name="_GoBack"/>
      <w:bookmarkEnd w:id="255"/>
      <w:r>
        <w:rPr>
          <w:rFonts w:hint="eastAsia" w:cs="宋体"/>
          <w:color w:val="000000" w:themeColor="text1"/>
          <w:sz w:val="32"/>
          <w:szCs w:val="32"/>
          <w:highlight w:val="none"/>
          <w14:textFill>
            <w14:solidFill>
              <w14:schemeClr w14:val="tx1"/>
            </w14:solidFill>
          </w14:textFill>
        </w:rPr>
        <w:t>第三部分 投标资料表</w:t>
      </w:r>
      <w:bookmarkEnd w:id="66"/>
      <w:bookmarkEnd w:id="70"/>
      <w:bookmarkEnd w:id="71"/>
    </w:p>
    <w:p>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本部分关于本次招标项目的具体要求是对“投标人须知</w:t>
      </w:r>
      <w:r>
        <w:rPr>
          <w:rFonts w:hint="eastAsia" w:asci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和</w:t>
      </w:r>
      <w:r>
        <w:rPr>
          <w:rFonts w:hint="eastAsia" w:asci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合同格式</w:t>
      </w:r>
      <w:r>
        <w:rPr>
          <w:rFonts w:hint="eastAsia" w:asci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的相关条款的补充和修改，如有矛盾，应以此为准。</w:t>
      </w:r>
    </w:p>
    <w:tbl>
      <w:tblPr>
        <w:tblStyle w:val="38"/>
        <w:tblW w:w="8559" w:type="dxa"/>
        <w:tblInd w:w="-106" w:type="dxa"/>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93"/>
        <w:gridCol w:w="7466"/>
      </w:tblGrid>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87" w:hRule="atLeast"/>
          <w:tblHeader/>
        </w:trPr>
        <w:tc>
          <w:tcPr>
            <w:tcW w:w="1093" w:type="dxa"/>
            <w:tcBorders>
              <w:top w:val="single" w:color="000000" w:sz="12" w:space="0"/>
            </w:tcBorders>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条款号</w:t>
            </w:r>
          </w:p>
        </w:tc>
        <w:tc>
          <w:tcPr>
            <w:tcW w:w="7466" w:type="dxa"/>
            <w:tcBorders>
              <w:top w:val="single" w:color="000000" w:sz="12" w:space="0"/>
            </w:tcBorders>
            <w:vAlign w:val="center"/>
          </w:tcPr>
          <w:p>
            <w:pPr>
              <w:spacing w:before="143" w:beforeLines="50" w:line="360" w:lineRule="auto"/>
              <w:jc w:val="center"/>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条款内容</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11" w:hRule="atLeast"/>
        </w:trPr>
        <w:tc>
          <w:tcPr>
            <w:tcW w:w="1093" w:type="dxa"/>
            <w:vMerge w:val="restart"/>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1.1</w:t>
            </w:r>
          </w:p>
        </w:tc>
        <w:tc>
          <w:tcPr>
            <w:tcW w:w="7466"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eastAsia="宋体"/>
                <w:color w:val="auto"/>
                <w:highlight w:val="none"/>
                <w:lang w:eastAsia="zh-CN"/>
              </w:rPr>
            </w:pPr>
            <w:r>
              <w:rPr>
                <w:rFonts w:hint="eastAsia" w:ascii="宋体"/>
                <w:color w:val="000000" w:themeColor="text1"/>
                <w:highlight w:val="none"/>
                <w14:textFill>
                  <w14:solidFill>
                    <w14:schemeClr w14:val="tx1"/>
                  </w14:solidFill>
                </w14:textFill>
              </w:rPr>
              <w:t>采购</w:t>
            </w:r>
            <w:r>
              <w:rPr>
                <w:rFonts w:hint="eastAsia" w:ascii="宋体"/>
                <w:color w:val="auto"/>
                <w:highlight w:val="none"/>
              </w:rPr>
              <w:t>人：</w:t>
            </w:r>
            <w:r>
              <w:rPr>
                <w:rFonts w:hint="eastAsia" w:ascii="宋体"/>
                <w:color w:val="auto"/>
                <w:highlight w:val="none"/>
                <w:lang w:eastAsia="zh-CN"/>
              </w:rPr>
              <w:t>宁波市中级人民法院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color w:val="auto"/>
                <w:highlight w:val="none"/>
              </w:rPr>
            </w:pPr>
            <w:r>
              <w:rPr>
                <w:rFonts w:hint="eastAsia" w:ascii="宋体"/>
                <w:color w:val="auto"/>
                <w:highlight w:val="none"/>
              </w:rPr>
              <w:t>地  址：</w:t>
            </w:r>
            <w:r>
              <w:rPr>
                <w:rFonts w:hint="eastAsia" w:ascii="宋体" w:hAnsi="宋体" w:cs="宋体"/>
                <w:color w:val="000000" w:themeColor="text1"/>
                <w:highlight w:val="none"/>
                <w:u w:val="none"/>
                <w:lang w:eastAsia="zh-CN"/>
                <w14:textFill>
                  <w14:solidFill>
                    <w14:schemeClr w14:val="tx1"/>
                  </w14:solidFill>
                </w14:textFill>
              </w:rPr>
              <w:t>宁波市鄞州区兴宁路48号</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eastAsia="宋体"/>
                <w:color w:val="auto"/>
                <w:highlight w:val="none"/>
                <w:lang w:eastAsia="zh-CN"/>
              </w:rPr>
            </w:pPr>
            <w:r>
              <w:rPr>
                <w:rFonts w:hint="eastAsia" w:ascii="宋体"/>
                <w:color w:val="auto"/>
                <w:highlight w:val="none"/>
              </w:rPr>
              <w:t>电  话：</w:t>
            </w:r>
            <w:r>
              <w:rPr>
                <w:rFonts w:hint="eastAsia" w:ascii="宋体" w:hAnsi="宋体"/>
                <w:color w:val="000000" w:themeColor="text1"/>
                <w:szCs w:val="21"/>
                <w:highlight w:val="none"/>
                <w14:textFill>
                  <w14:solidFill>
                    <w14:schemeClr w14:val="tx1"/>
                  </w14:solidFill>
                </w14:textFill>
              </w:rPr>
              <w:t>0574-87009545</w:t>
            </w:r>
          </w:p>
          <w:p>
            <w:pPr>
              <w:widowControl/>
              <w:spacing w:line="360" w:lineRule="auto"/>
              <w:jc w:val="left"/>
              <w:rPr>
                <w:rFonts w:hint="default" w:ascii="宋体" w:eastAsia="宋体"/>
                <w:color w:val="FF0000"/>
                <w:highlight w:val="none"/>
                <w:lang w:val="en-US" w:eastAsia="zh-CN"/>
              </w:rPr>
            </w:pPr>
            <w:r>
              <w:rPr>
                <w:rFonts w:hint="eastAsia" w:ascii="宋体"/>
                <w:color w:val="auto"/>
                <w:highlight w:val="none"/>
              </w:rPr>
              <w:t>联系人：</w:t>
            </w:r>
            <w:r>
              <w:rPr>
                <w:rFonts w:hint="eastAsia" w:ascii="宋体" w:hAnsi="宋体"/>
                <w:color w:val="000000" w:themeColor="text1"/>
                <w:szCs w:val="21"/>
                <w:highlight w:val="none"/>
                <w:lang w:val="en-US" w:eastAsia="zh-CN"/>
                <w14:textFill>
                  <w14:solidFill>
                    <w14:schemeClr w14:val="tx1"/>
                  </w14:solidFill>
                </w14:textFill>
              </w:rPr>
              <w:t>陈老师</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53" w:hRule="atLeast"/>
        </w:trPr>
        <w:tc>
          <w:tcPr>
            <w:tcW w:w="1093" w:type="dxa"/>
            <w:vMerge w:val="continue"/>
            <w:vAlign w:val="center"/>
          </w:tcPr>
          <w:p>
            <w:pPr>
              <w:spacing w:before="143" w:beforeLines="50" w:line="360" w:lineRule="auto"/>
              <w:jc w:val="center"/>
              <w:rPr>
                <w:rFonts w:ascii="宋体"/>
                <w:color w:val="000000" w:themeColor="text1"/>
                <w:highlight w:val="none"/>
                <w14:textFill>
                  <w14:solidFill>
                    <w14:schemeClr w14:val="tx1"/>
                  </w14:solidFill>
                </w14:textFill>
              </w:rPr>
            </w:pPr>
          </w:p>
        </w:tc>
        <w:tc>
          <w:tcPr>
            <w:tcW w:w="7466" w:type="dxa"/>
            <w:vAlign w:val="center"/>
          </w:tcPr>
          <w:p>
            <w:pPr>
              <w:spacing w:line="360" w:lineRule="auto"/>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采购代理机构名称：宁波国际投资咨询有限公司</w:t>
            </w:r>
          </w:p>
          <w:p>
            <w:pPr>
              <w:spacing w:line="360" w:lineRule="auto"/>
              <w:rPr>
                <w:rFonts w:ascii="宋体" w:hAnsi="宋体" w:cs="宋体"/>
                <w:bCs/>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地    址：  </w:t>
            </w:r>
            <w:r>
              <w:rPr>
                <w:rFonts w:hint="eastAsia" w:ascii="宋体" w:hAnsi="宋体" w:cs="Arial"/>
                <w:color w:val="000000" w:themeColor="text1"/>
                <w:highlight w:val="none"/>
                <w14:textFill>
                  <w14:solidFill>
                    <w14:schemeClr w14:val="tx1"/>
                  </w14:solidFill>
                </w14:textFill>
              </w:rPr>
              <w:t>宁波市世纪大道北段555号名汇东方大厦19楼1920室</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邮    编：  315040</w:t>
            </w:r>
          </w:p>
          <w:p>
            <w:pPr>
              <w:spacing w:line="360" w:lineRule="auto"/>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电    话：  </w:t>
            </w:r>
            <w:r>
              <w:rPr>
                <w:rFonts w:hint="eastAsia" w:ascii="宋体" w:hAnsi="宋体" w:cs="宋体"/>
                <w:color w:val="000000" w:themeColor="text1"/>
                <w:highlight w:val="none"/>
                <w14:textFill>
                  <w14:solidFill>
                    <w14:schemeClr w14:val="tx1"/>
                  </w14:solidFill>
                </w14:textFill>
              </w:rPr>
              <w:t>0574－</w:t>
            </w:r>
            <w:r>
              <w:rPr>
                <w:rFonts w:hint="eastAsia" w:ascii="宋体" w:hAnsi="宋体" w:cs="宋体"/>
                <w:color w:val="000000" w:themeColor="text1"/>
                <w:highlight w:val="none"/>
                <w:lang w:val="en-US" w:eastAsia="zh-CN"/>
                <w14:textFill>
                  <w14:solidFill>
                    <w14:schemeClr w14:val="tx1"/>
                  </w14:solidFill>
                </w14:textFill>
              </w:rPr>
              <w:t>87298907</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电子邮件：  </w:t>
            </w:r>
            <w:r>
              <w:rPr>
                <w:rFonts w:hint="eastAsia" w:ascii="宋体" w:hAnsi="宋体"/>
                <w:color w:val="000000" w:themeColor="text1"/>
                <w:highlight w:val="none"/>
                <w:lang w:val="en-US" w:eastAsia="zh-CN"/>
                <w14:textFill>
                  <w14:solidFill>
                    <w14:schemeClr w14:val="tx1"/>
                  </w14:solidFill>
                </w14:textFill>
              </w:rPr>
              <w:t>563313963</w:t>
            </w:r>
            <w:r>
              <w:rPr>
                <w:rFonts w:hint="eastAsia" w:ascii="宋体" w:hAnsi="宋体"/>
                <w:color w:val="000000" w:themeColor="text1"/>
                <w:highlight w:val="none"/>
                <w14:textFill>
                  <w14:solidFill>
                    <w14:schemeClr w14:val="tx1"/>
                  </w14:solidFill>
                </w14:textFill>
              </w:rPr>
              <w:t>@qq.com</w:t>
            </w:r>
          </w:p>
          <w:p>
            <w:pPr>
              <w:spacing w:line="400" w:lineRule="exact"/>
              <w:rPr>
                <w:rFonts w:hint="default" w:asci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联 系 人：  </w:t>
            </w:r>
            <w:r>
              <w:rPr>
                <w:rFonts w:hint="eastAsia" w:ascii="宋体" w:hAnsi="宋体" w:cs="宋体"/>
                <w:bCs/>
                <w:color w:val="000000" w:themeColor="text1"/>
                <w:highlight w:val="none"/>
                <w:lang w:val="en-US" w:eastAsia="zh-CN"/>
                <w14:textFill>
                  <w14:solidFill>
                    <w14:schemeClr w14:val="tx1"/>
                  </w14:solidFill>
                </w14:textFill>
              </w:rPr>
              <w:t>史梦铅、马森、忻秉明、沈鑫侃</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5" w:hRule="atLeast"/>
        </w:trPr>
        <w:tc>
          <w:tcPr>
            <w:tcW w:w="1093" w:type="dxa"/>
            <w:vMerge w:val="continue"/>
            <w:vAlign w:val="center"/>
          </w:tcPr>
          <w:p>
            <w:pPr>
              <w:spacing w:before="143" w:beforeLines="50" w:line="360" w:lineRule="auto"/>
              <w:jc w:val="center"/>
              <w:rPr>
                <w:rFonts w:ascii="宋体"/>
                <w:color w:val="000000" w:themeColor="text1"/>
                <w:highlight w:val="none"/>
                <w14:textFill>
                  <w14:solidFill>
                    <w14:schemeClr w14:val="tx1"/>
                  </w14:solidFill>
                </w14:textFill>
              </w:rPr>
            </w:pPr>
          </w:p>
        </w:tc>
        <w:tc>
          <w:tcPr>
            <w:tcW w:w="7466" w:type="dxa"/>
            <w:vAlign w:val="bottom"/>
          </w:tcPr>
          <w:p>
            <w:pPr>
              <w:wordWrap w:val="0"/>
              <w:adjustRightInd w:val="0"/>
              <w:snapToGrid w:val="0"/>
              <w:spacing w:line="400" w:lineRule="exact"/>
              <w:rPr>
                <w:rFonts w:hint="eastAsia" w:ascii="宋体" w:eastAsia="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w:t>
            </w:r>
            <w:r>
              <w:rPr>
                <w:rFonts w:hint="eastAsia" w:ascii="宋体" w:hAnsi="宋体" w:cs="宋体"/>
                <w:color w:val="000000" w:themeColor="text1"/>
                <w:highlight w:val="none"/>
                <w:lang w:eastAsia="zh-CN"/>
                <w14:textFill>
                  <w14:solidFill>
                    <w14:schemeClr w14:val="tx1"/>
                  </w14:solidFill>
                </w14:textFill>
              </w:rPr>
              <w:t>宁波法院信息化基础支撑体系集约化建设项目</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w:t>
            </w:r>
          </w:p>
        </w:tc>
        <w:tc>
          <w:tcPr>
            <w:tcW w:w="7466" w:type="dxa"/>
            <w:vAlign w:val="center"/>
          </w:tcPr>
          <w:p>
            <w:pPr>
              <w:spacing w:line="400" w:lineRule="exact"/>
              <w:jc w:val="lef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招标范围：</w:t>
            </w:r>
            <w:r>
              <w:rPr>
                <w:rFonts w:hint="eastAsia" w:ascii="宋体" w:hAnsi="宋体"/>
                <w:color w:val="000000" w:themeColor="text1"/>
                <w:highlight w:val="none"/>
                <w14:textFill>
                  <w14:solidFill>
                    <w14:schemeClr w14:val="tx1"/>
                  </w14:solidFill>
                </w14:textFill>
              </w:rPr>
              <w:t>详见招标文件第二部分“招标项目需求”</w:t>
            </w:r>
            <w:r>
              <w:rPr>
                <w:rFonts w:hint="eastAsia" w:ascii="宋体" w:hAnsi="宋体" w:cs="宋体"/>
                <w:color w:val="000000" w:themeColor="text1"/>
                <w:highlight w:val="none"/>
                <w14:textFill>
                  <w14:solidFill>
                    <w14:schemeClr w14:val="tx1"/>
                  </w14:solidFill>
                </w14:textFill>
              </w:rPr>
              <w:t>。</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1093" w:type="dxa"/>
            <w:vAlign w:val="center"/>
          </w:tcPr>
          <w:p>
            <w:pPr>
              <w:spacing w:before="143" w:beforeLines="50"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w:t>
            </w:r>
          </w:p>
        </w:tc>
        <w:tc>
          <w:tcPr>
            <w:tcW w:w="7466" w:type="dxa"/>
            <w:vAlign w:val="center"/>
          </w:tcPr>
          <w:p>
            <w:pPr>
              <w:spacing w:line="400" w:lineRule="exact"/>
              <w:jc w:val="left"/>
              <w:rPr>
                <w:rFonts w:ascii="宋体" w:hAnsi="宋体"/>
                <w:color w:val="000000" w:themeColor="text1"/>
                <w:highlight w:val="none"/>
                <w14:textFill>
                  <w14:solidFill>
                    <w14:schemeClr w14:val="tx1"/>
                  </w14:solidFill>
                </w14:textFill>
              </w:rPr>
            </w:pPr>
            <w:r>
              <w:rPr>
                <w:rFonts w:ascii="Wingdings" w:hAnsi="Wingdings"/>
                <w:color w:val="000000" w:themeColor="text1"/>
                <w:highlight w:val="none"/>
                <w14:textFill>
                  <w14:solidFill>
                    <w14:schemeClr w14:val="tx1"/>
                  </w14:solidFill>
                </w14:textFill>
              </w:rPr>
              <w:sym w:font="Wingdings" w:char="00A8"/>
            </w:r>
            <w:r>
              <w:rPr>
                <w:rFonts w:hint="eastAsia" w:ascii="宋体" w:hAnsi="宋体"/>
                <w:color w:val="000000" w:themeColor="text1"/>
                <w:highlight w:val="none"/>
                <w14:textFill>
                  <w14:solidFill>
                    <w14:schemeClr w14:val="tx1"/>
                  </w14:solidFill>
                </w14:textFill>
              </w:rPr>
              <w:t>A同意将非主体、非关键性的等工作分包。</w:t>
            </w:r>
          </w:p>
          <w:p>
            <w:pPr>
              <w:spacing w:line="400" w:lineRule="exact"/>
              <w:jc w:val="left"/>
              <w:rPr>
                <w:rFonts w:ascii="宋体" w:hAnsi="宋体" w:cs="宋体"/>
                <w:color w:val="000000" w:themeColor="text1"/>
                <w:highlight w:val="none"/>
                <w14:textFill>
                  <w14:solidFill>
                    <w14:schemeClr w14:val="tx1"/>
                  </w14:solidFill>
                </w14:textFill>
              </w:rPr>
            </w:pPr>
            <w:r>
              <w:rPr>
                <w:rFonts w:ascii="Wingdings" w:hAnsi="Wingdings"/>
                <w:color w:val="000000" w:themeColor="text1"/>
                <w:highlight w:val="none"/>
                <w14:textFill>
                  <w14:solidFill>
                    <w14:schemeClr w14:val="tx1"/>
                  </w14:solidFill>
                </w14:textFill>
              </w:rPr>
              <w:sym w:font="Wingdings" w:char="00FE"/>
            </w:r>
            <w:r>
              <w:rPr>
                <w:rFonts w:hint="eastAsia" w:ascii="宋体" w:hAnsi="宋体"/>
                <w:color w:val="000000" w:themeColor="text1"/>
                <w:highlight w:val="none"/>
                <w14:textFill>
                  <w14:solidFill>
                    <w14:schemeClr w14:val="tx1"/>
                  </w14:solidFill>
                </w14:textFill>
              </w:rPr>
              <w:t xml:space="preserve"> B不同意分包。</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4.1</w:t>
            </w:r>
          </w:p>
        </w:tc>
        <w:tc>
          <w:tcPr>
            <w:tcW w:w="7466" w:type="dxa"/>
            <w:vAlign w:val="center"/>
          </w:tcPr>
          <w:p>
            <w:pPr>
              <w:spacing w:line="400" w:lineRule="exact"/>
              <w:rPr>
                <w:rFonts w:asci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合格投标人的资格要求（本项目采用资格后审）：详见采购公告“二、申请人的资格要求”                   </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1093" w:type="dxa"/>
            <w:vAlign w:val="center"/>
          </w:tcPr>
          <w:p>
            <w:pPr>
              <w:spacing w:before="143" w:beforeLines="50" w:line="360" w:lineRule="auto"/>
              <w:jc w:val="center"/>
              <w:rPr>
                <w:rFonts w:ascii="宋体"/>
                <w:b/>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8.1</w:t>
            </w:r>
          </w:p>
        </w:tc>
        <w:tc>
          <w:tcPr>
            <w:tcW w:w="7466" w:type="dxa"/>
            <w:vAlign w:val="center"/>
          </w:tcPr>
          <w:p>
            <w:pPr>
              <w:spacing w:line="400" w:lineRule="exact"/>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现场考察：</w:t>
            </w:r>
            <w:r>
              <w:rPr>
                <w:rFonts w:ascii="Wingdings" w:hAnsi="Wingdings"/>
                <w:color w:val="000000" w:themeColor="text1"/>
                <w:highlight w:val="none"/>
                <w14:textFill>
                  <w14:solidFill>
                    <w14:schemeClr w14:val="tx1"/>
                  </w14:solidFill>
                </w14:textFill>
              </w:rPr>
              <w:sym w:font="Wingdings" w:char="00FE"/>
            </w:r>
            <w:r>
              <w:rPr>
                <w:rFonts w:hint="eastAsia" w:ascii="宋体" w:hAnsi="宋体"/>
                <w:color w:val="000000" w:themeColor="text1"/>
                <w:highlight w:val="none"/>
                <w14:textFill>
                  <w14:solidFill>
                    <w14:schemeClr w14:val="tx1"/>
                  </w14:solidFill>
                </w14:textFill>
              </w:rPr>
              <w:t xml:space="preserve"> 不组织    ☐组织，时间：    地点：</w:t>
            </w:r>
          </w:p>
          <w:p>
            <w:pPr>
              <w:spacing w:line="400" w:lineRule="exact"/>
              <w:jc w:val="left"/>
              <w:rPr>
                <w:rFonts w:ascii="宋体" w:cs="宋体"/>
                <w:b/>
                <w:bCs/>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答疑会：</w:t>
            </w:r>
            <w:r>
              <w:rPr>
                <w:rFonts w:ascii="Wingdings" w:hAnsi="Wingdings"/>
                <w:color w:val="000000" w:themeColor="text1"/>
                <w:highlight w:val="none"/>
                <w14:textFill>
                  <w14:solidFill>
                    <w14:schemeClr w14:val="tx1"/>
                  </w14:solidFill>
                </w14:textFill>
              </w:rPr>
              <w:sym w:font="Wingdings" w:char="00FE"/>
            </w:r>
            <w:r>
              <w:rPr>
                <w:rFonts w:hint="eastAsia" w:ascii="宋体" w:hAnsi="宋体"/>
                <w:color w:val="000000" w:themeColor="text1"/>
                <w:highlight w:val="none"/>
                <w14:textFill>
                  <w14:solidFill>
                    <w14:schemeClr w14:val="tx1"/>
                  </w14:solidFill>
                </w14:textFill>
              </w:rPr>
              <w:t xml:space="preserve"> 不组织    ☐组织，时间：    地点：</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21"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9.1</w:t>
            </w:r>
          </w:p>
        </w:tc>
        <w:tc>
          <w:tcPr>
            <w:tcW w:w="7466" w:type="dxa"/>
            <w:vAlign w:val="center"/>
          </w:tcPr>
          <w:p>
            <w:pPr>
              <w:widowControl/>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投标文件组成：本项目实行网上投标，投标人应准备以下投标文件：</w:t>
            </w:r>
          </w:p>
          <w:p>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9.1.1.资格文件</w:t>
            </w:r>
          </w:p>
          <w:p>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（1）符合参加政府采购活动应当具备的一般条件的承诺函；</w:t>
            </w:r>
          </w:p>
          <w:p>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（2）有效的企业法人营业执照（或事业法人登记证）、其他组织（个体工商户的营业执照或者民办非企业单位登记证书复印件。投标人如果有名称变更的，应提供由行政主管部门出具的变更证明文件；</w:t>
            </w:r>
          </w:p>
          <w:p>
            <w:pPr>
              <w:widowControl/>
              <w:spacing w:line="360" w:lineRule="auto"/>
              <w:ind w:firstLine="420" w:firstLineChars="200"/>
              <w:jc w:val="left"/>
              <w:rPr>
                <w:color w:val="auto"/>
                <w:highlight w:val="none"/>
              </w:rPr>
            </w:pPr>
            <w:r>
              <w:rPr>
                <w:rFonts w:hint="eastAsia"/>
                <w:color w:val="auto"/>
                <w:highlight w:val="none"/>
              </w:rPr>
              <w:t>（3）落实政府采购政策需满足的资格要求：（如有）；</w:t>
            </w:r>
          </w:p>
          <w:p>
            <w:pPr>
              <w:tabs>
                <w:tab w:val="left" w:pos="1418"/>
              </w:tabs>
              <w:spacing w:line="360" w:lineRule="auto"/>
              <w:ind w:firstLine="420" w:firstLineChars="200"/>
              <w:contextualSpacing/>
              <w:rPr>
                <w:color w:val="auto"/>
                <w:highlight w:val="none"/>
              </w:rPr>
            </w:pPr>
            <w:r>
              <w:rPr>
                <w:rFonts w:hint="eastAsia"/>
                <w:color w:val="auto"/>
                <w:highlight w:val="none"/>
              </w:rPr>
              <w:t>（4）投标人的特定条件的证明文件（如有）。</w:t>
            </w:r>
          </w:p>
          <w:p>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9.1.2.商务技术文件</w:t>
            </w:r>
          </w:p>
          <w:p>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（1）单位负责人的身份证明或单位负责人授权书（投标人的代表若不为单位负责人的，必须提交单位负责人授权书），并提供单位负责人和授权代表的身份证正反两面复印件；</w:t>
            </w:r>
          </w:p>
          <w:p>
            <w:pPr>
              <w:widowControl/>
              <w:spacing w:line="360" w:lineRule="auto"/>
              <w:ind w:firstLine="420" w:firstLineChars="20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（2）投标人基本情况表；</w:t>
            </w:r>
          </w:p>
          <w:p>
            <w:pPr>
              <w:widowControl/>
              <w:spacing w:line="360" w:lineRule="auto"/>
              <w:ind w:firstLine="420" w:firstLineChars="20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（3）技术条款偏离表；</w:t>
            </w:r>
          </w:p>
          <w:p>
            <w:pPr>
              <w:widowControl/>
              <w:spacing w:line="360" w:lineRule="auto"/>
              <w:ind w:firstLine="420" w:firstLineChars="200"/>
              <w:jc w:val="left"/>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（3）-1中心机房扩建改造品目清单响应表</w:t>
            </w:r>
            <w:r>
              <w:rPr>
                <w:rFonts w:hint="eastAsia"/>
                <w:color w:val="000000" w:themeColor="text1"/>
                <w:highlight w:val="none"/>
                <w:lang w:eastAsia="zh-CN"/>
                <w14:textFill>
                  <w14:solidFill>
                    <w14:schemeClr w14:val="tx1"/>
                  </w14:solidFill>
                </w14:textFill>
              </w:rPr>
              <w:t>；</w:t>
            </w:r>
          </w:p>
          <w:p>
            <w:pPr>
              <w:widowControl/>
              <w:spacing w:line="360" w:lineRule="auto"/>
              <w:ind w:firstLine="420" w:firstLineChars="20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（4）商务条款偏离表；</w:t>
            </w:r>
          </w:p>
          <w:p>
            <w:pPr>
              <w:widowControl/>
              <w:spacing w:line="360" w:lineRule="auto"/>
              <w:ind w:firstLine="420" w:firstLineChars="200"/>
              <w:jc w:val="lef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第六部分“评标办法”中“评分标准”要求提供的资料（如有需提供）</w:t>
            </w:r>
            <w:r>
              <w:rPr>
                <w:rFonts w:hint="eastAsia"/>
                <w:color w:val="000000" w:themeColor="text1"/>
                <w:highlight w:val="none"/>
                <w:lang w:eastAsia="zh-CN"/>
                <w14:textFill>
                  <w14:solidFill>
                    <w14:schemeClr w14:val="tx1"/>
                  </w14:solidFill>
                </w14:textFill>
              </w:rPr>
              <w:t>；</w:t>
            </w:r>
          </w:p>
          <w:p>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9.1.3.报价文件</w:t>
            </w:r>
          </w:p>
          <w:p>
            <w:pPr>
              <w:tabs>
                <w:tab w:val="left" w:pos="1418"/>
              </w:tabs>
              <w:spacing w:line="360" w:lineRule="auto"/>
              <w:ind w:firstLine="42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（1）投标函；</w:t>
            </w:r>
          </w:p>
          <w:p>
            <w:pPr>
              <w:tabs>
                <w:tab w:val="left" w:pos="1418"/>
              </w:tabs>
              <w:spacing w:line="360" w:lineRule="auto"/>
              <w:ind w:firstLine="42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（2）开标一览表；</w:t>
            </w:r>
          </w:p>
          <w:p>
            <w:pPr>
              <w:tabs>
                <w:tab w:val="left" w:pos="1418"/>
              </w:tabs>
              <w:spacing w:line="360" w:lineRule="auto"/>
              <w:ind w:firstLine="42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（3）投标分项报价表；</w:t>
            </w:r>
          </w:p>
          <w:p>
            <w:pPr>
              <w:tabs>
                <w:tab w:val="left" w:pos="1418"/>
              </w:tabs>
              <w:spacing w:line="360" w:lineRule="auto"/>
              <w:ind w:firstLine="420" w:firstLineChars="200"/>
              <w:contextualSpacing/>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（4）享受政府采购价格优惠政策需提供的证明资料（如有）。</w:t>
            </w:r>
          </w:p>
          <w:p>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附件1：中小企业声明函</w:t>
            </w:r>
          </w:p>
          <w:p>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附件2：残疾人福利性单位声明函</w:t>
            </w:r>
          </w:p>
          <w:p>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9.1.4.注意事项</w:t>
            </w:r>
          </w:p>
          <w:p>
            <w:pPr>
              <w:widowControl/>
              <w:spacing w:line="360" w:lineRule="auto"/>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★（1）电子投标文件中所须加盖公章部分均采用 CA 签章。</w:t>
            </w:r>
          </w:p>
          <w:p>
            <w:pPr>
              <w:numPr>
                <w:ilvl w:val="0"/>
                <w:numId w:val="4"/>
              </w:numPr>
              <w:spacing w:line="400" w:lineRule="exact"/>
              <w:rPr>
                <w:rFonts w:ascii="宋体" w:hAnsi="宋体" w:cs="宋体"/>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上述组成投标文件的各项资料中本招标文件的有规定格式的，应统一按本招标文件的规定格式填写。未有规定格式的资料，投标人应自行编制，但至少要包含以上要求的内容。</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4"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10.1</w:t>
            </w:r>
          </w:p>
        </w:tc>
        <w:tc>
          <w:tcPr>
            <w:tcW w:w="7466" w:type="dxa"/>
            <w:vAlign w:val="center"/>
          </w:tcPr>
          <w:p>
            <w:pPr>
              <w:spacing w:line="400" w:lineRule="exact"/>
              <w:rPr>
                <w:rFonts w:hint="eastAsia" w:ascii="宋体" w:hAnsi="宋体" w:cs="宋体"/>
                <w:szCs w:val="21"/>
                <w:highlight w:val="none"/>
                <w:lang w:eastAsia="zh-CN"/>
              </w:rPr>
            </w:pPr>
            <w:r>
              <w:rPr>
                <w:rFonts w:hint="eastAsia" w:hAnsi="宋体" w:cs="宋体"/>
                <w:highlight w:val="none"/>
              </w:rPr>
              <w:t>投标报价为投标人为完成本项目，实现招标文件中规定的本项目采购内容和范围并达到相关标准所需要的全部费用。</w:t>
            </w:r>
            <w:r>
              <w:rPr>
                <w:rFonts w:hint="eastAsia" w:hAnsi="宋体"/>
                <w:highlight w:val="none"/>
              </w:rPr>
              <w:t>包括</w:t>
            </w:r>
            <w:r>
              <w:rPr>
                <w:rFonts w:hint="eastAsia" w:ascii="宋体" w:hAnsi="宋体" w:cs="宋体"/>
                <w:szCs w:val="21"/>
                <w:highlight w:val="none"/>
              </w:rPr>
              <w:t>设备费、</w:t>
            </w:r>
            <w:r>
              <w:rPr>
                <w:rFonts w:hint="eastAsia" w:ascii="宋体" w:hAnsi="宋体" w:cs="宋体"/>
                <w:szCs w:val="21"/>
                <w:highlight w:val="none"/>
                <w:lang w:val="en-US" w:eastAsia="zh-CN"/>
              </w:rPr>
              <w:t>施工费、</w:t>
            </w:r>
            <w:r>
              <w:rPr>
                <w:rFonts w:hint="eastAsia" w:ascii="宋体" w:hAnsi="宋体" w:cs="宋体"/>
                <w:szCs w:val="21"/>
                <w:highlight w:val="none"/>
              </w:rPr>
              <w:t>运输费、耗材费用、</w:t>
            </w:r>
            <w:r>
              <w:rPr>
                <w:rFonts w:hint="eastAsia" w:ascii="宋体" w:hAnsi="宋体" w:cs="宋体"/>
                <w:szCs w:val="21"/>
                <w:highlight w:val="none"/>
                <w:lang w:val="en-US" w:eastAsia="zh-CN"/>
              </w:rPr>
              <w:t>安装费、调试费、</w:t>
            </w:r>
            <w:r>
              <w:rPr>
                <w:rFonts w:hint="eastAsia" w:ascii="宋体" w:hAnsi="宋体" w:cs="宋体"/>
                <w:szCs w:val="21"/>
                <w:highlight w:val="none"/>
              </w:rPr>
              <w:t>中标服务费、人工费、企业管理费、合理利润、风险费用、税金、质保期内服务费用等直至完成本项目所产生的全部合理费用</w:t>
            </w:r>
            <w:r>
              <w:rPr>
                <w:rFonts w:hint="eastAsia" w:ascii="宋体" w:hAnsi="宋体" w:cs="宋体"/>
                <w:szCs w:val="21"/>
                <w:highlight w:val="none"/>
                <w:lang w:eastAsia="zh-CN"/>
              </w:rPr>
              <w:t>。</w:t>
            </w:r>
          </w:p>
          <w:p>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投标人应承担其参加本招标活动自身所发生的费用。</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项目实施过程中可能发生的风险和费用均由中标人承担。</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hint="eastAsia" w:ascii="宋体" w:cs="宋体"/>
                <w:b/>
                <w:bCs/>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10</w:t>
            </w:r>
            <w:r>
              <w:rPr>
                <w:rFonts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5</w:t>
            </w:r>
          </w:p>
        </w:tc>
        <w:tc>
          <w:tcPr>
            <w:tcW w:w="7466" w:type="dxa"/>
            <w:vAlign w:val="center"/>
          </w:tcPr>
          <w:p>
            <w:pPr>
              <w:spacing w:line="400" w:lineRule="exact"/>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本项目采用最高投标限价，超过最高限价的投标将被判定为无效投标。</w:t>
            </w:r>
          </w:p>
          <w:p>
            <w:pPr>
              <w:spacing w:line="400" w:lineRule="exact"/>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本项目最高限价为</w:t>
            </w:r>
            <w:r>
              <w:rPr>
                <w:rFonts w:hint="eastAsia" w:ascii="宋体" w:hAnsi="宋体" w:cs="宋体"/>
                <w:b/>
                <w:bCs/>
                <w:color w:val="000000" w:themeColor="text1"/>
                <w:highlight w:val="none"/>
                <w:u w:val="single"/>
                <w14:textFill>
                  <w14:solidFill>
                    <w14:schemeClr w14:val="tx1"/>
                  </w14:solidFill>
                </w14:textFill>
              </w:rPr>
              <w:t>2423295.60元</w:t>
            </w:r>
            <w:r>
              <w:rPr>
                <w:rFonts w:hint="eastAsia" w:ascii="宋体" w:hAnsi="宋体" w:cs="宋体"/>
                <w:b/>
                <w:bCs/>
                <w:color w:val="000000" w:themeColor="text1"/>
                <w:highlight w:val="none"/>
                <w14:textFill>
                  <w14:solidFill>
                    <w14:schemeClr w14:val="tx1"/>
                  </w14:solidFill>
                </w14:textFill>
              </w:rPr>
              <w:t>。</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1"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w:t>
            </w:r>
          </w:p>
        </w:tc>
        <w:tc>
          <w:tcPr>
            <w:tcW w:w="7466" w:type="dxa"/>
            <w:vAlign w:val="center"/>
          </w:tcPr>
          <w:p>
            <w:pPr>
              <w:widowControl/>
              <w:spacing w:line="400" w:lineRule="exact"/>
              <w:rPr>
                <w:rFonts w:cs="宋体" w:asciiTheme="minorEastAsia" w:hAnsiTheme="minorEastAsia" w:eastAsiaTheme="minorEastAsia"/>
                <w:b/>
                <w:color w:val="000000" w:themeColor="text1"/>
                <w:highlight w:val="none"/>
                <w14:textFill>
                  <w14:solidFill>
                    <w14:schemeClr w14:val="tx1"/>
                  </w14:solidFill>
                </w14:textFill>
              </w:rPr>
            </w:pPr>
            <w:r>
              <w:rPr>
                <w:rFonts w:hint="eastAsia" w:cs="宋体" w:asciiTheme="minorEastAsia" w:hAnsiTheme="minorEastAsia" w:eastAsiaTheme="minorEastAsia"/>
                <w:b/>
                <w:color w:val="000000" w:themeColor="text1"/>
                <w:highlight w:val="none"/>
                <w14:textFill>
                  <w14:solidFill>
                    <w14:schemeClr w14:val="tx1"/>
                  </w14:solidFill>
                </w14:textFill>
              </w:rPr>
              <w:t>投标文件数量要求：</w:t>
            </w:r>
          </w:p>
          <w:p>
            <w:pPr>
              <w:widowControl/>
              <w:spacing w:line="400" w:lineRule="exac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cs="宋体" w:asciiTheme="minorEastAsia" w:hAnsiTheme="minorEastAsia" w:eastAsiaTheme="minorEastAsia"/>
                <w:color w:val="000000" w:themeColor="text1"/>
                <w:kern w:val="0"/>
                <w:highlight w:val="none"/>
                <w14:textFill>
                  <w14:solidFill>
                    <w14:schemeClr w14:val="tx1"/>
                  </w14:solidFill>
                </w14:textFill>
              </w:rPr>
              <w:t>1、上传到政府采购云平台的电子投标文件（含资格文件 1 份、商务技术文件 1 份、报价文件 1 份）。</w:t>
            </w:r>
          </w:p>
          <w:p>
            <w:pPr>
              <w:widowControl/>
              <w:spacing w:line="400" w:lineRule="exact"/>
              <w:rPr>
                <w:rFonts w:cs="宋体" w:asciiTheme="minorEastAsia" w:hAnsiTheme="minorEastAsia" w:eastAsiaTheme="minorEastAsia"/>
                <w:color w:val="000000" w:themeColor="text1"/>
                <w:kern w:val="0"/>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2、以 U 盘形式存储的电子备份投标文件（含资格文件 1 份、商务技术文件 1 份、报价文件1 份）。</w:t>
            </w:r>
          </w:p>
          <w:p>
            <w:pPr>
              <w:widowControl/>
              <w:spacing w:line="400" w:lineRule="exact"/>
              <w:rPr>
                <w:rFonts w:cs="宋体" w:asciiTheme="minorEastAsia" w:hAnsiTheme="minorEastAsia" w:eastAsiaTheme="minorEastAsia"/>
                <w:color w:val="000000" w:themeColor="text1"/>
                <w:kern w:val="0"/>
                <w:highlight w:val="none"/>
                <w14:textFill>
                  <w14:solidFill>
                    <w14:schemeClr w14:val="tx1"/>
                  </w14:solidFill>
                </w14:textFill>
              </w:rPr>
            </w:pPr>
            <w:r>
              <w:rPr>
                <w:rFonts w:hint="eastAsia" w:cs="宋体" w:asciiTheme="minorEastAsia" w:hAnsiTheme="minorEastAsia" w:eastAsiaTheme="minorEastAsia"/>
                <w:b/>
                <w:bCs/>
                <w:color w:val="000000" w:themeColor="text1"/>
                <w:kern w:val="0"/>
                <w:highlight w:val="none"/>
                <w14:textFill>
                  <w14:solidFill>
                    <w14:schemeClr w14:val="tx1"/>
                  </w14:solidFill>
                </w14:textFill>
              </w:rPr>
              <w:t>注：（1）电子备份投标文件不作实质性要求，是否提交由投标人自行决定。</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12.1</w:t>
            </w:r>
          </w:p>
        </w:tc>
        <w:tc>
          <w:tcPr>
            <w:tcW w:w="7466" w:type="dxa"/>
            <w:vAlign w:val="center"/>
          </w:tcPr>
          <w:p>
            <w:pPr>
              <w:spacing w:line="400" w:lineRule="exact"/>
              <w:rPr>
                <w:rFonts w:ascii="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投标有效期</w:t>
            </w:r>
            <w:r>
              <w:rPr>
                <w:rFonts w:hint="eastAsia" w:ascii="宋体" w:hAnsi="宋体" w:cs="宋体"/>
                <w:color w:val="000000" w:themeColor="text1"/>
                <w:highlight w:val="none"/>
                <w14:textFill>
                  <w14:solidFill>
                    <w14:schemeClr w14:val="tx1"/>
                  </w14:solidFill>
                </w14:textFill>
              </w:rPr>
              <w:t>：</w:t>
            </w:r>
            <w:r>
              <w:rPr>
                <w:rFonts w:ascii="宋体" w:hAnsi="宋体" w:cs="宋体"/>
                <w:color w:val="000000" w:themeColor="text1"/>
                <w:highlight w:val="none"/>
                <w14:textFill>
                  <w14:solidFill>
                    <w14:schemeClr w14:val="tx1"/>
                  </w14:solidFill>
                </w14:textFill>
              </w:rPr>
              <w:t xml:space="preserve"> 90 </w:t>
            </w:r>
            <w:r>
              <w:rPr>
                <w:rFonts w:hint="eastAsia" w:ascii="宋体" w:hAnsi="宋体" w:cs="宋体"/>
                <w:color w:val="000000" w:themeColor="text1"/>
                <w:highlight w:val="none"/>
                <w14:textFill>
                  <w14:solidFill>
                    <w14:schemeClr w14:val="tx1"/>
                  </w14:solidFill>
                </w14:textFill>
              </w:rPr>
              <w:t>天</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w:t>
            </w:r>
          </w:p>
        </w:tc>
        <w:tc>
          <w:tcPr>
            <w:tcW w:w="7466" w:type="dxa"/>
            <w:vAlign w:val="center"/>
          </w:tcPr>
          <w:p>
            <w:pPr>
              <w:spacing w:line="400" w:lineRule="exact"/>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投标保证金金额：</w:t>
            </w:r>
            <w:r>
              <w:rPr>
                <w:rFonts w:hint="eastAsia" w:ascii="宋体" w:hAnsi="宋体" w:cs="宋体"/>
                <w:color w:val="000000" w:themeColor="text1"/>
                <w:highlight w:val="none"/>
                <w14:textFill>
                  <w14:solidFill>
                    <w14:schemeClr w14:val="tx1"/>
                  </w14:solidFill>
                </w14:textFill>
              </w:rPr>
              <w:t>无</w:t>
            </w:r>
            <w:r>
              <w:rPr>
                <w:rFonts w:hint="eastAsia" w:ascii="宋体" w:hAnsi="宋体" w:cs="宋体"/>
                <w:b/>
                <w:bCs/>
                <w:color w:val="000000" w:themeColor="text1"/>
                <w:highlight w:val="none"/>
                <w14:textFill>
                  <w14:solidFill>
                    <w14:schemeClr w14:val="tx1"/>
                  </w14:solidFill>
                </w14:textFill>
              </w:rPr>
              <w:t>。</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5</w:t>
            </w:r>
            <w:r>
              <w:rPr>
                <w:rFonts w:ascii="宋体" w:hAnsi="宋体" w:cs="宋体"/>
                <w:color w:val="000000" w:themeColor="text1"/>
                <w:highlight w:val="none"/>
                <w14:textFill>
                  <w14:solidFill>
                    <w14:schemeClr w14:val="tx1"/>
                  </w14:solidFill>
                </w14:textFill>
              </w:rPr>
              <w:t>.1</w:t>
            </w:r>
          </w:p>
        </w:tc>
        <w:tc>
          <w:tcPr>
            <w:tcW w:w="7466" w:type="dxa"/>
            <w:vAlign w:val="center"/>
          </w:tcPr>
          <w:p>
            <w:pPr>
              <w:spacing w:line="400" w:lineRule="exact"/>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投标截止</w:t>
            </w:r>
            <w:r>
              <w:rPr>
                <w:rFonts w:hint="eastAsia" w:ascii="宋体" w:hAnsi="宋体" w:cs="宋体"/>
                <w:color w:val="auto"/>
                <w:highlight w:val="none"/>
              </w:rPr>
              <w:t>时间：</w:t>
            </w:r>
            <w:r>
              <w:rPr>
                <w:rFonts w:ascii="宋体" w:hAnsi="宋体" w:cs="宋体"/>
                <w:color w:val="auto"/>
                <w:highlight w:val="none"/>
                <w:u w:val="single"/>
              </w:rPr>
              <w:t>202</w:t>
            </w:r>
            <w:r>
              <w:rPr>
                <w:rFonts w:hint="eastAsia" w:ascii="宋体" w:hAnsi="宋体" w:cs="宋体"/>
                <w:color w:val="auto"/>
                <w:highlight w:val="none"/>
                <w:u w:val="single"/>
              </w:rPr>
              <w:t>4</w:t>
            </w:r>
            <w:r>
              <w:rPr>
                <w:rFonts w:hint="eastAsia" w:ascii="宋体" w:hAnsi="宋体" w:cs="宋体"/>
                <w:color w:val="auto"/>
                <w:highlight w:val="none"/>
              </w:rPr>
              <w:t>年</w:t>
            </w:r>
            <w:r>
              <w:rPr>
                <w:rFonts w:hint="eastAsia" w:ascii="宋体" w:hAnsi="宋体" w:cs="宋体"/>
                <w:color w:val="auto"/>
                <w:highlight w:val="none"/>
                <w:u w:val="single"/>
                <w:lang w:val="en-US" w:eastAsia="zh-CN"/>
              </w:rPr>
              <w:t>12</w:t>
            </w:r>
            <w:r>
              <w:rPr>
                <w:rFonts w:hint="eastAsia" w:ascii="宋体" w:hAnsi="宋体" w:cs="宋体"/>
                <w:color w:val="auto"/>
                <w:highlight w:val="none"/>
              </w:rPr>
              <w:t>月</w:t>
            </w:r>
            <w:r>
              <w:rPr>
                <w:rFonts w:hint="eastAsia" w:ascii="宋体" w:hAnsi="宋体" w:cs="宋体"/>
                <w:color w:val="auto"/>
                <w:highlight w:val="none"/>
                <w:u w:val="single"/>
                <w:lang w:val="en-US" w:eastAsia="zh-CN"/>
              </w:rPr>
              <w:t>5</w:t>
            </w:r>
            <w:r>
              <w:rPr>
                <w:rFonts w:hint="eastAsia" w:ascii="宋体" w:hAnsi="宋体" w:cs="宋体"/>
                <w:color w:val="auto"/>
                <w:highlight w:val="none"/>
              </w:rPr>
              <w:t>日</w:t>
            </w:r>
            <w:r>
              <w:rPr>
                <w:rFonts w:hint="eastAsia" w:ascii="宋体" w:hAnsi="宋体" w:cs="宋体"/>
                <w:color w:val="auto"/>
                <w:highlight w:val="none"/>
                <w:u w:val="single"/>
                <w:lang w:val="en-US" w:eastAsia="zh-CN"/>
              </w:rPr>
              <w:t>14</w:t>
            </w:r>
            <w:r>
              <w:rPr>
                <w:rFonts w:hint="eastAsia" w:ascii="宋体" w:hAnsi="宋体" w:cs="宋体"/>
                <w:color w:val="auto"/>
                <w:highlight w:val="none"/>
              </w:rPr>
              <w:t>：</w:t>
            </w:r>
            <w:r>
              <w:rPr>
                <w:rFonts w:hint="eastAsia" w:ascii="宋体" w:hAnsi="宋体" w:cs="宋体"/>
                <w:color w:val="auto"/>
                <w:highlight w:val="none"/>
                <w:u w:val="single"/>
              </w:rPr>
              <w:t>00</w:t>
            </w:r>
            <w:r>
              <w:rPr>
                <w:rFonts w:hint="eastAsia" w:ascii="宋体" w:hAnsi="宋体" w:cs="宋体"/>
                <w:color w:val="auto"/>
                <w:highlight w:val="none"/>
              </w:rPr>
              <w:t>（北京时间）。</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2" w:hRule="atLeast"/>
        </w:trPr>
        <w:tc>
          <w:tcPr>
            <w:tcW w:w="1093" w:type="dxa"/>
            <w:vAlign w:val="center"/>
          </w:tcPr>
          <w:p>
            <w:pPr>
              <w:spacing w:line="38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auto"/>
                <w:szCs w:val="21"/>
                <w:highlight w:val="none"/>
              </w:rPr>
              <w:t>28.1</w:t>
            </w:r>
          </w:p>
        </w:tc>
        <w:tc>
          <w:tcPr>
            <w:tcW w:w="7466" w:type="dxa"/>
            <w:vAlign w:val="center"/>
          </w:tcPr>
          <w:p>
            <w:pPr>
              <w:snapToGrid w:val="0"/>
              <w:spacing w:line="360" w:lineRule="auto"/>
              <w:ind w:right="-21" w:rightChars="-10"/>
              <w:rPr>
                <w:rFonts w:ascii="宋体"/>
                <w:szCs w:val="21"/>
                <w:highlight w:val="none"/>
              </w:rPr>
            </w:pPr>
            <w:r>
              <w:rPr>
                <w:rFonts w:hint="eastAsia" w:ascii="宋体"/>
                <w:szCs w:val="21"/>
                <w:highlight w:val="none"/>
              </w:rPr>
              <w:t>1.中标服务费：本项目</w:t>
            </w:r>
            <w:r>
              <w:rPr>
                <w:rFonts w:hint="eastAsia" w:ascii="宋体"/>
                <w:szCs w:val="21"/>
                <w:highlight w:val="none"/>
                <w:lang w:val="en-US" w:eastAsia="zh-CN"/>
              </w:rPr>
              <w:t>招标代理</w:t>
            </w:r>
            <w:r>
              <w:rPr>
                <w:rFonts w:hint="eastAsia" w:ascii="宋体"/>
                <w:szCs w:val="21"/>
                <w:highlight w:val="none"/>
              </w:rPr>
              <w:t>服务费</w:t>
            </w:r>
            <w:r>
              <w:rPr>
                <w:rFonts w:hint="eastAsia" w:ascii="宋体"/>
                <w:szCs w:val="21"/>
                <w:highlight w:val="none"/>
                <w:lang w:val="en-US" w:eastAsia="zh-CN"/>
              </w:rPr>
              <w:t>为15000元</w:t>
            </w:r>
            <w:r>
              <w:rPr>
                <w:rFonts w:hint="eastAsia" w:ascii="宋体"/>
                <w:szCs w:val="21"/>
                <w:highlight w:val="none"/>
              </w:rPr>
              <w:t>。</w:t>
            </w:r>
          </w:p>
          <w:p>
            <w:pPr>
              <w:snapToGrid w:val="0"/>
              <w:spacing w:line="360" w:lineRule="auto"/>
              <w:ind w:right="-21" w:rightChars="-10"/>
              <w:rPr>
                <w:rFonts w:ascii="宋体"/>
                <w:szCs w:val="21"/>
                <w:highlight w:val="none"/>
              </w:rPr>
            </w:pPr>
            <w:r>
              <w:rPr>
                <w:rFonts w:hint="eastAsia" w:ascii="宋体"/>
                <w:szCs w:val="21"/>
                <w:highlight w:val="none"/>
              </w:rPr>
              <w:t>2.中标人在本公司发出通知5个工作日内向本招标公司支付招标服务费，支付后可领取中标通知书以及中标服务费发票。</w:t>
            </w:r>
          </w:p>
          <w:p>
            <w:pPr>
              <w:snapToGrid w:val="0"/>
              <w:spacing w:line="360" w:lineRule="auto"/>
              <w:ind w:right="-21" w:rightChars="-10"/>
              <w:rPr>
                <w:rFonts w:ascii="宋体"/>
                <w:szCs w:val="21"/>
                <w:highlight w:val="none"/>
              </w:rPr>
            </w:pPr>
            <w:r>
              <w:rPr>
                <w:rFonts w:hint="eastAsia" w:ascii="宋体"/>
                <w:szCs w:val="21"/>
                <w:highlight w:val="none"/>
              </w:rPr>
              <w:t>3.中标人如未按上述规定办理，本招标代理机构有权从其参加招标活动的投标保证金中收取采招标代理服务费用，并对不足部分进行追索。</w:t>
            </w:r>
          </w:p>
          <w:p>
            <w:pPr>
              <w:snapToGrid w:val="0"/>
              <w:spacing w:line="360" w:lineRule="auto"/>
              <w:ind w:right="-21" w:rightChars="-10"/>
              <w:rPr>
                <w:rFonts w:ascii="宋体"/>
                <w:szCs w:val="21"/>
                <w:highlight w:val="none"/>
              </w:rPr>
            </w:pPr>
            <w:r>
              <w:rPr>
                <w:rFonts w:hint="eastAsia" w:ascii="宋体"/>
                <w:szCs w:val="21"/>
                <w:highlight w:val="none"/>
              </w:rPr>
              <w:t>4.中标服务费只收现金、银行票汇款、电汇款。</w:t>
            </w:r>
          </w:p>
          <w:p>
            <w:pPr>
              <w:snapToGrid w:val="0"/>
              <w:spacing w:line="360" w:lineRule="auto"/>
              <w:ind w:right="-21" w:rightChars="-10"/>
              <w:rPr>
                <w:rFonts w:ascii="宋体"/>
                <w:szCs w:val="21"/>
                <w:highlight w:val="none"/>
              </w:rPr>
            </w:pPr>
            <w:r>
              <w:rPr>
                <w:rFonts w:hint="eastAsia" w:ascii="宋体"/>
                <w:szCs w:val="21"/>
                <w:highlight w:val="none"/>
              </w:rPr>
              <w:t>5.中标服务费汇入以下账号：（对公账户汇出）</w:t>
            </w:r>
          </w:p>
          <w:p>
            <w:pPr>
              <w:snapToGrid w:val="0"/>
              <w:spacing w:line="360" w:lineRule="auto"/>
              <w:ind w:right="-21" w:rightChars="-10"/>
              <w:rPr>
                <w:rFonts w:ascii="宋体"/>
                <w:szCs w:val="21"/>
                <w:highlight w:val="none"/>
              </w:rPr>
            </w:pPr>
            <w:r>
              <w:rPr>
                <w:rFonts w:hint="eastAsia" w:ascii="宋体"/>
                <w:szCs w:val="21"/>
                <w:highlight w:val="none"/>
              </w:rPr>
              <w:t>开户银行及账号：</w:t>
            </w:r>
          </w:p>
          <w:p>
            <w:pPr>
              <w:snapToGrid w:val="0"/>
              <w:spacing w:line="360" w:lineRule="auto"/>
              <w:ind w:right="-21" w:rightChars="-10"/>
              <w:rPr>
                <w:rFonts w:ascii="宋体"/>
                <w:szCs w:val="21"/>
                <w:highlight w:val="none"/>
              </w:rPr>
            </w:pPr>
            <w:r>
              <w:rPr>
                <w:rFonts w:hint="eastAsia" w:ascii="宋体"/>
                <w:szCs w:val="21"/>
                <w:highlight w:val="none"/>
              </w:rPr>
              <w:t>户名：宁波国际投资咨询有限公司</w:t>
            </w:r>
          </w:p>
          <w:p>
            <w:pPr>
              <w:snapToGrid w:val="0"/>
              <w:spacing w:line="360" w:lineRule="auto"/>
              <w:ind w:right="-21" w:rightChars="-10"/>
              <w:rPr>
                <w:rFonts w:ascii="宋体"/>
                <w:szCs w:val="21"/>
                <w:highlight w:val="none"/>
              </w:rPr>
            </w:pPr>
            <w:r>
              <w:rPr>
                <w:rFonts w:hint="eastAsia" w:ascii="宋体"/>
                <w:szCs w:val="21"/>
                <w:highlight w:val="none"/>
              </w:rPr>
              <w:t>开户行：上海浦东发展银行宁波解放路支行</w:t>
            </w:r>
          </w:p>
          <w:p>
            <w:pPr>
              <w:spacing w:line="380" w:lineRule="exact"/>
              <w:jc w:val="left"/>
              <w:rPr>
                <w:rFonts w:hint="eastAsia" w:ascii="宋体" w:hAnsi="宋体" w:cs="宋体"/>
                <w:color w:val="000000" w:themeColor="text1"/>
                <w:highlight w:val="none"/>
                <w14:textFill>
                  <w14:solidFill>
                    <w14:schemeClr w14:val="tx1"/>
                  </w14:solidFill>
                </w14:textFill>
              </w:rPr>
            </w:pPr>
            <w:r>
              <w:rPr>
                <w:rFonts w:hint="eastAsia" w:ascii="宋体"/>
                <w:szCs w:val="21"/>
                <w:highlight w:val="none"/>
              </w:rPr>
              <w:t>账号：94150078801400000630。</w:t>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84" w:hRule="atLeast"/>
        </w:trPr>
        <w:tc>
          <w:tcPr>
            <w:tcW w:w="1093" w:type="dxa"/>
            <w:vAlign w:val="center"/>
          </w:tcPr>
          <w:p>
            <w:pPr>
              <w:spacing w:before="143" w:beforeLines="50" w:line="360" w:lineRule="auto"/>
              <w:jc w:val="center"/>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29</w:t>
            </w:r>
          </w:p>
        </w:tc>
        <w:tc>
          <w:tcPr>
            <w:tcW w:w="7466" w:type="dxa"/>
            <w:vAlign w:val="center"/>
          </w:tcPr>
          <w:p>
            <w:pPr>
              <w:spacing w:line="400" w:lineRule="exact"/>
              <w:ind w:left="788" w:hanging="787" w:hangingChars="375"/>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发布本项目招标公告、中标公示的媒体：</w:t>
            </w:r>
          </w:p>
          <w:p>
            <w:pPr>
              <w:spacing w:line="400" w:lineRule="exact"/>
              <w:ind w:left="788" w:hanging="787" w:hangingChars="375"/>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浙江政府采购网</w:t>
            </w:r>
            <w:r>
              <w:rPr>
                <w:rFonts w:ascii="宋体" w:hAnsi="宋体" w:cs="宋体"/>
                <w:color w:val="000000" w:themeColor="text1"/>
                <w:highlight w:val="none"/>
                <w:u w:val="single"/>
                <w14:textFill>
                  <w14:solidFill>
                    <w14:schemeClr w14:val="tx1"/>
                  </w14:solidFill>
                </w14:textFill>
              </w:rPr>
              <w:t>https://zfcg.czt.zj.gov.cn/</w:t>
            </w:r>
          </w:p>
          <w:p>
            <w:pPr>
              <w:spacing w:line="400" w:lineRule="exact"/>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宁波政府采购网</w:t>
            </w:r>
            <w:r>
              <w:rPr>
                <w:highlight w:val="none"/>
              </w:rPr>
              <w:fldChar w:fldCharType="begin"/>
            </w:r>
            <w:r>
              <w:rPr>
                <w:highlight w:val="none"/>
              </w:rPr>
              <w:instrText xml:space="preserve"> HYPERLINK "http://www.nbzfcg.cn" </w:instrText>
            </w:r>
            <w:r>
              <w:rPr>
                <w:highlight w:val="none"/>
              </w:rPr>
              <w:fldChar w:fldCharType="separate"/>
            </w:r>
            <w:r>
              <w:rPr>
                <w:rStyle w:val="45"/>
                <w:rFonts w:ascii="宋体" w:hAnsi="宋体" w:cs="宋体"/>
                <w:color w:val="000000" w:themeColor="text1"/>
                <w:highlight w:val="none"/>
                <w14:textFill>
                  <w14:solidFill>
                    <w14:schemeClr w14:val="tx1"/>
                  </w14:solidFill>
                </w14:textFill>
              </w:rPr>
              <w:t>www.nbzf</w:t>
            </w:r>
            <w:bookmarkStart w:id="72" w:name="_Hlt237917838"/>
            <w:bookmarkStart w:id="73" w:name="_Hlt237917837"/>
            <w:r>
              <w:rPr>
                <w:rStyle w:val="45"/>
                <w:rFonts w:ascii="宋体" w:hAnsi="宋体" w:cs="宋体"/>
                <w:color w:val="000000" w:themeColor="text1"/>
                <w:highlight w:val="none"/>
                <w14:textFill>
                  <w14:solidFill>
                    <w14:schemeClr w14:val="tx1"/>
                  </w14:solidFill>
                </w14:textFill>
              </w:rPr>
              <w:t>c</w:t>
            </w:r>
            <w:bookmarkEnd w:id="72"/>
            <w:bookmarkEnd w:id="73"/>
            <w:bookmarkStart w:id="74" w:name="_Hlt237842683"/>
            <w:bookmarkStart w:id="75" w:name="_Hlt237842684"/>
            <w:bookmarkStart w:id="76" w:name="_Hlt237842726"/>
            <w:bookmarkStart w:id="77" w:name="_Hlt237842727"/>
            <w:r>
              <w:rPr>
                <w:rStyle w:val="45"/>
                <w:rFonts w:ascii="宋体" w:hAnsi="宋体" w:cs="宋体"/>
                <w:color w:val="000000" w:themeColor="text1"/>
                <w:highlight w:val="none"/>
                <w14:textFill>
                  <w14:solidFill>
                    <w14:schemeClr w14:val="tx1"/>
                  </w14:solidFill>
                </w14:textFill>
              </w:rPr>
              <w:t>g</w:t>
            </w:r>
            <w:bookmarkEnd w:id="74"/>
            <w:bookmarkEnd w:id="75"/>
            <w:bookmarkEnd w:id="76"/>
            <w:bookmarkEnd w:id="77"/>
            <w:r>
              <w:rPr>
                <w:rStyle w:val="45"/>
                <w:rFonts w:ascii="宋体" w:hAnsi="宋体" w:cs="宋体"/>
                <w:color w:val="000000" w:themeColor="text1"/>
                <w:highlight w:val="none"/>
                <w14:textFill>
                  <w14:solidFill>
                    <w14:schemeClr w14:val="tx1"/>
                  </w14:solidFill>
                </w14:textFill>
              </w:rPr>
              <w:t>.cn</w:t>
            </w:r>
            <w:r>
              <w:rPr>
                <w:rStyle w:val="45"/>
                <w:rFonts w:ascii="宋体" w:hAnsi="宋体" w:cs="宋体"/>
                <w:color w:val="000000" w:themeColor="text1"/>
                <w:highlight w:val="none"/>
                <w14:textFill>
                  <w14:solidFill>
                    <w14:schemeClr w14:val="tx1"/>
                  </w14:solidFill>
                </w14:textFill>
              </w:rPr>
              <w:fldChar w:fldCharType="end"/>
            </w:r>
          </w:p>
        </w:tc>
      </w:tr>
      <w:tr>
        <w:tblPrEx>
          <w:tblBorders>
            <w:top w:val="single" w:color="000000" w:sz="12" w:space="0"/>
            <w:left w:val="single" w:color="000000" w:sz="12" w:space="0"/>
            <w:bottom w:val="single" w:color="auto" w:sz="4"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1" w:hRule="atLeast"/>
        </w:trPr>
        <w:tc>
          <w:tcPr>
            <w:tcW w:w="1093" w:type="dxa"/>
            <w:tcBorders>
              <w:bottom w:val="single" w:color="auto" w:sz="12" w:space="0"/>
            </w:tcBorders>
            <w:vAlign w:val="center"/>
          </w:tcPr>
          <w:p>
            <w:pPr>
              <w:spacing w:before="143" w:beforeLines="50"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31.1</w:t>
            </w:r>
          </w:p>
        </w:tc>
        <w:tc>
          <w:tcPr>
            <w:tcW w:w="7466" w:type="dxa"/>
            <w:tcBorders>
              <w:bottom w:val="single" w:color="auto" w:sz="12" w:space="0"/>
            </w:tcBorders>
            <w:vAlign w:val="center"/>
          </w:tcPr>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本项目对应的中小企业划分标准所属行业：</w:t>
            </w:r>
            <w:r>
              <w:rPr>
                <w:rFonts w:hint="eastAsia" w:ascii="宋体" w:hAnsi="宋体" w:cs="宋体"/>
                <w:b/>
                <w:bCs/>
                <w:color w:val="000000" w:themeColor="text1"/>
                <w:highlight w:val="none"/>
                <w:u w:val="single"/>
                <w14:textFill>
                  <w14:solidFill>
                    <w14:schemeClr w14:val="tx1"/>
                  </w14:solidFill>
                </w14:textFill>
              </w:rPr>
              <w:t>工业</w:t>
            </w:r>
          </w:p>
        </w:tc>
      </w:tr>
    </w:tbl>
    <w:p>
      <w:pPr>
        <w:pStyle w:val="3"/>
        <w:spacing w:before="286" w:after="286"/>
        <w:rPr>
          <w:rFonts w:cs="宋体"/>
          <w:color w:val="000000" w:themeColor="text1"/>
          <w:sz w:val="32"/>
          <w:szCs w:val="32"/>
          <w:highlight w:val="none"/>
          <w14:textFill>
            <w14:solidFill>
              <w14:schemeClr w14:val="tx1"/>
            </w14:solidFill>
          </w14:textFill>
        </w:rPr>
        <w:sectPr>
          <w:headerReference r:id="rId9" w:type="default"/>
          <w:pgSz w:w="11907" w:h="16840"/>
          <w:pgMar w:top="1111" w:right="1701" w:bottom="1428" w:left="1701" w:header="720" w:footer="720" w:gutter="0"/>
          <w:pgBorders>
            <w:top w:val="none" w:sz="0" w:space="0"/>
            <w:left w:val="none" w:sz="0" w:space="0"/>
            <w:bottom w:val="none" w:sz="0" w:space="0"/>
            <w:right w:val="none" w:sz="0" w:space="0"/>
          </w:pgBorders>
          <w:cols w:space="720" w:num="1"/>
          <w:docGrid w:type="linesAndChars" w:linePitch="286" w:charSpace="0"/>
        </w:sectPr>
      </w:pPr>
      <w:bookmarkStart w:id="78" w:name="_Toc316649292"/>
    </w:p>
    <w:bookmarkEnd w:id="78"/>
    <w:p>
      <w:pPr>
        <w:jc w:val="center"/>
        <w:outlineLvl w:val="1"/>
        <w:rPr>
          <w:rFonts w:ascii="宋体" w:hAnsi="宋体" w:cs="宋体"/>
          <w:b/>
          <w:bCs/>
          <w:color w:val="000000" w:themeColor="text1"/>
          <w:sz w:val="28"/>
          <w:szCs w:val="28"/>
          <w:highlight w:val="none"/>
          <w14:textFill>
            <w14:solidFill>
              <w14:schemeClr w14:val="tx1"/>
            </w14:solidFill>
          </w14:textFill>
        </w:rPr>
      </w:pPr>
      <w:bookmarkStart w:id="79" w:name="_Toc513799071"/>
      <w:bookmarkStart w:id="80" w:name="_Toc513798900"/>
      <w:bookmarkStart w:id="81" w:name="_Toc440276561"/>
      <w:bookmarkStart w:id="82" w:name="_Toc520902394"/>
      <w:bookmarkStart w:id="83" w:name="_Toc141797114"/>
      <w:bookmarkStart w:id="84" w:name="_Toc501721199"/>
      <w:bookmarkStart w:id="85" w:name="_Toc502819341"/>
      <w:bookmarkStart w:id="86" w:name="_Toc316649293"/>
      <w:bookmarkStart w:id="87" w:name="_Toc497935707"/>
      <w:bookmarkStart w:id="88" w:name="_Toc481153658"/>
      <w:bookmarkStart w:id="89" w:name="_Toc501721427"/>
      <w:bookmarkStart w:id="90" w:name="_Toc481153623"/>
      <w:bookmarkStart w:id="91" w:name="_Toc501721316"/>
    </w:p>
    <w:p>
      <w:pPr>
        <w:pStyle w:val="3"/>
        <w:spacing w:before="286" w:after="286"/>
        <w:rPr>
          <w:color w:val="000000" w:themeColor="text1"/>
          <w:sz w:val="32"/>
          <w:szCs w:val="32"/>
          <w:highlight w:val="none"/>
          <w14:textFill>
            <w14:solidFill>
              <w14:schemeClr w14:val="tx1"/>
            </w14:solidFill>
          </w14:textFill>
        </w:rPr>
        <w:sectPr>
          <w:headerReference r:id="rId10" w:type="default"/>
          <w:type w:val="continuous"/>
          <w:pgSz w:w="11907" w:h="16840"/>
          <w:pgMar w:top="1111" w:right="1701" w:bottom="1428" w:left="1701" w:header="720" w:footer="720" w:gutter="0"/>
          <w:pgBorders>
            <w:top w:val="none" w:sz="0" w:space="0"/>
            <w:left w:val="none" w:sz="0" w:space="0"/>
            <w:bottom w:val="none" w:sz="0" w:space="0"/>
            <w:right w:val="none" w:sz="0" w:space="0"/>
          </w:pgBorders>
          <w:cols w:space="720" w:num="1"/>
          <w:docGrid w:type="linesAndChars" w:linePitch="286" w:charSpace="0"/>
        </w:sectPr>
      </w:pPr>
      <w:bookmarkStart w:id="92" w:name="_Toc136345100"/>
      <w:bookmarkStart w:id="93" w:name="_Toc141797673"/>
    </w:p>
    <w:p>
      <w:pPr>
        <w:pStyle w:val="3"/>
        <w:spacing w:before="286" w:after="286"/>
        <w:rPr>
          <w:color w:val="000000" w:themeColor="text1"/>
          <w:sz w:val="32"/>
          <w:szCs w:val="32"/>
          <w:highlight w:val="none"/>
          <w14:textFill>
            <w14:solidFill>
              <w14:schemeClr w14:val="tx1"/>
            </w14:solidFill>
          </w14:textFill>
        </w:rPr>
      </w:pPr>
      <w:bookmarkStart w:id="94" w:name="_Toc13520"/>
      <w:bookmarkStart w:id="95" w:name="_Toc28664"/>
      <w:r>
        <w:rPr>
          <w:rFonts w:hint="eastAsia"/>
          <w:color w:val="000000" w:themeColor="text1"/>
          <w:sz w:val="32"/>
          <w:szCs w:val="32"/>
          <w:highlight w:val="none"/>
          <w14:textFill>
            <w14:solidFill>
              <w14:schemeClr w14:val="tx1"/>
            </w14:solidFill>
          </w14:textFill>
        </w:rPr>
        <w:t>第四部分 投标人须知</w:t>
      </w:r>
      <w:bookmarkEnd w:id="92"/>
      <w:bookmarkEnd w:id="93"/>
      <w:bookmarkEnd w:id="94"/>
      <w:bookmarkEnd w:id="95"/>
    </w:p>
    <w:p>
      <w:pPr>
        <w:jc w:val="center"/>
        <w:outlineLvl w:val="1"/>
        <w:rPr>
          <w:rFonts w:ascii="宋体"/>
          <w:b/>
          <w:bCs/>
          <w:color w:val="000000" w:themeColor="text1"/>
          <w:sz w:val="28"/>
          <w:szCs w:val="28"/>
          <w:highlight w:val="none"/>
          <w14:textFill>
            <w14:solidFill>
              <w14:schemeClr w14:val="tx1"/>
            </w14:solidFill>
          </w14:textFill>
        </w:rPr>
      </w:pPr>
      <w:bookmarkStart w:id="96" w:name="_Toc141797674"/>
      <w:bookmarkStart w:id="97" w:name="_Toc16801"/>
      <w:bookmarkStart w:id="98" w:name="_Toc7043"/>
      <w:r>
        <w:rPr>
          <w:rFonts w:ascii="宋体" w:hAnsi="宋体" w:cs="宋体"/>
          <w:b/>
          <w:bCs/>
          <w:color w:val="000000" w:themeColor="text1"/>
          <w:sz w:val="28"/>
          <w:szCs w:val="28"/>
          <w:highlight w:val="none"/>
          <w14:textFill>
            <w14:solidFill>
              <w14:schemeClr w14:val="tx1"/>
            </w14:solidFill>
          </w14:textFill>
        </w:rPr>
        <w:t xml:space="preserve">A  </w:t>
      </w:r>
      <w:r>
        <w:rPr>
          <w:rFonts w:hint="eastAsia" w:ascii="宋体" w:hAnsi="宋体" w:cs="宋体"/>
          <w:b/>
          <w:bCs/>
          <w:color w:val="000000" w:themeColor="text1"/>
          <w:sz w:val="28"/>
          <w:szCs w:val="28"/>
          <w:highlight w:val="none"/>
          <w14:textFill>
            <w14:solidFill>
              <w14:schemeClr w14:val="tx1"/>
            </w14:solidFill>
          </w14:textFill>
        </w:rPr>
        <w:t>总则</w:t>
      </w:r>
      <w:bookmarkEnd w:id="79"/>
      <w:bookmarkEnd w:id="80"/>
      <w:bookmarkEnd w:id="81"/>
      <w:bookmarkEnd w:id="82"/>
      <w:bookmarkEnd w:id="83"/>
      <w:bookmarkEnd w:id="96"/>
      <w:bookmarkEnd w:id="97"/>
      <w:bookmarkEnd w:id="98"/>
    </w:p>
    <w:p>
      <w:pPr>
        <w:spacing w:line="360" w:lineRule="auto"/>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   </w:t>
      </w:r>
      <w:r>
        <w:rPr>
          <w:rFonts w:hint="eastAsia" w:ascii="宋体" w:hAnsi="宋体" w:cs="宋体"/>
          <w:b/>
          <w:bCs/>
          <w:color w:val="000000" w:themeColor="text1"/>
          <w:highlight w:val="none"/>
          <w14:textFill>
            <w14:solidFill>
              <w14:schemeClr w14:val="tx1"/>
            </w14:solidFill>
          </w14:textFill>
        </w:rPr>
        <w:t>适用范围</w:t>
      </w:r>
    </w:p>
    <w:p>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本招标文件适用于本项目的招标、投标、评标、定标、验收、合同履约、付款等行为（法律、法规另有规定的，从其规定）。</w:t>
      </w:r>
    </w:p>
    <w:p>
      <w:pPr>
        <w:spacing w:line="360" w:lineRule="auto"/>
        <w:rPr>
          <w:rFonts w:ascii="宋体"/>
          <w:b/>
          <w:bCs/>
          <w:color w:val="000000" w:themeColor="text1"/>
          <w:highlight w:val="none"/>
          <w14:textFill>
            <w14:solidFill>
              <w14:schemeClr w14:val="tx1"/>
            </w14:solidFill>
          </w14:textFill>
        </w:rPr>
      </w:pPr>
    </w:p>
    <w:p>
      <w:pPr>
        <w:spacing w:line="360" w:lineRule="auto"/>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   </w:t>
      </w:r>
      <w:r>
        <w:rPr>
          <w:rFonts w:hint="eastAsia" w:ascii="宋体" w:hAnsi="宋体" w:cs="宋体"/>
          <w:b/>
          <w:bCs/>
          <w:color w:val="000000" w:themeColor="text1"/>
          <w:highlight w:val="none"/>
          <w14:textFill>
            <w14:solidFill>
              <w14:schemeClr w14:val="tx1"/>
            </w14:solidFill>
          </w14:textFill>
        </w:rPr>
        <w:t>定义</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2.1</w:t>
      </w:r>
      <w:r>
        <w:rPr>
          <w:rFonts w:hint="eastAsia" w:ascii="宋体" w:hAnsi="宋体" w:cs="宋体"/>
          <w:color w:val="000000" w:themeColor="text1"/>
          <w:highlight w:val="none"/>
          <w14:textFill>
            <w14:solidFill>
              <w14:schemeClr w14:val="tx1"/>
            </w14:solidFill>
          </w14:textFill>
        </w:rPr>
        <w:t>“采购人”、“采购代理机构”和“项目名称”：见“投标资料表”。</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2.2</w:t>
      </w:r>
      <w:r>
        <w:rPr>
          <w:rFonts w:hint="eastAsia" w:ascii="宋体" w:hAnsi="宋体" w:cs="宋体"/>
          <w:color w:val="000000" w:themeColor="text1"/>
          <w:highlight w:val="none"/>
          <w14:textFill>
            <w14:solidFill>
              <w14:schemeClr w14:val="tx1"/>
            </w14:solidFill>
          </w14:textFill>
        </w:rPr>
        <w:t>“投标人”</w:t>
      </w:r>
      <w:r>
        <w:rPr>
          <w:rFonts w:hint="eastAsia" w:ascii="宋体" w:hAnsi="宋体" w:cs="宋体"/>
          <w:bCs/>
          <w:color w:val="000000" w:themeColor="text1"/>
          <w:highlight w:val="none"/>
          <w14:textFill>
            <w14:solidFill>
              <w14:schemeClr w14:val="tx1"/>
            </w14:solidFill>
          </w14:textFill>
        </w:rPr>
        <w:t>系指采购人发布招标公告后，所有对招标项目有意向、并有可能参加本项目投标的法人、其他组织或者自然人。</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2.3</w:t>
      </w:r>
      <w:r>
        <w:rPr>
          <w:rFonts w:hint="eastAsia" w:ascii="宋体" w:hAnsi="宋体" w:cs="宋体"/>
          <w:color w:val="000000" w:themeColor="text1"/>
          <w:highlight w:val="none"/>
          <w14:textFill>
            <w14:solidFill>
              <w14:schemeClr w14:val="tx1"/>
            </w14:solidFill>
          </w14:textFill>
        </w:rPr>
        <w:t>“产品”系指投标人按招标文件规定，须向采购人提供的一切设备、保险、税金、备品备件、工具、手册及其它有关技术资料和材料。</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2.4</w:t>
      </w:r>
      <w:r>
        <w:rPr>
          <w:rFonts w:hint="eastAsia" w:ascii="宋体" w:hAnsi="宋体" w:cs="宋体"/>
          <w:color w:val="000000" w:themeColor="text1"/>
          <w:highlight w:val="none"/>
          <w14:textFill>
            <w14:solidFill>
              <w14:schemeClr w14:val="tx1"/>
            </w14:solidFill>
          </w14:textFill>
        </w:rPr>
        <w:t>“服务”系指招标文件规定投标人须承担的安装、调试、技术协助、校准、培训、技术指导以及其它类似的义务。</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2.5</w:t>
      </w:r>
      <w:r>
        <w:rPr>
          <w:rFonts w:hint="eastAsia" w:ascii="宋体" w:hAnsi="宋体" w:cs="宋体"/>
          <w:color w:val="000000" w:themeColor="text1"/>
          <w:highlight w:val="none"/>
          <w14:textFill>
            <w14:solidFill>
              <w14:schemeClr w14:val="tx1"/>
            </w14:solidFill>
          </w14:textFill>
        </w:rPr>
        <w:t>“项目”系指投标人按招标文件规定向采购人提供的货物或服务。</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2.6</w:t>
      </w:r>
      <w:r>
        <w:rPr>
          <w:rFonts w:hint="eastAsia" w:ascii="宋体" w:hAnsi="宋体" w:cs="宋体"/>
          <w:color w:val="000000" w:themeColor="text1"/>
          <w:highlight w:val="none"/>
          <w14:textFill>
            <w14:solidFill>
              <w14:schemeClr w14:val="tx1"/>
            </w14:solidFill>
          </w14:textFill>
        </w:rPr>
        <w:t>“书面形式”包括信函、传真、邮件等。</w:t>
      </w:r>
    </w:p>
    <w:p>
      <w:pPr>
        <w:spacing w:line="360" w:lineRule="auto"/>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2.7</w:t>
      </w:r>
      <w:r>
        <w:rPr>
          <w:rFonts w:hint="eastAsia" w:ascii="宋体" w:hAnsi="宋体" w:cs="宋体"/>
          <w:color w:val="000000" w:themeColor="text1"/>
          <w:highlight w:val="none"/>
          <w14:textFill>
            <w14:solidFill>
              <w14:schemeClr w14:val="tx1"/>
            </w14:solidFill>
          </w14:textFill>
        </w:rPr>
        <w:t>“★”系指实质性要求条款。投标文件对这些条款的任何负偏离将导致投标无效。</w:t>
      </w:r>
    </w:p>
    <w:p>
      <w:pPr>
        <w:spacing w:line="360" w:lineRule="auto"/>
        <w:rPr>
          <w:rFonts w:ascii="宋体"/>
          <w:b/>
          <w:bCs/>
          <w:color w:val="000000" w:themeColor="text1"/>
          <w:highlight w:val="none"/>
          <w14:textFill>
            <w14:solidFill>
              <w14:schemeClr w14:val="tx1"/>
            </w14:solidFill>
          </w14:textFill>
        </w:rPr>
      </w:pPr>
    </w:p>
    <w:p>
      <w:pPr>
        <w:spacing w:line="360" w:lineRule="auto"/>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3.   </w:t>
      </w:r>
      <w:r>
        <w:rPr>
          <w:rFonts w:hint="eastAsia" w:ascii="宋体" w:hAnsi="宋体" w:cs="宋体"/>
          <w:b/>
          <w:bCs/>
          <w:color w:val="000000" w:themeColor="text1"/>
          <w:highlight w:val="none"/>
          <w14:textFill>
            <w14:solidFill>
              <w14:schemeClr w14:val="tx1"/>
            </w14:solidFill>
          </w14:textFill>
        </w:rPr>
        <w:t>招标范围</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3.1  </w:t>
      </w:r>
      <w:r>
        <w:rPr>
          <w:rFonts w:hint="eastAsia" w:ascii="宋体" w:hAnsi="宋体" w:cs="宋体"/>
          <w:color w:val="000000" w:themeColor="text1"/>
          <w:highlight w:val="none"/>
          <w14:textFill>
            <w14:solidFill>
              <w14:schemeClr w14:val="tx1"/>
            </w14:solidFill>
          </w14:textFill>
        </w:rPr>
        <w:t>招标范围：见“投标资料表”。</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3.2</w:t>
      </w:r>
      <w:r>
        <w:rPr>
          <w:rFonts w:hint="eastAsia" w:ascii="宋体" w:hAnsi="宋体" w:cs="宋体"/>
          <w:color w:val="000000" w:themeColor="text1"/>
          <w:highlight w:val="none"/>
          <w14:textFill>
            <w14:solidFill>
              <w14:schemeClr w14:val="tx1"/>
            </w14:solidFill>
          </w14:textFill>
        </w:rPr>
        <w:t>本项目不得转包、分包。</w:t>
      </w:r>
    </w:p>
    <w:p>
      <w:pPr>
        <w:spacing w:line="360" w:lineRule="auto"/>
        <w:ind w:firstLine="210" w:firstLineChars="100"/>
        <w:rPr>
          <w:rFonts w:ascii="宋体"/>
          <w:b/>
          <w:bCs/>
          <w:color w:val="000000" w:themeColor="text1"/>
          <w:highlight w:val="none"/>
          <w14:textFill>
            <w14:solidFill>
              <w14:schemeClr w14:val="tx1"/>
            </w14:solidFill>
          </w14:textFill>
        </w:rPr>
      </w:pPr>
    </w:p>
    <w:p>
      <w:pPr>
        <w:spacing w:line="360" w:lineRule="auto"/>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4.   </w:t>
      </w:r>
      <w:r>
        <w:rPr>
          <w:rFonts w:hint="eastAsia" w:ascii="宋体" w:hAnsi="宋体" w:cs="宋体"/>
          <w:b/>
          <w:bCs/>
          <w:color w:val="000000" w:themeColor="text1"/>
          <w:highlight w:val="none"/>
          <w14:textFill>
            <w14:solidFill>
              <w14:schemeClr w14:val="tx1"/>
            </w14:solidFill>
          </w14:textFill>
        </w:rPr>
        <w:t>合格的投标人</w:t>
      </w:r>
    </w:p>
    <w:p>
      <w:pPr>
        <w:spacing w:line="360" w:lineRule="auto"/>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4.1  </w:t>
      </w:r>
      <w:r>
        <w:rPr>
          <w:rFonts w:hint="eastAsia" w:ascii="宋体" w:hAnsi="宋体" w:cs="宋体"/>
          <w:color w:val="000000" w:themeColor="text1"/>
          <w:highlight w:val="none"/>
          <w14:textFill>
            <w14:solidFill>
              <w14:schemeClr w14:val="tx1"/>
            </w14:solidFill>
          </w14:textFill>
        </w:rPr>
        <w:t>合格的投标人应该是：</w:t>
      </w: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是指向采购人提供货物、工程或者服务的法人、其他组织或者自然人。除金融、保险、通讯、石油石化、电力等特定行业的全国性企业所设立的区域性分支机构允许投标外，其他法人的分支机构不允许参加投标。</w:t>
      </w: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pPr>
        <w:spacing w:line="440" w:lineRule="exact"/>
        <w:ind w:firstLine="420" w:firstLineChars="200"/>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根据政府采购相关法律、法规、规章、文件规定并满足招标文件规定资格条件的区域性分支机构、个人独资企业、合伙企业参加本项目投标并由单位负责人签署的相关投标资料与本招标文件规定由法定代表人签署的文件材料具有同等效力。</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4.2</w:t>
      </w:r>
      <w:r>
        <w:rPr>
          <w:rFonts w:hint="eastAsia" w:ascii="宋体" w:hAnsi="宋体" w:cs="宋体"/>
          <w:color w:val="000000" w:themeColor="text1"/>
          <w:highlight w:val="none"/>
          <w14:textFill>
            <w14:solidFill>
              <w14:schemeClr w14:val="tx1"/>
            </w14:solidFill>
          </w14:textFill>
        </w:rPr>
        <w:t>符合本招标文件载明的对上述</w:t>
      </w:r>
      <w:r>
        <w:rPr>
          <w:rFonts w:ascii="宋体" w:hAnsi="宋体" w:cs="宋体"/>
          <w:b/>
          <w:bCs/>
          <w:color w:val="000000" w:themeColor="text1"/>
          <w:highlight w:val="none"/>
          <w14:textFill>
            <w14:solidFill>
              <w14:schemeClr w14:val="tx1"/>
            </w14:solidFill>
          </w14:textFill>
        </w:rPr>
        <w:t>4.1</w:t>
      </w:r>
      <w:r>
        <w:rPr>
          <w:rFonts w:hint="eastAsia" w:ascii="宋体" w:hAnsi="宋体" w:cs="宋体"/>
          <w:color w:val="000000" w:themeColor="text1"/>
          <w:highlight w:val="none"/>
          <w14:textFill>
            <w14:solidFill>
              <w14:schemeClr w14:val="tx1"/>
            </w14:solidFill>
          </w14:textFill>
        </w:rPr>
        <w:t>条的例外的规定或对投标人资格的其他补充要求：详见招标公告。</w:t>
      </w:r>
    </w:p>
    <w:p>
      <w:pPr>
        <w:spacing w:line="400" w:lineRule="exact"/>
        <w:rPr>
          <w:rFonts w:ascii="宋体"/>
          <w:color w:val="000000" w:themeColor="text1"/>
          <w:highlight w:val="none"/>
          <w14:textFill>
            <w14:solidFill>
              <w14:schemeClr w14:val="tx1"/>
            </w14:solidFill>
          </w14:textFill>
        </w:rPr>
      </w:pP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5.</w:t>
      </w:r>
      <w:r>
        <w:rPr>
          <w:rFonts w:hint="eastAsia" w:ascii="宋体" w:hAnsi="宋体" w:cs="宋体"/>
          <w:b/>
          <w:bCs/>
          <w:color w:val="000000" w:themeColor="text1"/>
          <w:highlight w:val="none"/>
          <w14:textFill>
            <w14:solidFill>
              <w14:schemeClr w14:val="tx1"/>
            </w14:solidFill>
          </w14:textFill>
        </w:rPr>
        <w:t>投标人代表</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5.1</w:t>
      </w:r>
      <w:r>
        <w:rPr>
          <w:rFonts w:hint="eastAsia" w:ascii="宋体" w:hAnsi="宋体" w:cs="宋体"/>
          <w:color w:val="000000" w:themeColor="text1"/>
          <w:highlight w:val="none"/>
          <w14:textFill>
            <w14:solidFill>
              <w14:schemeClr w14:val="tx1"/>
            </w14:solidFill>
          </w14:textFill>
        </w:rPr>
        <w:t>投标人代表须持有“单位负责人授权书”。单位负责人是指单位法定代表人或者法律、行政法规规定代表单位行使职权的主要负责人（下同）。</w:t>
      </w:r>
    </w:p>
    <w:p>
      <w:pPr>
        <w:spacing w:line="400" w:lineRule="exact"/>
        <w:rPr>
          <w:rFonts w:ascii="宋体"/>
          <w:color w:val="000000" w:themeColor="text1"/>
          <w:highlight w:val="none"/>
          <w:shd w:val="pct10" w:color="auto" w:fill="FFFFFF"/>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5.2  </w:t>
      </w:r>
      <w:r>
        <w:rPr>
          <w:rFonts w:hint="eastAsia" w:ascii="宋体" w:hAnsi="宋体" w:cs="宋体"/>
          <w:color w:val="000000" w:themeColor="text1"/>
          <w:highlight w:val="none"/>
          <w14:textFill>
            <w14:solidFill>
              <w14:schemeClr w14:val="tx1"/>
            </w14:solidFill>
          </w14:textFill>
        </w:rPr>
        <w:t>若投标人代表是单位负责人的，则须符合本须知第</w:t>
      </w:r>
      <w:r>
        <w:rPr>
          <w:rFonts w:ascii="宋体" w:hAnsi="宋体" w:cs="宋体"/>
          <w:b/>
          <w:bCs/>
          <w:color w:val="000000" w:themeColor="text1"/>
          <w:highlight w:val="none"/>
          <w14:textFill>
            <w14:solidFill>
              <w14:schemeClr w14:val="tx1"/>
            </w14:solidFill>
          </w14:textFill>
        </w:rPr>
        <w:t>9.1</w:t>
      </w:r>
      <w:r>
        <w:rPr>
          <w:rFonts w:hint="eastAsia" w:ascii="宋体" w:hAnsi="宋体" w:cs="宋体"/>
          <w:color w:val="000000" w:themeColor="text1"/>
          <w:highlight w:val="none"/>
          <w14:textFill>
            <w14:solidFill>
              <w14:schemeClr w14:val="tx1"/>
            </w14:solidFill>
          </w14:textFill>
        </w:rPr>
        <w:t>条的要求。</w:t>
      </w:r>
    </w:p>
    <w:p>
      <w:pPr>
        <w:spacing w:line="400" w:lineRule="exact"/>
        <w:rPr>
          <w:rFonts w:ascii="宋体"/>
          <w:color w:val="000000" w:themeColor="text1"/>
          <w:highlight w:val="none"/>
          <w14:textFill>
            <w14:solidFill>
              <w14:schemeClr w14:val="tx1"/>
            </w14:solidFill>
          </w14:textFill>
        </w:rPr>
      </w:pP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6.</w:t>
      </w:r>
      <w:r>
        <w:rPr>
          <w:rFonts w:hint="eastAsia" w:ascii="宋体" w:hAnsi="宋体" w:cs="宋体"/>
          <w:b/>
          <w:bCs/>
          <w:color w:val="000000" w:themeColor="text1"/>
          <w:highlight w:val="none"/>
          <w14:textFill>
            <w14:solidFill>
              <w14:schemeClr w14:val="tx1"/>
            </w14:solidFill>
          </w14:textFill>
        </w:rPr>
        <w:t>投标费用</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6.1</w:t>
      </w:r>
      <w:r>
        <w:rPr>
          <w:rFonts w:hint="eastAsia" w:ascii="宋体" w:hAnsi="宋体" w:cs="宋体"/>
          <w:color w:val="000000" w:themeColor="text1"/>
          <w:highlight w:val="none"/>
          <w14:textFill>
            <w14:solidFill>
              <w14:schemeClr w14:val="tx1"/>
            </w14:solidFill>
          </w14:textFill>
        </w:rPr>
        <w:t>不论招标的结果如何，投标人自行承担其参加本次投标有关的全部费用。</w:t>
      </w:r>
    </w:p>
    <w:p>
      <w:pPr>
        <w:spacing w:line="400" w:lineRule="exact"/>
        <w:jc w:val="center"/>
        <w:rPr>
          <w:rFonts w:ascii="宋体"/>
          <w:b/>
          <w:bCs/>
          <w:color w:val="000000" w:themeColor="text1"/>
          <w:sz w:val="28"/>
          <w:szCs w:val="28"/>
          <w:highlight w:val="none"/>
          <w14:textFill>
            <w14:solidFill>
              <w14:schemeClr w14:val="tx1"/>
            </w14:solidFill>
          </w14:textFill>
        </w:rPr>
      </w:pPr>
    </w:p>
    <w:p>
      <w:pPr>
        <w:jc w:val="center"/>
        <w:outlineLvl w:val="1"/>
        <w:rPr>
          <w:rFonts w:ascii="宋体"/>
          <w:b/>
          <w:bCs/>
          <w:color w:val="000000" w:themeColor="text1"/>
          <w:sz w:val="28"/>
          <w:szCs w:val="28"/>
          <w:highlight w:val="none"/>
          <w14:textFill>
            <w14:solidFill>
              <w14:schemeClr w14:val="tx1"/>
            </w14:solidFill>
          </w14:textFill>
        </w:rPr>
      </w:pPr>
      <w:bookmarkStart w:id="99" w:name="_Toc141797675"/>
      <w:bookmarkStart w:id="100" w:name="_Toc513799072"/>
      <w:bookmarkStart w:id="101" w:name="_Toc520902395"/>
      <w:bookmarkStart w:id="102" w:name="_Toc440276562"/>
      <w:bookmarkStart w:id="103" w:name="_Toc7704"/>
      <w:bookmarkStart w:id="104" w:name="_Toc805"/>
      <w:bookmarkStart w:id="105" w:name="_Toc513798901"/>
      <w:bookmarkStart w:id="106" w:name="_Toc141797115"/>
      <w:r>
        <w:rPr>
          <w:rFonts w:ascii="宋体" w:hAnsi="宋体" w:cs="宋体"/>
          <w:b/>
          <w:bCs/>
          <w:color w:val="000000" w:themeColor="text1"/>
          <w:sz w:val="28"/>
          <w:szCs w:val="28"/>
          <w:highlight w:val="none"/>
          <w14:textFill>
            <w14:solidFill>
              <w14:schemeClr w14:val="tx1"/>
            </w14:solidFill>
          </w14:textFill>
        </w:rPr>
        <w:t xml:space="preserve">B  </w:t>
      </w:r>
      <w:r>
        <w:rPr>
          <w:rFonts w:hint="eastAsia" w:ascii="宋体" w:hAnsi="宋体" w:cs="宋体"/>
          <w:b/>
          <w:bCs/>
          <w:color w:val="000000" w:themeColor="text1"/>
          <w:sz w:val="28"/>
          <w:szCs w:val="28"/>
          <w:highlight w:val="none"/>
          <w14:textFill>
            <w14:solidFill>
              <w14:schemeClr w14:val="tx1"/>
            </w14:solidFill>
          </w14:textFill>
        </w:rPr>
        <w:t>招标文件</w:t>
      </w:r>
      <w:bookmarkEnd w:id="99"/>
      <w:bookmarkEnd w:id="100"/>
      <w:bookmarkEnd w:id="101"/>
      <w:bookmarkEnd w:id="102"/>
      <w:bookmarkEnd w:id="103"/>
      <w:bookmarkEnd w:id="104"/>
      <w:bookmarkEnd w:id="105"/>
      <w:bookmarkEnd w:id="106"/>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7.</w:t>
      </w:r>
      <w:r>
        <w:rPr>
          <w:rFonts w:hint="eastAsia" w:ascii="宋体" w:hAnsi="宋体" w:cs="宋体"/>
          <w:b/>
          <w:bCs/>
          <w:color w:val="000000" w:themeColor="text1"/>
          <w:highlight w:val="none"/>
          <w14:textFill>
            <w14:solidFill>
              <w14:schemeClr w14:val="tx1"/>
            </w14:solidFill>
          </w14:textFill>
        </w:rPr>
        <w:t>招标文件的构成</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7.1</w:t>
      </w:r>
      <w:r>
        <w:rPr>
          <w:rFonts w:hint="eastAsia" w:ascii="宋体" w:hAnsi="宋体" w:cs="宋体"/>
          <w:color w:val="000000" w:themeColor="text1"/>
          <w:highlight w:val="none"/>
          <w14:textFill>
            <w14:solidFill>
              <w14:schemeClr w14:val="tx1"/>
            </w14:solidFill>
          </w14:textFill>
        </w:rPr>
        <w:t>招标文件共有七部分。内容如下：</w:t>
      </w:r>
    </w:p>
    <w:p>
      <w:pPr>
        <w:spacing w:line="400" w:lineRule="exact"/>
        <w:ind w:left="281" w:leftChars="13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第一部分 招标公告</w:t>
      </w:r>
    </w:p>
    <w:p>
      <w:pPr>
        <w:spacing w:line="400" w:lineRule="exact"/>
        <w:ind w:left="281" w:leftChars="13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第二部分 招标项目需求</w:t>
      </w:r>
    </w:p>
    <w:p>
      <w:pPr>
        <w:spacing w:line="400" w:lineRule="exact"/>
        <w:ind w:left="281" w:leftChars="13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第三部分 投标资料表</w:t>
      </w:r>
    </w:p>
    <w:p>
      <w:pPr>
        <w:spacing w:line="400" w:lineRule="exact"/>
        <w:ind w:left="281" w:leftChars="13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第四部分 投标人须知</w:t>
      </w:r>
    </w:p>
    <w:p>
      <w:pPr>
        <w:spacing w:line="400" w:lineRule="exact"/>
        <w:ind w:left="281" w:leftChars="13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第五部分 合同格式</w:t>
      </w:r>
    </w:p>
    <w:p>
      <w:pPr>
        <w:spacing w:line="400" w:lineRule="exact"/>
        <w:ind w:left="281" w:leftChars="134"/>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第六部分 评标办法</w:t>
      </w:r>
    </w:p>
    <w:p>
      <w:pPr>
        <w:spacing w:line="400" w:lineRule="exact"/>
        <w:ind w:left="281" w:leftChars="134"/>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第七部分  附件（投标文件格式）</w:t>
      </w:r>
    </w:p>
    <w:p>
      <w:pPr>
        <w:spacing w:line="400" w:lineRule="exact"/>
        <w:ind w:firstLine="462" w:firstLineChars="220"/>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投标人应详细阅读招标文件的全部内容和要求，不按招标文件的要求提供投标文件和资料导致的风险由投标人承担。</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7.2 </w:t>
      </w:r>
      <w:r>
        <w:rPr>
          <w:rFonts w:hint="eastAsia" w:ascii="宋体" w:hAnsi="宋体" w:cs="宋体"/>
          <w:color w:val="000000" w:themeColor="text1"/>
          <w:highlight w:val="none"/>
          <w14:textFill>
            <w14:solidFill>
              <w14:schemeClr w14:val="tx1"/>
            </w14:solidFill>
          </w14:textFill>
        </w:rPr>
        <w:t>与本项目有关的澄清或者修改的内容为招标文件的组成部分。</w:t>
      </w:r>
    </w:p>
    <w:p>
      <w:pPr>
        <w:spacing w:line="400" w:lineRule="exact"/>
        <w:ind w:firstLine="210" w:firstLineChars="100"/>
        <w:rPr>
          <w:rFonts w:ascii="宋体"/>
          <w:b/>
          <w:bCs/>
          <w:color w:val="000000" w:themeColor="text1"/>
          <w:highlight w:val="none"/>
          <w14:textFill>
            <w14:solidFill>
              <w14:schemeClr w14:val="tx1"/>
            </w14:solidFill>
          </w14:textFill>
        </w:rPr>
      </w:pP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8.</w:t>
      </w:r>
      <w:r>
        <w:rPr>
          <w:rFonts w:hint="eastAsia" w:ascii="宋体" w:hAnsi="宋体" w:cs="宋体"/>
          <w:b/>
          <w:bCs/>
          <w:color w:val="000000" w:themeColor="text1"/>
          <w:highlight w:val="none"/>
          <w14:textFill>
            <w14:solidFill>
              <w14:schemeClr w14:val="tx1"/>
            </w14:solidFill>
          </w14:textFill>
        </w:rPr>
        <w:t>招标文件的澄清和修改</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8.1</w:t>
      </w:r>
      <w:r>
        <w:rPr>
          <w:rFonts w:hint="eastAsia" w:ascii="宋体" w:hAnsi="宋体" w:cs="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采购人或者采购代理机构可以在招标文件提供期限截止后，组织已获取招标文件的潜在投标人现场考察或者召开开标前答疑会。组织现场考察或者召开答疑会的在招标文件“投标资料表”中载明。</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8.2  </w:t>
      </w:r>
      <w:r>
        <w:rPr>
          <w:rFonts w:hint="eastAsia" w:ascii="宋体" w:hAnsi="宋体" w:cs="宋体"/>
          <w:color w:val="000000" w:themeColor="text1"/>
          <w:highlight w:val="none"/>
          <w14:textFill>
            <w14:solidFill>
              <w14:schemeClr w14:val="tx1"/>
            </w14:solidFill>
          </w14:textFill>
        </w:rPr>
        <w:t>若潜在投标人对招标文件有疑点，要求采购人澄清的，应以书面形式通知采购代理机构，要求澄清的截止时间同有效质疑的截止时间。</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8.3</w:t>
      </w:r>
      <w:r>
        <w:rPr>
          <w:rFonts w:hint="eastAsia" w:ascii="宋体" w:hAnsi="宋体" w:cs="宋体"/>
          <w:color w:val="000000" w:themeColor="text1"/>
          <w:highlight w:val="none"/>
          <w14:textFill>
            <w14:solidFill>
              <w14:schemeClr w14:val="tx1"/>
            </w14:solidFill>
          </w14:textFill>
        </w:rPr>
        <w:t xml:space="preserve">  采购人或者采购代理机构可以对已发出的招标文件进行必要的澄清或者修改，但不得改变采购标的和资格条件。澄清或者修改在原公告发布媒体上发布更正公告。更正公告为招标文件的组成部分，一经在网站发布，视同已通知所有招标文件的收受人，不再采用其它方式传达相关信息，若因未能及时了解到上述网站上发布的相关信息而导致的一切后果由投标人自行承担。</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8.4</w:t>
      </w:r>
      <w:r>
        <w:rPr>
          <w:rFonts w:hint="eastAsia" w:ascii="宋体" w:hAnsi="宋体" w:cs="宋体"/>
          <w:color w:val="000000" w:themeColor="text1"/>
          <w:highlight w:val="none"/>
          <w14:textFill>
            <w14:solidFill>
              <w14:schemeClr w14:val="tx1"/>
            </w14:solidFill>
          </w14:textFill>
        </w:rPr>
        <w:t xml:space="preserve">  澄清或者修改的内容可能影响投标文件编制的，采购人或者采购代理机构在投标截止时间至少15日前，以书面形式（纸质、传真或电子邮件形式）通知所有获取招标文件的潜在投标人；不足15日的，采购人或者采购代理机构顺延提交投标文件的截止时间。</w:t>
      </w:r>
    </w:p>
    <w:p>
      <w:pPr>
        <w:spacing w:line="400" w:lineRule="exact"/>
        <w:rPr>
          <w:rFonts w:ascii="宋体"/>
          <w:color w:val="000000" w:themeColor="text1"/>
          <w:highlight w:val="none"/>
          <w:u w:val="single"/>
          <w14:textFill>
            <w14:solidFill>
              <w14:schemeClr w14:val="tx1"/>
            </w14:solidFill>
          </w14:textFill>
        </w:rPr>
      </w:pPr>
    </w:p>
    <w:p>
      <w:pPr>
        <w:jc w:val="center"/>
        <w:outlineLvl w:val="1"/>
        <w:rPr>
          <w:rFonts w:ascii="宋体"/>
          <w:b/>
          <w:bCs/>
          <w:color w:val="000000" w:themeColor="text1"/>
          <w:sz w:val="28"/>
          <w:szCs w:val="28"/>
          <w:highlight w:val="none"/>
          <w14:textFill>
            <w14:solidFill>
              <w14:schemeClr w14:val="tx1"/>
            </w14:solidFill>
          </w14:textFill>
        </w:rPr>
      </w:pPr>
      <w:bookmarkStart w:id="107" w:name="_Toc520902396"/>
      <w:bookmarkStart w:id="108" w:name="_Toc23632"/>
      <w:bookmarkStart w:id="109" w:name="_Toc513798902"/>
      <w:bookmarkStart w:id="110" w:name="_Toc440276563"/>
      <w:bookmarkStart w:id="111" w:name="_Toc20806"/>
      <w:bookmarkStart w:id="112" w:name="_Toc513799073"/>
      <w:bookmarkStart w:id="113" w:name="_Toc141797116"/>
      <w:bookmarkStart w:id="114" w:name="_Toc141797676"/>
      <w:r>
        <w:rPr>
          <w:rFonts w:ascii="宋体" w:hAnsi="宋体" w:cs="宋体"/>
          <w:b/>
          <w:bCs/>
          <w:color w:val="000000" w:themeColor="text1"/>
          <w:sz w:val="28"/>
          <w:szCs w:val="28"/>
          <w:highlight w:val="none"/>
          <w14:textFill>
            <w14:solidFill>
              <w14:schemeClr w14:val="tx1"/>
            </w14:solidFill>
          </w14:textFill>
        </w:rPr>
        <w:t xml:space="preserve">C  </w:t>
      </w:r>
      <w:r>
        <w:rPr>
          <w:rFonts w:hint="eastAsia" w:ascii="宋体" w:hAnsi="宋体" w:cs="宋体"/>
          <w:b/>
          <w:bCs/>
          <w:color w:val="000000" w:themeColor="text1"/>
          <w:sz w:val="28"/>
          <w:szCs w:val="28"/>
          <w:highlight w:val="none"/>
          <w14:textFill>
            <w14:solidFill>
              <w14:schemeClr w14:val="tx1"/>
            </w14:solidFill>
          </w14:textFill>
        </w:rPr>
        <w:t>投标文件</w:t>
      </w:r>
      <w:bookmarkEnd w:id="107"/>
      <w:bookmarkEnd w:id="108"/>
      <w:bookmarkEnd w:id="109"/>
      <w:bookmarkEnd w:id="110"/>
      <w:bookmarkEnd w:id="111"/>
      <w:bookmarkEnd w:id="112"/>
      <w:bookmarkEnd w:id="113"/>
      <w:bookmarkEnd w:id="114"/>
    </w:p>
    <w:p>
      <w:pPr>
        <w:spacing w:line="360" w:lineRule="auto"/>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9. </w:t>
      </w:r>
      <w:r>
        <w:rPr>
          <w:rFonts w:hint="eastAsia" w:ascii="宋体" w:hAnsi="宋体" w:cs="宋体"/>
          <w:b/>
          <w:bCs/>
          <w:color w:val="000000" w:themeColor="text1"/>
          <w:highlight w:val="none"/>
          <w14:textFill>
            <w14:solidFill>
              <w14:schemeClr w14:val="tx1"/>
            </w14:solidFill>
          </w14:textFill>
        </w:rPr>
        <w:t>投标文件的组成</w:t>
      </w:r>
    </w:p>
    <w:p>
      <w:pPr>
        <w:spacing w:line="400" w:lineRule="exact"/>
        <w:rPr>
          <w:rFonts w:ascii="宋体"/>
          <w:color w:val="000000" w:themeColor="text1"/>
          <w:kern w:val="0"/>
          <w:sz w:val="24"/>
          <w:szCs w:val="24"/>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9.1</w:t>
      </w:r>
      <w:r>
        <w:rPr>
          <w:rFonts w:hint="eastAsia" w:ascii="宋体" w:hAnsi="宋体" w:cs="宋体"/>
          <w:b/>
          <w:bCs/>
          <w:color w:val="000000" w:themeColor="text1"/>
          <w:kern w:val="0"/>
          <w:highlight w:val="none"/>
          <w14:textFill>
            <w14:solidFill>
              <w14:schemeClr w14:val="tx1"/>
            </w14:solidFill>
          </w14:textFill>
        </w:rPr>
        <w:t>投标文件的形式和效力</w:t>
      </w:r>
    </w:p>
    <w:p>
      <w:pPr>
        <w:widowControl/>
        <w:spacing w:line="360" w:lineRule="auto"/>
        <w:ind w:firstLine="420" w:firstLineChars="200"/>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w:t>
      </w:r>
      <w:r>
        <w:rPr>
          <w:rFonts w:ascii="宋体" w:hAnsi="宋体" w:cs="宋体"/>
          <w:color w:val="000000" w:themeColor="text1"/>
          <w:kern w:val="0"/>
          <w:highlight w:val="none"/>
          <w14:textFill>
            <w14:solidFill>
              <w14:schemeClr w14:val="tx1"/>
            </w14:solidFill>
          </w14:textFill>
        </w:rPr>
        <w:t>1</w:t>
      </w:r>
      <w:r>
        <w:rPr>
          <w:rFonts w:hint="eastAsia" w:ascii="宋体" w:hAnsi="宋体" w:cs="宋体"/>
          <w:color w:val="000000" w:themeColor="text1"/>
          <w:kern w:val="0"/>
          <w:highlight w:val="none"/>
          <w14:textFill>
            <w14:solidFill>
              <w14:schemeClr w14:val="tx1"/>
            </w14:solidFill>
          </w14:textFill>
        </w:rPr>
        <w:t>）投标文件分为电子投标文件以及备份投标文件，备份投标文件为以</w:t>
      </w:r>
      <w:r>
        <w:rPr>
          <w:rFonts w:ascii="宋体" w:hAnsi="宋体" w:cs="宋体"/>
          <w:color w:val="000000" w:themeColor="text1"/>
          <w:kern w:val="0"/>
          <w:highlight w:val="none"/>
          <w14:textFill>
            <w14:solidFill>
              <w14:schemeClr w14:val="tx1"/>
            </w14:solidFill>
          </w14:textFill>
        </w:rPr>
        <w:t xml:space="preserve"> U </w:t>
      </w:r>
      <w:r>
        <w:rPr>
          <w:rFonts w:hint="eastAsia" w:ascii="宋体" w:hAnsi="宋体" w:cs="宋体"/>
          <w:color w:val="000000" w:themeColor="text1"/>
          <w:kern w:val="0"/>
          <w:highlight w:val="none"/>
          <w14:textFill>
            <w14:solidFill>
              <w14:schemeClr w14:val="tx1"/>
            </w14:solidFill>
          </w14:textFill>
        </w:rPr>
        <w:t>盘存储的电子备份投标文件。</w:t>
      </w:r>
    </w:p>
    <w:p>
      <w:pPr>
        <w:widowControl/>
        <w:spacing w:line="360" w:lineRule="auto"/>
        <w:ind w:firstLine="420" w:firstLineChars="200"/>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w:t>
      </w:r>
      <w:r>
        <w:rPr>
          <w:rFonts w:ascii="宋体" w:hAnsi="宋体" w:cs="宋体"/>
          <w:color w:val="000000" w:themeColor="text1"/>
          <w:kern w:val="0"/>
          <w:highlight w:val="none"/>
          <w14:textFill>
            <w14:solidFill>
              <w14:schemeClr w14:val="tx1"/>
            </w14:solidFill>
          </w14:textFill>
        </w:rPr>
        <w:t>2</w:t>
      </w:r>
      <w:r>
        <w:rPr>
          <w:rFonts w:hint="eastAsia" w:ascii="宋体" w:hAnsi="宋体" w:cs="宋体"/>
          <w:color w:val="000000" w:themeColor="text1"/>
          <w:kern w:val="0"/>
          <w:highlight w:val="none"/>
          <w14:textFill>
            <w14:solidFill>
              <w14:schemeClr w14:val="tx1"/>
            </w14:solidFill>
          </w14:textFill>
        </w:rPr>
        <w:t>）电子投标文件，按“政采云供应商项目采购</w:t>
      </w:r>
      <w:r>
        <w:rPr>
          <w:rFonts w:asci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电子招投标操作指南”及本招标文件要求制作、加密并递交。</w:t>
      </w:r>
    </w:p>
    <w:p>
      <w:pPr>
        <w:widowControl/>
        <w:spacing w:line="360" w:lineRule="auto"/>
        <w:ind w:firstLine="420" w:firstLineChars="200"/>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w:t>
      </w:r>
      <w:r>
        <w:rPr>
          <w:rFonts w:ascii="宋体" w:hAnsi="宋体" w:cs="宋体"/>
          <w:color w:val="000000" w:themeColor="text1"/>
          <w:kern w:val="0"/>
          <w:highlight w:val="none"/>
          <w14:textFill>
            <w14:solidFill>
              <w14:schemeClr w14:val="tx1"/>
            </w14:solidFill>
          </w14:textFill>
        </w:rPr>
        <w:t>3</w:t>
      </w:r>
      <w:r>
        <w:rPr>
          <w:rFonts w:hint="eastAsia" w:ascii="宋体" w:hAnsi="宋体" w:cs="宋体"/>
          <w:color w:val="000000" w:themeColor="text1"/>
          <w:kern w:val="0"/>
          <w:highlight w:val="none"/>
          <w14:textFill>
            <w14:solidFill>
              <w14:schemeClr w14:val="tx1"/>
            </w14:solidFill>
          </w14:textFill>
        </w:rPr>
        <w:t>）以</w:t>
      </w:r>
      <w:r>
        <w:rPr>
          <w:rFonts w:ascii="宋体" w:hAnsi="宋体" w:cs="宋体"/>
          <w:color w:val="000000" w:themeColor="text1"/>
          <w:kern w:val="0"/>
          <w:highlight w:val="none"/>
          <w14:textFill>
            <w14:solidFill>
              <w14:schemeClr w14:val="tx1"/>
            </w14:solidFill>
          </w14:textFill>
        </w:rPr>
        <w:t xml:space="preserve"> U </w:t>
      </w:r>
      <w:r>
        <w:rPr>
          <w:rFonts w:hint="eastAsia" w:ascii="宋体" w:hAnsi="宋体" w:cs="宋体"/>
          <w:color w:val="000000" w:themeColor="text1"/>
          <w:kern w:val="0"/>
          <w:highlight w:val="none"/>
          <w14:textFill>
            <w14:solidFill>
              <w14:schemeClr w14:val="tx1"/>
            </w14:solidFill>
          </w14:textFill>
        </w:rPr>
        <w:t>盘存储的电子备份投标文件，须按“政采云供应商项目采购</w:t>
      </w:r>
      <w:r>
        <w:rPr>
          <w:rFonts w:asci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电子招投标操作指南”制作的备份文件（后缀格式为“</w:t>
      </w:r>
      <w:r>
        <w:rPr>
          <w:rFonts w:ascii="宋体" w:hAnsi="宋体" w:cs="宋体"/>
          <w:color w:val="000000" w:themeColor="text1"/>
          <w:kern w:val="0"/>
          <w:highlight w:val="none"/>
          <w14:textFill>
            <w14:solidFill>
              <w14:schemeClr w14:val="tx1"/>
            </w14:solidFill>
          </w14:textFill>
        </w:rPr>
        <w:t>.bfbs</w:t>
      </w:r>
      <w:r>
        <w:rPr>
          <w:rFonts w:hint="eastAsia" w:ascii="宋体" w:hAnsi="宋体" w:cs="宋体"/>
          <w:color w:val="000000" w:themeColor="text1"/>
          <w:kern w:val="0"/>
          <w:highlight w:val="none"/>
          <w14:textFill>
            <w14:solidFill>
              <w14:schemeClr w14:val="tx1"/>
            </w14:solidFill>
          </w14:textFill>
        </w:rPr>
        <w:t>”）。因</w:t>
      </w:r>
      <w:r>
        <w:rPr>
          <w:rFonts w:ascii="宋体" w:hAnsi="宋体" w:cs="宋体"/>
          <w:color w:val="000000" w:themeColor="text1"/>
          <w:kern w:val="0"/>
          <w:highlight w:val="none"/>
          <w14:textFill>
            <w14:solidFill>
              <w14:schemeClr w14:val="tx1"/>
            </w14:solidFill>
          </w14:textFill>
        </w:rPr>
        <w:t xml:space="preserve"> U </w:t>
      </w:r>
      <w:r>
        <w:rPr>
          <w:rFonts w:hint="eastAsia" w:ascii="宋体" w:hAnsi="宋体" w:cs="宋体"/>
          <w:color w:val="000000" w:themeColor="text1"/>
          <w:kern w:val="0"/>
          <w:highlight w:val="none"/>
          <w14:textFill>
            <w14:solidFill>
              <w14:schemeClr w14:val="tx1"/>
            </w14:solidFill>
          </w14:textFill>
        </w:rPr>
        <w:t>盘损坏无法正常获取电子备份文件或</w:t>
      </w:r>
      <w:r>
        <w:rPr>
          <w:rFonts w:ascii="宋体" w:hAnsi="宋体" w:cs="宋体"/>
          <w:color w:val="000000" w:themeColor="text1"/>
          <w:kern w:val="0"/>
          <w:highlight w:val="none"/>
          <w14:textFill>
            <w14:solidFill>
              <w14:schemeClr w14:val="tx1"/>
            </w14:solidFill>
          </w14:textFill>
        </w:rPr>
        <w:t xml:space="preserve"> U </w:t>
      </w:r>
      <w:r>
        <w:rPr>
          <w:rFonts w:hint="eastAsia" w:ascii="宋体" w:hAnsi="宋体" w:cs="宋体"/>
          <w:color w:val="000000" w:themeColor="text1"/>
          <w:kern w:val="0"/>
          <w:highlight w:val="none"/>
          <w14:textFill>
            <w14:solidFill>
              <w14:schemeClr w14:val="tx1"/>
            </w14:solidFill>
          </w14:textFill>
        </w:rPr>
        <w:t>盘存储的电子备份投标文件格式原因未能成功上传政采云系统的均作无效标处理，一切责任由投标人自行负责。</w:t>
      </w:r>
    </w:p>
    <w:p>
      <w:pPr>
        <w:spacing w:line="400" w:lineRule="exact"/>
        <w:ind w:firstLine="420" w:firstLineChars="200"/>
        <w:rPr>
          <w:rFonts w:ascii="宋体"/>
          <w:color w:val="000000" w:themeColor="text1"/>
          <w:highlight w:val="none"/>
          <w14:textFill>
            <w14:solidFill>
              <w14:schemeClr w14:val="tx1"/>
            </w14:solidFill>
          </w14:textFill>
        </w:rPr>
      </w:pPr>
      <w:r>
        <w:rPr>
          <w:rFonts w:hint="eastAsia" w:ascii="宋体" w:hAnsi="宋体" w:cs="宋体"/>
          <w:b/>
          <w:bCs/>
          <w:color w:val="000000" w:themeColor="text1"/>
          <w:kern w:val="0"/>
          <w:highlight w:val="none"/>
          <w14:textFill>
            <w14:solidFill>
              <w14:schemeClr w14:val="tx1"/>
            </w14:solidFill>
          </w14:textFill>
        </w:rPr>
        <w:t>（</w:t>
      </w:r>
      <w:r>
        <w:rPr>
          <w:rFonts w:ascii="宋体" w:hAnsi="宋体" w:cs="宋体"/>
          <w:b/>
          <w:bCs/>
          <w:color w:val="000000" w:themeColor="text1"/>
          <w:kern w:val="0"/>
          <w:highlight w:val="none"/>
          <w14:textFill>
            <w14:solidFill>
              <w14:schemeClr w14:val="tx1"/>
            </w14:solidFill>
          </w14:textFill>
        </w:rPr>
        <w:t>4</w:t>
      </w:r>
      <w:r>
        <w:rPr>
          <w:rFonts w:hint="eastAsia" w:ascii="宋体" w:hAnsi="宋体" w:cs="宋体"/>
          <w:b/>
          <w:bCs/>
          <w:color w:val="000000" w:themeColor="text1"/>
          <w:kern w:val="0"/>
          <w:highlight w:val="none"/>
          <w14:textFill>
            <w14:solidFill>
              <w14:schemeClr w14:val="tx1"/>
            </w14:solidFill>
          </w14:textFill>
        </w:rPr>
        <w:t>）投标文件的效力：投标文件的启用，按先后顺位分别为电子投标文件、以</w:t>
      </w:r>
      <w:r>
        <w:rPr>
          <w:rFonts w:ascii="宋体" w:hAnsi="宋体" w:cs="宋体"/>
          <w:b/>
          <w:bCs/>
          <w:color w:val="000000" w:themeColor="text1"/>
          <w:kern w:val="0"/>
          <w:highlight w:val="none"/>
          <w14:textFill>
            <w14:solidFill>
              <w14:schemeClr w14:val="tx1"/>
            </w14:solidFill>
          </w14:textFill>
        </w:rPr>
        <w:t xml:space="preserve"> U </w:t>
      </w:r>
      <w:r>
        <w:rPr>
          <w:rFonts w:hint="eastAsia" w:ascii="宋体" w:hAnsi="宋体" w:cs="宋体"/>
          <w:b/>
          <w:bCs/>
          <w:color w:val="000000" w:themeColor="text1"/>
          <w:kern w:val="0"/>
          <w:highlight w:val="none"/>
          <w14:textFill>
            <w14:solidFill>
              <w14:schemeClr w14:val="tx1"/>
            </w14:solidFill>
          </w14:textFill>
        </w:rPr>
        <w:t>盘存储的电子备份投标文件。在下一顺位的投标文件启用时，前一顺位的投标文件自动失效。电子投标文件未能按时解密，供应商提供了电子备份投标文件，以电子备份投标文件作为依据，否则视为投标文件撤回。电子投标文件已按时解密的，电子备份投标文件自动失效。</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9.2</w:t>
      </w:r>
      <w:r>
        <w:rPr>
          <w:rFonts w:hint="eastAsia" w:ascii="宋体" w:hAnsi="宋体" w:cs="宋体"/>
          <w:color w:val="000000" w:themeColor="text1"/>
          <w:kern w:val="0"/>
          <w:highlight w:val="none"/>
          <w14:textFill>
            <w14:solidFill>
              <w14:schemeClr w14:val="tx1"/>
            </w14:solidFill>
          </w14:textFill>
        </w:rPr>
        <w:t>投标文件由资格文件、商务技术文件和报价文件三部分组成，资格文件、商务技术文件、报价文件分别编制；电子投标文件中所须加盖公章部分均采用</w:t>
      </w:r>
      <w:r>
        <w:rPr>
          <w:rFonts w:ascii="宋体" w:hAnsi="宋体" w:cs="宋体"/>
          <w:color w:val="000000" w:themeColor="text1"/>
          <w:kern w:val="0"/>
          <w:highlight w:val="none"/>
          <w14:textFill>
            <w14:solidFill>
              <w14:schemeClr w14:val="tx1"/>
            </w14:solidFill>
          </w14:textFill>
        </w:rPr>
        <w:t xml:space="preserve"> CA </w:t>
      </w:r>
      <w:r>
        <w:rPr>
          <w:rFonts w:hint="eastAsia" w:ascii="宋体" w:hAnsi="宋体" w:cs="宋体"/>
          <w:color w:val="000000" w:themeColor="text1"/>
          <w:kern w:val="0"/>
          <w:highlight w:val="none"/>
          <w14:textFill>
            <w14:solidFill>
              <w14:schemeClr w14:val="tx1"/>
            </w14:solidFill>
          </w14:textFill>
        </w:rPr>
        <w:t>签章。</w:t>
      </w:r>
      <w:r>
        <w:rPr>
          <w:rFonts w:hint="eastAsia" w:ascii="宋体" w:hAnsi="宋体" w:cs="宋体"/>
          <w:color w:val="000000" w:themeColor="text1"/>
          <w:highlight w:val="none"/>
          <w14:textFill>
            <w14:solidFill>
              <w14:schemeClr w14:val="tx1"/>
            </w14:solidFill>
          </w14:textFill>
        </w:rPr>
        <w:t>具体组成内容在本招标文件“投标资料表”中做出规定。</w:t>
      </w:r>
    </w:p>
    <w:p>
      <w:pPr>
        <w:spacing w:line="44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9.3</w:t>
      </w:r>
      <w:r>
        <w:rPr>
          <w:rFonts w:hint="eastAsia" w:ascii="宋体" w:hAnsi="宋体" w:cs="宋体"/>
          <w:color w:val="000000" w:themeColor="text1"/>
          <w:highlight w:val="none"/>
          <w14:textFill>
            <w14:solidFill>
              <w14:schemeClr w14:val="tx1"/>
            </w14:solidFill>
          </w14:textFill>
        </w:rPr>
        <w:t>组成投标文件的各项资料中本招标书的有规定格式的，应统一按本招标书的规定格式填写。未有规定格式的资料，投标人应自行编制，但至少要包含组成投标文件要求的内容。</w:t>
      </w:r>
    </w:p>
    <w:p>
      <w:pPr>
        <w:spacing w:line="440" w:lineRule="exact"/>
        <w:rPr>
          <w:rFonts w:ascii="宋体"/>
          <w:color w:val="000000" w:themeColor="text1"/>
          <w:highlight w:val="none"/>
          <w14:textFill>
            <w14:solidFill>
              <w14:schemeClr w14:val="tx1"/>
            </w14:solidFill>
          </w14:textFill>
        </w:rPr>
      </w:pP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10.  </w:t>
      </w:r>
      <w:r>
        <w:rPr>
          <w:rFonts w:hint="eastAsia" w:ascii="宋体" w:hAnsi="宋体" w:cs="宋体"/>
          <w:b/>
          <w:bCs/>
          <w:color w:val="000000" w:themeColor="text1"/>
          <w:highlight w:val="none"/>
          <w14:textFill>
            <w14:solidFill>
              <w14:schemeClr w14:val="tx1"/>
            </w14:solidFill>
          </w14:textFill>
        </w:rPr>
        <w:t>投标报价</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10.1</w:t>
      </w:r>
      <w:r>
        <w:rPr>
          <w:rFonts w:hint="eastAsia" w:ascii="宋体" w:hAnsi="宋体" w:cs="宋体"/>
          <w:color w:val="000000" w:themeColor="text1"/>
          <w:highlight w:val="none"/>
          <w14:textFill>
            <w14:solidFill>
              <w14:schemeClr w14:val="tx1"/>
            </w14:solidFill>
          </w14:textFill>
        </w:rPr>
        <w:t>本次招标对投标报价组成的具体要求在招标文件“投标资料表”中做出规定。</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10.2  </w:t>
      </w:r>
      <w:r>
        <w:rPr>
          <w:rFonts w:hint="eastAsia" w:ascii="宋体" w:hAnsi="宋体" w:cs="宋体"/>
          <w:color w:val="000000" w:themeColor="text1"/>
          <w:highlight w:val="none"/>
          <w14:textFill>
            <w14:solidFill>
              <w14:schemeClr w14:val="tx1"/>
            </w14:solidFill>
          </w14:textFill>
        </w:rPr>
        <w:t>投标人要按照招标文件中的“开标一览表”格式和内容完整填写投标总价及其他事项。</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10.3</w:t>
      </w:r>
      <w:r>
        <w:rPr>
          <w:rFonts w:hint="eastAsia" w:ascii="宋体" w:hAnsi="宋体" w:cs="宋体"/>
          <w:color w:val="000000" w:themeColor="text1"/>
          <w:highlight w:val="none"/>
          <w14:textFill>
            <w14:solidFill>
              <w14:schemeClr w14:val="tx1"/>
            </w14:solidFill>
          </w14:textFill>
        </w:rPr>
        <w:t>除非招标文件另有备选投标方案的规定，投标应该只有一个投标报价。投标人若有投标声明，应载明在“开标一览表”中，供开标时唱出，未经唱出的声明在评标时不作考虑。</w:t>
      </w: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10.4  </w:t>
      </w:r>
      <w:r>
        <w:rPr>
          <w:rFonts w:hint="eastAsia" w:ascii="宋体" w:hAnsi="宋体" w:cs="宋体"/>
          <w:color w:val="000000" w:themeColor="text1"/>
          <w:highlight w:val="none"/>
          <w14:textFill>
            <w14:solidFill>
              <w14:schemeClr w14:val="tx1"/>
            </w14:solidFill>
          </w14:textFill>
        </w:rPr>
        <w:t>开标后以及在评标及中标后的合同执行过程中，投标人不得以任何理由变更投标价格。</w:t>
      </w:r>
      <w:r>
        <w:rPr>
          <w:rFonts w:hint="eastAsia" w:ascii="宋体" w:hAnsi="宋体" w:cs="宋体"/>
          <w:b/>
          <w:bCs/>
          <w:color w:val="000000" w:themeColor="text1"/>
          <w:highlight w:val="none"/>
          <w14:textFill>
            <w14:solidFill>
              <w14:schemeClr w14:val="tx1"/>
            </w14:solidFill>
          </w14:textFill>
        </w:rPr>
        <w:t>若投标人在中标以后做出任何改变投标价格的决定，将被视作撤标而失去中标资格。</w:t>
      </w: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10.5  </w:t>
      </w:r>
      <w:r>
        <w:rPr>
          <w:rFonts w:hint="eastAsia" w:ascii="宋体" w:hAnsi="宋体" w:cs="宋体"/>
          <w:b/>
          <w:bCs/>
          <w:color w:val="000000" w:themeColor="text1"/>
          <w:highlight w:val="none"/>
          <w14:textFill>
            <w14:solidFill>
              <w14:schemeClr w14:val="tx1"/>
            </w14:solidFill>
          </w14:textFill>
        </w:rPr>
        <w:t>本项目采用最高投标限价，超过最高限价的投标文件无效。</w:t>
      </w: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10.6  </w:t>
      </w:r>
      <w:r>
        <w:rPr>
          <w:rFonts w:hint="eastAsia" w:ascii="宋体" w:hAnsi="宋体" w:cs="宋体"/>
          <w:color w:val="000000" w:themeColor="text1"/>
          <w:highlight w:val="none"/>
          <w14:textFill>
            <w14:solidFill>
              <w14:schemeClr w14:val="tx1"/>
            </w14:solidFill>
          </w14:textFill>
        </w:rPr>
        <w:t>本项目的投标货币为人民币。</w:t>
      </w:r>
    </w:p>
    <w:p>
      <w:pPr>
        <w:spacing w:line="400" w:lineRule="exact"/>
        <w:rPr>
          <w:rFonts w:ascii="宋体"/>
          <w:b/>
          <w:bCs/>
          <w:color w:val="000000" w:themeColor="text1"/>
          <w:highlight w:val="none"/>
          <w14:textFill>
            <w14:solidFill>
              <w14:schemeClr w14:val="tx1"/>
            </w14:solidFill>
          </w14:textFill>
        </w:rPr>
      </w:pP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11.  </w:t>
      </w:r>
      <w:r>
        <w:rPr>
          <w:rFonts w:hint="eastAsia" w:ascii="宋体" w:hAnsi="宋体" w:cs="宋体"/>
          <w:b/>
          <w:bCs/>
          <w:color w:val="000000" w:themeColor="text1"/>
          <w:highlight w:val="none"/>
          <w14:textFill>
            <w14:solidFill>
              <w14:schemeClr w14:val="tx1"/>
            </w14:solidFill>
          </w14:textFill>
        </w:rPr>
        <w:t>投标文件的格式和编写</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11.1</w:t>
      </w:r>
      <w:r>
        <w:rPr>
          <w:rFonts w:hint="eastAsia" w:ascii="宋体" w:hAnsi="宋体" w:cs="宋体"/>
          <w:color w:val="000000" w:themeColor="text1"/>
          <w:highlight w:val="none"/>
          <w14:textFill>
            <w14:solidFill>
              <w14:schemeClr w14:val="tx1"/>
            </w14:solidFill>
          </w14:textFill>
        </w:rPr>
        <w:t xml:space="preserve">  投标文件须按“投标文件的有关格式”提供的统一格式填写、签署和加盖公章。</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11.2 </w:t>
      </w:r>
      <w:r>
        <w:rPr>
          <w:rFonts w:hint="eastAsia" w:ascii="宋体" w:hAnsi="宋体" w:cs="宋体"/>
          <w:color w:val="000000" w:themeColor="text1"/>
          <w:highlight w:val="none"/>
          <w14:textFill>
            <w14:solidFill>
              <w14:schemeClr w14:val="tx1"/>
            </w14:solidFill>
          </w14:textFill>
        </w:rPr>
        <w:t xml:space="preserve"> “开标一览表”应按照统一格式填写，不得自行增减内容。</w:t>
      </w:r>
    </w:p>
    <w:p>
      <w:pPr>
        <w:widowControl/>
        <w:spacing w:line="360" w:lineRule="auto"/>
        <w:rPr>
          <w:rFonts w:ascii="宋体" w:hAnsi="宋体" w:cs="宋体"/>
          <w:color w:val="000000" w:themeColor="text1"/>
          <w:highlight w:val="none"/>
          <w14:textFill>
            <w14:solidFill>
              <w14:schemeClr w14:val="tx1"/>
            </w14:solidFill>
          </w14:textFill>
        </w:rPr>
      </w:pPr>
      <w:r>
        <w:rPr>
          <w:rFonts w:hint="eastAsia" w:cs="宋体" w:asciiTheme="minorEastAsia" w:hAnsiTheme="minorEastAsia" w:eastAsiaTheme="minorEastAsia"/>
          <w:b/>
          <w:color w:val="000000" w:themeColor="text1"/>
          <w:highlight w:val="none"/>
          <w14:textFill>
            <w14:solidFill>
              <w14:schemeClr w14:val="tx1"/>
            </w14:solidFill>
          </w14:textFill>
        </w:rPr>
        <w:t xml:space="preserve">11.3  </w:t>
      </w:r>
      <w:r>
        <w:rPr>
          <w:rFonts w:hint="eastAsia" w:cs="宋体" w:asciiTheme="minorEastAsia" w:hAnsiTheme="minorEastAsia" w:eastAsiaTheme="minorEastAsia"/>
          <w:bCs/>
          <w:color w:val="000000" w:themeColor="text1"/>
          <w:highlight w:val="none"/>
          <w14:textFill>
            <w14:solidFill>
              <w14:schemeClr w14:val="tx1"/>
            </w14:solidFill>
          </w14:textFill>
        </w:rPr>
        <w:t>投标书文件数量</w:t>
      </w:r>
      <w:r>
        <w:rPr>
          <w:rFonts w:hint="eastAsia" w:ascii="宋体" w:hAnsi="宋体" w:cs="宋体"/>
          <w:color w:val="000000" w:themeColor="text1"/>
          <w:highlight w:val="none"/>
          <w14:textFill>
            <w14:solidFill>
              <w14:schemeClr w14:val="tx1"/>
            </w14:solidFill>
          </w14:textFill>
        </w:rPr>
        <w:t>的具体要求在招标文件“投标资料表”中做出规定。</w:t>
      </w:r>
    </w:p>
    <w:p>
      <w:pPr>
        <w:widowControl/>
        <w:spacing w:line="360" w:lineRule="auto"/>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color w:val="000000" w:themeColor="text1"/>
          <w:highlight w:val="none"/>
          <w14:textFill>
            <w14:solidFill>
              <w14:schemeClr w14:val="tx1"/>
            </w14:solidFill>
          </w14:textFill>
        </w:rPr>
        <w:t xml:space="preserve">1.4  </w:t>
      </w:r>
      <w:r>
        <w:rPr>
          <w:rFonts w:hint="eastAsia" w:cs="宋体" w:asciiTheme="minorEastAsia" w:hAnsiTheme="minorEastAsia" w:eastAsiaTheme="minorEastAsia"/>
          <w:b/>
          <w:bCs/>
          <w:color w:val="000000" w:themeColor="text1"/>
          <w:kern w:val="0"/>
          <w:highlight w:val="none"/>
          <w14:textFill>
            <w14:solidFill>
              <w14:schemeClr w14:val="tx1"/>
            </w14:solidFill>
          </w14:textFill>
        </w:rPr>
        <w:t xml:space="preserve">电子投标文件部分：投标人应根据“政采云供应商项目采购-电子招投标操作指南”及本招标文件规定的格式和顺序编制电子投标文件并进行关联定位；电子投标文件中须加盖投标人公章部分均采用 CA 签章，签字部分可用 CA 锁法人章（如有），未申请法人章的将签名部分签好后以扫描件形式上传至投标文件（具体操作请咨询政采云 400-8817190）。 </w:t>
      </w:r>
    </w:p>
    <w:p>
      <w:pPr>
        <w:spacing w:line="400" w:lineRule="exac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11.5 </w:t>
      </w:r>
      <w:r>
        <w:rPr>
          <w:rFonts w:hint="eastAsia" w:ascii="宋体" w:hAnsi="宋体" w:cs="宋体"/>
          <w:color w:val="000000" w:themeColor="text1"/>
          <w:highlight w:val="none"/>
          <w14:textFill>
            <w14:solidFill>
              <w14:schemeClr w14:val="tx1"/>
            </w14:solidFill>
          </w14:textFill>
        </w:rPr>
        <w:t>除招标文件有特殊要求外，投标文件中所使用的计量单位应采用国家法定计量单位。</w:t>
      </w:r>
    </w:p>
    <w:p>
      <w:pPr>
        <w:spacing w:line="400" w:lineRule="exact"/>
        <w:rPr>
          <w:rFonts w:ascii="宋体" w:hAnsi="宋体" w:cs="宋体"/>
          <w:color w:val="000000" w:themeColor="text1"/>
          <w:highlight w:val="none"/>
          <w14:textFill>
            <w14:solidFill>
              <w14:schemeClr w14:val="tx1"/>
            </w14:solidFill>
          </w14:textFill>
        </w:rPr>
      </w:pP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12. </w:t>
      </w:r>
      <w:r>
        <w:rPr>
          <w:rFonts w:hint="eastAsia" w:ascii="宋体" w:hAnsi="宋体" w:cs="宋体"/>
          <w:b/>
          <w:bCs/>
          <w:color w:val="000000" w:themeColor="text1"/>
          <w:highlight w:val="none"/>
          <w14:textFill>
            <w14:solidFill>
              <w14:schemeClr w14:val="tx1"/>
            </w14:solidFill>
          </w14:textFill>
        </w:rPr>
        <w:t>投标有效期</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12.1 </w:t>
      </w:r>
      <w:r>
        <w:rPr>
          <w:rFonts w:hint="eastAsia" w:ascii="宋体" w:hAnsi="宋体" w:cs="宋体"/>
          <w:color w:val="000000" w:themeColor="text1"/>
          <w:highlight w:val="none"/>
          <w14:textFill>
            <w14:solidFill>
              <w14:schemeClr w14:val="tx1"/>
            </w14:solidFill>
          </w14:textFill>
        </w:rPr>
        <w:t>投标有效期在本招标文件“投标资料表”中做出规定。投标有效期从提交投标文件的截止之日起算。投标文件中承诺的投标有效期应当不少于招标文件中载明的投标有效期。投标有效期内投标人撤销投标文件的，采购人或者采购代理机构可以不退还投标保证金。</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12.2  </w:t>
      </w:r>
      <w:r>
        <w:rPr>
          <w:rFonts w:hint="eastAsia" w:ascii="宋体" w:hAnsi="宋体" w:cs="宋体"/>
          <w:color w:val="000000" w:themeColor="text1"/>
          <w:highlight w:val="none"/>
          <w14:textFill>
            <w14:solidFill>
              <w14:schemeClr w14:val="tx1"/>
            </w14:solidFill>
          </w14:textFill>
        </w:rPr>
        <w:t>在特殊情况下，在原投标有效期截止之前，应采购人要求，采购代理机构可要求投标人延长投标有效期，这种要求的提出和投标人的答复都应以书面（含传真）的形式进行。同意延长有效期的投标人不会被要求或允许修改其投标文件。若投标人不接受延期要求，则其投标失效，其投标保证金予以退还。</w:t>
      </w:r>
    </w:p>
    <w:p>
      <w:pPr>
        <w:spacing w:line="400" w:lineRule="exact"/>
        <w:rPr>
          <w:rFonts w:ascii="宋体"/>
          <w:color w:val="000000" w:themeColor="text1"/>
          <w:highlight w:val="none"/>
          <w14:textFill>
            <w14:solidFill>
              <w14:schemeClr w14:val="tx1"/>
            </w14:solidFill>
          </w14:textFill>
        </w:rPr>
      </w:pP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13  </w:t>
      </w:r>
      <w:r>
        <w:rPr>
          <w:rFonts w:hint="eastAsia" w:ascii="宋体" w:hAnsi="宋体" w:cs="宋体"/>
          <w:b/>
          <w:bCs/>
          <w:color w:val="000000" w:themeColor="text1"/>
          <w:highlight w:val="none"/>
          <w14:textFill>
            <w14:solidFill>
              <w14:schemeClr w14:val="tx1"/>
            </w14:solidFill>
          </w14:textFill>
        </w:rPr>
        <w:t>投标保证金</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本项目无需缴纳投标保证金。</w:t>
      </w:r>
    </w:p>
    <w:p>
      <w:pPr>
        <w:spacing w:line="400" w:lineRule="exact"/>
        <w:rPr>
          <w:rFonts w:ascii="宋体"/>
          <w:color w:val="000000" w:themeColor="text1"/>
          <w:sz w:val="24"/>
          <w:szCs w:val="24"/>
          <w:highlight w:val="none"/>
          <w:u w:val="single"/>
          <w14:textFill>
            <w14:solidFill>
              <w14:schemeClr w14:val="tx1"/>
            </w14:solidFill>
          </w14:textFill>
        </w:rPr>
      </w:pPr>
    </w:p>
    <w:p>
      <w:pPr>
        <w:jc w:val="center"/>
        <w:outlineLvl w:val="1"/>
        <w:rPr>
          <w:rFonts w:ascii="宋体"/>
          <w:b/>
          <w:bCs/>
          <w:color w:val="000000" w:themeColor="text1"/>
          <w:sz w:val="28"/>
          <w:szCs w:val="28"/>
          <w:highlight w:val="none"/>
          <w14:textFill>
            <w14:solidFill>
              <w14:schemeClr w14:val="tx1"/>
            </w14:solidFill>
          </w14:textFill>
        </w:rPr>
      </w:pPr>
      <w:bookmarkStart w:id="115" w:name="_Toc513799074"/>
      <w:bookmarkStart w:id="116" w:name="_Toc3901"/>
      <w:bookmarkStart w:id="117" w:name="_Toc141797117"/>
      <w:bookmarkStart w:id="118" w:name="_Toc520902397"/>
      <w:bookmarkStart w:id="119" w:name="_Toc141797677"/>
      <w:bookmarkStart w:id="120" w:name="_Toc440276564"/>
      <w:bookmarkStart w:id="121" w:name="_Toc3843"/>
      <w:bookmarkStart w:id="122" w:name="_Toc513798903"/>
      <w:r>
        <w:rPr>
          <w:rFonts w:ascii="宋体" w:hAnsi="宋体" w:cs="宋体"/>
          <w:b/>
          <w:bCs/>
          <w:color w:val="000000" w:themeColor="text1"/>
          <w:sz w:val="28"/>
          <w:szCs w:val="28"/>
          <w:highlight w:val="none"/>
          <w14:textFill>
            <w14:solidFill>
              <w14:schemeClr w14:val="tx1"/>
            </w14:solidFill>
          </w14:textFill>
        </w:rPr>
        <w:t xml:space="preserve">D  </w:t>
      </w:r>
      <w:r>
        <w:rPr>
          <w:rFonts w:hint="eastAsia" w:ascii="宋体" w:hAnsi="宋体" w:cs="宋体"/>
          <w:b/>
          <w:bCs/>
          <w:color w:val="000000" w:themeColor="text1"/>
          <w:sz w:val="28"/>
          <w:szCs w:val="28"/>
          <w:highlight w:val="none"/>
          <w14:textFill>
            <w14:solidFill>
              <w14:schemeClr w14:val="tx1"/>
            </w14:solidFill>
          </w14:textFill>
        </w:rPr>
        <w:t>投标文件的递交</w:t>
      </w:r>
      <w:bookmarkEnd w:id="115"/>
      <w:bookmarkEnd w:id="116"/>
      <w:bookmarkEnd w:id="117"/>
      <w:bookmarkEnd w:id="118"/>
      <w:bookmarkEnd w:id="119"/>
      <w:bookmarkEnd w:id="120"/>
      <w:bookmarkEnd w:id="121"/>
      <w:bookmarkEnd w:id="122"/>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14.</w:t>
      </w:r>
      <w:r>
        <w:rPr>
          <w:rFonts w:hint="eastAsia" w:ascii="宋体" w:hAnsi="宋体" w:cs="宋体"/>
          <w:b/>
          <w:bCs/>
          <w:color w:val="000000" w:themeColor="text1"/>
          <w:highlight w:val="none"/>
          <w14:textFill>
            <w14:solidFill>
              <w14:schemeClr w14:val="tx1"/>
            </w14:solidFill>
          </w14:textFill>
        </w:rPr>
        <w:t>投标文件的装订、密封、标记和递送</w:t>
      </w:r>
    </w:p>
    <w:p>
      <w:pPr>
        <w:widowControl/>
        <w:spacing w:line="360" w:lineRule="auto"/>
        <w:ind w:firstLine="420" w:firstLineChars="200"/>
        <w:jc w:val="left"/>
        <w:rPr>
          <w:rFonts w:ascii="宋体"/>
          <w:color w:val="000000" w:themeColor="text1"/>
          <w:kern w:val="0"/>
          <w:sz w:val="24"/>
          <w:szCs w:val="24"/>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14.1  </w:t>
      </w:r>
      <w:r>
        <w:rPr>
          <w:rFonts w:hint="eastAsia" w:ascii="宋体" w:hAnsi="宋体" w:cs="宋体"/>
          <w:color w:val="000000" w:themeColor="text1"/>
          <w:kern w:val="0"/>
          <w:highlight w:val="none"/>
          <w14:textFill>
            <w14:solidFill>
              <w14:schemeClr w14:val="tx1"/>
            </w14:solidFill>
          </w14:textFill>
        </w:rPr>
        <w:t>电子投标文件：供应商应根据“项目采购</w:t>
      </w:r>
      <w:r>
        <w:rPr>
          <w:rFonts w:asci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电子招投标操作指南”及本招标文件规定的格式和顺序编制电子投标文件并进行关联定位。</w:t>
      </w:r>
    </w:p>
    <w:p>
      <w:pPr>
        <w:widowControl/>
        <w:spacing w:line="360" w:lineRule="auto"/>
        <w:ind w:firstLine="420" w:firstLineChars="200"/>
        <w:jc w:val="left"/>
        <w:rPr>
          <w:rFonts w:ascii="宋体"/>
          <w:color w:val="000000" w:themeColor="text1"/>
          <w:kern w:val="0"/>
          <w:sz w:val="24"/>
          <w:szCs w:val="24"/>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14.</w:t>
      </w:r>
      <w:r>
        <w:rPr>
          <w:rFonts w:ascii="宋体" w:hAnsi="宋体" w:cs="宋体"/>
          <w:b/>
          <w:bCs/>
          <w:color w:val="000000" w:themeColor="text1"/>
          <w:kern w:val="0"/>
          <w:highlight w:val="none"/>
          <w14:textFill>
            <w14:solidFill>
              <w14:schemeClr w14:val="tx1"/>
            </w14:solidFill>
          </w14:textFill>
        </w:rPr>
        <w:t xml:space="preserve">2  </w:t>
      </w:r>
      <w:r>
        <w:rPr>
          <w:rFonts w:hint="eastAsia" w:ascii="宋体" w:hAnsi="宋体" w:cs="宋体"/>
          <w:b/>
          <w:bCs/>
          <w:color w:val="000000" w:themeColor="text1"/>
          <w:kern w:val="0"/>
          <w:highlight w:val="none"/>
          <w14:textFill>
            <w14:solidFill>
              <w14:schemeClr w14:val="tx1"/>
            </w14:solidFill>
          </w14:textFill>
        </w:rPr>
        <w:t>电子备份投标文件：单独包封，外包装封面上应注明投标人名称、投标人地址、投标文件名称（电子投标文件的备份文件）、投标项目名称、项目编号及“开标时启封”字样，并加盖投标人公章。</w:t>
      </w:r>
    </w:p>
    <w:p>
      <w:pPr>
        <w:widowControl/>
        <w:spacing w:line="360" w:lineRule="auto"/>
        <w:ind w:firstLine="420" w:firstLineChars="200"/>
        <w:jc w:val="left"/>
        <w:rPr>
          <w:rFonts w:ascii="宋体"/>
          <w:color w:val="000000" w:themeColor="text1"/>
          <w:kern w:val="0"/>
          <w:sz w:val="24"/>
          <w:szCs w:val="24"/>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14.</w:t>
      </w:r>
      <w:r>
        <w:rPr>
          <w:rFonts w:ascii="宋体" w:hAnsi="宋体" w:cs="宋体"/>
          <w:b/>
          <w:bCs/>
          <w:color w:val="000000" w:themeColor="text1"/>
          <w:kern w:val="0"/>
          <w:highlight w:val="none"/>
          <w14:textFill>
            <w14:solidFill>
              <w14:schemeClr w14:val="tx1"/>
            </w14:solidFill>
          </w14:textFill>
        </w:rPr>
        <w:t xml:space="preserve">3  </w:t>
      </w:r>
      <w:r>
        <w:rPr>
          <w:rFonts w:hint="eastAsia" w:ascii="宋体" w:hAnsi="宋体" w:cs="宋体"/>
          <w:b/>
          <w:bCs/>
          <w:color w:val="000000" w:themeColor="text1"/>
          <w:kern w:val="0"/>
          <w:highlight w:val="none"/>
          <w14:textFill>
            <w14:solidFill>
              <w14:schemeClr w14:val="tx1"/>
            </w14:solidFill>
          </w14:textFill>
        </w:rPr>
        <w:t>未按规定密封或标记的投标文件，采购人有权拒绝接受其投标。</w:t>
      </w:r>
    </w:p>
    <w:p>
      <w:pPr>
        <w:spacing w:line="400" w:lineRule="exact"/>
        <w:ind w:firstLine="420" w:firstLineChars="200"/>
        <w:rPr>
          <w:rFonts w:ascii="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14.</w:t>
      </w:r>
      <w:r>
        <w:rPr>
          <w:rFonts w:ascii="宋体" w:hAnsi="宋体" w:cs="宋体"/>
          <w:color w:val="000000" w:themeColor="text1"/>
          <w:kern w:val="0"/>
          <w:highlight w:val="none"/>
          <w14:textFill>
            <w14:solidFill>
              <w14:schemeClr w14:val="tx1"/>
            </w14:solidFill>
          </w14:textFill>
        </w:rPr>
        <w:t xml:space="preserve">4  </w:t>
      </w:r>
      <w:r>
        <w:rPr>
          <w:rFonts w:hint="eastAsia" w:ascii="宋体" w:hAnsi="宋体" w:cs="宋体"/>
          <w:color w:val="000000" w:themeColor="text1"/>
          <w:kern w:val="0"/>
          <w:highlight w:val="none"/>
          <w14:textFill>
            <w14:solidFill>
              <w14:schemeClr w14:val="tx1"/>
            </w14:solidFill>
          </w14:textFill>
        </w:rPr>
        <w:t>如果投标人未按上述要求密封或标记而造成投标文件被误投或提前拆封的风险由投标人承担。</w:t>
      </w:r>
    </w:p>
    <w:p>
      <w:pPr>
        <w:spacing w:line="400" w:lineRule="exact"/>
        <w:rPr>
          <w:rFonts w:ascii="宋体" w:hAnsi="宋体" w:cs="宋体"/>
          <w:b/>
          <w:bCs/>
          <w:color w:val="000000" w:themeColor="text1"/>
          <w:highlight w:val="none"/>
          <w14:textFill>
            <w14:solidFill>
              <w14:schemeClr w14:val="tx1"/>
            </w14:solidFill>
          </w14:textFill>
        </w:rPr>
      </w:pP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15.</w:t>
      </w:r>
      <w:r>
        <w:rPr>
          <w:rFonts w:hint="eastAsia" w:ascii="宋体" w:hAnsi="宋体" w:cs="宋体"/>
          <w:b/>
          <w:bCs/>
          <w:color w:val="000000" w:themeColor="text1"/>
          <w:highlight w:val="none"/>
          <w14:textFill>
            <w14:solidFill>
              <w14:schemeClr w14:val="tx1"/>
            </w14:solidFill>
          </w14:textFill>
        </w:rPr>
        <w:t>投标截止时间</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15.1 </w:t>
      </w:r>
      <w:r>
        <w:rPr>
          <w:rFonts w:hint="eastAsia" w:ascii="宋体" w:hAnsi="宋体" w:cs="宋体"/>
          <w:color w:val="000000" w:themeColor="text1"/>
          <w:highlight w:val="none"/>
          <w14:textFill>
            <w14:solidFill>
              <w14:schemeClr w14:val="tx1"/>
            </w14:solidFill>
          </w14:textFill>
        </w:rPr>
        <w:t>投标人应在招标文件要求提交（上传）投标文件的截止时间前，将投标文件上传至政府采购云平台。采购代理机构</w:t>
      </w:r>
      <w:r>
        <w:rPr>
          <w:rFonts w:hint="eastAsia" w:ascii="宋体" w:hAnsi="宋体" w:cs="宋体"/>
          <w:b/>
          <w:bCs/>
          <w:color w:val="000000" w:themeColor="text1"/>
          <w:highlight w:val="none"/>
          <w14:textFill>
            <w14:solidFill>
              <w14:schemeClr w14:val="tx1"/>
            </w14:solidFill>
          </w14:textFill>
        </w:rPr>
        <w:t>拒绝接收在投标截止时间以后提交（上传）的投标文件</w:t>
      </w:r>
      <w:r>
        <w:rPr>
          <w:rFonts w:hint="eastAsia" w:ascii="宋体" w:hAnsi="宋体" w:cs="宋体"/>
          <w:color w:val="000000" w:themeColor="text1"/>
          <w:highlight w:val="none"/>
          <w14:textFill>
            <w14:solidFill>
              <w14:schemeClr w14:val="tx1"/>
            </w14:solidFill>
          </w14:textFill>
        </w:rPr>
        <w:t>。</w:t>
      </w: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15.2</w:t>
      </w:r>
      <w:r>
        <w:rPr>
          <w:rFonts w:hint="eastAsia" w:ascii="宋体" w:hAnsi="宋体" w:cs="宋体"/>
          <w:color w:val="000000" w:themeColor="text1"/>
          <w:highlight w:val="none"/>
          <w14:textFill>
            <w14:solidFill>
              <w14:schemeClr w14:val="tx1"/>
            </w14:solidFill>
          </w14:textFill>
        </w:rPr>
        <w:t>采购代理机构因故需推迟投标截止时间、开标时间时，应提前以公告或书面的形式通知购买招标文件的所有潜在投标人。潜在投标人在收到通知后应立即以书面形式回复采购代理机构。在这种情况下，采购代理机构和潜在投标人相应的权利和义务将受到新的截止期的约束。</w:t>
      </w:r>
    </w:p>
    <w:p>
      <w:pPr>
        <w:spacing w:line="400" w:lineRule="exact"/>
        <w:rPr>
          <w:rFonts w:ascii="宋体"/>
          <w:color w:val="000000" w:themeColor="text1"/>
          <w:highlight w:val="none"/>
          <w14:textFill>
            <w14:solidFill>
              <w14:schemeClr w14:val="tx1"/>
            </w14:solidFill>
          </w14:textFill>
        </w:rPr>
      </w:pP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16.</w:t>
      </w:r>
      <w:r>
        <w:rPr>
          <w:rFonts w:hint="eastAsia" w:ascii="宋体" w:hAnsi="宋体" w:cs="宋体"/>
          <w:b/>
          <w:bCs/>
          <w:color w:val="000000" w:themeColor="text1"/>
          <w:highlight w:val="none"/>
          <w14:textFill>
            <w14:solidFill>
              <w14:schemeClr w14:val="tx1"/>
            </w14:solidFill>
          </w14:textFill>
        </w:rPr>
        <w:t>投标文件的修改和撤回</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16.1</w:t>
      </w:r>
      <w:r>
        <w:rPr>
          <w:rFonts w:hint="eastAsia" w:ascii="宋体" w:hAnsi="宋体" w:cs="宋体"/>
          <w:color w:val="000000" w:themeColor="text1"/>
          <w:highlight w:val="none"/>
          <w14:textFill>
            <w14:solidFill>
              <w14:schemeClr w14:val="tx1"/>
            </w14:solidFill>
          </w14:textFill>
        </w:rPr>
        <w:t xml:space="preserve">  投标人在投标截止时间前，可以对已经提交的投标文件进行补充、修改或者撤回。</w:t>
      </w:r>
    </w:p>
    <w:p>
      <w:pPr>
        <w:spacing w:line="400" w:lineRule="exact"/>
        <w:ind w:firstLine="630" w:firstLineChars="3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对已经完成传输递交的电子加密投标文件进行补充或者修改的，应当先行撤回原文件，补充、修改后重新传输递交。投标人在投标截止时间前未重新完成传输递交的，视为撤回投标文件。投标截止时间后递交的电子加密投标文件，电子交易平台将拒收。</w:t>
      </w:r>
    </w:p>
    <w:p>
      <w:pPr>
        <w:spacing w:line="400" w:lineRule="exact"/>
        <w:ind w:firstLine="630" w:firstLineChars="3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投标人在投标截止时间前递交了需要补充或修改的电子加密投标文件的备份投标文件，可以重新提交补充或修改后的备份投标文件。</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16.2</w:t>
      </w:r>
      <w:r>
        <w:rPr>
          <w:rFonts w:hint="eastAsia" w:ascii="宋体" w:hAnsi="宋体" w:cs="宋体"/>
          <w:color w:val="000000" w:themeColor="text1"/>
          <w:highlight w:val="none"/>
          <w14:textFill>
            <w14:solidFill>
              <w14:schemeClr w14:val="tx1"/>
            </w14:solidFill>
          </w14:textFill>
        </w:rPr>
        <w:t xml:space="preserve">  投标截止时间后，投标人不得对其投标文件进行补充、修改。</w:t>
      </w:r>
    </w:p>
    <w:p>
      <w:pPr>
        <w:spacing w:line="400" w:lineRule="exact"/>
        <w:rPr>
          <w:rFonts w:ascii="宋体"/>
          <w:color w:val="000000" w:themeColor="text1"/>
          <w:highlight w:val="none"/>
          <w14:textFill>
            <w14:solidFill>
              <w14:schemeClr w14:val="tx1"/>
            </w14:solidFill>
          </w14:textFill>
        </w:rPr>
      </w:pPr>
    </w:p>
    <w:p>
      <w:pPr>
        <w:jc w:val="center"/>
        <w:outlineLvl w:val="1"/>
        <w:rPr>
          <w:rFonts w:ascii="宋体"/>
          <w:b/>
          <w:bCs/>
          <w:color w:val="000000" w:themeColor="text1"/>
          <w:sz w:val="28"/>
          <w:szCs w:val="28"/>
          <w:highlight w:val="none"/>
          <w14:textFill>
            <w14:solidFill>
              <w14:schemeClr w14:val="tx1"/>
            </w14:solidFill>
          </w14:textFill>
        </w:rPr>
      </w:pPr>
      <w:bookmarkStart w:id="123" w:name="_Toc13896"/>
      <w:bookmarkStart w:id="124" w:name="_Toc141797118"/>
      <w:bookmarkStart w:id="125" w:name="_Toc513799075"/>
      <w:bookmarkStart w:id="126" w:name="_Toc141797678"/>
      <w:bookmarkStart w:id="127" w:name="_Toc440276565"/>
      <w:bookmarkStart w:id="128" w:name="_Toc513798904"/>
      <w:bookmarkStart w:id="129" w:name="_Toc30199"/>
      <w:bookmarkStart w:id="130" w:name="_Toc520902398"/>
      <w:r>
        <w:rPr>
          <w:rFonts w:ascii="宋体" w:hAnsi="宋体" w:cs="宋体"/>
          <w:b/>
          <w:bCs/>
          <w:color w:val="000000" w:themeColor="text1"/>
          <w:sz w:val="28"/>
          <w:szCs w:val="28"/>
          <w:highlight w:val="none"/>
          <w14:textFill>
            <w14:solidFill>
              <w14:schemeClr w14:val="tx1"/>
            </w14:solidFill>
          </w14:textFill>
        </w:rPr>
        <w:t xml:space="preserve">E  </w:t>
      </w:r>
      <w:r>
        <w:rPr>
          <w:rFonts w:hint="eastAsia" w:ascii="宋体" w:hAnsi="宋体" w:cs="宋体"/>
          <w:b/>
          <w:bCs/>
          <w:color w:val="000000" w:themeColor="text1"/>
          <w:sz w:val="28"/>
          <w:szCs w:val="28"/>
          <w:highlight w:val="none"/>
          <w14:textFill>
            <w14:solidFill>
              <w14:schemeClr w14:val="tx1"/>
            </w14:solidFill>
          </w14:textFill>
        </w:rPr>
        <w:t>开标</w:t>
      </w:r>
      <w:bookmarkEnd w:id="123"/>
      <w:bookmarkEnd w:id="124"/>
      <w:bookmarkEnd w:id="125"/>
      <w:bookmarkEnd w:id="126"/>
      <w:bookmarkEnd w:id="127"/>
      <w:bookmarkEnd w:id="128"/>
      <w:bookmarkEnd w:id="129"/>
      <w:bookmarkEnd w:id="130"/>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17</w:t>
      </w:r>
      <w:r>
        <w:rPr>
          <w:rFonts w:ascii="宋体" w:cs="宋体"/>
          <w:color w:val="000000" w:themeColor="text1"/>
          <w:highlight w:val="none"/>
          <w14:textFill>
            <w14:solidFill>
              <w14:schemeClr w14:val="tx1"/>
            </w14:solidFill>
          </w14:textFill>
        </w:rPr>
        <w:t>.</w:t>
      </w:r>
      <w:r>
        <w:rPr>
          <w:rFonts w:hint="eastAsia" w:ascii="宋体" w:hAnsi="宋体" w:cs="宋体"/>
          <w:b/>
          <w:bCs/>
          <w:color w:val="000000" w:themeColor="text1"/>
          <w:highlight w:val="none"/>
          <w14:textFill>
            <w14:solidFill>
              <w14:schemeClr w14:val="tx1"/>
            </w14:solidFill>
          </w14:textFill>
        </w:rPr>
        <w:t>开标</w:t>
      </w:r>
    </w:p>
    <w:p>
      <w:pPr>
        <w:spacing w:line="400" w:lineRule="exact"/>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b/>
          <w:color w:val="000000" w:themeColor="text1"/>
          <w:highlight w:val="none"/>
          <w14:textFill>
            <w14:solidFill>
              <w14:schemeClr w14:val="tx1"/>
            </w14:solidFill>
          </w14:textFill>
        </w:rPr>
        <w:t xml:space="preserve">17.1  </w:t>
      </w:r>
      <w:r>
        <w:rPr>
          <w:rFonts w:hint="eastAsia" w:cs="宋体" w:asciiTheme="minorEastAsia" w:hAnsiTheme="minorEastAsia" w:eastAsiaTheme="minorEastAsia"/>
          <w:color w:val="000000" w:themeColor="text1"/>
          <w:highlight w:val="none"/>
          <w14:textFill>
            <w14:solidFill>
              <w14:schemeClr w14:val="tx1"/>
            </w14:solidFill>
          </w14:textFill>
        </w:rPr>
        <w:t>采购代理机构按招标文件规定的时间、地点主持公开开标。</w:t>
      </w:r>
    </w:p>
    <w:p>
      <w:pPr>
        <w:widowControl/>
        <w:spacing w:line="360" w:lineRule="auto"/>
        <w:jc w:val="left"/>
        <w:rPr>
          <w:rFonts w:cs="宋体" w:asciiTheme="minorEastAsia" w:hAnsiTheme="minorEastAsia" w:eastAsiaTheme="minorEastAsia"/>
          <w:b/>
          <w:bCs/>
          <w:color w:val="000000" w:themeColor="text1"/>
          <w:kern w:val="0"/>
          <w:highlight w:val="none"/>
          <w14:textFill>
            <w14:solidFill>
              <w14:schemeClr w14:val="tx1"/>
            </w14:solidFill>
          </w14:textFill>
        </w:rPr>
      </w:pPr>
      <w:r>
        <w:rPr>
          <w:rFonts w:hint="eastAsia" w:cs="宋体" w:asciiTheme="minorEastAsia" w:hAnsiTheme="minorEastAsia" w:eastAsiaTheme="minorEastAsia"/>
          <w:b/>
          <w:color w:val="000000" w:themeColor="text1"/>
          <w:highlight w:val="none"/>
          <w14:textFill>
            <w14:solidFill>
              <w14:schemeClr w14:val="tx1"/>
            </w14:solidFill>
          </w14:textFill>
        </w:rPr>
        <w:t xml:space="preserve">17.2  </w:t>
      </w:r>
      <w:r>
        <w:rPr>
          <w:rFonts w:hint="eastAsia" w:cs="宋体" w:asciiTheme="minorEastAsia" w:hAnsiTheme="minorEastAsia" w:eastAsiaTheme="minorEastAsia"/>
          <w:b/>
          <w:bCs/>
          <w:color w:val="000000" w:themeColor="text1"/>
          <w:kern w:val="0"/>
          <w:highlight w:val="none"/>
          <w14:textFill>
            <w14:solidFill>
              <w14:schemeClr w14:val="tx1"/>
            </w14:solidFill>
          </w14:textFill>
        </w:rPr>
        <w:t>电子投标开标及评审程序</w:t>
      </w:r>
    </w:p>
    <w:p>
      <w:pPr>
        <w:widowControl/>
        <w:spacing w:line="360" w:lineRule="auto"/>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（1）投标截止时间后，投标人登录政采云平台，用“项目采购-开标评标”功能对电子投标文件进行在线解密。在线解密电子投标文件时间为开标时间起</w:t>
      </w:r>
      <w:r>
        <w:rPr>
          <w:rFonts w:hint="eastAsia" w:cs="宋体" w:asciiTheme="minorEastAsia" w:hAnsiTheme="minorEastAsia" w:eastAsiaTheme="minorEastAsia"/>
          <w:b/>
          <w:color w:val="000000" w:themeColor="text1"/>
          <w:kern w:val="0"/>
          <w:highlight w:val="none"/>
          <w:u w:val="single"/>
          <w14:textFill>
            <w14:solidFill>
              <w14:schemeClr w14:val="tx1"/>
            </w14:solidFill>
          </w14:textFill>
        </w:rPr>
        <w:t>30分钟</w:t>
      </w:r>
      <w:r>
        <w:rPr>
          <w:rFonts w:hint="eastAsia" w:cs="宋体" w:asciiTheme="minorEastAsia" w:hAnsiTheme="minorEastAsia" w:eastAsiaTheme="minorEastAsia"/>
          <w:b/>
          <w:color w:val="000000" w:themeColor="text1"/>
          <w:kern w:val="0"/>
          <w:highlight w:val="none"/>
          <w14:textFill>
            <w14:solidFill>
              <w14:schemeClr w14:val="tx1"/>
            </w14:solidFill>
          </w14:textFill>
        </w:rPr>
        <w:t>内。</w:t>
      </w:r>
    </w:p>
    <w:p>
      <w:pPr>
        <w:widowControl/>
        <w:spacing w:line="360" w:lineRule="auto"/>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（2）采购人或代理机构对投标人的资格进行审查。 </w:t>
      </w:r>
    </w:p>
    <w:p>
      <w:pPr>
        <w:widowControl/>
        <w:spacing w:line="360" w:lineRule="auto"/>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（3）在系统上公开报价开标情况。 </w:t>
      </w:r>
    </w:p>
    <w:p>
      <w:pPr>
        <w:widowControl/>
        <w:spacing w:line="360" w:lineRule="auto"/>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（4）评标委员会对商务技术文件、报价文件进行评审。 </w:t>
      </w:r>
    </w:p>
    <w:p>
      <w:pPr>
        <w:widowControl/>
        <w:spacing w:line="360" w:lineRule="auto"/>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（5）在系统上公布评审结果。 </w:t>
      </w:r>
    </w:p>
    <w:p>
      <w:pPr>
        <w:widowControl/>
        <w:spacing w:line="360" w:lineRule="auto"/>
        <w:rPr>
          <w:rFonts w:cs="宋体" w:asciiTheme="minorEastAsia" w:hAnsiTheme="minorEastAsia" w:eastAsiaTheme="minorEastAsia"/>
          <w:color w:val="000000" w:themeColor="text1"/>
          <w:kern w:val="0"/>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注：政采云公司如对电子化开标及评审程序有调整的，按调整后的程序操作。</w:t>
      </w:r>
    </w:p>
    <w:p>
      <w:pPr>
        <w:widowControl/>
        <w:spacing w:line="360" w:lineRule="auto"/>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color w:val="000000" w:themeColor="text1"/>
          <w:highlight w:val="none"/>
          <w14:textFill>
            <w14:solidFill>
              <w14:schemeClr w14:val="tx1"/>
            </w14:solidFill>
          </w14:textFill>
        </w:rPr>
        <w:t xml:space="preserve">17.4  </w:t>
      </w:r>
      <w:r>
        <w:rPr>
          <w:rFonts w:hint="eastAsia" w:cs="宋体" w:asciiTheme="minorEastAsia" w:hAnsiTheme="minorEastAsia" w:eastAsiaTheme="minorEastAsia"/>
          <w:b/>
          <w:bCs/>
          <w:color w:val="000000" w:themeColor="text1"/>
          <w:kern w:val="0"/>
          <w:highlight w:val="none"/>
          <w14:textFill>
            <w14:solidFill>
              <w14:schemeClr w14:val="tx1"/>
            </w14:solidFill>
          </w14:textFill>
        </w:rPr>
        <w:t xml:space="preserve">特别说明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本项目采用政采云电子投标开标及评审程序，但有下情形之一的，按以下情况处理：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1.若投标人在规定时间内无法解密或解密失败，代理机构将开启所有投标人递交的以U 盘存储的电子备份投标文件，上传至政采云平台项目采购模块，以完成开标，电子投标文件自动失效。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2.采购过程中出现以下情形，导致电子交易平台无法正常运行，或者无法保证电子交易的公平、公正和安全时，采购人（或代理机构）可中止电子交易活动：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（1）电子交易平台发生故障而无法登录访问的；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（2）电子交易平台应用或数据库出现错误，不能进行正常操作的；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（3）电子交易平台发现严重安全漏洞，有潜在泄密危险的；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（4）病毒发作导致不能进行正常操作的；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 xml:space="preserve">（5）其他无法保证电子交易的公平、公正和安全的情况。 </w:t>
      </w:r>
    </w:p>
    <w:p>
      <w:pPr>
        <w:widowControl/>
        <w:spacing w:line="360" w:lineRule="auto"/>
        <w:ind w:firstLine="420" w:firstLineChars="200"/>
        <w:jc w:val="left"/>
        <w:rPr>
          <w:rFonts w:cs="宋体" w:asciiTheme="minorEastAsia" w:hAnsiTheme="minorEastAsia" w:eastAsiaTheme="minorEastAsia"/>
          <w:color w:val="000000" w:themeColor="text1"/>
          <w:kern w:val="0"/>
          <w:sz w:val="24"/>
          <w:highlight w:val="none"/>
          <w14:textFill>
            <w14:solidFill>
              <w14:schemeClr w14:val="tx1"/>
            </w14:solidFill>
          </w14:textFill>
        </w:rPr>
      </w:pPr>
      <w:r>
        <w:rPr>
          <w:rFonts w:hint="eastAsia" w:cs="宋体" w:asciiTheme="minorEastAsia" w:hAnsiTheme="minorEastAsia" w:eastAsiaTheme="minorEastAsia"/>
          <w:b/>
          <w:bCs/>
          <w:color w:val="000000" w:themeColor="text1"/>
          <w:kern w:val="0"/>
          <w:highlight w:val="none"/>
          <w14:textFill>
            <w14:solidFill>
              <w14:schemeClr w14:val="tx1"/>
            </w14:solidFill>
          </w14:textFill>
        </w:rPr>
        <w:t xml:space="preserve">出现前款规定情形，不影响采购公平、公正性的，采购人（或代理机构）可以待上述情形消除后继续组织电子交易活动。 </w:t>
      </w:r>
    </w:p>
    <w:p>
      <w:pPr>
        <w:spacing w:line="400" w:lineRule="exact"/>
        <w:rPr>
          <w:rFonts w:ascii="宋体" w:hAnsi="宋体" w:cs="宋体"/>
          <w:color w:val="000000" w:themeColor="text1"/>
          <w:highlight w:val="none"/>
          <w:u w:val="singl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 xml:space="preserve">17.5  </w:t>
      </w:r>
      <w:r>
        <w:rPr>
          <w:rFonts w:hint="eastAsia" w:asciiTheme="minorEastAsia" w:hAnsiTheme="minorEastAsia" w:eastAsiaTheme="minorEastAsia"/>
          <w:color w:val="000000" w:themeColor="text1"/>
          <w:highlight w:val="none"/>
          <w14:textFill>
            <w14:solidFill>
              <w14:schemeClr w14:val="tx1"/>
            </w14:solidFill>
          </w14:textFill>
        </w:rPr>
        <w:t>投标截止时间止，投标人不足3家的，不开启</w:t>
      </w:r>
      <w:r>
        <w:rPr>
          <w:rFonts w:hint="eastAsia" w:asciiTheme="minorEastAsia" w:hAnsiTheme="minorEastAsia" w:eastAsiaTheme="minorEastAsia"/>
          <w:color w:val="000000" w:themeColor="text1"/>
          <w:highlight w:val="none"/>
          <w:lang w:val="en-US" w:eastAsia="zh-CN"/>
          <w14:textFill>
            <w14:solidFill>
              <w14:schemeClr w14:val="tx1"/>
            </w14:solidFill>
          </w14:textFill>
        </w:rPr>
        <w:t>投</w:t>
      </w:r>
      <w:r>
        <w:rPr>
          <w:rFonts w:hint="eastAsia" w:asciiTheme="minorEastAsia" w:hAnsiTheme="minorEastAsia" w:eastAsiaTheme="minorEastAsia"/>
          <w:color w:val="000000" w:themeColor="text1"/>
          <w:highlight w:val="none"/>
          <w14:textFill>
            <w14:solidFill>
              <w14:schemeClr w14:val="tx1"/>
            </w14:solidFill>
          </w14:textFill>
        </w:rPr>
        <w:t>标文件，终止本次采购活动。</w:t>
      </w:r>
    </w:p>
    <w:p>
      <w:pPr>
        <w:spacing w:line="400" w:lineRule="exact"/>
        <w:rPr>
          <w:rFonts w:ascii="宋体"/>
          <w:color w:val="000000" w:themeColor="text1"/>
          <w:sz w:val="24"/>
          <w:szCs w:val="24"/>
          <w:highlight w:val="none"/>
          <w14:textFill>
            <w14:solidFill>
              <w14:schemeClr w14:val="tx1"/>
            </w14:solidFill>
          </w14:textFill>
        </w:rPr>
      </w:pPr>
    </w:p>
    <w:p>
      <w:pPr>
        <w:spacing w:before="143" w:beforeLines="50" w:after="143" w:afterLines="50"/>
        <w:jc w:val="center"/>
        <w:outlineLvl w:val="1"/>
        <w:rPr>
          <w:rFonts w:ascii="宋体"/>
          <w:b/>
          <w:bCs/>
          <w:color w:val="000000" w:themeColor="text1"/>
          <w:sz w:val="28"/>
          <w:szCs w:val="28"/>
          <w:highlight w:val="none"/>
          <w14:textFill>
            <w14:solidFill>
              <w14:schemeClr w14:val="tx1"/>
            </w14:solidFill>
          </w14:textFill>
        </w:rPr>
      </w:pPr>
      <w:bookmarkStart w:id="131" w:name="_Toc440276566"/>
      <w:bookmarkStart w:id="132" w:name="_Toc513798905"/>
      <w:bookmarkStart w:id="133" w:name="_Toc11276"/>
      <w:bookmarkStart w:id="134" w:name="_Toc513799076"/>
      <w:bookmarkStart w:id="135" w:name="_Toc141797679"/>
      <w:bookmarkStart w:id="136" w:name="_Toc520902399"/>
      <w:bookmarkStart w:id="137" w:name="_Toc21209"/>
      <w:bookmarkStart w:id="138" w:name="_Toc141797119"/>
      <w:r>
        <w:rPr>
          <w:rFonts w:ascii="宋体" w:hAnsi="宋体" w:cs="宋体"/>
          <w:b/>
          <w:bCs/>
          <w:color w:val="000000" w:themeColor="text1"/>
          <w:sz w:val="28"/>
          <w:szCs w:val="28"/>
          <w:highlight w:val="none"/>
          <w14:textFill>
            <w14:solidFill>
              <w14:schemeClr w14:val="tx1"/>
            </w14:solidFill>
          </w14:textFill>
        </w:rPr>
        <w:t xml:space="preserve">F  </w:t>
      </w:r>
      <w:r>
        <w:rPr>
          <w:rFonts w:hint="eastAsia" w:ascii="宋体" w:hAnsi="宋体" w:cs="宋体"/>
          <w:b/>
          <w:bCs/>
          <w:color w:val="000000" w:themeColor="text1"/>
          <w:sz w:val="28"/>
          <w:szCs w:val="28"/>
          <w:highlight w:val="none"/>
          <w14:textFill>
            <w14:solidFill>
              <w14:schemeClr w14:val="tx1"/>
            </w14:solidFill>
          </w14:textFill>
        </w:rPr>
        <w:t>评标和定标</w:t>
      </w:r>
      <w:bookmarkEnd w:id="131"/>
      <w:bookmarkEnd w:id="132"/>
      <w:bookmarkEnd w:id="133"/>
      <w:bookmarkEnd w:id="134"/>
      <w:bookmarkEnd w:id="135"/>
      <w:bookmarkEnd w:id="136"/>
      <w:bookmarkEnd w:id="137"/>
      <w:bookmarkEnd w:id="138"/>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18. </w:t>
      </w:r>
      <w:r>
        <w:rPr>
          <w:rFonts w:hint="eastAsia" w:ascii="宋体" w:hAnsi="宋体" w:cs="宋体"/>
          <w:b/>
          <w:bCs/>
          <w:color w:val="000000" w:themeColor="text1"/>
          <w:highlight w:val="none"/>
          <w14:textFill>
            <w14:solidFill>
              <w14:schemeClr w14:val="tx1"/>
            </w14:solidFill>
          </w14:textFill>
        </w:rPr>
        <w:t>评标委员会及评标</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18.1</w:t>
      </w:r>
      <w:r>
        <w:rPr>
          <w:rFonts w:hint="eastAsia" w:ascii="宋体" w:hAnsi="宋体" w:cs="宋体"/>
          <w:color w:val="000000" w:themeColor="text1"/>
          <w:highlight w:val="none"/>
          <w14:textFill>
            <w14:solidFill>
              <w14:schemeClr w14:val="tx1"/>
            </w14:solidFill>
          </w14:textFill>
        </w:rPr>
        <w:t xml:space="preserve">  受采购人的委托，采购代理机构依据《中华人民共和国政府采购法》、《中华人民共和国政府采购实施条例》等有关规定组建评标委员会，并主持评标活动。评标委员会由采购人代表和技术、经济专家组成。</w:t>
      </w:r>
      <w:r>
        <w:rPr>
          <w:rFonts w:hint="eastAsia" w:ascii="宋体" w:hAnsi="宋体" w:cs="宋体"/>
          <w:b/>
          <w:color w:val="000000" w:themeColor="text1"/>
          <w:highlight w:val="none"/>
          <w:u w:val="single"/>
          <w14:textFill>
            <w14:solidFill>
              <w14:schemeClr w14:val="tx1"/>
            </w14:solidFill>
          </w14:textFill>
        </w:rPr>
        <w:t>评标委员会成员名单在招标结果确定之前依法保密</w:t>
      </w:r>
      <w:r>
        <w:rPr>
          <w:rFonts w:hint="eastAsia" w:ascii="宋体" w:hAnsi="宋体" w:cs="宋体"/>
          <w:color w:val="000000" w:themeColor="text1"/>
          <w:highlight w:val="none"/>
          <w14:textFill>
            <w14:solidFill>
              <w14:schemeClr w14:val="tx1"/>
            </w14:solidFill>
          </w14:textFill>
        </w:rPr>
        <w:t>。</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18.2 </w:t>
      </w:r>
      <w:r>
        <w:rPr>
          <w:rFonts w:hint="eastAsia" w:ascii="宋体" w:hAnsi="宋体" w:cs="宋体"/>
          <w:color w:val="000000" w:themeColor="text1"/>
          <w:highlight w:val="none"/>
          <w14:textFill>
            <w14:solidFill>
              <w14:schemeClr w14:val="tx1"/>
            </w14:solidFill>
          </w14:textFill>
        </w:rPr>
        <w:t xml:space="preserve"> 评标委员会将遵循公平、公正、科学、廉洁的原则和法定的程序进行评标，并且只依据招标文件要求和投标文件的响应情况进行评审，不依据任何来自开标后的补充声明、修正方案。</w:t>
      </w:r>
    </w:p>
    <w:p>
      <w:pPr>
        <w:spacing w:line="400" w:lineRule="exact"/>
        <w:rPr>
          <w:rFonts w:ascii="宋体"/>
          <w:color w:val="000000" w:themeColor="text1"/>
          <w:highlight w:val="none"/>
          <w14:textFill>
            <w14:solidFill>
              <w14:schemeClr w14:val="tx1"/>
            </w14:solidFill>
          </w14:textFill>
        </w:rPr>
      </w:pP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19.</w:t>
      </w:r>
      <w:r>
        <w:rPr>
          <w:rFonts w:hint="eastAsia" w:ascii="宋体" w:hAnsi="宋体" w:cs="宋体"/>
          <w:b/>
          <w:bCs/>
          <w:color w:val="000000" w:themeColor="text1"/>
          <w:highlight w:val="none"/>
          <w14:textFill>
            <w14:solidFill>
              <w14:schemeClr w14:val="tx1"/>
            </w14:solidFill>
          </w14:textFill>
        </w:rPr>
        <w:t>投标的澄清</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19.1</w:t>
      </w:r>
      <w:r>
        <w:rPr>
          <w:rFonts w:hint="eastAsia" w:ascii="宋体" w:hAnsi="宋体" w:cs="宋体"/>
          <w:color w:val="000000" w:themeColor="text1"/>
          <w:highlight w:val="none"/>
          <w14:textFill>
            <w14:solidFill>
              <w14:schemeClr w14:val="tx1"/>
            </w14:solidFill>
          </w14:textFill>
        </w:rPr>
        <w:t xml:space="preserve">  对于投标文件中含义不明确、同类问题表述不一致或者有明显文字和计算错误的内容，评标委员会应当以书面形式要求投标人作出必要的澄清、说明或者补正。</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19.2</w:t>
      </w:r>
      <w:r>
        <w:rPr>
          <w:rFonts w:hint="eastAsia" w:ascii="宋体" w:hAnsi="宋体" w:cs="宋体"/>
          <w:color w:val="000000" w:themeColor="text1"/>
          <w:highlight w:val="none"/>
          <w14:textFill>
            <w14:solidFill>
              <w14:schemeClr w14:val="tx1"/>
            </w14:solidFill>
          </w14:textFill>
        </w:rPr>
        <w:t xml:space="preserve">  投标人的澄清、说明或者补正应当采用书面形式，并加盖公章，或者由法定代表人或其授权的代表签字。投标人的澄清、说明或者补正不得超出投标文件的范围或者改变投标文件的实质性内容。</w:t>
      </w:r>
    </w:p>
    <w:p>
      <w:pPr>
        <w:spacing w:line="400" w:lineRule="exact"/>
        <w:rPr>
          <w:rFonts w:ascii="宋体" w:hAnsi="宋体" w:cs="宋体"/>
          <w:color w:val="000000" w:themeColor="text1"/>
          <w:highlight w:val="none"/>
          <w:u w:val="singl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19.3</w:t>
      </w:r>
      <w:r>
        <w:rPr>
          <w:rFonts w:hint="eastAsia" w:ascii="宋体" w:hAnsi="宋体" w:cs="宋体"/>
          <w:color w:val="000000" w:themeColor="text1"/>
          <w:highlight w:val="none"/>
          <w14:textFill>
            <w14:solidFill>
              <w14:schemeClr w14:val="tx1"/>
            </w14:solidFill>
          </w14:textFill>
        </w:rPr>
        <w:t xml:space="preserve">  采用</w:t>
      </w:r>
      <w:r>
        <w:rPr>
          <w:rFonts w:hint="eastAsia" w:ascii="宋体" w:hAnsi="宋体" w:cs="宋体"/>
          <w:color w:val="000000" w:themeColor="text1"/>
          <w:kern w:val="0"/>
          <w:highlight w:val="none"/>
          <w14:textFill>
            <w14:solidFill>
              <w14:schemeClr w14:val="tx1"/>
            </w14:solidFill>
          </w14:textFill>
        </w:rPr>
        <w:t>电子招投标的，澄清、说明或者补正通过电子交易平台提交电子版文件</w:t>
      </w:r>
      <w:r>
        <w:rPr>
          <w:rFonts w:hint="eastAsia" w:ascii="宋体" w:hAnsi="宋体" w:cs="宋体"/>
          <w:color w:val="000000" w:themeColor="text1"/>
          <w:highlight w:val="none"/>
          <w14:textFill>
            <w14:solidFill>
              <w14:schemeClr w14:val="tx1"/>
            </w14:solidFill>
          </w14:textFill>
        </w:rPr>
        <w:t>，并加盖公章，或者由法定代表人或其授权的代表签字</w:t>
      </w:r>
      <w:r>
        <w:rPr>
          <w:rFonts w:hint="eastAsia" w:ascii="宋体" w:hAnsi="宋体" w:cs="宋体"/>
          <w:color w:val="000000" w:themeColor="text1"/>
          <w:kern w:val="0"/>
          <w:highlight w:val="none"/>
          <w14:textFill>
            <w14:solidFill>
              <w14:schemeClr w14:val="tx1"/>
            </w14:solidFill>
          </w14:textFill>
        </w:rPr>
        <w:t>。投标人提交澄清说明或补正的时间为</w:t>
      </w:r>
      <w:r>
        <w:rPr>
          <w:rFonts w:hint="eastAsia" w:ascii="宋体" w:hAnsi="宋体" w:cs="宋体"/>
          <w:color w:val="000000" w:themeColor="text1"/>
          <w:kern w:val="0"/>
          <w:highlight w:val="none"/>
          <w:u w:val="single"/>
          <w14:textFill>
            <w14:solidFill>
              <w14:schemeClr w14:val="tx1"/>
            </w14:solidFill>
          </w14:textFill>
        </w:rPr>
        <w:t xml:space="preserve"> 30 </w:t>
      </w:r>
      <w:r>
        <w:rPr>
          <w:rFonts w:hint="eastAsia" w:ascii="宋体" w:hAnsi="宋体" w:cs="宋体"/>
          <w:color w:val="000000" w:themeColor="text1"/>
          <w:kern w:val="0"/>
          <w:highlight w:val="none"/>
          <w14:textFill>
            <w14:solidFill>
              <w14:schemeClr w14:val="tx1"/>
            </w14:solidFill>
          </w14:textFill>
        </w:rPr>
        <w:t>分钟。</w:t>
      </w:r>
    </w:p>
    <w:p>
      <w:pPr>
        <w:spacing w:line="400" w:lineRule="exact"/>
        <w:rPr>
          <w:rFonts w:ascii="宋体" w:hAnsi="宋体" w:cs="宋体"/>
          <w:b/>
          <w:color w:val="000000" w:themeColor="text1"/>
          <w:highlight w:val="none"/>
          <w:u w:val="singl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19.4</w:t>
      </w:r>
      <w:r>
        <w:rPr>
          <w:rFonts w:hint="eastAsia" w:ascii="宋体" w:hAnsi="宋体" w:cs="宋体"/>
          <w:b/>
          <w:color w:val="000000" w:themeColor="text1"/>
          <w:highlight w:val="none"/>
          <w:u w:val="single"/>
          <w14:textFill>
            <w14:solidFill>
              <w14:schemeClr w14:val="tx1"/>
            </w14:solidFill>
          </w14:textFill>
        </w:rPr>
        <w:t>若投标人未响应澄清安排的通知进行答疑和澄清，将被视作自动放弃。</w:t>
      </w:r>
    </w:p>
    <w:p>
      <w:pPr>
        <w:spacing w:line="400" w:lineRule="exact"/>
        <w:rPr>
          <w:rFonts w:ascii="宋体"/>
          <w:color w:val="000000" w:themeColor="text1"/>
          <w:highlight w:val="none"/>
          <w:u w:val="singl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20.  </w:t>
      </w:r>
      <w:r>
        <w:rPr>
          <w:rFonts w:hint="eastAsia" w:ascii="宋体" w:hAnsi="宋体" w:cs="宋体"/>
          <w:b/>
          <w:bCs/>
          <w:color w:val="000000" w:themeColor="text1"/>
          <w:highlight w:val="none"/>
          <w14:textFill>
            <w14:solidFill>
              <w14:schemeClr w14:val="tx1"/>
            </w14:solidFill>
          </w14:textFill>
        </w:rPr>
        <w:t>评标办法：</w:t>
      </w:r>
      <w:r>
        <w:rPr>
          <w:rFonts w:hint="eastAsia" w:ascii="宋体" w:hAnsi="宋体" w:cs="宋体"/>
          <w:color w:val="000000" w:themeColor="text1"/>
          <w:highlight w:val="none"/>
          <w14:textFill>
            <w14:solidFill>
              <w14:schemeClr w14:val="tx1"/>
            </w14:solidFill>
          </w14:textFill>
        </w:rPr>
        <w:t>评标采用的方法有最低评标价法和综合评分法。</w:t>
      </w:r>
      <w:r>
        <w:rPr>
          <w:rFonts w:hint="eastAsia" w:ascii="宋体" w:hAnsi="宋体" w:cs="宋体"/>
          <w:b/>
          <w:bCs/>
          <w:color w:val="000000" w:themeColor="text1"/>
          <w:highlight w:val="none"/>
          <w14:textFill>
            <w14:solidFill>
              <w14:schemeClr w14:val="tx1"/>
            </w14:solidFill>
          </w14:textFill>
        </w:rPr>
        <w:t>本项目招标采用的评标方法载明在招标文件第五部分“评标办法”中。</w:t>
      </w:r>
    </w:p>
    <w:p>
      <w:pPr>
        <w:spacing w:line="400" w:lineRule="exact"/>
        <w:rPr>
          <w:rFonts w:ascii="宋体" w:hAnsi="宋体" w:cs="宋体"/>
          <w:b/>
          <w:bCs/>
          <w:color w:val="000000" w:themeColor="text1"/>
          <w:highlight w:val="none"/>
          <w14:textFill>
            <w14:solidFill>
              <w14:schemeClr w14:val="tx1"/>
            </w14:solidFill>
          </w14:textFill>
        </w:rPr>
      </w:pPr>
    </w:p>
    <w:p>
      <w:pPr>
        <w:spacing w:line="40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21.  </w:t>
      </w:r>
      <w:r>
        <w:rPr>
          <w:rFonts w:hint="eastAsia" w:ascii="宋体" w:hAnsi="宋体" w:cs="宋体"/>
          <w:b/>
          <w:bCs/>
          <w:color w:val="000000" w:themeColor="text1"/>
          <w:highlight w:val="none"/>
          <w14:textFill>
            <w14:solidFill>
              <w14:schemeClr w14:val="tx1"/>
            </w14:solidFill>
          </w14:textFill>
        </w:rPr>
        <w:t>评标程序和原则</w:t>
      </w:r>
    </w:p>
    <w:p>
      <w:pPr>
        <w:spacing w:line="440" w:lineRule="exact"/>
        <w:rPr>
          <w:rFonts w:ascii="宋体"/>
          <w:color w:val="000000" w:themeColor="text1"/>
          <w:highlight w:val="none"/>
          <w:shd w:val="pct10" w:color="auto" w:fill="FFFFFF"/>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21.1</w:t>
      </w:r>
      <w:r>
        <w:rPr>
          <w:rFonts w:hint="eastAsia" w:ascii="宋体" w:hAnsi="宋体" w:cs="宋体"/>
          <w:color w:val="000000" w:themeColor="text1"/>
          <w:highlight w:val="none"/>
          <w:u w:val="thick"/>
          <w14:textFill>
            <w14:solidFill>
              <w14:schemeClr w14:val="tx1"/>
            </w14:solidFill>
          </w14:textFill>
        </w:rPr>
        <w:t>评标程序</w:t>
      </w:r>
      <w:r>
        <w:rPr>
          <w:rFonts w:hint="eastAsia" w:ascii="宋体" w:hAnsi="宋体" w:cs="宋体"/>
          <w:color w:val="000000" w:themeColor="text1"/>
          <w:highlight w:val="none"/>
          <w14:textFill>
            <w14:solidFill>
              <w14:schemeClr w14:val="tx1"/>
            </w14:solidFill>
          </w14:textFill>
        </w:rPr>
        <w:t>：遵循资格审查、符合性审查、澄清有关问题、比较与评价、推荐中标供应商（或中标候选人）的程序依次进行。</w:t>
      </w:r>
    </w:p>
    <w:p>
      <w:pPr>
        <w:spacing w:line="44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21.2</w:t>
      </w:r>
      <w:r>
        <w:rPr>
          <w:rFonts w:hint="eastAsia" w:ascii="宋体" w:hAnsi="宋体" w:cs="宋体"/>
          <w:color w:val="000000" w:themeColor="text1"/>
          <w:highlight w:val="none"/>
          <w:u w:val="thick"/>
          <w14:textFill>
            <w14:solidFill>
              <w14:schemeClr w14:val="tx1"/>
            </w14:solidFill>
          </w14:textFill>
        </w:rPr>
        <w:t>资格审查</w:t>
      </w:r>
      <w:r>
        <w:rPr>
          <w:rFonts w:hint="eastAsia" w:ascii="宋体" w:hAnsi="宋体" w:cs="宋体"/>
          <w:color w:val="000000" w:themeColor="text1"/>
          <w:highlight w:val="none"/>
          <w14:textFill>
            <w14:solidFill>
              <w14:schemeClr w14:val="tx1"/>
            </w14:solidFill>
          </w14:textFill>
        </w:rPr>
        <w:t>：公开招标采购项目开标结束后，采购人或者采购代理机构应当依法对投标人的资格进行审查。详见招标文件第五部分“评标办法”。</w:t>
      </w:r>
    </w:p>
    <w:p>
      <w:pPr>
        <w:spacing w:line="44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21.3  </w:t>
      </w:r>
      <w:r>
        <w:rPr>
          <w:rFonts w:hint="eastAsia" w:ascii="宋体" w:hAnsi="宋体" w:cs="宋体"/>
          <w:color w:val="000000" w:themeColor="text1"/>
          <w:highlight w:val="none"/>
          <w:u w:val="thick"/>
          <w14:textFill>
            <w14:solidFill>
              <w14:schemeClr w14:val="tx1"/>
            </w14:solidFill>
          </w14:textFill>
        </w:rPr>
        <w:t>符合性审查</w:t>
      </w:r>
      <w:r>
        <w:rPr>
          <w:rFonts w:hint="eastAsia" w:ascii="宋体" w:hAnsi="宋体" w:cs="宋体"/>
          <w:color w:val="000000" w:themeColor="text1"/>
          <w:highlight w:val="none"/>
          <w14:textFill>
            <w14:solidFill>
              <w14:schemeClr w14:val="tx1"/>
            </w14:solidFill>
          </w14:textFill>
        </w:rPr>
        <w:t>：评标委员会应当对符合资格的投标人的投标文件进行符合性审查，以确定其是否满足招标文件的实质性要求。详见招标文件第五部分“评标办法”。</w:t>
      </w:r>
    </w:p>
    <w:p>
      <w:pPr>
        <w:spacing w:line="44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21.4  </w:t>
      </w:r>
      <w:r>
        <w:rPr>
          <w:rFonts w:hint="eastAsia" w:ascii="宋体" w:hAnsi="宋体" w:cs="宋体"/>
          <w:color w:val="000000" w:themeColor="text1"/>
          <w:highlight w:val="none"/>
          <w:u w:val="thick"/>
          <w14:textFill>
            <w14:solidFill>
              <w14:schemeClr w14:val="tx1"/>
            </w14:solidFill>
          </w14:textFill>
        </w:rPr>
        <w:t>澄清有关问题</w:t>
      </w:r>
      <w:r>
        <w:rPr>
          <w:rFonts w:hint="eastAsia" w:ascii="宋体" w:hAnsi="宋体" w:cs="宋体"/>
          <w:color w:val="000000" w:themeColor="text1"/>
          <w:highlight w:val="none"/>
          <w14:textFill>
            <w14:solidFill>
              <w14:schemeClr w14:val="tx1"/>
            </w14:solidFill>
          </w14:textFill>
        </w:rPr>
        <w:t>：按第</w:t>
      </w:r>
      <w:r>
        <w:rPr>
          <w:rFonts w:ascii="宋体" w:hAnsi="宋体" w:cs="宋体"/>
          <w:b/>
          <w:bCs/>
          <w:color w:val="000000" w:themeColor="text1"/>
          <w:highlight w:val="none"/>
          <w14:textFill>
            <w14:solidFill>
              <w14:schemeClr w14:val="tx1"/>
            </w14:solidFill>
          </w14:textFill>
        </w:rPr>
        <w:t>19</w:t>
      </w:r>
      <w:r>
        <w:rPr>
          <w:rFonts w:hint="eastAsia" w:ascii="宋体" w:hAnsi="宋体" w:cs="宋体"/>
          <w:color w:val="000000" w:themeColor="text1"/>
          <w:highlight w:val="none"/>
          <w14:textFill>
            <w14:solidFill>
              <w14:schemeClr w14:val="tx1"/>
            </w14:solidFill>
          </w14:textFill>
        </w:rPr>
        <w:t>条规定进行。</w:t>
      </w:r>
    </w:p>
    <w:p>
      <w:pPr>
        <w:spacing w:line="44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21.5</w:t>
      </w:r>
      <w:r>
        <w:rPr>
          <w:rFonts w:hint="eastAsia" w:ascii="宋体" w:hAnsi="宋体" w:cs="宋体"/>
          <w:color w:val="000000" w:themeColor="text1"/>
          <w:highlight w:val="none"/>
          <w:u w:val="thick"/>
          <w14:textFill>
            <w14:solidFill>
              <w14:schemeClr w14:val="tx1"/>
            </w14:solidFill>
          </w14:textFill>
        </w:rPr>
        <w:t>综合比较与评价</w:t>
      </w:r>
      <w:r>
        <w:rPr>
          <w:rFonts w:hint="eastAsia" w:ascii="宋体" w:hAnsi="宋体" w:cs="宋体"/>
          <w:color w:val="000000" w:themeColor="text1"/>
          <w:highlight w:val="none"/>
          <w14:textFill>
            <w14:solidFill>
              <w14:schemeClr w14:val="tx1"/>
            </w14:solidFill>
          </w14:textFill>
        </w:rPr>
        <w:t>：评标委员会应当按照招标文件中规定的评标方法和标准，对符合性审查合格的投标文件进行商务和技术评估，综合比较与评价。</w:t>
      </w:r>
    </w:p>
    <w:p>
      <w:pPr>
        <w:spacing w:line="44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21.5.1 </w:t>
      </w:r>
      <w:r>
        <w:rPr>
          <w:rFonts w:hint="eastAsia" w:ascii="宋体" w:hAnsi="宋体" w:cs="宋体"/>
          <w:color w:val="000000" w:themeColor="text1"/>
          <w:highlight w:val="none"/>
          <w:u w:val="thick"/>
          <w14:textFill>
            <w14:solidFill>
              <w14:schemeClr w14:val="tx1"/>
            </w14:solidFill>
          </w14:textFill>
        </w:rPr>
        <w:t>商务评价</w:t>
      </w:r>
      <w:r>
        <w:rPr>
          <w:rFonts w:hint="eastAsia" w:ascii="宋体" w:hAnsi="宋体" w:cs="宋体"/>
          <w:color w:val="000000" w:themeColor="text1"/>
          <w:highlight w:val="none"/>
          <w14:textFill>
            <w14:solidFill>
              <w14:schemeClr w14:val="tx1"/>
            </w14:solidFill>
          </w14:textFill>
        </w:rPr>
        <w:t>：按照招标文件的要求和“评标标准”对照投标文件的响应进行商务评价，并对其偏差计算相应的商务评分分值。</w:t>
      </w:r>
    </w:p>
    <w:p>
      <w:pPr>
        <w:spacing w:line="44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21.5.2</w:t>
      </w:r>
      <w:r>
        <w:rPr>
          <w:rFonts w:hint="eastAsia" w:ascii="宋体" w:hAnsi="宋体" w:cs="宋体"/>
          <w:color w:val="000000" w:themeColor="text1"/>
          <w:highlight w:val="none"/>
          <w:u w:val="thick"/>
          <w14:textFill>
            <w14:solidFill>
              <w14:schemeClr w14:val="tx1"/>
            </w14:solidFill>
          </w14:textFill>
        </w:rPr>
        <w:t>技术评价</w:t>
      </w:r>
      <w:r>
        <w:rPr>
          <w:rFonts w:hint="eastAsia" w:ascii="宋体" w:hAnsi="宋体" w:cs="宋体"/>
          <w:color w:val="000000" w:themeColor="text1"/>
          <w:highlight w:val="none"/>
          <w14:textFill>
            <w14:solidFill>
              <w14:schemeClr w14:val="tx1"/>
            </w14:solidFill>
          </w14:textFill>
        </w:rPr>
        <w:t>：按照招标文件的要求和“评标标准”对照投标文件的响应进行技术评价，评定其偏差程度，并计算其相应的技术评分分值。</w:t>
      </w:r>
    </w:p>
    <w:p>
      <w:pPr>
        <w:spacing w:line="440" w:lineRule="exact"/>
        <w:jc w:val="lef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21.5.3</w:t>
      </w:r>
      <w:r>
        <w:rPr>
          <w:rFonts w:hint="eastAsia" w:ascii="宋体" w:hAnsi="宋体" w:cs="宋体"/>
          <w:color w:val="000000" w:themeColor="text1"/>
          <w:highlight w:val="none"/>
          <w:u w:val="thick"/>
          <w14:textFill>
            <w14:solidFill>
              <w14:schemeClr w14:val="tx1"/>
            </w14:solidFill>
          </w14:textFill>
        </w:rPr>
        <w:t>综合评价</w:t>
      </w:r>
      <w:r>
        <w:rPr>
          <w:rFonts w:hint="eastAsia" w:ascii="宋体" w:hAnsi="宋体" w:cs="宋体"/>
          <w:color w:val="000000" w:themeColor="text1"/>
          <w:highlight w:val="none"/>
          <w14:textFill>
            <w14:solidFill>
              <w14:schemeClr w14:val="tx1"/>
            </w14:solidFill>
          </w14:textFill>
        </w:rPr>
        <w:t>：对经过商务评价、技术评价的投标，按“评标标准”规定的评价办法进行综合评价，做出评标结果排序。</w:t>
      </w:r>
    </w:p>
    <w:p>
      <w:pPr>
        <w:spacing w:line="440" w:lineRule="exact"/>
        <w:jc w:val="left"/>
        <w:rPr>
          <w:rFonts w:ascii="宋体"/>
          <w:color w:val="000000" w:themeColor="text1"/>
          <w:highlight w:val="none"/>
          <w14:textFill>
            <w14:solidFill>
              <w14:schemeClr w14:val="tx1"/>
            </w14:solidFill>
          </w14:textFill>
        </w:rPr>
      </w:pPr>
    </w:p>
    <w:p>
      <w:pPr>
        <w:spacing w:line="44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21.6  </w:t>
      </w:r>
      <w:r>
        <w:rPr>
          <w:rFonts w:hint="eastAsia" w:ascii="宋体" w:hAnsi="宋体" w:cs="宋体"/>
          <w:b/>
          <w:bCs/>
          <w:color w:val="000000" w:themeColor="text1"/>
          <w:highlight w:val="none"/>
          <w14:textFill>
            <w14:solidFill>
              <w14:schemeClr w14:val="tx1"/>
            </w14:solidFill>
          </w14:textFill>
        </w:rPr>
        <w:t>评标过程处理原则</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21.6.1</w:t>
      </w:r>
      <w:r>
        <w:rPr>
          <w:rFonts w:hint="eastAsia" w:ascii="宋体" w:hAnsi="宋体"/>
          <w:color w:val="000000" w:themeColor="text1"/>
          <w:highlight w:val="none"/>
          <w14:textFill>
            <w14:solidFill>
              <w14:schemeClr w14:val="tx1"/>
            </w14:solidFill>
          </w14:textFill>
        </w:rPr>
        <w:t xml:space="preserve">  通过资格审查的投标人不足3家的，评标终止。</w:t>
      </w:r>
    </w:p>
    <w:p>
      <w:pPr>
        <w:spacing w:line="440" w:lineRule="exact"/>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21.6.2  </w:t>
      </w:r>
      <w:r>
        <w:rPr>
          <w:rFonts w:hint="eastAsia" w:ascii="宋体" w:hAnsi="宋体"/>
          <w:color w:val="000000" w:themeColor="text1"/>
          <w:highlight w:val="none"/>
          <w14:textFill>
            <w14:solidFill>
              <w14:schemeClr w14:val="tx1"/>
            </w14:solidFill>
          </w14:textFill>
        </w:rPr>
        <w:t>信用信息查询</w:t>
      </w: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（1）信用信息查询渠道及截止时间：采购代理机构将通过“信用中国”网站(www.creditchina.gov.cn)、中国政府采购网(www.ccgp.gov.cn)渠道查询投标人投标截止时间当天的信用记录。</w:t>
      </w: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（2）信用信息查询记录和证据留存的具体方式：现场查询的投标人的信用记录、查询结果经确认后将与招标文件一起存档。</w:t>
      </w: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（3）信用信息的使用规则：经查询列入失信被执行人名单、重大税收违法案件当事人名单、政府采购严重违法失信行为记录名单的投标人将被拒绝参与政府采购活动。</w:t>
      </w:r>
    </w:p>
    <w:p>
      <w:pPr>
        <w:spacing w:line="44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联合体信用信息查询：两个以上的自然人、法人或者其他组织组成一个联合体，以一个投标人的身份共同参加政府采购活动的，应当对所有联合体成员进行信用记录查询，联合体成员存在不良信用记录的，视同联合体存在不良信用记录。</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21.6.3  </w:t>
      </w:r>
      <w:r>
        <w:rPr>
          <w:rFonts w:hint="eastAsia" w:ascii="宋体" w:hAnsi="宋体"/>
          <w:color w:val="000000" w:themeColor="text1"/>
          <w:highlight w:val="none"/>
          <w14:textFill>
            <w14:solidFill>
              <w14:schemeClr w14:val="tx1"/>
            </w14:solidFill>
          </w14:textFill>
        </w:rPr>
        <w:t>投标文件报价出现前后不一致的，除招标文件另有规定外，按照下列规定修正：</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（一）投标文件中开标一览表(报价表)内容与投标文件中相应内容不一致的，以开标一览表(报价表)为准；</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（二）大写金额和小写金额不一致的，以大写金额为准；</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（三）单价金额小数点或者百分比有明显错位的，以开标一览表的总价为准，并修改单价；</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（四）总价金额与按单价汇总金额不一致的，以单价金额计算结果为准。</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同时出现两种以上不一致的，按照前款规定的顺序修正。修正后的报价按照本须知19.2条的规定经投标人确认后产生约束力，投标人不确认的，其投标无效。</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21.6.4</w:t>
      </w:r>
      <w:r>
        <w:rPr>
          <w:rFonts w:hint="eastAsia" w:ascii="宋体" w:hAnsi="宋体"/>
          <w:color w:val="000000" w:themeColor="text1"/>
          <w:highlight w:val="none"/>
          <w14:textFill>
            <w14:solidFill>
              <w14:schemeClr w14:val="tx1"/>
            </w14:solidFill>
          </w14:textFill>
        </w:rP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21.6.5</w:t>
      </w:r>
      <w:r>
        <w:rPr>
          <w:rFonts w:hint="eastAsia" w:ascii="宋体" w:hAnsi="宋体"/>
          <w:color w:val="000000" w:themeColor="text1"/>
          <w:highlight w:val="none"/>
          <w14:textFill>
            <w14:solidFill>
              <w14:schemeClr w14:val="tx1"/>
            </w14:solidFill>
          </w14:textFill>
        </w:rPr>
        <w:t xml:space="preserve">  评标委员会成员对需要共同认定的事项存在争议的，应当按照少数服从多数的原则作出结论。持不同意见的评标委员会成员应当在评标报告上签署不同意见及理由，否则视为同意评标报告。</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21.6.6 </w:t>
      </w:r>
      <w:r>
        <w:rPr>
          <w:rFonts w:hint="eastAsia" w:ascii="宋体" w:hAnsi="宋体"/>
          <w:color w:val="000000" w:themeColor="text1"/>
          <w:highlight w:val="none"/>
          <w14:textFill>
            <w14:solidFill>
              <w14:schemeClr w14:val="tx1"/>
            </w14:solidFill>
          </w14:textFill>
        </w:rPr>
        <w:t xml:space="preserve"> 采用最低评标价法的采购项目，提供相同品牌产品的不同投标人参加同一标项投标的，以其中通过资格审查、符合性审查且报价最低的参加评标；报价相同的，由采购人或者采购人委托评标委员会采取随机抽取方式确定，其他投标无效。</w:t>
      </w:r>
    </w:p>
    <w:p>
      <w:pPr>
        <w:spacing w:line="440" w:lineRule="exact"/>
        <w:ind w:firstLine="420" w:firstLineChars="200"/>
        <w:rPr>
          <w:rFonts w:ascii="宋体" w:hAnsi="宋体"/>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使用综合评分法的采购项目，提供相同品牌产品且通过资格审查、符合性审查的不同投标人参加同一标项项投标的，按一家投标人计算，评审后得分最高的同品牌投标人获得中标人推荐资格；评审得分相同的，由采购人或者采购人委托评标委员会采取随机抽取方式确定，其他同品牌投标人不作为中标候选人。</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非单一产品采购项目，招标文件中应载明核心产品，多家投标人提供的核心产品品牌相同的，按上述规定处理。</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21.6.7</w:t>
      </w:r>
      <w:r>
        <w:rPr>
          <w:rFonts w:hint="eastAsia" w:ascii="宋体" w:hAnsi="宋体"/>
          <w:color w:val="000000" w:themeColor="text1"/>
          <w:highlight w:val="none"/>
          <w14:textFill>
            <w14:solidFill>
              <w14:schemeClr w14:val="tx1"/>
            </w14:solidFill>
          </w14:textFill>
        </w:rPr>
        <w:t xml:space="preserve">  有下列情形之一的，视为投标人串通投标，其投标无效：</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（一）不同投标人的投标文件由同一单位或者个人编制；</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（二）不同投标人委托同一单位或者个人办理投标事宜；</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（三）不同投标人的投标文件载明的项目管理成员或者联系人员为同一人；</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（四）不同投标人的投标文件异常一致或者投标报价呈规律性差异；</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（五）不同投标人的投标文件相互混装；</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（六）不同投标人的投标保证金从同一单位或者个人的账户转出。</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21.6.8</w:t>
      </w:r>
      <w:r>
        <w:rPr>
          <w:rFonts w:hint="eastAsia" w:ascii="宋体" w:hAnsi="宋体"/>
          <w:color w:val="000000" w:themeColor="text1"/>
          <w:highlight w:val="none"/>
          <w14:textFill>
            <w14:solidFill>
              <w14:schemeClr w14:val="tx1"/>
            </w14:solidFill>
          </w14:textFill>
        </w:rPr>
        <w:t xml:space="preserve">  投标人存在下列情况之一的，投标无效：</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（一）未按照招标文件的规定提交投标保证金的；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（二）投标文件未按招标文件要求签署、盖章的；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（三）不具备招标文件中规定的资格要求的；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（四）报价超过招标文件中规定的预算金额或者最高限价的；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（五）未对招标文件的实质性条款作出响应的；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（六）投标文件含有采购人不能接受的附加条件的；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（七）不同投标人的投标文件出自同一终端设备或在相同Internet主机分配地址（相同IP地址）；</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（八）法律、法规和招标文件规定的其他无效情形。</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21.6.9  </w:t>
      </w:r>
      <w:r>
        <w:rPr>
          <w:rFonts w:hint="eastAsia" w:ascii="宋体" w:hAnsi="宋体"/>
          <w:color w:val="000000" w:themeColor="text1"/>
          <w:highlight w:val="none"/>
          <w14:textFill>
            <w14:solidFill>
              <w14:schemeClr w14:val="tx1"/>
            </w14:solidFill>
          </w14:textFill>
        </w:rPr>
        <w:t>评标结果汇总完成后，除下列情形外，任何人不得修改评标结果：</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（一）分值汇总计算错误的；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（二）分项评分超出评分标准范围的；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（三）评标委员会成员对客观评审因素评分不一致的；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（四）经评标委员会认定评分畸高、畸低的。</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pacing w:line="440" w:lineRule="exact"/>
        <w:ind w:firstLine="449" w:firstLineChars="214"/>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投标人对本条第一款情形提出质疑的，采购人或者采购代理机构可以组织原评标委员会进行重新评审，重新评审改变评标结果的，应当书面报告本级财政部门。</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21.6.10  </w:t>
      </w:r>
      <w:r>
        <w:rPr>
          <w:rFonts w:hint="eastAsia" w:ascii="宋体"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400" w:lineRule="exact"/>
        <w:rPr>
          <w:rFonts w:ascii="宋体"/>
          <w:color w:val="000000" w:themeColor="text1"/>
          <w:kern w:val="0"/>
          <w:highlight w:val="none"/>
          <w14:textFill>
            <w14:solidFill>
              <w14:schemeClr w14:val="tx1"/>
            </w14:solidFill>
          </w14:textFill>
        </w:rPr>
      </w:pP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22.  </w:t>
      </w:r>
      <w:r>
        <w:rPr>
          <w:rFonts w:hint="eastAsia" w:ascii="宋体" w:hAnsi="宋体" w:cs="宋体"/>
          <w:b/>
          <w:bCs/>
          <w:color w:val="000000" w:themeColor="text1"/>
          <w:highlight w:val="none"/>
          <w14:textFill>
            <w14:solidFill>
              <w14:schemeClr w14:val="tx1"/>
            </w14:solidFill>
          </w14:textFill>
        </w:rPr>
        <w:t>推荐中标候选人</w:t>
      </w:r>
    </w:p>
    <w:p>
      <w:pPr>
        <w:spacing w:line="400" w:lineRule="exact"/>
        <w:rPr>
          <w:rFonts w:ascii="宋体"/>
          <w:color w:val="000000" w:themeColor="text1"/>
          <w:kern w:val="0"/>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22.1</w:t>
      </w:r>
      <w:r>
        <w:rPr>
          <w:rFonts w:hint="eastAsia" w:ascii="宋体" w:hAnsi="宋体" w:cs="宋体"/>
          <w:color w:val="000000" w:themeColor="text1"/>
          <w:kern w:val="0"/>
          <w:highlight w:val="none"/>
          <w14:textFill>
            <w14:solidFill>
              <w14:schemeClr w14:val="tx1"/>
            </w14:solidFill>
          </w14:textFill>
        </w:rPr>
        <w:t>评标委员会按照招标文件第六部分“评标标准”推荐中标候选人。</w:t>
      </w:r>
    </w:p>
    <w:p>
      <w:pPr>
        <w:spacing w:line="400" w:lineRule="exact"/>
        <w:rPr>
          <w:rFonts w:ascii="宋体"/>
          <w:color w:val="000000" w:themeColor="text1"/>
          <w:kern w:val="0"/>
          <w:highlight w:val="none"/>
          <w14:textFill>
            <w14:solidFill>
              <w14:schemeClr w14:val="tx1"/>
            </w14:solidFill>
          </w14:textFill>
        </w:rPr>
      </w:pP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23.  </w:t>
      </w:r>
      <w:r>
        <w:rPr>
          <w:rFonts w:hint="eastAsia" w:ascii="宋体" w:hAnsi="宋体" w:cs="宋体"/>
          <w:b/>
          <w:bCs/>
          <w:color w:val="000000" w:themeColor="text1"/>
          <w:highlight w:val="none"/>
          <w14:textFill>
            <w14:solidFill>
              <w14:schemeClr w14:val="tx1"/>
            </w14:solidFill>
          </w14:textFill>
        </w:rPr>
        <w:t>定标</w:t>
      </w:r>
    </w:p>
    <w:p>
      <w:pPr>
        <w:spacing w:line="400" w:lineRule="exac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23.1  </w:t>
      </w:r>
      <w:r>
        <w:rPr>
          <w:rFonts w:hint="eastAsia" w:ascii="宋体" w:hAnsi="宋体" w:cs="宋体"/>
          <w:color w:val="000000" w:themeColor="text1"/>
          <w:highlight w:val="none"/>
          <w14:textFill>
            <w14:solidFill>
              <w14:schemeClr w14:val="tx1"/>
            </w14:solidFill>
          </w14:textFill>
        </w:rPr>
        <w:t>确定中标人。本项目由评标委员会推荐中标候选人，采购人不得在评标委员会推荐的中标候选人以外确定中标候选人。</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23.2</w:t>
      </w:r>
      <w:r>
        <w:rPr>
          <w:rFonts w:hint="eastAsia" w:ascii="宋体" w:hAnsi="宋体" w:cs="宋体"/>
          <w:color w:val="000000" w:themeColor="text1"/>
          <w:highlight w:val="none"/>
          <w14:textFill>
            <w14:solidFill>
              <w14:schemeClr w14:val="tx1"/>
            </w14:solidFill>
          </w14:textFill>
        </w:rPr>
        <w:t xml:space="preserve">  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23.3</w:t>
      </w:r>
      <w:r>
        <w:rPr>
          <w:rFonts w:hint="eastAsia" w:ascii="宋体" w:hAnsi="宋体" w:cs="宋体"/>
          <w:color w:val="000000" w:themeColor="text1"/>
          <w:highlight w:val="none"/>
          <w14:textFill>
            <w14:solidFill>
              <w14:schemeClr w14:val="tx1"/>
            </w14:solidFill>
          </w14:textFill>
        </w:rPr>
        <w:t xml:space="preserve">  采购代理机构自中标人确定之日起2个工作日内，在发布招标公告的网站上对中标结果进行公示，中标结果公告期限为1个工作日。</w:t>
      </w:r>
    </w:p>
    <w:p>
      <w:pPr>
        <w:spacing w:line="400" w:lineRule="exact"/>
        <w:rPr>
          <w:rFonts w:ascii="宋体"/>
          <w:color w:val="000000" w:themeColor="text1"/>
          <w:kern w:val="0"/>
          <w:highlight w:val="none"/>
          <w14:textFill>
            <w14:solidFill>
              <w14:schemeClr w14:val="tx1"/>
            </w14:solidFill>
          </w14:textFill>
        </w:rPr>
      </w:pPr>
    </w:p>
    <w:p>
      <w:pPr>
        <w:jc w:val="center"/>
        <w:outlineLvl w:val="1"/>
        <w:rPr>
          <w:rFonts w:ascii="宋体"/>
          <w:b/>
          <w:bCs/>
          <w:color w:val="000000" w:themeColor="text1"/>
          <w:sz w:val="28"/>
          <w:szCs w:val="28"/>
          <w:highlight w:val="none"/>
          <w14:textFill>
            <w14:solidFill>
              <w14:schemeClr w14:val="tx1"/>
            </w14:solidFill>
          </w14:textFill>
        </w:rPr>
      </w:pPr>
      <w:bookmarkStart w:id="139" w:name="_Toc141797680"/>
      <w:bookmarkStart w:id="140" w:name="_Toc28723"/>
      <w:bookmarkStart w:id="141" w:name="_Toc440276567"/>
      <w:bookmarkStart w:id="142" w:name="_Toc19189"/>
      <w:bookmarkStart w:id="143" w:name="_Toc141797120"/>
      <w:r>
        <w:rPr>
          <w:rFonts w:ascii="宋体" w:hAnsi="宋体" w:cs="宋体"/>
          <w:b/>
          <w:bCs/>
          <w:color w:val="000000" w:themeColor="text1"/>
          <w:sz w:val="28"/>
          <w:szCs w:val="28"/>
          <w:highlight w:val="none"/>
          <w14:textFill>
            <w14:solidFill>
              <w14:schemeClr w14:val="tx1"/>
            </w14:solidFill>
          </w14:textFill>
        </w:rPr>
        <w:t xml:space="preserve">G  </w:t>
      </w:r>
      <w:r>
        <w:rPr>
          <w:rFonts w:hint="eastAsia" w:ascii="宋体" w:hAnsi="宋体" w:cs="宋体"/>
          <w:b/>
          <w:bCs/>
          <w:color w:val="000000" w:themeColor="text1"/>
          <w:sz w:val="28"/>
          <w:szCs w:val="28"/>
          <w:highlight w:val="none"/>
          <w14:textFill>
            <w14:solidFill>
              <w14:schemeClr w14:val="tx1"/>
            </w14:solidFill>
          </w14:textFill>
        </w:rPr>
        <w:t>授予合同</w:t>
      </w:r>
      <w:bookmarkEnd w:id="139"/>
      <w:bookmarkEnd w:id="140"/>
      <w:bookmarkEnd w:id="141"/>
      <w:bookmarkEnd w:id="142"/>
      <w:bookmarkEnd w:id="143"/>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24.  </w:t>
      </w:r>
      <w:r>
        <w:rPr>
          <w:rFonts w:hint="eastAsia" w:ascii="宋体" w:hAnsi="宋体" w:cs="宋体"/>
          <w:b/>
          <w:bCs/>
          <w:color w:val="000000" w:themeColor="text1"/>
          <w:highlight w:val="none"/>
          <w14:textFill>
            <w14:solidFill>
              <w14:schemeClr w14:val="tx1"/>
            </w14:solidFill>
          </w14:textFill>
        </w:rPr>
        <w:t>中标通知</w:t>
      </w:r>
    </w:p>
    <w:p>
      <w:pPr>
        <w:spacing w:line="400" w:lineRule="exact"/>
        <w:rPr>
          <w:rFonts w:ascii="宋体"/>
          <w:color w:val="000000" w:themeColor="text1"/>
          <w:kern w:val="0"/>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24.1 </w:t>
      </w:r>
      <w:r>
        <w:rPr>
          <w:rFonts w:hint="eastAsia" w:ascii="宋体" w:hAnsi="宋体" w:cs="宋体"/>
          <w:color w:val="000000" w:themeColor="text1"/>
          <w:kern w:val="0"/>
          <w:highlight w:val="none"/>
          <w14:textFill>
            <w14:solidFill>
              <w14:schemeClr w14:val="tx1"/>
            </w14:solidFill>
          </w14:textFill>
        </w:rPr>
        <w:t>在公告中标结果的同时，采购代理机构应当向中标人发出中标通知书。</w:t>
      </w:r>
    </w:p>
    <w:p>
      <w:pPr>
        <w:spacing w:line="400" w:lineRule="exact"/>
        <w:rPr>
          <w:rFonts w:ascii="宋体"/>
          <w:color w:val="000000" w:themeColor="text1"/>
          <w:kern w:val="0"/>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24.2</w:t>
      </w:r>
      <w:r>
        <w:rPr>
          <w:rFonts w:hint="eastAsia" w:ascii="宋体" w:hAnsi="宋体" w:cs="宋体"/>
          <w:color w:val="000000" w:themeColor="text1"/>
          <w:kern w:val="0"/>
          <w:highlight w:val="none"/>
          <w14:textFill>
            <w14:solidFill>
              <w14:schemeClr w14:val="tx1"/>
            </w14:solidFill>
          </w14:textFill>
        </w:rPr>
        <w:t>中标通知书发出后，采购人不得违法改变中标结果，中标人无正当理由不得放弃中标。</w:t>
      </w:r>
    </w:p>
    <w:p>
      <w:pPr>
        <w:spacing w:line="400" w:lineRule="exact"/>
        <w:ind w:firstLine="420" w:firstLineChars="200"/>
        <w:rPr>
          <w:rFonts w:ascii="宋体"/>
          <w:color w:val="000000" w:themeColor="text1"/>
          <w:kern w:val="0"/>
          <w:highlight w:val="none"/>
          <w14:textFill>
            <w14:solidFill>
              <w14:schemeClr w14:val="tx1"/>
            </w14:solidFill>
          </w14:textFill>
        </w:rPr>
      </w:pP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25.  </w:t>
      </w:r>
      <w:r>
        <w:rPr>
          <w:rFonts w:hint="eastAsia" w:ascii="宋体" w:hAnsi="宋体" w:cs="宋体"/>
          <w:b/>
          <w:bCs/>
          <w:color w:val="000000" w:themeColor="text1"/>
          <w:highlight w:val="none"/>
          <w14:textFill>
            <w14:solidFill>
              <w14:schemeClr w14:val="tx1"/>
            </w14:solidFill>
          </w14:textFill>
        </w:rPr>
        <w:t>签订合同</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25.1</w:t>
      </w:r>
      <w:r>
        <w:rPr>
          <w:rFonts w:hint="eastAsia" w:ascii="宋体" w:hAnsi="宋体" w:cs="宋体"/>
          <w:color w:val="000000" w:themeColor="text1"/>
          <w:kern w:val="0"/>
          <w:highlight w:val="none"/>
          <w14:textFill>
            <w14:solidFill>
              <w14:schemeClr w14:val="tx1"/>
            </w14:solidFill>
          </w14:textFill>
        </w:rPr>
        <w:t xml:space="preserve">  中标人应在采购代理机构发出中标通知书的30日内，应与采购人签订合同。所签订的合同不得对招标文件确定的事项和中标人投标文件作实质性修改。</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25.2</w:t>
      </w:r>
      <w:r>
        <w:rPr>
          <w:rFonts w:hint="eastAsia" w:ascii="宋体" w:hAnsi="宋体" w:cs="宋体"/>
          <w:color w:val="000000" w:themeColor="text1"/>
          <w:kern w:val="0"/>
          <w:highlight w:val="none"/>
          <w14:textFill>
            <w14:solidFill>
              <w14:schemeClr w14:val="tx1"/>
            </w14:solidFill>
          </w14:textFill>
        </w:rPr>
        <w:t xml:space="preserve">  除中标通知书外，招标文件、中标人的投标文件及评标过程中有关的澄清文件也均应作为合同附件。</w:t>
      </w:r>
    </w:p>
    <w:p>
      <w:pPr>
        <w:spacing w:line="400" w:lineRule="exact"/>
        <w:rPr>
          <w:rFonts w:ascii="宋体" w:hAnsi="宋体" w:cs="宋体"/>
          <w:bCs/>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25.3  </w:t>
      </w:r>
      <w:r>
        <w:rPr>
          <w:rFonts w:hint="eastAsia" w:ascii="宋体" w:hAnsi="宋体" w:cs="宋体"/>
          <w:bCs/>
          <w:color w:val="000000" w:themeColor="text1"/>
          <w:highlight w:val="none"/>
          <w14:textFill>
            <w14:solidFill>
              <w14:schemeClr w14:val="tx1"/>
            </w14:solidFill>
          </w14:textFill>
        </w:rPr>
        <w:t>中标人按规定的日期、时间、地点，由法定代表人或其授权代表与采购人代表签订合同。如中标人为联合体，由联合体成员各方法定代表人或其授权代表与采购人代表签订合同。允许中标人在采购合同盖章后送达。</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25.4</w:t>
      </w:r>
      <w:r>
        <w:rPr>
          <w:rFonts w:hint="eastAsia" w:ascii="宋体" w:hAnsi="宋体" w:cs="宋体"/>
          <w:color w:val="000000" w:themeColor="text1"/>
          <w:kern w:val="0"/>
          <w:highlight w:val="none"/>
          <w14:textFill>
            <w14:solidFill>
              <w14:schemeClr w14:val="tx1"/>
            </w14:solidFill>
          </w14:textFill>
        </w:rPr>
        <w:t xml:space="preserve">  中标人拒绝与采购人签订合同的，采购人可以按照评标报告推荐的中标候选人名单排序，确定下一候选人为中标人，也可以重新开展政府采购活动。</w:t>
      </w:r>
    </w:p>
    <w:p>
      <w:pPr>
        <w:spacing w:line="400" w:lineRule="exact"/>
        <w:rPr>
          <w:rFonts w:ascii="宋体" w:hAnsi="宋体" w:cs="宋体"/>
          <w:color w:val="000000" w:themeColor="text1"/>
          <w:kern w:val="0"/>
          <w:highlight w:val="none"/>
          <w14:textFill>
            <w14:solidFill>
              <w14:schemeClr w14:val="tx1"/>
            </w14:solidFill>
          </w14:textFill>
        </w:rPr>
      </w:pP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26.  </w:t>
      </w:r>
      <w:r>
        <w:rPr>
          <w:rFonts w:hint="eastAsia" w:ascii="宋体" w:hAnsi="宋体" w:cs="宋体"/>
          <w:b/>
          <w:bCs/>
          <w:color w:val="000000" w:themeColor="text1"/>
          <w:highlight w:val="none"/>
          <w14:textFill>
            <w14:solidFill>
              <w14:schemeClr w14:val="tx1"/>
            </w14:solidFill>
          </w14:textFill>
        </w:rPr>
        <w:t>履约保证金</w:t>
      </w:r>
    </w:p>
    <w:p>
      <w:pPr>
        <w:spacing w:line="400" w:lineRule="exact"/>
        <w:rPr>
          <w:rFonts w:ascii="宋体"/>
          <w:color w:val="000000" w:themeColor="text1"/>
          <w:kern w:val="0"/>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26.1</w:t>
      </w:r>
      <w:r>
        <w:rPr>
          <w:rFonts w:hint="eastAsia" w:ascii="宋体" w:hAnsi="宋体" w:cs="宋体"/>
          <w:color w:val="000000" w:themeColor="text1"/>
          <w:kern w:val="0"/>
          <w:highlight w:val="none"/>
          <w14:textFill>
            <w14:solidFill>
              <w14:schemeClr w14:val="tx1"/>
            </w14:solidFill>
          </w14:textFill>
        </w:rPr>
        <w:t>招标文件若有规定，在签订合同后，采购人按合同支付定金的同时，中标人应向采购人提供履约保证金。</w:t>
      </w:r>
    </w:p>
    <w:p>
      <w:pPr>
        <w:spacing w:line="400" w:lineRule="exact"/>
        <w:rPr>
          <w:rFonts w:ascii="宋体"/>
          <w:color w:val="000000" w:themeColor="text1"/>
          <w:kern w:val="0"/>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26.2</w:t>
      </w:r>
      <w:r>
        <w:rPr>
          <w:rFonts w:hint="eastAsia" w:ascii="宋体" w:hAnsi="宋体" w:cs="宋体"/>
          <w:color w:val="000000" w:themeColor="text1"/>
          <w:kern w:val="0"/>
          <w:highlight w:val="none"/>
          <w14:textFill>
            <w14:solidFill>
              <w14:schemeClr w14:val="tx1"/>
            </w14:solidFill>
          </w14:textFill>
        </w:rPr>
        <w:t>若中标人不按上述第</w:t>
      </w:r>
      <w:r>
        <w:rPr>
          <w:rFonts w:ascii="宋体" w:hAnsi="宋体" w:cs="宋体"/>
          <w:color w:val="000000" w:themeColor="text1"/>
          <w:kern w:val="0"/>
          <w:highlight w:val="none"/>
          <w14:textFill>
            <w14:solidFill>
              <w14:schemeClr w14:val="tx1"/>
            </w14:solidFill>
          </w14:textFill>
        </w:rPr>
        <w:t>26.1</w:t>
      </w:r>
      <w:r>
        <w:rPr>
          <w:rFonts w:hint="eastAsia" w:ascii="宋体" w:hAnsi="宋体" w:cs="宋体"/>
          <w:color w:val="000000" w:themeColor="text1"/>
          <w:kern w:val="0"/>
          <w:highlight w:val="none"/>
          <w14:textFill>
            <w14:solidFill>
              <w14:schemeClr w14:val="tx1"/>
            </w14:solidFill>
          </w14:textFill>
        </w:rPr>
        <w:t>条要求提供，采购代理机构和采购人有权按前述第</w:t>
      </w:r>
      <w:r>
        <w:rPr>
          <w:rFonts w:ascii="宋体" w:hAnsi="宋体" w:cs="宋体"/>
          <w:color w:val="000000" w:themeColor="text1"/>
          <w:kern w:val="0"/>
          <w:highlight w:val="none"/>
          <w14:textFill>
            <w14:solidFill>
              <w14:schemeClr w14:val="tx1"/>
            </w14:solidFill>
          </w14:textFill>
        </w:rPr>
        <w:t>13.6</w:t>
      </w:r>
      <w:r>
        <w:rPr>
          <w:rFonts w:hint="eastAsia" w:ascii="宋体" w:hAnsi="宋体" w:cs="宋体"/>
          <w:color w:val="000000" w:themeColor="text1"/>
          <w:kern w:val="0"/>
          <w:highlight w:val="none"/>
          <w14:textFill>
            <w14:solidFill>
              <w14:schemeClr w14:val="tx1"/>
            </w14:solidFill>
          </w14:textFill>
        </w:rPr>
        <w:t>条规定处理并撤销其中标资格。在这种情况下，采购代理机构和采购人可按本须知第</w:t>
      </w:r>
      <w:r>
        <w:rPr>
          <w:rFonts w:ascii="宋体" w:hAnsi="宋体" w:cs="宋体"/>
          <w:color w:val="000000" w:themeColor="text1"/>
          <w:kern w:val="0"/>
          <w:highlight w:val="none"/>
          <w14:textFill>
            <w14:solidFill>
              <w14:schemeClr w14:val="tx1"/>
            </w14:solidFill>
          </w14:textFill>
        </w:rPr>
        <w:t>25.3</w:t>
      </w:r>
      <w:r>
        <w:rPr>
          <w:rFonts w:hint="eastAsia" w:ascii="宋体" w:hAnsi="宋体" w:cs="宋体"/>
          <w:color w:val="000000" w:themeColor="text1"/>
          <w:kern w:val="0"/>
          <w:highlight w:val="none"/>
          <w14:textFill>
            <w14:solidFill>
              <w14:schemeClr w14:val="tx1"/>
            </w14:solidFill>
          </w14:textFill>
        </w:rPr>
        <w:t>条规定另选中标人。</w:t>
      </w:r>
    </w:p>
    <w:p>
      <w:pPr>
        <w:spacing w:line="400" w:lineRule="exact"/>
        <w:rPr>
          <w:rFonts w:ascii="宋体"/>
          <w:color w:val="000000" w:themeColor="text1"/>
          <w:kern w:val="0"/>
          <w:highlight w:val="none"/>
          <w14:textFill>
            <w14:solidFill>
              <w14:schemeClr w14:val="tx1"/>
            </w14:solidFill>
          </w14:textFill>
        </w:rPr>
      </w:pPr>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27.  </w:t>
      </w:r>
      <w:r>
        <w:rPr>
          <w:rFonts w:hint="eastAsia" w:ascii="宋体" w:hAnsi="宋体" w:cs="宋体"/>
          <w:b/>
          <w:bCs/>
          <w:color w:val="000000" w:themeColor="text1"/>
          <w:highlight w:val="none"/>
          <w14:textFill>
            <w14:solidFill>
              <w14:schemeClr w14:val="tx1"/>
            </w14:solidFill>
          </w14:textFill>
        </w:rPr>
        <w:t>履约验收</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27.1</w:t>
      </w:r>
      <w:r>
        <w:rPr>
          <w:rFonts w:hint="eastAsia" w:ascii="宋体" w:hAnsi="宋体" w:cs="宋体"/>
          <w:color w:val="000000" w:themeColor="text1"/>
          <w:kern w:val="0"/>
          <w:highlight w:val="none"/>
          <w14:textFill>
            <w14:solidFill>
              <w14:schemeClr w14:val="tx1"/>
            </w14:solidFill>
          </w14:textFill>
        </w:rPr>
        <w:t xml:space="preserve">  采购人组织对中标人履约的验收。大型或者复杂的政府采购项目，应当邀请国家认可的质量检测机构参加验收工作。验收方成员应当在验收书上签字，并承担相应的法律责任。如果发现与合同中要求不符，中标人须承担由此发生的一切损失和费用，并接受相应的处理。</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27.2 </w:t>
      </w:r>
      <w:r>
        <w:rPr>
          <w:rFonts w:hint="eastAsia" w:ascii="宋体" w:hAnsi="宋体" w:cs="宋体"/>
          <w:color w:val="000000" w:themeColor="text1"/>
          <w:kern w:val="0"/>
          <w:highlight w:val="none"/>
          <w14:textFill>
            <w14:solidFill>
              <w14:schemeClr w14:val="tx1"/>
            </w14:solidFill>
          </w14:textFill>
        </w:rPr>
        <w:t xml:space="preserve"> 采购人可以邀请参加本项目的其他投标人或者第三方机构参与验收。参与验收的投标人或者第三方机构的意见作为验收书的参考资料一并存档。</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27.3</w:t>
      </w:r>
      <w:r>
        <w:rPr>
          <w:rFonts w:hint="eastAsia" w:ascii="宋体" w:hAnsi="宋体" w:cs="宋体"/>
          <w:color w:val="000000" w:themeColor="text1"/>
          <w:kern w:val="0"/>
          <w:highlight w:val="none"/>
          <w14:textFill>
            <w14:solidFill>
              <w14:schemeClr w14:val="tx1"/>
            </w14:solidFill>
          </w14:textFill>
        </w:rPr>
        <w:t xml:space="preserve">  严格按照采购合同开展履约验收。采购人成立验收小组，按照采购合同的约定对中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27.4</w:t>
      </w:r>
      <w:r>
        <w:rPr>
          <w:rFonts w:hint="eastAsia" w:ascii="宋体" w:hAnsi="宋体" w:cs="宋体"/>
          <w:color w:val="000000" w:themeColor="text1"/>
          <w:kern w:val="0"/>
          <w:highlight w:val="none"/>
          <w14:textFill>
            <w14:solidFill>
              <w14:schemeClr w14:val="tx1"/>
            </w14:solidFill>
          </w14:textFill>
        </w:rPr>
        <w:t xml:space="preserve">  验收合格的项目，采购人将根据采购合同的约定及时向中标人支付采购资金、退还履约保证金。验收不合格的项目，采购人将依法及时处理。采购合同的履行、违约责任和解决争议的方式等适用《中华人民共和国民法典》。中标人在履约过程中有政府采购法律法规规定的违法违规情形的，采购人应当及时报告本级财政部门。</w:t>
      </w:r>
    </w:p>
    <w:p>
      <w:pPr>
        <w:spacing w:line="400" w:lineRule="exact"/>
        <w:rPr>
          <w:rFonts w:ascii="宋体"/>
          <w:color w:val="000000" w:themeColor="text1"/>
          <w:kern w:val="0"/>
          <w:highlight w:val="none"/>
          <w14:textFill>
            <w14:solidFill>
              <w14:schemeClr w14:val="tx1"/>
            </w14:solidFill>
          </w14:textFill>
        </w:rPr>
      </w:pPr>
    </w:p>
    <w:p>
      <w:pPr>
        <w:jc w:val="center"/>
        <w:outlineLvl w:val="1"/>
        <w:rPr>
          <w:rFonts w:ascii="宋体"/>
          <w:b/>
          <w:bCs/>
          <w:color w:val="000000" w:themeColor="text1"/>
          <w:sz w:val="28"/>
          <w:szCs w:val="28"/>
          <w:highlight w:val="none"/>
          <w14:textFill>
            <w14:solidFill>
              <w14:schemeClr w14:val="tx1"/>
            </w14:solidFill>
          </w14:textFill>
        </w:rPr>
      </w:pPr>
      <w:bookmarkStart w:id="144" w:name="_Toc1685"/>
      <w:bookmarkStart w:id="145" w:name="_Toc440276568"/>
      <w:bookmarkStart w:id="146" w:name="_Toc141797121"/>
      <w:bookmarkStart w:id="147" w:name="_Toc141797681"/>
      <w:bookmarkStart w:id="148" w:name="_Toc25805"/>
      <w:r>
        <w:rPr>
          <w:rFonts w:ascii="宋体" w:hAnsi="宋体" w:cs="宋体"/>
          <w:b/>
          <w:bCs/>
          <w:color w:val="000000" w:themeColor="text1"/>
          <w:sz w:val="28"/>
          <w:szCs w:val="28"/>
          <w:highlight w:val="none"/>
          <w14:textFill>
            <w14:solidFill>
              <w14:schemeClr w14:val="tx1"/>
            </w14:solidFill>
          </w14:textFill>
        </w:rPr>
        <w:t xml:space="preserve">H  </w:t>
      </w:r>
      <w:r>
        <w:rPr>
          <w:rFonts w:hint="eastAsia" w:ascii="宋体" w:hAnsi="宋体" w:cs="宋体"/>
          <w:b/>
          <w:bCs/>
          <w:color w:val="000000" w:themeColor="text1"/>
          <w:sz w:val="28"/>
          <w:szCs w:val="28"/>
          <w:highlight w:val="none"/>
          <w14:textFill>
            <w14:solidFill>
              <w14:schemeClr w14:val="tx1"/>
            </w14:solidFill>
          </w14:textFill>
        </w:rPr>
        <w:t>采购代理机构服务费</w:t>
      </w:r>
      <w:bookmarkEnd w:id="144"/>
      <w:bookmarkEnd w:id="145"/>
      <w:bookmarkEnd w:id="146"/>
      <w:bookmarkEnd w:id="147"/>
      <w:bookmarkEnd w:id="148"/>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28.  </w:t>
      </w:r>
      <w:r>
        <w:rPr>
          <w:rFonts w:hint="eastAsia" w:ascii="宋体" w:hAnsi="宋体" w:cs="宋体"/>
          <w:b/>
          <w:bCs/>
          <w:color w:val="000000" w:themeColor="text1"/>
          <w:highlight w:val="none"/>
          <w14:textFill>
            <w14:solidFill>
              <w14:schemeClr w14:val="tx1"/>
            </w14:solidFill>
          </w14:textFill>
        </w:rPr>
        <w:t>采购代理机构服务费</w:t>
      </w:r>
    </w:p>
    <w:p>
      <w:pPr>
        <w:spacing w:line="400" w:lineRule="exact"/>
        <w:rPr>
          <w:rFonts w:ascii="宋体"/>
          <w:color w:val="000000" w:themeColor="text1"/>
          <w:kern w:val="0"/>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28.1</w:t>
      </w:r>
      <w:r>
        <w:rPr>
          <w:rFonts w:hint="eastAsia" w:ascii="宋体" w:hAnsi="宋体" w:cs="宋体"/>
          <w:color w:val="000000" w:themeColor="text1"/>
          <w:kern w:val="0"/>
          <w:highlight w:val="none"/>
          <w14:textFill>
            <w14:solidFill>
              <w14:schemeClr w14:val="tx1"/>
            </w14:solidFill>
          </w14:textFill>
        </w:rPr>
        <w:t>中标人应在中标结果公示结束后向采购代理机构支付采购代理机构服务费。</w:t>
      </w:r>
    </w:p>
    <w:p>
      <w:pPr>
        <w:spacing w:line="400" w:lineRule="exact"/>
        <w:rPr>
          <w:rFonts w:ascii="宋体"/>
          <w:color w:val="000000" w:themeColor="text1"/>
          <w:kern w:val="0"/>
          <w:highlight w:val="none"/>
          <w14:textFill>
            <w14:solidFill>
              <w14:schemeClr w14:val="tx1"/>
            </w14:solidFill>
          </w14:textFill>
        </w:rPr>
      </w:pPr>
    </w:p>
    <w:p>
      <w:pPr>
        <w:spacing w:line="400" w:lineRule="exact"/>
        <w:rPr>
          <w:rFonts w:ascii="宋体"/>
          <w:color w:val="000000" w:themeColor="text1"/>
          <w:kern w:val="0"/>
          <w:highlight w:val="none"/>
          <w14:textFill>
            <w14:solidFill>
              <w14:schemeClr w14:val="tx1"/>
            </w14:solidFill>
          </w14:textFill>
        </w:rPr>
      </w:pPr>
    </w:p>
    <w:p>
      <w:pPr>
        <w:jc w:val="center"/>
        <w:outlineLvl w:val="1"/>
        <w:rPr>
          <w:rFonts w:ascii="宋体"/>
          <w:b/>
          <w:bCs/>
          <w:color w:val="000000" w:themeColor="text1"/>
          <w:sz w:val="28"/>
          <w:szCs w:val="28"/>
          <w:highlight w:val="none"/>
          <w14:textFill>
            <w14:solidFill>
              <w14:schemeClr w14:val="tx1"/>
            </w14:solidFill>
          </w14:textFill>
        </w:rPr>
      </w:pPr>
      <w:bookmarkStart w:id="149" w:name="_Toc141797122"/>
      <w:bookmarkStart w:id="150" w:name="_Toc3579"/>
      <w:bookmarkStart w:id="151" w:name="_Toc6350"/>
      <w:bookmarkStart w:id="152" w:name="_Toc141797682"/>
      <w:r>
        <w:rPr>
          <w:rFonts w:hint="eastAsia" w:ascii="宋体" w:hAnsi="宋体" w:cs="宋体"/>
          <w:b/>
          <w:bCs/>
          <w:color w:val="000000" w:themeColor="text1"/>
          <w:sz w:val="28"/>
          <w:szCs w:val="28"/>
          <w:highlight w:val="none"/>
          <w14:textFill>
            <w14:solidFill>
              <w14:schemeClr w14:val="tx1"/>
            </w14:solidFill>
          </w14:textFill>
        </w:rPr>
        <w:t>Ⅰ信息发布媒体</w:t>
      </w:r>
      <w:bookmarkEnd w:id="149"/>
      <w:bookmarkEnd w:id="150"/>
      <w:bookmarkEnd w:id="151"/>
      <w:bookmarkEnd w:id="152"/>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29.  </w:t>
      </w:r>
      <w:r>
        <w:rPr>
          <w:rFonts w:hint="eastAsia" w:ascii="宋体" w:hAnsi="宋体" w:cs="宋体"/>
          <w:b/>
          <w:bCs/>
          <w:color w:val="000000" w:themeColor="text1"/>
          <w:highlight w:val="none"/>
          <w14:textFill>
            <w14:solidFill>
              <w14:schemeClr w14:val="tx1"/>
            </w14:solidFill>
          </w14:textFill>
        </w:rPr>
        <w:t>有关发布项目招标公告、中标公示的媒体：</w:t>
      </w:r>
    </w:p>
    <w:p>
      <w:pPr>
        <w:spacing w:line="360" w:lineRule="auto"/>
        <w:ind w:left="788" w:hanging="787" w:hangingChars="375"/>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浙江政府采购网</w:t>
      </w:r>
      <w:r>
        <w:rPr>
          <w:rFonts w:ascii="宋体" w:hAnsi="宋体" w:cs="宋体"/>
          <w:color w:val="000000" w:themeColor="text1"/>
          <w:highlight w:val="none"/>
          <w:u w:val="single"/>
          <w14:textFill>
            <w14:solidFill>
              <w14:schemeClr w14:val="tx1"/>
            </w14:solidFill>
          </w14:textFill>
        </w:rPr>
        <w:t>https://zfcg.czt.zj.gov.cn/</w:t>
      </w:r>
    </w:p>
    <w:p>
      <w:pPr>
        <w:spacing w:line="360" w:lineRule="auto"/>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宁波政府采购网</w:t>
      </w:r>
      <w:r>
        <w:rPr>
          <w:highlight w:val="none"/>
        </w:rPr>
        <w:fldChar w:fldCharType="begin"/>
      </w:r>
      <w:r>
        <w:rPr>
          <w:highlight w:val="none"/>
        </w:rPr>
        <w:instrText xml:space="preserve"> HYPERLINK "http://www.nbzfcg.cn" </w:instrText>
      </w:r>
      <w:r>
        <w:rPr>
          <w:highlight w:val="none"/>
        </w:rPr>
        <w:fldChar w:fldCharType="separate"/>
      </w:r>
      <w:r>
        <w:rPr>
          <w:rStyle w:val="45"/>
          <w:rFonts w:ascii="宋体" w:hAnsi="宋体" w:cs="宋体"/>
          <w:color w:val="000000" w:themeColor="text1"/>
          <w:highlight w:val="none"/>
          <w14:textFill>
            <w14:solidFill>
              <w14:schemeClr w14:val="tx1"/>
            </w14:solidFill>
          </w14:textFill>
        </w:rPr>
        <w:t>www.nbzfcg.cn</w:t>
      </w:r>
      <w:r>
        <w:rPr>
          <w:rStyle w:val="45"/>
          <w:rFonts w:ascii="宋体" w:hAnsi="宋体" w:cs="宋体"/>
          <w:color w:val="000000" w:themeColor="text1"/>
          <w:highlight w:val="none"/>
          <w14:textFill>
            <w14:solidFill>
              <w14:schemeClr w14:val="tx1"/>
            </w14:solidFill>
          </w14:textFill>
        </w:rPr>
        <w:fldChar w:fldCharType="end"/>
      </w:r>
    </w:p>
    <w:p>
      <w:pPr>
        <w:jc w:val="center"/>
        <w:outlineLvl w:val="1"/>
        <w:rPr>
          <w:rFonts w:ascii="宋体"/>
          <w:b/>
          <w:bCs/>
          <w:color w:val="000000" w:themeColor="text1"/>
          <w:sz w:val="28"/>
          <w:szCs w:val="28"/>
          <w:highlight w:val="none"/>
          <w14:textFill>
            <w14:solidFill>
              <w14:schemeClr w14:val="tx1"/>
            </w14:solidFill>
          </w14:textFill>
        </w:rPr>
      </w:pPr>
    </w:p>
    <w:p>
      <w:pPr>
        <w:jc w:val="center"/>
        <w:outlineLvl w:val="1"/>
        <w:rPr>
          <w:rFonts w:ascii="宋体"/>
          <w:b/>
          <w:bCs/>
          <w:color w:val="000000" w:themeColor="text1"/>
          <w:sz w:val="28"/>
          <w:szCs w:val="28"/>
          <w:highlight w:val="none"/>
          <w14:textFill>
            <w14:solidFill>
              <w14:schemeClr w14:val="tx1"/>
            </w14:solidFill>
          </w14:textFill>
        </w:rPr>
      </w:pPr>
      <w:bookmarkStart w:id="153" w:name="_Toc16375"/>
      <w:bookmarkStart w:id="154" w:name="_Toc24323"/>
      <w:bookmarkStart w:id="155" w:name="_Toc141797683"/>
      <w:bookmarkStart w:id="156" w:name="_Toc141797123"/>
      <w:r>
        <w:rPr>
          <w:rFonts w:ascii="宋体" w:hAnsi="宋体" w:cs="宋体"/>
          <w:b/>
          <w:bCs/>
          <w:color w:val="000000" w:themeColor="text1"/>
          <w:sz w:val="28"/>
          <w:szCs w:val="28"/>
          <w:highlight w:val="none"/>
          <w14:textFill>
            <w14:solidFill>
              <w14:schemeClr w14:val="tx1"/>
            </w14:solidFill>
          </w14:textFill>
        </w:rPr>
        <w:t xml:space="preserve">J  </w:t>
      </w:r>
      <w:r>
        <w:rPr>
          <w:rFonts w:hint="eastAsia" w:ascii="宋体" w:hAnsi="宋体" w:cs="宋体"/>
          <w:b/>
          <w:bCs/>
          <w:color w:val="000000" w:themeColor="text1"/>
          <w:sz w:val="28"/>
          <w:szCs w:val="28"/>
          <w:highlight w:val="none"/>
          <w14:textFill>
            <w14:solidFill>
              <w14:schemeClr w14:val="tx1"/>
            </w14:solidFill>
          </w14:textFill>
        </w:rPr>
        <w:t>其他规定</w:t>
      </w:r>
      <w:bookmarkEnd w:id="153"/>
      <w:bookmarkEnd w:id="154"/>
      <w:bookmarkEnd w:id="155"/>
      <w:bookmarkEnd w:id="156"/>
    </w:p>
    <w:p>
      <w:pPr>
        <w:spacing w:line="40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30.  </w:t>
      </w:r>
      <w:r>
        <w:rPr>
          <w:rFonts w:hint="eastAsia" w:ascii="宋体" w:hAnsi="宋体" w:cs="宋体"/>
          <w:b/>
          <w:bCs/>
          <w:color w:val="000000" w:themeColor="text1"/>
          <w:highlight w:val="none"/>
          <w14:textFill>
            <w14:solidFill>
              <w14:schemeClr w14:val="tx1"/>
            </w14:solidFill>
          </w14:textFill>
        </w:rPr>
        <w:t>其他规定</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30.1</w:t>
      </w:r>
      <w:r>
        <w:rPr>
          <w:rFonts w:hint="eastAsia" w:ascii="宋体" w:hAnsi="宋体" w:cs="宋体"/>
          <w:color w:val="000000" w:themeColor="text1"/>
          <w:kern w:val="0"/>
          <w:highlight w:val="none"/>
          <w14:textFill>
            <w14:solidFill>
              <w14:schemeClr w14:val="tx1"/>
            </w14:solidFill>
          </w14:textFill>
        </w:rPr>
        <w:t xml:space="preserve"> 自购买招标文件之日起，投标人应保证其提供的联系方式</w:t>
      </w:r>
      <w:r>
        <w:rPr>
          <w:rFonts w:ascii="宋体" w:hAns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电话、传真、电子邮件</w:t>
      </w:r>
      <w:r>
        <w:rPr>
          <w:rFonts w:ascii="宋体" w:hAns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一直有效，以保证往来函件</w:t>
      </w:r>
      <w:r>
        <w:rPr>
          <w:rFonts w:ascii="宋体" w:hAns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招标文件的澄清、修改等</w:t>
      </w:r>
      <w:r>
        <w:rPr>
          <w:rFonts w:ascii="宋体" w:hAnsi="宋体" w:cs="宋体"/>
          <w:color w:val="000000" w:themeColor="text1"/>
          <w:kern w:val="0"/>
          <w:highlight w:val="non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能及时通知投标人，并能及时反馈信息，否则采购人不承担由此引起的一切后果。</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30.2</w:t>
      </w:r>
      <w:r>
        <w:rPr>
          <w:rFonts w:hint="eastAsia" w:ascii="宋体" w:hAnsi="宋体" w:cs="宋体"/>
          <w:color w:val="000000" w:themeColor="text1"/>
          <w:kern w:val="0"/>
          <w:highlight w:val="none"/>
          <w14:textFill>
            <w14:solidFill>
              <w14:schemeClr w14:val="tx1"/>
            </w14:solidFill>
          </w14:textFill>
        </w:rPr>
        <w:t xml:space="preserve"> 知识产权</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30.2.1</w:t>
      </w:r>
      <w:r>
        <w:rPr>
          <w:rFonts w:ascii="宋体" w:hAnsi="宋体" w:cs="宋体"/>
          <w:color w:val="000000" w:themeColor="text1"/>
          <w:kern w:val="0"/>
          <w:highlight w:val="none"/>
          <w14:textFill>
            <w14:solidFill>
              <w14:schemeClr w14:val="tx1"/>
            </w14:solidFill>
          </w14:textFill>
        </w:rPr>
        <w:t>投标人应保证提交的全部文件不会侵犯其</w:t>
      </w:r>
      <w:r>
        <w:rPr>
          <w:rFonts w:hint="eastAsia" w:ascii="宋体" w:hAnsi="宋体" w:cs="宋体"/>
          <w:color w:val="000000" w:themeColor="text1"/>
          <w:kern w:val="0"/>
          <w:highlight w:val="none"/>
          <w14:textFill>
            <w14:solidFill>
              <w14:schemeClr w14:val="tx1"/>
            </w14:solidFill>
          </w14:textFill>
        </w:rPr>
        <w:t>他</w:t>
      </w:r>
      <w:r>
        <w:rPr>
          <w:rFonts w:ascii="宋体" w:hAnsi="宋体" w:cs="宋体"/>
          <w:color w:val="000000" w:themeColor="text1"/>
          <w:kern w:val="0"/>
          <w:highlight w:val="none"/>
          <w14:textFill>
            <w14:solidFill>
              <w14:schemeClr w14:val="tx1"/>
            </w14:solidFill>
          </w14:textFill>
        </w:rPr>
        <w:t>任何人的知识产权或专有技术或商业秘密。投标人应保证，如果投标文件使用他人的知识产权或专有技术或商业秘密，投标人已获得了适当授权。投标人应进一步保证，</w:t>
      </w:r>
      <w:r>
        <w:rPr>
          <w:rFonts w:hint="eastAsia" w:ascii="宋体" w:hAnsi="宋体" w:cs="宋体"/>
          <w:color w:val="000000" w:themeColor="text1"/>
          <w:kern w:val="0"/>
          <w:highlight w:val="none"/>
          <w14:textFill>
            <w14:solidFill>
              <w14:schemeClr w14:val="tx1"/>
            </w14:solidFill>
          </w14:textFill>
        </w:rPr>
        <w:t>采购人</w:t>
      </w:r>
      <w:r>
        <w:rPr>
          <w:rFonts w:ascii="宋体" w:hAnsi="宋体" w:cs="宋体"/>
          <w:color w:val="000000" w:themeColor="text1"/>
          <w:kern w:val="0"/>
          <w:highlight w:val="none"/>
          <w14:textFill>
            <w14:solidFill>
              <w14:schemeClr w14:val="tx1"/>
            </w14:solidFill>
          </w14:textFill>
        </w:rPr>
        <w:t>使用其</w:t>
      </w:r>
      <w:r>
        <w:rPr>
          <w:rFonts w:hint="eastAsia" w:ascii="宋体" w:hAnsi="宋体" w:cs="宋体"/>
          <w:color w:val="000000" w:themeColor="text1"/>
          <w:kern w:val="0"/>
          <w:highlight w:val="none"/>
          <w14:textFill>
            <w14:solidFill>
              <w14:schemeClr w14:val="tx1"/>
            </w14:solidFill>
          </w14:textFill>
        </w:rPr>
        <w:t>成果</w:t>
      </w:r>
      <w:r>
        <w:rPr>
          <w:rFonts w:ascii="宋体" w:hAnsi="宋体" w:cs="宋体"/>
          <w:color w:val="000000" w:themeColor="text1"/>
          <w:kern w:val="0"/>
          <w:highlight w:val="none"/>
          <w14:textFill>
            <w14:solidFill>
              <w14:schemeClr w14:val="tx1"/>
            </w14:solidFill>
          </w14:textFill>
        </w:rPr>
        <w:t>不会侵犯他人的知识产权或专</w:t>
      </w:r>
      <w:r>
        <w:rPr>
          <w:rFonts w:hint="eastAsia" w:ascii="宋体" w:hAnsi="宋体" w:cs="宋体"/>
          <w:color w:val="000000" w:themeColor="text1"/>
          <w:kern w:val="0"/>
          <w:highlight w:val="none"/>
          <w14:textFill>
            <w14:solidFill>
              <w14:schemeClr w14:val="tx1"/>
            </w14:solidFill>
          </w14:textFill>
        </w:rPr>
        <w:t>有</w:t>
      </w:r>
      <w:r>
        <w:rPr>
          <w:rFonts w:ascii="宋体" w:hAnsi="宋体" w:cs="宋体"/>
          <w:color w:val="000000" w:themeColor="text1"/>
          <w:kern w:val="0"/>
          <w:highlight w:val="none"/>
          <w14:textFill>
            <w14:solidFill>
              <w14:schemeClr w14:val="tx1"/>
            </w14:solidFill>
          </w14:textFill>
        </w:rPr>
        <w:t>技术或商业秘密，并应当使</w:t>
      </w:r>
      <w:r>
        <w:rPr>
          <w:rFonts w:hint="eastAsia" w:ascii="宋体" w:hAnsi="宋体" w:cs="宋体"/>
          <w:color w:val="000000" w:themeColor="text1"/>
          <w:kern w:val="0"/>
          <w:highlight w:val="none"/>
          <w14:textFill>
            <w14:solidFill>
              <w14:schemeClr w14:val="tx1"/>
            </w14:solidFill>
          </w14:textFill>
        </w:rPr>
        <w:t>采购人</w:t>
      </w:r>
      <w:r>
        <w:rPr>
          <w:rFonts w:ascii="宋体" w:hAnsi="宋体" w:cs="宋体"/>
          <w:color w:val="000000" w:themeColor="text1"/>
          <w:kern w:val="0"/>
          <w:highlight w:val="none"/>
          <w14:textFill>
            <w14:solidFill>
              <w14:schemeClr w14:val="tx1"/>
            </w14:solidFill>
          </w14:textFill>
        </w:rPr>
        <w:t>免于因被指控侵犯上述权利产生的任何责任，</w:t>
      </w:r>
      <w:r>
        <w:rPr>
          <w:rFonts w:hint="eastAsia" w:ascii="宋体" w:hAnsi="宋体" w:cs="宋体"/>
          <w:color w:val="000000" w:themeColor="text1"/>
          <w:kern w:val="0"/>
          <w:highlight w:val="none"/>
          <w14:textFill>
            <w14:solidFill>
              <w14:schemeClr w14:val="tx1"/>
            </w14:solidFill>
          </w14:textFill>
        </w:rPr>
        <w:t>若采购人</w:t>
      </w:r>
      <w:r>
        <w:rPr>
          <w:rFonts w:ascii="宋体" w:hAnsi="宋体" w:cs="宋体"/>
          <w:color w:val="000000" w:themeColor="text1"/>
          <w:kern w:val="0"/>
          <w:highlight w:val="none"/>
          <w14:textFill>
            <w14:solidFill>
              <w14:schemeClr w14:val="tx1"/>
            </w14:solidFill>
          </w14:textFill>
        </w:rPr>
        <w:t>使用其</w:t>
      </w:r>
      <w:r>
        <w:rPr>
          <w:rFonts w:hint="eastAsia" w:ascii="宋体" w:hAnsi="宋体" w:cs="宋体"/>
          <w:color w:val="000000" w:themeColor="text1"/>
          <w:kern w:val="0"/>
          <w:highlight w:val="none"/>
          <w14:textFill>
            <w14:solidFill>
              <w14:schemeClr w14:val="tx1"/>
            </w14:solidFill>
          </w14:textFill>
        </w:rPr>
        <w:t>成果</w:t>
      </w:r>
      <w:r>
        <w:rPr>
          <w:rFonts w:ascii="宋体" w:hAnsi="宋体" w:cs="宋体"/>
          <w:color w:val="000000" w:themeColor="text1"/>
          <w:kern w:val="0"/>
          <w:highlight w:val="none"/>
          <w14:textFill>
            <w14:solidFill>
              <w14:schemeClr w14:val="tx1"/>
            </w14:solidFill>
          </w14:textFill>
        </w:rPr>
        <w:t>被指控侵犯上述权利</w:t>
      </w:r>
      <w:r>
        <w:rPr>
          <w:rFonts w:hint="eastAsia" w:ascii="宋体" w:hAnsi="宋体" w:cs="宋体"/>
          <w:color w:val="000000" w:themeColor="text1"/>
          <w:kern w:val="0"/>
          <w:highlight w:val="none"/>
          <w14:textFill>
            <w14:solidFill>
              <w14:schemeClr w14:val="tx1"/>
            </w14:solidFill>
          </w14:textFill>
        </w:rPr>
        <w:t>，投标人应</w:t>
      </w:r>
      <w:r>
        <w:rPr>
          <w:rFonts w:ascii="宋体" w:hAnsi="宋体" w:cs="宋体"/>
          <w:color w:val="000000" w:themeColor="text1"/>
          <w:kern w:val="0"/>
          <w:highlight w:val="none"/>
          <w14:textFill>
            <w14:solidFill>
              <w14:schemeClr w14:val="tx1"/>
            </w14:solidFill>
          </w14:textFill>
        </w:rPr>
        <w:t>赔偿</w:t>
      </w:r>
      <w:r>
        <w:rPr>
          <w:rFonts w:hint="eastAsia" w:ascii="宋体" w:hAnsi="宋体" w:cs="宋体"/>
          <w:color w:val="000000" w:themeColor="text1"/>
          <w:kern w:val="0"/>
          <w:highlight w:val="none"/>
          <w14:textFill>
            <w14:solidFill>
              <w14:schemeClr w14:val="tx1"/>
            </w14:solidFill>
          </w14:textFill>
        </w:rPr>
        <w:t>采购人</w:t>
      </w:r>
      <w:r>
        <w:rPr>
          <w:rFonts w:ascii="宋体" w:hAnsi="宋体" w:cs="宋体"/>
          <w:color w:val="000000" w:themeColor="text1"/>
          <w:kern w:val="0"/>
          <w:highlight w:val="none"/>
          <w14:textFill>
            <w14:solidFill>
              <w14:schemeClr w14:val="tx1"/>
            </w14:solidFill>
          </w14:textFill>
        </w:rPr>
        <w:t>由此而产生的费用和损失。</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30.2.2</w:t>
      </w:r>
      <w:r>
        <w:rPr>
          <w:rFonts w:hint="eastAsia" w:ascii="宋体" w:hAnsi="宋体" w:cs="宋体"/>
          <w:color w:val="000000" w:themeColor="text1"/>
          <w:kern w:val="0"/>
          <w:highlight w:val="none"/>
          <w14:textFill>
            <w14:solidFill>
              <w14:schemeClr w14:val="tx1"/>
            </w14:solidFill>
          </w14:textFill>
        </w:rPr>
        <w:t xml:space="preserve"> 投标人中标后参与本项目研究的资料、成果等知识产权归采购人，有关的信息未经采购人同意不得向第三方泄露。</w:t>
      </w:r>
    </w:p>
    <w:p>
      <w:pPr>
        <w:spacing w:line="400" w:lineRule="exact"/>
        <w:rPr>
          <w:rFonts w:ascii="宋体" w:hAnsi="宋体" w:cs="宋体"/>
          <w:color w:val="000000" w:themeColor="text1"/>
          <w:kern w:val="0"/>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30.2.3 </w:t>
      </w:r>
      <w:r>
        <w:rPr>
          <w:rFonts w:hint="eastAsia" w:ascii="宋体" w:hAnsi="宋体" w:cs="宋体"/>
          <w:color w:val="000000" w:themeColor="text1"/>
          <w:kern w:val="0"/>
          <w:highlight w:val="none"/>
          <w14:textFill>
            <w14:solidFill>
              <w14:schemeClr w14:val="tx1"/>
            </w14:solidFill>
          </w14:textFill>
        </w:rPr>
        <w:t>采购人在招商引资、产权转让的商业活动中，所使用本项目有关的任何成果，无需征得中标人同意，中标人应积极配合提供相关资料和成果；中标人有责任对涉及项目的重要信息进行保密；中标人如因为项目的开展需要向第三方提供资料,必须提前得到采购人批准。</w:t>
      </w:r>
    </w:p>
    <w:p>
      <w:pPr>
        <w:spacing w:line="400" w:lineRule="exact"/>
        <w:rPr>
          <w:rFonts w:ascii="宋体" w:hAnsi="宋体" w:cs="宋体"/>
          <w:b/>
          <w:color w:val="000000" w:themeColor="text1"/>
          <w:highlight w:val="none"/>
          <w14:textFill>
            <w14:solidFill>
              <w14:schemeClr w14:val="tx1"/>
            </w14:solidFill>
          </w14:textFill>
        </w:rPr>
      </w:pPr>
    </w:p>
    <w:p>
      <w:pPr>
        <w:spacing w:line="440" w:lineRule="exact"/>
        <w:rPr>
          <w:rFonts w:ascii="宋体"/>
          <w:b/>
          <w:bCs/>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31.  </w:t>
      </w:r>
      <w:r>
        <w:rPr>
          <w:rFonts w:hint="eastAsia" w:ascii="宋体" w:hAnsi="宋体" w:cs="宋体"/>
          <w:b/>
          <w:bCs/>
          <w:color w:val="000000" w:themeColor="text1"/>
          <w:highlight w:val="none"/>
          <w14:textFill>
            <w14:solidFill>
              <w14:schemeClr w14:val="tx1"/>
            </w14:solidFill>
          </w14:textFill>
        </w:rPr>
        <w:t>政府采购活动中有关中小企业的相关规定（采购进口产品项目不适用）</w:t>
      </w:r>
    </w:p>
    <w:p>
      <w:pPr>
        <w:spacing w:line="400" w:lineRule="exact"/>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31.1本项目对应的中小企业划分标准所属行业：</w:t>
      </w:r>
      <w:r>
        <w:rPr>
          <w:rFonts w:hint="eastAsia" w:ascii="宋体" w:hAnsi="宋体" w:cs="宋体"/>
          <w:b/>
          <w:color w:val="000000" w:themeColor="text1"/>
          <w:highlight w:val="none"/>
          <w14:textFill>
            <w14:solidFill>
              <w14:schemeClr w14:val="tx1"/>
            </w14:solidFill>
          </w14:textFill>
        </w:rPr>
        <w:t>详见第二部分“投标资料表”</w:t>
      </w:r>
    </w:p>
    <w:p>
      <w:pPr>
        <w:spacing w:line="40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31.2</w:t>
      </w:r>
      <w:r>
        <w:rPr>
          <w:rFonts w:hint="eastAsia" w:ascii="宋体" w:hAnsi="宋体"/>
          <w:color w:val="000000" w:themeColor="text1"/>
          <w:highlight w:val="none"/>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40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31.3  </w:t>
      </w:r>
      <w:r>
        <w:rPr>
          <w:rFonts w:hint="eastAsia" w:ascii="宋体" w:hAnsi="宋体"/>
          <w:color w:val="000000" w:themeColor="text1"/>
          <w:highlight w:val="none"/>
          <w14:textFill>
            <w14:solidFill>
              <w14:schemeClr w14:val="tx1"/>
            </w14:solidFill>
          </w14:textFill>
        </w:rPr>
        <w:t>在政府采购活动中，投标人提供的货物、工程或者服务符合下列情形的，享受本办法规定的中小企业扶持政策：</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（一）在货物采购项目中，货物由中小企业制造，即货物由中小企业生产且使用该中小企业商号或者注册商标；</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（二）在工程采购项目中，工程由中小企业承建，即工程施工单位为中小企业；</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（三）在服务采购项目中，服务由中小企业承接，即提供服务的人员为中小企业依照《中华人民共和国劳动合同法》订立劳动合同的从业人员。</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在货物采购项目中，投标人提供的货物既有中小企业制造货物，也有大型企业制造货物的，不享受本办法规定的中小企业扶持政策。</w:t>
      </w:r>
    </w:p>
    <w:p>
      <w:pPr>
        <w:spacing w:line="400" w:lineRule="exact"/>
        <w:ind w:firstLine="420" w:firstLineChars="200"/>
        <w:rPr>
          <w:rFonts w:ascii="宋体" w:hAnsi="宋体"/>
          <w:b/>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pPr>
        <w:spacing w:line="40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31.4</w:t>
      </w:r>
      <w:r>
        <w:rPr>
          <w:rFonts w:hint="eastAsia" w:ascii="宋体" w:hAnsi="宋体"/>
          <w:color w:val="000000" w:themeColor="text1"/>
          <w:highlight w:val="none"/>
          <w14:textFill>
            <w14:solidFill>
              <w14:schemeClr w14:val="tx1"/>
            </w14:solidFill>
          </w14:textFill>
        </w:rPr>
        <w:t xml:space="preserve">  中小企业参加政府采购活动，应当出具《中小企业声明函》（格式见附件1），否则不得享受相关中小企业扶持政策。</w:t>
      </w:r>
    </w:p>
    <w:p>
      <w:pPr>
        <w:spacing w:line="40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31.5</w:t>
      </w:r>
      <w:r>
        <w:rPr>
          <w:rFonts w:hint="eastAsia" w:ascii="宋体" w:hAnsi="宋体"/>
          <w:color w:val="000000" w:themeColor="text1"/>
          <w:highlight w:val="none"/>
          <w14:textFill>
            <w14:solidFill>
              <w14:schemeClr w14:val="tx1"/>
            </w14:solidFill>
          </w14:textFill>
        </w:rPr>
        <w:t xml:space="preserve"> 对于经主管预算单位统筹后未预留份额专门面向中小企业采购的采购项目，以及预留份额项目中的非预留部分采购包，采购人、采购代理机构应当对符合本办法规定的小微企业报价给予10%-20%（工程项目为3%-5%）的扣除，用扣除后的价格参加评审。</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组成联合体或者接受分包的小微企业与联合体内其他企业、分包企业之间存在直接控股、管理关系的，不享受价格扣除优惠政策。</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价格扣除比例对小型企业和微型企业同等对待，不作区分。</w:t>
      </w:r>
    </w:p>
    <w:p>
      <w:pPr>
        <w:spacing w:line="40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31.6  </w:t>
      </w:r>
      <w:r>
        <w:rPr>
          <w:rFonts w:hint="eastAsia" w:ascii="宋体" w:hAnsi="宋体"/>
          <w:color w:val="000000" w:themeColor="text1"/>
          <w:highlight w:val="none"/>
          <w14:textFill>
            <w14:solidFill>
              <w14:schemeClr w14:val="tx1"/>
            </w14:solidFill>
          </w14:textFill>
        </w:rPr>
        <w:t>享受扶持政策获得政府采购合同的，小微企业不得将合同分包给大中型企业，中型企业不得将合同分包给大型企业。</w:t>
      </w:r>
    </w:p>
    <w:p>
      <w:pPr>
        <w:spacing w:line="40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31.7  </w:t>
      </w:r>
      <w:r>
        <w:rPr>
          <w:rFonts w:hint="eastAsia" w:ascii="宋体" w:hAnsi="宋体"/>
          <w:color w:val="000000" w:themeColor="text1"/>
          <w:highlight w:val="none"/>
          <w14:textFill>
            <w14:solidFill>
              <w14:schemeClr w14:val="tx1"/>
            </w14:solidFill>
          </w14:textFill>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pPr>
        <w:spacing w:line="40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31.8</w:t>
      </w:r>
      <w:r>
        <w:rPr>
          <w:rFonts w:hint="eastAsia" w:ascii="宋体" w:hAnsi="宋体"/>
          <w:color w:val="000000" w:themeColor="text1"/>
          <w:highlight w:val="none"/>
          <w14:textFill>
            <w14:solidFill>
              <w14:schemeClr w14:val="tx1"/>
            </w14:solidFill>
          </w14:textFill>
        </w:rPr>
        <w:t xml:space="preserve">  根据《关于促进残疾人就业政府采购政策的通知》（财库[2017]141号）规定，残疾人福利性单位视同小型、微型企业。符合条件的残疾人福利性单位在参加政府采购活动时，应当在投标文件中提供通知规定的《残疾人福利性单位声明函》（格式详见附件2），并对声明的真实性负责,未能提供上述证明文件的不予认可。</w:t>
      </w:r>
    </w:p>
    <w:p>
      <w:pPr>
        <w:spacing w:line="400" w:lineRule="exact"/>
        <w:rPr>
          <w:rFonts w:ascii="宋体" w:hAnsi="宋体"/>
          <w:color w:val="000000" w:themeColor="text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3</w:t>
      </w:r>
      <w:r>
        <w:rPr>
          <w:rFonts w:hint="eastAsia" w:ascii="宋体" w:hAnsi="宋体"/>
          <w:b/>
          <w:color w:val="000000" w:themeColor="text1"/>
          <w:highlight w:val="none"/>
          <w14:textFill>
            <w14:solidFill>
              <w14:schemeClr w14:val="tx1"/>
            </w14:solidFill>
          </w14:textFill>
        </w:rPr>
        <w:t>1</w:t>
      </w:r>
      <w:r>
        <w:rPr>
          <w:rFonts w:ascii="宋体" w:hAnsi="宋体"/>
          <w:b/>
          <w:color w:val="000000" w:themeColor="text1"/>
          <w:highlight w:val="none"/>
          <w14:textFill>
            <w14:solidFill>
              <w14:schemeClr w14:val="tx1"/>
            </w14:solidFill>
          </w14:textFill>
        </w:rPr>
        <w:t>.</w:t>
      </w:r>
      <w:r>
        <w:rPr>
          <w:rFonts w:hint="eastAsia" w:ascii="宋体" w:hAnsi="宋体"/>
          <w:b/>
          <w:color w:val="000000" w:themeColor="text1"/>
          <w:highlight w:val="none"/>
          <w14:textFill>
            <w14:solidFill>
              <w14:schemeClr w14:val="tx1"/>
            </w14:solidFill>
          </w14:textFill>
        </w:rPr>
        <w:t>9</w:t>
      </w:r>
      <w:r>
        <w:rPr>
          <w:rFonts w:hint="eastAsia" w:ascii="宋体" w:hAnsi="宋体"/>
          <w:color w:val="000000" w:themeColor="text1"/>
          <w:highlight w:val="none"/>
          <w14:textFill>
            <w14:solidFill>
              <w14:schemeClr w14:val="tx1"/>
            </w14:solidFill>
          </w14:textFill>
        </w:rPr>
        <w:t>执行财政部、国家环保总局《关于环境标志产品政府采购实施的意见》，政府采购优先采购环境标志产品，本项目将对环境标志产品给予一定幅度的价格扣除或技术加分，具体见 “评标标准”说明。</w:t>
      </w:r>
    </w:p>
    <w:p>
      <w:pPr>
        <w:spacing w:line="400" w:lineRule="exact"/>
        <w:rPr>
          <w:rFonts w:ascii="宋体" w:hAnsi="宋体"/>
          <w:color w:val="000000" w:themeColor="text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3</w:t>
      </w:r>
      <w:r>
        <w:rPr>
          <w:rFonts w:hint="eastAsia" w:ascii="宋体" w:hAnsi="宋体"/>
          <w:b/>
          <w:color w:val="000000" w:themeColor="text1"/>
          <w:highlight w:val="none"/>
          <w14:textFill>
            <w14:solidFill>
              <w14:schemeClr w14:val="tx1"/>
            </w14:solidFill>
          </w14:textFill>
        </w:rPr>
        <w:t>1</w:t>
      </w:r>
      <w:r>
        <w:rPr>
          <w:rFonts w:ascii="宋体" w:hAnsi="宋体"/>
          <w:b/>
          <w:color w:val="000000" w:themeColor="text1"/>
          <w:highlight w:val="none"/>
          <w14:textFill>
            <w14:solidFill>
              <w14:schemeClr w14:val="tx1"/>
            </w14:solidFill>
          </w14:textFill>
        </w:rPr>
        <w:t>.</w:t>
      </w:r>
      <w:r>
        <w:rPr>
          <w:rFonts w:hint="eastAsia" w:ascii="宋体" w:hAnsi="宋体"/>
          <w:b/>
          <w:color w:val="000000" w:themeColor="text1"/>
          <w:highlight w:val="none"/>
          <w14:textFill>
            <w14:solidFill>
              <w14:schemeClr w14:val="tx1"/>
            </w14:solidFill>
          </w14:textFill>
        </w:rPr>
        <w:t>10</w:t>
      </w:r>
      <w:r>
        <w:rPr>
          <w:rFonts w:hint="eastAsia" w:ascii="宋体" w:hAnsi="宋体"/>
          <w:color w:val="000000" w:themeColor="text1"/>
          <w:highlight w:val="none"/>
          <w14:textFill>
            <w14:solidFill>
              <w14:schemeClr w14:val="tx1"/>
            </w14:solidFill>
          </w14:textFill>
        </w:rPr>
        <w:t>执行财政部、国家发展改革委员会《节能产品政府采购实施意见》，政府采购优先采购节能产品，本项目将对节能产品给予一定幅度的价格扣除或技术加分，具体见招标文件“评标标准”说明。</w:t>
      </w:r>
    </w:p>
    <w:p>
      <w:pPr>
        <w:spacing w:line="40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31.11 </w:t>
      </w:r>
      <w:r>
        <w:rPr>
          <w:rFonts w:hint="eastAsia" w:ascii="宋体" w:hAnsi="宋体"/>
          <w:color w:val="000000" w:themeColor="text1"/>
          <w:highlight w:val="none"/>
          <w14:textFill>
            <w14:solidFill>
              <w14:schemeClr w14:val="tx1"/>
            </w14:solidFill>
          </w14:textFill>
        </w:rPr>
        <w:t>进口产品采购需符合“财政部关于印发《政府采购进口产品管理办法》的通知（财库[2007]119号）”第四、八、九、十、十一条的规定。</w:t>
      </w:r>
    </w:p>
    <w:p>
      <w:pPr>
        <w:rPr>
          <w:rFonts w:ascii="宋体" w:hAnsi="宋体"/>
          <w:b/>
          <w:color w:val="000000" w:themeColor="text1"/>
          <w:highlight w:val="none"/>
          <w14:textFill>
            <w14:solidFill>
              <w14:schemeClr w14:val="tx1"/>
            </w14:solidFill>
          </w14:textFill>
        </w:rPr>
      </w:pPr>
      <w:r>
        <w:rPr>
          <w:rFonts w:hint="eastAsia" w:asciiTheme="majorEastAsia" w:hAnsiTheme="majorEastAsia" w:eastAsiaTheme="majorEastAsia"/>
          <w:b/>
          <w:color w:val="000000" w:themeColor="text1"/>
          <w:highlight w:val="none"/>
          <w14:textFill>
            <w14:solidFill>
              <w14:schemeClr w14:val="tx1"/>
            </w14:solidFill>
          </w14:textFill>
        </w:rPr>
        <w:t xml:space="preserve">31.12 </w:t>
      </w:r>
      <w:r>
        <w:rPr>
          <w:rFonts w:hint="eastAsia" w:ascii="宋体" w:hAnsi="宋体"/>
          <w:b/>
          <w:color w:val="000000" w:themeColor="text1"/>
          <w:highlight w:val="none"/>
          <w14:textFill>
            <w14:solidFill>
              <w14:schemeClr w14:val="tx1"/>
            </w14:solidFill>
          </w14:textFill>
        </w:rPr>
        <w:t>合格货物来源：进口/国产，均已完成采购进口产品的审批手续，允许采购进口产品。</w:t>
      </w:r>
    </w:p>
    <w:p>
      <w:pPr>
        <w:pStyle w:val="17"/>
        <w:rPr>
          <w:color w:val="000000" w:themeColor="text1"/>
          <w:highlight w:val="none"/>
          <w14:textFill>
            <w14:solidFill>
              <w14:schemeClr w14:val="tx1"/>
            </w14:solidFill>
          </w14:textFill>
        </w:rPr>
      </w:pPr>
    </w:p>
    <w:p>
      <w:pPr>
        <w:spacing w:line="400" w:lineRule="exact"/>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32.询问、质疑、投诉</w:t>
      </w:r>
    </w:p>
    <w:p>
      <w:pPr>
        <w:spacing w:line="400" w:lineRule="exact"/>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32.1 询问</w:t>
      </w:r>
    </w:p>
    <w:p>
      <w:pPr>
        <w:spacing w:line="400" w:lineRule="exact"/>
        <w:ind w:firstLine="420" w:firstLineChars="200"/>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00" w:lineRule="exact"/>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 质疑</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32.2.1</w:t>
      </w:r>
      <w:r>
        <w:rPr>
          <w:rFonts w:hint="eastAsia" w:ascii="宋体" w:hAnsi="宋体"/>
          <w:bCs/>
          <w:color w:val="000000" w:themeColor="text1"/>
          <w:highlight w:val="none"/>
          <w14:textFill>
            <w14:solidFill>
              <w14:schemeClr w14:val="tx1"/>
            </w14:solidFill>
          </w14:textFill>
        </w:rPr>
        <w:t>提出质疑的供应商应当是参与所质疑项目采购活动的供应商。潜在供应商已依法获取其可质疑的招标文件的，可以对该文件提出质疑。</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32.2.2</w:t>
      </w:r>
      <w:r>
        <w:rPr>
          <w:rFonts w:hint="eastAsia" w:ascii="宋体" w:hAnsi="宋体"/>
          <w:bCs/>
          <w:color w:val="000000" w:themeColor="text1"/>
          <w:highlight w:val="none"/>
          <w14:textFill>
            <w14:solidFill>
              <w14:schemeClr w14:val="tx1"/>
            </w14:solidFill>
          </w14:textFill>
        </w:rPr>
        <w:t>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32.2.2.1</w:t>
      </w:r>
      <w:r>
        <w:rPr>
          <w:rFonts w:hint="eastAsia" w:ascii="宋体" w:hAnsi="宋体"/>
          <w:bCs/>
          <w:color w:val="000000" w:themeColor="text1"/>
          <w:highlight w:val="none"/>
          <w14:textFill>
            <w14:solidFill>
              <w14:schemeClr w14:val="tx1"/>
            </w14:solidFill>
          </w14:textFill>
        </w:rPr>
        <w:t>对招标文件提出质疑的，质疑期限为供应商获得招标文件之日或者招标文件公告期限届满之日起计算。</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32.2.2.2</w:t>
      </w:r>
      <w:r>
        <w:rPr>
          <w:rFonts w:hint="eastAsia" w:ascii="宋体" w:hAnsi="宋体"/>
          <w:bCs/>
          <w:color w:val="000000" w:themeColor="text1"/>
          <w:highlight w:val="none"/>
          <w14:textFill>
            <w14:solidFill>
              <w14:schemeClr w14:val="tx1"/>
            </w14:solidFill>
          </w14:textFill>
        </w:rPr>
        <w:t>对采购过程提出质疑的，质疑期限为各采购程序环节结束之日起计算。对同一采购程序环节的质疑，供应商须一次性提出。</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32.2.2.3</w:t>
      </w:r>
      <w:r>
        <w:rPr>
          <w:rFonts w:hint="eastAsia" w:ascii="宋体" w:hAnsi="宋体"/>
          <w:bCs/>
          <w:color w:val="000000" w:themeColor="text1"/>
          <w:highlight w:val="none"/>
          <w14:textFill>
            <w14:solidFill>
              <w14:schemeClr w14:val="tx1"/>
            </w14:solidFill>
          </w14:textFill>
        </w:rPr>
        <w:t>对采购结果提出质疑的，质疑期限自采购结果公告期限届满之日起计算。</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32.2.3</w:t>
      </w:r>
      <w:r>
        <w:rPr>
          <w:rFonts w:hint="eastAsia" w:ascii="宋体" w:hAnsi="宋体"/>
          <w:bCs/>
          <w:color w:val="000000" w:themeColor="text1"/>
          <w:highlight w:val="none"/>
          <w14:textFill>
            <w14:solidFill>
              <w14:schemeClr w14:val="tx1"/>
            </w14:solidFill>
          </w14:textFill>
        </w:rPr>
        <w:t>供应商提出质疑应当提交质疑函和必要的证明材料。质疑函应当包括下列内容：</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32.2.3.1</w:t>
      </w:r>
      <w:r>
        <w:rPr>
          <w:rFonts w:hint="eastAsia" w:ascii="宋体" w:hAnsi="宋体"/>
          <w:bCs/>
          <w:color w:val="000000" w:themeColor="text1"/>
          <w:highlight w:val="none"/>
          <w14:textFill>
            <w14:solidFill>
              <w14:schemeClr w14:val="tx1"/>
            </w14:solidFill>
          </w14:textFill>
        </w:rPr>
        <w:t>供应商的姓名或者名称、地址、邮编、联系人及联系电话；</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32.2.3.2</w:t>
      </w:r>
      <w:r>
        <w:rPr>
          <w:rFonts w:hint="eastAsia" w:ascii="宋体" w:hAnsi="宋体"/>
          <w:bCs/>
          <w:color w:val="000000" w:themeColor="text1"/>
          <w:highlight w:val="none"/>
          <w14:textFill>
            <w14:solidFill>
              <w14:schemeClr w14:val="tx1"/>
            </w14:solidFill>
          </w14:textFill>
        </w:rPr>
        <w:t>质疑项目的名称、编号；</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32.2.3.3</w:t>
      </w:r>
      <w:r>
        <w:rPr>
          <w:rFonts w:hint="eastAsia" w:ascii="宋体" w:hAnsi="宋体"/>
          <w:bCs/>
          <w:color w:val="000000" w:themeColor="text1"/>
          <w:highlight w:val="none"/>
          <w14:textFill>
            <w14:solidFill>
              <w14:schemeClr w14:val="tx1"/>
            </w14:solidFill>
          </w14:textFill>
        </w:rPr>
        <w:t>具体、明确的质疑事项和与质疑事项相关的请求；</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32.2.3.4</w:t>
      </w:r>
      <w:r>
        <w:rPr>
          <w:rFonts w:hint="eastAsia" w:ascii="宋体" w:hAnsi="宋体"/>
          <w:bCs/>
          <w:color w:val="000000" w:themeColor="text1"/>
          <w:highlight w:val="none"/>
          <w14:textFill>
            <w14:solidFill>
              <w14:schemeClr w14:val="tx1"/>
            </w14:solidFill>
          </w14:textFill>
        </w:rPr>
        <w:t>事实依据；</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32.2.3.5</w:t>
      </w:r>
      <w:r>
        <w:rPr>
          <w:rFonts w:hint="eastAsia" w:ascii="宋体" w:hAnsi="宋体"/>
          <w:bCs/>
          <w:color w:val="000000" w:themeColor="text1"/>
          <w:highlight w:val="none"/>
          <w14:textFill>
            <w14:solidFill>
              <w14:schemeClr w14:val="tx1"/>
            </w14:solidFill>
          </w14:textFill>
        </w:rPr>
        <w:t>必要的法律依据；</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32.2.3.6</w:t>
      </w:r>
      <w:r>
        <w:rPr>
          <w:rFonts w:hint="eastAsia" w:ascii="宋体" w:hAnsi="宋体"/>
          <w:bCs/>
          <w:color w:val="000000" w:themeColor="text1"/>
          <w:highlight w:val="none"/>
          <w14:textFill>
            <w14:solidFill>
              <w14:schemeClr w14:val="tx1"/>
            </w14:solidFill>
          </w14:textFill>
        </w:rPr>
        <w:t>提出质疑的日期。</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质疑函格式和内容须符合财政部《质疑函范本》要求，供应商可到中国政府采购网自行下载财政部《质疑函范本》。</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32.2.4</w:t>
      </w:r>
      <w:r>
        <w:rPr>
          <w:rFonts w:hint="eastAsia" w:ascii="宋体" w:hAnsi="宋体"/>
          <w:bCs/>
          <w:color w:val="000000" w:themeColor="text1"/>
          <w:highlight w:val="none"/>
          <w14:textFill>
            <w14:solidFill>
              <w14:schemeClr w14:val="tx1"/>
            </w14:solidFill>
          </w14:textFill>
        </w:rPr>
        <w:t>采购人或者采购代理机构应当在收到供应商的书面质疑后七个工作日内作出答复，并以书面形式通知质疑供应商和其他与质疑处理结果有利害关系的政府采购当事人，但答复的内容不得涉及商业秘密。</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32.2.5</w:t>
      </w:r>
      <w:r>
        <w:rPr>
          <w:rFonts w:hint="eastAsia" w:ascii="宋体" w:hAnsi="宋体"/>
          <w:bCs/>
          <w:color w:val="000000" w:themeColor="text1"/>
          <w:highlight w:val="none"/>
          <w14:textFill>
            <w14:solidFill>
              <w14:schemeClr w14:val="tx1"/>
            </w14:solidFill>
          </w14:textFill>
        </w:rPr>
        <w:t>询问或者质疑事项可能影响采购结果的，采购人应当暂停签订合同，已经签订合同的，应当中止履行合同。</w:t>
      </w:r>
    </w:p>
    <w:p>
      <w:pPr>
        <w:spacing w:line="400" w:lineRule="exact"/>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32.3 投诉</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32.3.1</w:t>
      </w:r>
      <w:r>
        <w:rPr>
          <w:rFonts w:hint="eastAsia" w:ascii="宋体" w:hAnsi="宋体"/>
          <w:bCs/>
          <w:color w:val="000000" w:themeColor="text1"/>
          <w:highlight w:val="none"/>
          <w14:textFill>
            <w14:solidFill>
              <w14:schemeClr w14:val="tx1"/>
            </w14:solidFill>
          </w14:textFill>
        </w:rPr>
        <w:t>质疑供应商对采购人、采购代理机构的答复不满意或者采购人、采购代理机构未在规定的时间内作出答复的，可以在答复期满后十五个工作日内向同级政府采购监督管理部门提出投诉。</w:t>
      </w:r>
      <w:r>
        <w:rPr>
          <w:rFonts w:hint="eastAsia" w:ascii="宋体" w:hAnsi="宋体"/>
          <w:color w:val="000000" w:themeColor="text1"/>
          <w:highlight w:val="none"/>
          <w14:textFill>
            <w14:solidFill>
              <w14:schemeClr w14:val="tx1"/>
            </w14:solidFill>
          </w14:textFill>
        </w:rPr>
        <w:t>投诉函格式和内容须符合财政部《投诉函范本》要求，供应商可到中国政府采购网自行下载财政部《投诉函范本》。</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32.3.2</w:t>
      </w:r>
      <w:r>
        <w:rPr>
          <w:rFonts w:hint="eastAsia" w:ascii="宋体" w:hAnsi="宋体"/>
          <w:bCs/>
          <w:color w:val="000000" w:themeColor="text1"/>
          <w:highlight w:val="none"/>
          <w14:textFill>
            <w14:solidFill>
              <w14:schemeClr w14:val="tx1"/>
            </w14:solidFill>
          </w14:textFill>
        </w:rPr>
        <w:t>供应商投诉的事项不得超出已质疑事项的范围，基于质疑答复内容提出的投诉事项除外。</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32.3.3</w:t>
      </w:r>
      <w:r>
        <w:rPr>
          <w:rFonts w:hint="eastAsia" w:ascii="宋体" w:hAnsi="宋体"/>
          <w:bCs/>
          <w:color w:val="000000" w:themeColor="text1"/>
          <w:highlight w:val="none"/>
          <w14:textFill>
            <w14:solidFill>
              <w14:schemeClr w14:val="tx1"/>
            </w14:solidFill>
          </w14:textFill>
        </w:rPr>
        <w:t>供应商投诉应当有明确的请求和必要的证明材料。</w:t>
      </w:r>
    </w:p>
    <w:p>
      <w:pPr>
        <w:spacing w:line="400" w:lineRule="exact"/>
        <w:rPr>
          <w:rFonts w:ascii="宋体" w:hAnsi="宋体"/>
          <w:bCs/>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32.3.4</w:t>
      </w:r>
      <w:r>
        <w:rPr>
          <w:rFonts w:hint="eastAsia" w:ascii="宋体" w:hAnsi="宋体"/>
          <w:bCs/>
          <w:color w:val="000000" w:themeColor="text1"/>
          <w:highlight w:val="none"/>
          <w14:textFill>
            <w14:solidFill>
              <w14:schemeClr w14:val="tx1"/>
            </w14:solidFill>
          </w14:textFill>
        </w:rPr>
        <w:t xml:space="preserve"> 以联合体形式参加政府采购活动的，其投诉应当由组成联合体的所有供应商共同提出。</w:t>
      </w:r>
    </w:p>
    <w:p>
      <w:pPr>
        <w:spacing w:line="440" w:lineRule="exact"/>
        <w:ind w:firstLine="105" w:firstLineChars="50"/>
        <w:rPr>
          <w:rFonts w:ascii="宋体"/>
          <w:color w:val="000000" w:themeColor="text1"/>
          <w:highlight w:val="none"/>
          <w14:textFill>
            <w14:solidFill>
              <w14:schemeClr w14:val="tx1"/>
            </w14:solidFill>
          </w14:textFill>
        </w:rPr>
      </w:pPr>
    </w:p>
    <w:p>
      <w:pPr>
        <w:spacing w:line="440" w:lineRule="exact"/>
        <w:rPr>
          <w:rFonts w:ascii="宋体"/>
          <w:color w:val="000000" w:themeColor="text1"/>
          <w:highlight w:val="none"/>
          <w14:textFill>
            <w14:solidFill>
              <w14:schemeClr w14:val="tx1"/>
            </w14:solidFill>
          </w14:textFill>
        </w:rPr>
      </w:pPr>
      <w:r>
        <w:rPr>
          <w:rFonts w:ascii="宋体" w:hAnsi="宋体" w:cs="宋体"/>
          <w:b/>
          <w:bCs/>
          <w:color w:val="000000" w:themeColor="text1"/>
          <w:highlight w:val="none"/>
          <w14:textFill>
            <w14:solidFill>
              <w14:schemeClr w14:val="tx1"/>
            </w14:solidFill>
          </w14:textFill>
        </w:rPr>
        <w:t xml:space="preserve">33.  </w:t>
      </w:r>
      <w:r>
        <w:rPr>
          <w:rFonts w:hint="eastAsia" w:ascii="宋体" w:hAnsi="宋体" w:cs="宋体"/>
          <w:b/>
          <w:bCs/>
          <w:color w:val="000000" w:themeColor="text1"/>
          <w:highlight w:val="none"/>
          <w14:textFill>
            <w14:solidFill>
              <w14:schemeClr w14:val="tx1"/>
            </w14:solidFill>
          </w14:textFill>
        </w:rPr>
        <w:t>联合体规定</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33.1</w:t>
      </w:r>
      <w:r>
        <w:rPr>
          <w:rFonts w:hint="eastAsia" w:ascii="宋体" w:hAnsi="宋体"/>
          <w:color w:val="000000" w:themeColor="text1"/>
          <w:highlight w:val="none"/>
          <w14:textFill>
            <w14:solidFill>
              <w14:schemeClr w14:val="tx1"/>
            </w14:solidFill>
          </w14:textFill>
        </w:rPr>
        <w:t xml:space="preserve">  两个以上的自然人、法人或者其他组织可以组成一个联合体，以一个投标人的身份共同参加政府采购。以联合体形式进行政府采购的，参加联合体的供应商均应当具备招标文件规定的资格条件，并应当向采购人提交联合协议，载明联合体各方承担的工作和义务。联合体各方应当共同与采购人签订采购合同，就采购合同约定的事项对采购人承担连带责任。</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33.2</w:t>
      </w:r>
      <w:r>
        <w:rPr>
          <w:rFonts w:hint="eastAsia" w:ascii="宋体" w:hAnsi="宋体"/>
          <w:color w:val="000000" w:themeColor="text1"/>
          <w:highlight w:val="none"/>
          <w14:textFill>
            <w14:solidFill>
              <w14:schemeClr w14:val="tx1"/>
            </w14:solidFill>
          </w14:textFill>
        </w:rPr>
        <w:t xml:space="preserve">  联合体中有同类资质的投标人按照联合体分工承担相同工作的，按照资质等级较低的投标人认定资质等级。</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33.3 </w:t>
      </w:r>
      <w:r>
        <w:rPr>
          <w:rFonts w:hint="eastAsia" w:ascii="宋体" w:hAnsi="宋体"/>
          <w:color w:val="000000" w:themeColor="text1"/>
          <w:highlight w:val="none"/>
          <w14:textFill>
            <w14:solidFill>
              <w14:schemeClr w14:val="tx1"/>
            </w14:solidFill>
          </w14:textFill>
        </w:rPr>
        <w:t xml:space="preserve"> 以联合体形式参加政府采购活动的，联合体各方不得再单独参加或者与其他投标人另外组成联合体参加同一标项号的政府采购活动。</w:t>
      </w:r>
    </w:p>
    <w:p>
      <w:pPr>
        <w:spacing w:line="440" w:lineRule="exact"/>
        <w:rPr>
          <w:rFonts w:ascii="宋体" w:hAnsi="宋体"/>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 xml:space="preserve">33.4 </w:t>
      </w:r>
      <w:r>
        <w:rPr>
          <w:rFonts w:hint="eastAsia" w:ascii="宋体" w:hAnsi="宋体"/>
          <w:color w:val="000000" w:themeColor="text1"/>
          <w:highlight w:val="none"/>
          <w14:textFill>
            <w14:solidFill>
              <w14:schemeClr w14:val="tx1"/>
            </w14:solidFill>
          </w14:textFill>
        </w:rPr>
        <w:t>联合体协议中仅约定由联合体主办单位或成员单位中某一方与采购人签订合同的，或联合体协议中仅约定由联合体主办单位或成员单位中某一方就采购合同约定的事项对采购人承担责任的，视为联合体协议不成立，该联合体的投标文件将被作无效处理。</w:t>
      </w:r>
    </w:p>
    <w:bookmarkEnd w:id="84"/>
    <w:bookmarkEnd w:id="85"/>
    <w:bookmarkEnd w:id="86"/>
    <w:bookmarkEnd w:id="87"/>
    <w:bookmarkEnd w:id="88"/>
    <w:bookmarkEnd w:id="89"/>
    <w:bookmarkEnd w:id="90"/>
    <w:bookmarkEnd w:id="91"/>
    <w:p>
      <w:pPr>
        <w:spacing w:line="440" w:lineRule="exact"/>
        <w:ind w:firstLine="110" w:firstLineChars="50"/>
        <w:rPr>
          <w:rFonts w:ascii="宋体"/>
          <w:color w:val="000000" w:themeColor="text1"/>
          <w:sz w:val="22"/>
          <w:szCs w:val="22"/>
          <w:highlight w:val="none"/>
          <w14:textFill>
            <w14:solidFill>
              <w14:schemeClr w14:val="tx1"/>
            </w14:solidFill>
          </w14:textFill>
        </w:rPr>
        <w:sectPr>
          <w:pgSz w:w="11907" w:h="16840"/>
          <w:pgMar w:top="1111" w:right="1701" w:bottom="1428" w:left="1701" w:header="720" w:footer="720" w:gutter="0"/>
          <w:pgBorders>
            <w:top w:val="none" w:sz="0" w:space="0"/>
            <w:left w:val="none" w:sz="0" w:space="0"/>
            <w:bottom w:val="none" w:sz="0" w:space="0"/>
            <w:right w:val="none" w:sz="0" w:space="0"/>
          </w:pgBorders>
          <w:cols w:space="720" w:num="1"/>
          <w:docGrid w:type="linesAndChars" w:linePitch="286" w:charSpace="0"/>
        </w:sect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bookmarkStart w:id="157" w:name="_Toc316649302"/>
      <w:bookmarkStart w:id="158" w:name="_Toc141797684"/>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p>
    <w:p>
      <w:pPr>
        <w:pStyle w:val="3"/>
        <w:numPr>
          <w:ilvl w:val="0"/>
          <w:numId w:val="5"/>
        </w:numPr>
        <w:spacing w:beforeLines="0" w:afterLines="0" w:line="360" w:lineRule="auto"/>
        <w:rPr>
          <w:rFonts w:hint="eastAsia" w:ascii="宋体" w:hAnsi="宋体" w:cs="宋体"/>
          <w:color w:val="000000" w:themeColor="text1"/>
          <w:sz w:val="32"/>
          <w:szCs w:val="32"/>
          <w:highlight w:val="none"/>
          <w14:textFill>
            <w14:solidFill>
              <w14:schemeClr w14:val="tx1"/>
            </w14:solidFill>
          </w14:textFill>
        </w:rPr>
      </w:pPr>
      <w:bookmarkStart w:id="159" w:name="_Toc22320"/>
      <w:bookmarkStart w:id="160" w:name="_Toc13346"/>
      <w:r>
        <w:rPr>
          <w:rFonts w:hint="eastAsia" w:ascii="宋体" w:hAnsi="宋体" w:cs="宋体"/>
          <w:color w:val="000000" w:themeColor="text1"/>
          <w:sz w:val="32"/>
          <w:szCs w:val="32"/>
          <w:highlight w:val="none"/>
          <w14:textFill>
            <w14:solidFill>
              <w14:schemeClr w14:val="tx1"/>
            </w14:solidFill>
          </w14:textFill>
        </w:rPr>
        <w:t>合同格式</w:t>
      </w:r>
      <w:bookmarkEnd w:id="157"/>
      <w:bookmarkEnd w:id="158"/>
      <w:bookmarkEnd w:id="159"/>
      <w:bookmarkEnd w:id="160"/>
    </w:p>
    <w:p>
      <w:pPr>
        <w:jc w:val="center"/>
        <w:rPr>
          <w:b/>
          <w:sz w:val="24"/>
        </w:rPr>
      </w:pPr>
      <w:bookmarkStart w:id="161" w:name="_Toc298230959"/>
      <w:r>
        <w:rPr>
          <w:b/>
          <w:sz w:val="24"/>
        </w:rPr>
        <w:t>政府采购合同（货物）</w:t>
      </w:r>
    </w:p>
    <w:p/>
    <w:p>
      <w:pPr>
        <w:pStyle w:val="22"/>
        <w:spacing w:beforeLines="0" w:after="120" w:afterLines="0" w:line="360" w:lineRule="auto"/>
        <w:rPr>
          <w:rFonts w:ascii="Times New Roman"/>
          <w:sz w:val="21"/>
          <w:szCs w:val="21"/>
        </w:rPr>
      </w:pPr>
      <w:r>
        <w:rPr>
          <w:rFonts w:ascii="Times New Roman"/>
          <w:sz w:val="21"/>
          <w:szCs w:val="21"/>
        </w:rPr>
        <w:t>甲方：（买方）</w:t>
      </w:r>
    </w:p>
    <w:p>
      <w:pPr>
        <w:pStyle w:val="22"/>
        <w:spacing w:beforeLines="0" w:after="120" w:afterLines="0" w:line="360" w:lineRule="auto"/>
        <w:rPr>
          <w:rFonts w:ascii="Times New Roman"/>
          <w:sz w:val="21"/>
          <w:szCs w:val="21"/>
        </w:rPr>
      </w:pPr>
      <w:r>
        <w:rPr>
          <w:rFonts w:ascii="Times New Roman"/>
          <w:sz w:val="21"/>
          <w:szCs w:val="21"/>
        </w:rPr>
        <w:t>乙方：（卖方）</w:t>
      </w:r>
    </w:p>
    <w:p>
      <w:pPr>
        <w:pStyle w:val="22"/>
        <w:spacing w:beforeLines="0" w:after="120" w:afterLines="0" w:line="360" w:lineRule="auto"/>
        <w:rPr>
          <w:rFonts w:ascii="Times New Roman"/>
          <w:b/>
          <w:sz w:val="21"/>
          <w:szCs w:val="21"/>
        </w:rPr>
      </w:pPr>
      <w:r>
        <w:rPr>
          <w:rFonts w:ascii="Times New Roman"/>
          <w:b/>
          <w:sz w:val="21"/>
          <w:szCs w:val="21"/>
        </w:rPr>
        <w:t xml:space="preserve">   </w:t>
      </w:r>
      <w:r>
        <w:rPr>
          <w:rFonts w:ascii="Times New Roman"/>
          <w:sz w:val="21"/>
          <w:szCs w:val="21"/>
        </w:rPr>
        <w:t>甲、乙双方根据</w:t>
      </w:r>
      <w:r>
        <w:rPr>
          <w:rFonts w:ascii="Times New Roman"/>
          <w:sz w:val="21"/>
          <w:szCs w:val="21"/>
          <w:u w:val="single"/>
        </w:rPr>
        <w:t xml:space="preserve">                   </w:t>
      </w:r>
      <w:r>
        <w:rPr>
          <w:rFonts w:ascii="Times New Roman"/>
          <w:sz w:val="21"/>
          <w:szCs w:val="21"/>
        </w:rPr>
        <w:t>项目</w:t>
      </w:r>
      <w:r>
        <w:rPr>
          <w:rFonts w:ascii="Times New Roman"/>
          <w:sz w:val="21"/>
          <w:szCs w:val="21"/>
          <w:u w:val="single"/>
        </w:rPr>
        <w:t>（采购编号：              ）的</w:t>
      </w:r>
      <w:r>
        <w:rPr>
          <w:rFonts w:ascii="Times New Roman"/>
          <w:sz w:val="21"/>
          <w:szCs w:val="21"/>
        </w:rPr>
        <w:t>磋商结果，签署本合同。</w:t>
      </w:r>
    </w:p>
    <w:p>
      <w:pPr>
        <w:pStyle w:val="22"/>
        <w:spacing w:beforeLines="0" w:after="120" w:afterLines="0" w:line="360" w:lineRule="auto"/>
        <w:rPr>
          <w:rFonts w:ascii="Times New Roman"/>
          <w:b/>
          <w:sz w:val="21"/>
          <w:szCs w:val="21"/>
        </w:rPr>
      </w:pPr>
      <w:r>
        <w:rPr>
          <w:rFonts w:ascii="Times New Roman"/>
          <w:b/>
          <w:sz w:val="21"/>
          <w:szCs w:val="21"/>
        </w:rPr>
        <w:t>一、货物内容</w:t>
      </w:r>
    </w:p>
    <w:p>
      <w:pPr>
        <w:pStyle w:val="22"/>
        <w:spacing w:beforeLines="0" w:after="120" w:afterLines="0" w:line="360" w:lineRule="auto"/>
        <w:rPr>
          <w:rFonts w:ascii="Times New Roman"/>
          <w:sz w:val="21"/>
          <w:szCs w:val="21"/>
        </w:rPr>
      </w:pPr>
      <w:r>
        <w:rPr>
          <w:rFonts w:ascii="Times New Roman"/>
          <w:sz w:val="21"/>
          <w:szCs w:val="21"/>
        </w:rPr>
        <w:t>1.1 货物名称：</w:t>
      </w:r>
    </w:p>
    <w:p>
      <w:pPr>
        <w:pStyle w:val="22"/>
        <w:spacing w:beforeLines="0" w:after="120" w:afterLines="0" w:line="360" w:lineRule="auto"/>
        <w:rPr>
          <w:rFonts w:ascii="Times New Roman"/>
          <w:sz w:val="21"/>
          <w:szCs w:val="21"/>
        </w:rPr>
      </w:pPr>
      <w:r>
        <w:rPr>
          <w:rFonts w:ascii="Times New Roman"/>
          <w:sz w:val="21"/>
          <w:szCs w:val="21"/>
        </w:rPr>
        <w:t>1.2 型号规格：</w:t>
      </w:r>
    </w:p>
    <w:p>
      <w:pPr>
        <w:pStyle w:val="22"/>
        <w:spacing w:beforeLines="0" w:after="120" w:afterLines="0" w:line="360" w:lineRule="auto"/>
        <w:rPr>
          <w:rFonts w:ascii="Times New Roman"/>
          <w:sz w:val="21"/>
          <w:szCs w:val="21"/>
        </w:rPr>
      </w:pPr>
      <w:r>
        <w:rPr>
          <w:rFonts w:ascii="Times New Roman"/>
          <w:sz w:val="21"/>
          <w:szCs w:val="21"/>
        </w:rPr>
        <w:t>1.3 技术参数：</w:t>
      </w:r>
    </w:p>
    <w:p>
      <w:pPr>
        <w:pStyle w:val="22"/>
        <w:spacing w:beforeLines="0" w:after="120" w:afterLines="0" w:line="360" w:lineRule="auto"/>
        <w:rPr>
          <w:rFonts w:ascii="Times New Roman"/>
          <w:sz w:val="21"/>
          <w:szCs w:val="21"/>
        </w:rPr>
      </w:pPr>
      <w:r>
        <w:rPr>
          <w:rFonts w:ascii="Times New Roman"/>
          <w:sz w:val="21"/>
          <w:szCs w:val="21"/>
        </w:rPr>
        <w:t>1.4 数量（单位）：</w:t>
      </w:r>
    </w:p>
    <w:p>
      <w:pPr>
        <w:pStyle w:val="22"/>
        <w:spacing w:beforeLines="0" w:after="120" w:afterLines="0" w:line="360" w:lineRule="auto"/>
        <w:rPr>
          <w:rFonts w:ascii="Times New Roman"/>
          <w:b/>
          <w:sz w:val="21"/>
          <w:szCs w:val="21"/>
        </w:rPr>
      </w:pPr>
      <w:r>
        <w:rPr>
          <w:rFonts w:ascii="Times New Roman"/>
          <w:b/>
          <w:sz w:val="21"/>
          <w:szCs w:val="21"/>
        </w:rPr>
        <w:t>二、合同金额</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2.1 本合同金额为（大写）：____________________________________元（￥_______________元）人民币。</w:t>
      </w:r>
    </w:p>
    <w:p>
      <w:pPr>
        <w:pStyle w:val="22"/>
        <w:spacing w:beforeLines="0" w:after="120" w:afterLines="0" w:line="360" w:lineRule="auto"/>
        <w:rPr>
          <w:rFonts w:ascii="Times New Roman"/>
          <w:b/>
          <w:sz w:val="21"/>
          <w:szCs w:val="21"/>
        </w:rPr>
      </w:pPr>
      <w:r>
        <w:rPr>
          <w:rFonts w:ascii="Times New Roman"/>
          <w:b/>
          <w:sz w:val="21"/>
          <w:szCs w:val="21"/>
        </w:rPr>
        <w:t>三、技术资料</w:t>
      </w:r>
    </w:p>
    <w:p>
      <w:pPr>
        <w:spacing w:line="360" w:lineRule="auto"/>
        <w:ind w:left="420" w:hanging="420" w:hangingChars="200"/>
        <w:rPr>
          <w:kern w:val="0"/>
          <w:szCs w:val="21"/>
        </w:rPr>
      </w:pPr>
      <w:r>
        <w:rPr>
          <w:szCs w:val="21"/>
        </w:rPr>
        <w:t>3.1</w:t>
      </w:r>
      <w:r>
        <w:rPr>
          <w:kern w:val="0"/>
          <w:szCs w:val="21"/>
        </w:rPr>
        <w:t>乙方应按要求在规定的时间组织安装，向甲方提供使用货物的有关技术资料，做好各项质量检查及记录，通过竣工验收，移交竣工图纸。</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2"/>
        <w:spacing w:beforeLines="0" w:after="120" w:afterLines="0" w:line="360" w:lineRule="auto"/>
        <w:ind w:left="360" w:hanging="361" w:hangingChars="171"/>
        <w:rPr>
          <w:rFonts w:ascii="Times New Roman"/>
          <w:b/>
          <w:sz w:val="21"/>
          <w:szCs w:val="21"/>
        </w:rPr>
      </w:pPr>
      <w:r>
        <w:rPr>
          <w:rFonts w:ascii="Times New Roman"/>
          <w:b/>
          <w:sz w:val="21"/>
          <w:szCs w:val="21"/>
        </w:rPr>
        <w:t>四、安全生产</w:t>
      </w:r>
    </w:p>
    <w:p>
      <w:pPr>
        <w:spacing w:line="360" w:lineRule="auto"/>
        <w:ind w:left="315" w:hanging="315" w:hangingChars="150"/>
        <w:rPr>
          <w:szCs w:val="21"/>
        </w:rPr>
      </w:pPr>
      <w:r>
        <w:rPr>
          <w:szCs w:val="21"/>
        </w:rPr>
        <w:t xml:space="preserve">4.1 </w:t>
      </w:r>
      <w:r>
        <w:rPr>
          <w:kern w:val="0"/>
          <w:szCs w:val="21"/>
        </w:rPr>
        <w:t>乙方必须落实安装中的安全、文明施工和消防、治安等事宜，若发生以上责任事件，一切责任和后果由乙方负责。</w:t>
      </w:r>
    </w:p>
    <w:p>
      <w:pPr>
        <w:pStyle w:val="22"/>
        <w:spacing w:beforeLines="0" w:after="120" w:afterLines="0" w:line="360" w:lineRule="auto"/>
        <w:ind w:left="360" w:hanging="361" w:hangingChars="171"/>
        <w:rPr>
          <w:rFonts w:ascii="Times New Roman"/>
          <w:b/>
          <w:sz w:val="21"/>
          <w:szCs w:val="21"/>
        </w:rPr>
      </w:pPr>
      <w:r>
        <w:rPr>
          <w:rFonts w:ascii="Times New Roman"/>
          <w:b/>
          <w:sz w:val="21"/>
          <w:szCs w:val="21"/>
        </w:rPr>
        <w:t>五、知识产权及产权担保</w:t>
      </w:r>
    </w:p>
    <w:p>
      <w:pPr>
        <w:pStyle w:val="22"/>
        <w:spacing w:beforeLines="0" w:after="120" w:afterLines="0" w:line="360" w:lineRule="auto"/>
        <w:ind w:left="359" w:hanging="359" w:hangingChars="171"/>
        <w:rPr>
          <w:rFonts w:ascii="Times New Roman"/>
          <w:bCs/>
          <w:sz w:val="21"/>
          <w:szCs w:val="21"/>
        </w:rPr>
      </w:pPr>
      <w:r>
        <w:rPr>
          <w:rFonts w:ascii="Times New Roman"/>
          <w:sz w:val="21"/>
          <w:szCs w:val="21"/>
        </w:rPr>
        <w:t>5.1 乙方应保证所提供的货物或其任何一部分均不会侵犯任何第三方的知识产权</w:t>
      </w:r>
      <w:r>
        <w:rPr>
          <w:rFonts w:ascii="Times New Roman"/>
          <w:bCs/>
          <w:sz w:val="21"/>
          <w:szCs w:val="21"/>
        </w:rPr>
        <w:t>。</w:t>
      </w:r>
    </w:p>
    <w:p>
      <w:pPr>
        <w:pStyle w:val="22"/>
        <w:spacing w:beforeLines="0" w:after="120" w:afterLines="0" w:line="360" w:lineRule="auto"/>
        <w:ind w:left="357" w:hanging="357" w:hangingChars="170"/>
        <w:rPr>
          <w:rFonts w:ascii="Times New Roman"/>
          <w:sz w:val="21"/>
          <w:szCs w:val="21"/>
          <w:u w:val="single"/>
        </w:rPr>
      </w:pPr>
      <w:r>
        <w:rPr>
          <w:rFonts w:ascii="Times New Roman"/>
          <w:sz w:val="21"/>
          <w:szCs w:val="21"/>
        </w:rPr>
        <w:t>5.2乙方保证所交付的货物的所有权完全属于乙方且无任何抵押、查封等产权瑕疵。</w:t>
      </w:r>
    </w:p>
    <w:p>
      <w:pPr>
        <w:pStyle w:val="22"/>
        <w:spacing w:beforeLines="0" w:after="120" w:afterLines="0" w:line="360" w:lineRule="auto"/>
        <w:ind w:left="358" w:hanging="358" w:hangingChars="170"/>
        <w:rPr>
          <w:rFonts w:ascii="Times New Roman"/>
          <w:b/>
          <w:sz w:val="21"/>
          <w:szCs w:val="21"/>
        </w:rPr>
      </w:pPr>
      <w:r>
        <w:rPr>
          <w:rFonts w:ascii="Times New Roman"/>
          <w:b/>
          <w:sz w:val="21"/>
          <w:szCs w:val="21"/>
        </w:rPr>
        <w:t>六、履约保证金</w:t>
      </w:r>
    </w:p>
    <w:p>
      <w:pPr>
        <w:pStyle w:val="22"/>
        <w:spacing w:beforeLines="0" w:after="120" w:afterLines="0" w:line="360" w:lineRule="auto"/>
        <w:ind w:left="357" w:hanging="357" w:hangingChars="170"/>
        <w:rPr>
          <w:rFonts w:ascii="Times New Roman"/>
          <w:sz w:val="21"/>
          <w:szCs w:val="21"/>
        </w:rPr>
      </w:pPr>
      <w:r>
        <w:rPr>
          <w:rFonts w:ascii="Times New Roman"/>
          <w:sz w:val="21"/>
          <w:szCs w:val="21"/>
        </w:rPr>
        <w:t>6.1 乙方交纳人民币</w:t>
      </w:r>
      <w:r>
        <w:rPr>
          <w:rFonts w:ascii="Times New Roman"/>
          <w:b/>
          <w:sz w:val="21"/>
          <w:szCs w:val="21"/>
          <w:u w:val="single"/>
        </w:rPr>
        <w:t xml:space="preserve">    </w:t>
      </w:r>
      <w:r>
        <w:rPr>
          <w:rFonts w:ascii="Times New Roman"/>
          <w:sz w:val="21"/>
          <w:szCs w:val="21"/>
        </w:rPr>
        <w:t>元作为本合同的履约保证金。</w:t>
      </w:r>
    </w:p>
    <w:p>
      <w:pPr>
        <w:spacing w:line="360" w:lineRule="auto"/>
        <w:rPr>
          <w:b/>
          <w:bCs/>
          <w:szCs w:val="21"/>
        </w:rPr>
      </w:pPr>
      <w:r>
        <w:rPr>
          <w:b/>
          <w:bCs/>
          <w:szCs w:val="21"/>
        </w:rPr>
        <w:t>七、转包或分包</w:t>
      </w:r>
    </w:p>
    <w:p>
      <w:pPr>
        <w:pStyle w:val="22"/>
        <w:spacing w:beforeLines="0" w:after="120" w:afterLines="0" w:line="360" w:lineRule="auto"/>
        <w:ind w:left="357" w:hanging="357" w:hangingChars="170"/>
        <w:rPr>
          <w:rFonts w:ascii="Times New Roman"/>
          <w:sz w:val="21"/>
          <w:szCs w:val="21"/>
        </w:rPr>
      </w:pPr>
      <w:r>
        <w:rPr>
          <w:rFonts w:ascii="Times New Roman"/>
          <w:sz w:val="21"/>
          <w:szCs w:val="21"/>
        </w:rPr>
        <w:t>7.1本合同范围的货物，应由供方直接供应，不得转让他人供应；</w:t>
      </w:r>
    </w:p>
    <w:p>
      <w:pPr>
        <w:pStyle w:val="22"/>
        <w:spacing w:beforeLines="0" w:after="120" w:afterLines="0" w:line="360" w:lineRule="auto"/>
        <w:ind w:left="357" w:hanging="357" w:hangingChars="170"/>
        <w:rPr>
          <w:rFonts w:ascii="Times New Roman"/>
          <w:sz w:val="21"/>
          <w:szCs w:val="21"/>
        </w:rPr>
      </w:pPr>
      <w:r>
        <w:rPr>
          <w:rFonts w:ascii="Times New Roman"/>
          <w:sz w:val="21"/>
          <w:szCs w:val="21"/>
        </w:rPr>
        <w:t>7.2 除非得到需方的书面同意，供方不得部分分包给他人供应。</w:t>
      </w:r>
    </w:p>
    <w:p>
      <w:pPr>
        <w:pStyle w:val="22"/>
        <w:spacing w:beforeLines="0" w:after="120" w:afterLines="0" w:line="360" w:lineRule="auto"/>
        <w:ind w:left="357" w:hanging="357" w:hangingChars="170"/>
        <w:rPr>
          <w:rFonts w:ascii="Times New Roman"/>
          <w:sz w:val="21"/>
          <w:szCs w:val="21"/>
        </w:rPr>
      </w:pPr>
      <w:r>
        <w:rPr>
          <w:rFonts w:ascii="Times New Roman"/>
          <w:sz w:val="21"/>
          <w:szCs w:val="21"/>
        </w:rPr>
        <w:t>7.3如有转让和未经需方同意的分包行为，需方有权给予终止合同。</w:t>
      </w:r>
    </w:p>
    <w:p>
      <w:pPr>
        <w:pStyle w:val="22"/>
        <w:spacing w:beforeLines="0" w:after="120" w:afterLines="0" w:line="360" w:lineRule="auto"/>
        <w:rPr>
          <w:rFonts w:ascii="Times New Roman"/>
          <w:sz w:val="21"/>
          <w:szCs w:val="21"/>
        </w:rPr>
      </w:pPr>
      <w:r>
        <w:rPr>
          <w:rFonts w:ascii="Times New Roman"/>
          <w:b/>
          <w:sz w:val="21"/>
          <w:szCs w:val="21"/>
        </w:rPr>
        <w:t>八、质保期</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8.1 质保期</w:t>
      </w:r>
      <w:r>
        <w:rPr>
          <w:rFonts w:ascii="Times New Roman"/>
          <w:sz w:val="21"/>
          <w:szCs w:val="21"/>
          <w:u w:val="single"/>
        </w:rPr>
        <w:t xml:space="preserve">   </w:t>
      </w:r>
      <w:r>
        <w:rPr>
          <w:rFonts w:ascii="Times New Roman"/>
          <w:sz w:val="21"/>
          <w:szCs w:val="21"/>
        </w:rPr>
        <w:t>年。（自交货验收合格之日起计）</w:t>
      </w:r>
    </w:p>
    <w:p>
      <w:pPr>
        <w:pStyle w:val="22"/>
        <w:spacing w:beforeLines="0" w:after="120" w:afterLines="0" w:line="360" w:lineRule="auto"/>
        <w:rPr>
          <w:rFonts w:ascii="Times New Roman"/>
          <w:b/>
          <w:sz w:val="21"/>
          <w:szCs w:val="21"/>
        </w:rPr>
      </w:pPr>
      <w:r>
        <w:rPr>
          <w:rFonts w:ascii="Times New Roman"/>
          <w:b/>
          <w:sz w:val="21"/>
          <w:szCs w:val="21"/>
        </w:rPr>
        <w:t>九、交货期、交货方式及交货地点</w:t>
      </w:r>
    </w:p>
    <w:p>
      <w:pPr>
        <w:pStyle w:val="22"/>
        <w:spacing w:beforeLines="0" w:after="120" w:afterLines="0" w:line="360" w:lineRule="auto"/>
        <w:rPr>
          <w:rFonts w:ascii="Times New Roman"/>
          <w:bCs/>
          <w:sz w:val="21"/>
          <w:szCs w:val="21"/>
        </w:rPr>
      </w:pPr>
      <w:r>
        <w:rPr>
          <w:rFonts w:ascii="Times New Roman"/>
          <w:bCs/>
          <w:sz w:val="21"/>
          <w:szCs w:val="21"/>
        </w:rPr>
        <w:t xml:space="preserve">9.1 交货期： </w:t>
      </w:r>
    </w:p>
    <w:p>
      <w:pPr>
        <w:pStyle w:val="22"/>
        <w:spacing w:beforeLines="0" w:after="120" w:afterLines="0" w:line="360" w:lineRule="auto"/>
        <w:rPr>
          <w:rFonts w:ascii="Times New Roman"/>
          <w:bCs/>
          <w:sz w:val="21"/>
          <w:szCs w:val="21"/>
        </w:rPr>
      </w:pPr>
      <w:r>
        <w:rPr>
          <w:rFonts w:ascii="Times New Roman"/>
          <w:bCs/>
          <w:sz w:val="21"/>
          <w:szCs w:val="21"/>
        </w:rPr>
        <w:t>9.2 交货方式：</w:t>
      </w:r>
    </w:p>
    <w:p>
      <w:pPr>
        <w:pStyle w:val="22"/>
        <w:spacing w:beforeLines="0" w:after="120" w:afterLines="0" w:line="360" w:lineRule="auto"/>
        <w:rPr>
          <w:rFonts w:ascii="Times New Roman"/>
          <w:b/>
          <w:sz w:val="21"/>
          <w:szCs w:val="21"/>
        </w:rPr>
      </w:pPr>
      <w:r>
        <w:rPr>
          <w:rFonts w:ascii="Times New Roman"/>
          <w:bCs/>
          <w:sz w:val="21"/>
          <w:szCs w:val="21"/>
        </w:rPr>
        <w:t>9.3 交货地点：</w:t>
      </w:r>
      <w:r>
        <w:rPr>
          <w:rFonts w:ascii="Times New Roman"/>
          <w:b/>
          <w:sz w:val="21"/>
          <w:szCs w:val="21"/>
        </w:rPr>
        <w:t xml:space="preserve"> </w:t>
      </w:r>
    </w:p>
    <w:p>
      <w:pPr>
        <w:pStyle w:val="22"/>
        <w:spacing w:beforeLines="0" w:after="120" w:afterLines="0" w:line="360" w:lineRule="auto"/>
        <w:rPr>
          <w:rFonts w:ascii="Times New Roman"/>
          <w:b/>
          <w:sz w:val="21"/>
          <w:szCs w:val="21"/>
        </w:rPr>
      </w:pPr>
      <w:r>
        <w:rPr>
          <w:rFonts w:ascii="Times New Roman"/>
          <w:b/>
          <w:sz w:val="21"/>
          <w:szCs w:val="21"/>
        </w:rPr>
        <w:t>十、货款支付</w:t>
      </w:r>
      <w:r>
        <w:rPr>
          <w:rFonts w:hint="eastAsia" w:ascii="Times New Roman"/>
          <w:b/>
          <w:sz w:val="21"/>
          <w:szCs w:val="21"/>
        </w:rPr>
        <w:t>：</w:t>
      </w:r>
    </w:p>
    <w:p>
      <w:pPr>
        <w:spacing w:line="360" w:lineRule="auto"/>
        <w:rPr>
          <w:b/>
          <w:szCs w:val="21"/>
        </w:rPr>
      </w:pPr>
      <w:r>
        <w:rPr>
          <w:b/>
          <w:szCs w:val="21"/>
        </w:rPr>
        <w:t>十一</w:t>
      </w:r>
      <w:r>
        <w:rPr>
          <w:rFonts w:hint="eastAsia"/>
          <w:b/>
          <w:szCs w:val="21"/>
          <w:lang w:eastAsia="zh-CN"/>
        </w:rPr>
        <w:t>、</w:t>
      </w:r>
      <w:r>
        <w:rPr>
          <w:b/>
          <w:szCs w:val="21"/>
        </w:rPr>
        <w:t>税</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11.1本合同执行中相关的一切税费均由供方负担。</w:t>
      </w:r>
    </w:p>
    <w:p>
      <w:pPr>
        <w:pStyle w:val="22"/>
        <w:spacing w:beforeLines="0" w:after="120" w:afterLines="0" w:line="360" w:lineRule="auto"/>
        <w:ind w:left="360" w:hanging="361" w:hangingChars="171"/>
        <w:rPr>
          <w:rFonts w:ascii="Times New Roman"/>
          <w:sz w:val="21"/>
          <w:szCs w:val="21"/>
        </w:rPr>
      </w:pPr>
      <w:r>
        <w:rPr>
          <w:rFonts w:ascii="Times New Roman"/>
          <w:b/>
          <w:sz w:val="21"/>
          <w:szCs w:val="21"/>
        </w:rPr>
        <w:t>十二、质量保证及售后服务</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12.1 乙方应按磋商文件规定的货物性能、技术要求、质量标准向甲方提供未经使用的全新产品。</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12.2 乙方提供的货物在质量保证期内因货物本身的质量问题发生故障，乙方应负责免费更换。对达不到技术要求者，根据实际情况，经双方协商，可按以下办法处理：</w:t>
      </w:r>
    </w:p>
    <w:p>
      <w:pPr>
        <w:pStyle w:val="22"/>
        <w:spacing w:beforeLines="0" w:after="120" w:afterLines="0" w:line="360" w:lineRule="auto"/>
        <w:ind w:firstLine="420"/>
        <w:rPr>
          <w:rFonts w:ascii="Times New Roman"/>
          <w:sz w:val="21"/>
          <w:szCs w:val="21"/>
        </w:rPr>
      </w:pPr>
      <w:r>
        <w:rPr>
          <w:rFonts w:hint="eastAsia" w:hAnsi="宋体" w:cs="宋体"/>
          <w:sz w:val="21"/>
          <w:szCs w:val="21"/>
        </w:rPr>
        <w:t>⑴</w:t>
      </w:r>
      <w:r>
        <w:rPr>
          <w:rFonts w:ascii="Times New Roman"/>
          <w:sz w:val="21"/>
          <w:szCs w:val="21"/>
        </w:rPr>
        <w:t>更换：由乙方承担所发生的全部费用。</w:t>
      </w:r>
    </w:p>
    <w:p>
      <w:pPr>
        <w:pStyle w:val="22"/>
        <w:spacing w:beforeLines="0" w:after="120" w:afterLines="0" w:line="360" w:lineRule="auto"/>
        <w:ind w:firstLine="420"/>
        <w:rPr>
          <w:rFonts w:ascii="Times New Roman"/>
          <w:sz w:val="21"/>
          <w:szCs w:val="21"/>
        </w:rPr>
      </w:pPr>
      <w:r>
        <w:rPr>
          <w:rFonts w:hint="eastAsia" w:hAnsi="宋体" w:cs="宋体"/>
          <w:sz w:val="21"/>
          <w:szCs w:val="21"/>
        </w:rPr>
        <w:t>⑵</w:t>
      </w:r>
      <w:r>
        <w:rPr>
          <w:rFonts w:ascii="Times New Roman"/>
          <w:sz w:val="21"/>
          <w:szCs w:val="21"/>
        </w:rPr>
        <w:t>贬值处理：由甲乙双方合议定价。</w:t>
      </w:r>
    </w:p>
    <w:p>
      <w:pPr>
        <w:pStyle w:val="22"/>
        <w:spacing w:beforeLines="0" w:after="120" w:afterLines="0" w:line="360" w:lineRule="auto"/>
        <w:ind w:left="420" w:leftChars="200"/>
        <w:rPr>
          <w:rFonts w:ascii="Times New Roman"/>
          <w:sz w:val="21"/>
          <w:szCs w:val="21"/>
        </w:rPr>
      </w:pPr>
      <w:r>
        <w:rPr>
          <w:rFonts w:hint="eastAsia" w:hAnsi="宋体" w:cs="宋体"/>
          <w:sz w:val="21"/>
          <w:szCs w:val="21"/>
        </w:rPr>
        <w:t>⑶</w:t>
      </w:r>
      <w:r>
        <w:rPr>
          <w:rFonts w:ascii="Times New Roman"/>
          <w:sz w:val="21"/>
          <w:szCs w:val="21"/>
        </w:rPr>
        <w:t>退货处理：乙方应退还甲方支付的合同款，同时应承担该货物的直接费用（运输、保险、检验、货款利息及银行手续费等）。</w:t>
      </w:r>
    </w:p>
    <w:p>
      <w:pPr>
        <w:pStyle w:val="22"/>
        <w:spacing w:beforeLines="0" w:after="120" w:afterLines="0" w:line="360" w:lineRule="auto"/>
        <w:rPr>
          <w:rFonts w:ascii="Times New Roman"/>
          <w:sz w:val="21"/>
          <w:szCs w:val="21"/>
        </w:rPr>
      </w:pPr>
      <w:r>
        <w:rPr>
          <w:rFonts w:ascii="Times New Roman"/>
          <w:sz w:val="21"/>
          <w:szCs w:val="21"/>
        </w:rPr>
        <w:t>12.3 如在使用过程中发生质量问题，乙方在接到甲方通知后在</w:t>
      </w:r>
      <w:r>
        <w:rPr>
          <w:rFonts w:ascii="Times New Roman"/>
          <w:sz w:val="21"/>
          <w:szCs w:val="21"/>
          <w:u w:val="single"/>
        </w:rPr>
        <w:t xml:space="preserve">  </w:t>
      </w:r>
      <w:r>
        <w:rPr>
          <w:rFonts w:ascii="Times New Roman"/>
          <w:sz w:val="21"/>
          <w:szCs w:val="21"/>
        </w:rPr>
        <w:t>小时内到达甲方现场。</w:t>
      </w:r>
    </w:p>
    <w:p>
      <w:pPr>
        <w:pStyle w:val="22"/>
        <w:spacing w:beforeLines="0" w:after="120" w:afterLines="0" w:line="360" w:lineRule="auto"/>
        <w:rPr>
          <w:rFonts w:ascii="Times New Roman"/>
          <w:sz w:val="21"/>
          <w:szCs w:val="21"/>
        </w:rPr>
      </w:pPr>
      <w:r>
        <w:rPr>
          <w:rFonts w:ascii="Times New Roman"/>
          <w:sz w:val="21"/>
          <w:szCs w:val="21"/>
        </w:rPr>
        <w:t>12.4 在质保期内，乙方应对货物出现的质量及安全问题负责处理解决并承担一切费用。</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12.5上述的货物免费保修期为</w:t>
      </w:r>
      <w:r>
        <w:rPr>
          <w:rFonts w:ascii="Times New Roman"/>
          <w:sz w:val="21"/>
          <w:szCs w:val="21"/>
          <w:u w:val="single"/>
        </w:rPr>
        <w:t xml:space="preserve">   </w:t>
      </w:r>
      <w:r>
        <w:rPr>
          <w:rFonts w:ascii="Times New Roman"/>
          <w:sz w:val="21"/>
          <w:szCs w:val="21"/>
        </w:rPr>
        <w:t>年，因人为因素出现的故障不在免费保修范围内。超过保修期的机器设备，终生维修，维修时只收部件成本费。</w:t>
      </w:r>
    </w:p>
    <w:p>
      <w:pPr>
        <w:pStyle w:val="22"/>
        <w:spacing w:beforeLines="0" w:after="120" w:afterLines="0" w:line="360" w:lineRule="auto"/>
        <w:rPr>
          <w:rFonts w:ascii="Times New Roman"/>
          <w:b/>
          <w:sz w:val="21"/>
          <w:szCs w:val="21"/>
        </w:rPr>
      </w:pPr>
      <w:r>
        <w:rPr>
          <w:rFonts w:ascii="Times New Roman"/>
          <w:b/>
          <w:sz w:val="21"/>
          <w:szCs w:val="21"/>
        </w:rPr>
        <w:t>十三、调试和验收</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13.1 甲方对乙方提交的货物依据磋商文件上的技术规格要求和国家有关质量标准进行现场初步验收，外观、说明书符合磋商文件技术要求的，给予签收，初步验收不合格的不予签收。货到后，甲方需在五个工作日内验收。</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13.2 乙方交货前应对产品作出全面检查和对验收文件进行整理，并列出清单，作为甲方收货验收和使用的技术条件依据，检验的结果应随货物交甲方。</w:t>
      </w:r>
    </w:p>
    <w:p>
      <w:pPr>
        <w:pStyle w:val="22"/>
        <w:spacing w:beforeLines="0" w:after="120" w:afterLines="0" w:line="360" w:lineRule="auto"/>
        <w:ind w:left="420" w:hanging="420" w:hangingChars="200"/>
        <w:rPr>
          <w:rFonts w:ascii="Times New Roman"/>
          <w:sz w:val="21"/>
          <w:szCs w:val="21"/>
          <w:u w:val="single"/>
        </w:rPr>
      </w:pPr>
      <w:r>
        <w:rPr>
          <w:rFonts w:ascii="Times New Roman"/>
          <w:sz w:val="21"/>
          <w:szCs w:val="21"/>
        </w:rPr>
        <w:t>13.3 甲方对乙方提供的货物在使用前进行调试时，乙方需负责安装并培训甲方的使用操作人员，并协助甲方一起调试，直到符合技术要求，甲方才做最终验收。</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13.4 对技术复杂的货物，甲方应请国家认可的专业检测机构参与初步验收及最终验收，并由其出具质量检测报告。</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13.5 验收时乙方必须在现场，验收完毕后作出验收结果报告；验收费用由乙方负责。</w:t>
      </w:r>
    </w:p>
    <w:p>
      <w:pPr>
        <w:pStyle w:val="22"/>
        <w:spacing w:beforeLines="0" w:after="120" w:afterLines="0" w:line="360" w:lineRule="auto"/>
        <w:rPr>
          <w:rFonts w:ascii="Times New Roman"/>
          <w:b/>
          <w:sz w:val="21"/>
          <w:szCs w:val="21"/>
        </w:rPr>
      </w:pPr>
      <w:r>
        <w:rPr>
          <w:rFonts w:ascii="Times New Roman"/>
          <w:b/>
          <w:sz w:val="21"/>
          <w:szCs w:val="21"/>
        </w:rPr>
        <w:t>十四、货物包装、发运及运输</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14.1 乙方应在货物发运前对其进行满足运输距离、防潮、防震、防锈和防破损装卸等要求包装，以保证货物安全运达甲方指定地点。</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14.2 使用说明书、质量检验证明书、随配附件和工具以及清单一并附于货物内。</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14.3 乙方在货物发运手续办理完毕后24小时内或货到甲方48小时前通知甲方，以准备接货。</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14.4 货物在交付甲方前发生的风险均由乙方负责。</w:t>
      </w:r>
    </w:p>
    <w:p>
      <w:pPr>
        <w:pStyle w:val="22"/>
        <w:spacing w:beforeLines="0" w:after="120" w:afterLines="0" w:line="360" w:lineRule="auto"/>
        <w:ind w:left="420" w:right="26" w:hanging="420" w:hangingChars="200"/>
        <w:rPr>
          <w:rFonts w:ascii="Times New Roman"/>
          <w:sz w:val="21"/>
          <w:szCs w:val="21"/>
        </w:rPr>
      </w:pPr>
      <w:r>
        <w:rPr>
          <w:rFonts w:ascii="Times New Roman"/>
          <w:sz w:val="21"/>
          <w:szCs w:val="21"/>
        </w:rPr>
        <w:t>14.5 货物在规定的交付期限内由乙方送达甲方指定的地点视为交付，乙方同时需通知甲方货物已送达。</w:t>
      </w:r>
    </w:p>
    <w:p>
      <w:pPr>
        <w:pStyle w:val="22"/>
        <w:spacing w:beforeLines="0" w:after="120" w:afterLines="0" w:line="360" w:lineRule="auto"/>
        <w:rPr>
          <w:rFonts w:ascii="Times New Roman"/>
          <w:b/>
          <w:sz w:val="21"/>
          <w:szCs w:val="21"/>
        </w:rPr>
      </w:pPr>
      <w:r>
        <w:rPr>
          <w:rFonts w:ascii="Times New Roman"/>
          <w:b/>
          <w:sz w:val="21"/>
          <w:szCs w:val="21"/>
        </w:rPr>
        <w:t>十五、违约责任</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15.1 甲方无正当理由拒收货物的，甲方向乙方偿付拒收货款总值的百分之五违约金。</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15.2 甲方无故逾期验收和办理货款支付手续的,甲方应按逾期付款总额每日万分之五向乙方支付违约金。</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 xml:space="preserve">15.3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22"/>
        <w:spacing w:beforeLines="0" w:after="120" w:afterLines="0" w:line="360" w:lineRule="auto"/>
        <w:ind w:left="359" w:hanging="359" w:hangingChars="171"/>
        <w:rPr>
          <w:rFonts w:ascii="Times New Roman"/>
          <w:sz w:val="21"/>
          <w:szCs w:val="21"/>
        </w:rPr>
      </w:pPr>
      <w:r>
        <w:rPr>
          <w:rFonts w:ascii="Times New Roman"/>
          <w:sz w:val="21"/>
          <w:szCs w:val="21"/>
        </w:rPr>
        <w:t>15.4 乙方所交的货物品种、型号、规格、技术参数、质量不符合合同规定及磋商文件规定标准的，甲方有权拒收该货物，乙方愿意更换货物但逾期交货的，按乙方逾期交货处理。乙方拒绝更换货物的，甲方可单方面解除合同。</w:t>
      </w:r>
    </w:p>
    <w:p>
      <w:pPr>
        <w:pStyle w:val="22"/>
        <w:spacing w:beforeLines="0" w:after="120" w:afterLines="0" w:line="360" w:lineRule="auto"/>
        <w:rPr>
          <w:rFonts w:ascii="Times New Roman"/>
          <w:b/>
          <w:sz w:val="21"/>
          <w:szCs w:val="21"/>
        </w:rPr>
      </w:pPr>
      <w:r>
        <w:rPr>
          <w:rFonts w:ascii="Times New Roman"/>
          <w:b/>
          <w:sz w:val="21"/>
          <w:szCs w:val="21"/>
        </w:rPr>
        <w:t>十六、不可抗力事件处理</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16.1 在合同有效期内，任何一方因不可抗力事件导致不能履行合同，则合同履行期可延长，其延长期与不可抗力影响期相同。</w:t>
      </w:r>
    </w:p>
    <w:p>
      <w:pPr>
        <w:pStyle w:val="22"/>
        <w:spacing w:beforeLines="0" w:after="120" w:afterLines="0" w:line="360" w:lineRule="auto"/>
        <w:rPr>
          <w:rFonts w:ascii="Times New Roman"/>
          <w:sz w:val="21"/>
          <w:szCs w:val="21"/>
        </w:rPr>
      </w:pPr>
      <w:r>
        <w:rPr>
          <w:rFonts w:ascii="Times New Roman"/>
          <w:sz w:val="21"/>
          <w:szCs w:val="21"/>
        </w:rPr>
        <w:t>16.2 不可抗力事件发生后，应立即通知对方，并寄送有关权威机构出具的证明。</w:t>
      </w:r>
    </w:p>
    <w:p>
      <w:pPr>
        <w:pStyle w:val="22"/>
        <w:spacing w:beforeLines="0" w:after="120" w:afterLines="0" w:line="360" w:lineRule="auto"/>
        <w:rPr>
          <w:rFonts w:ascii="Times New Roman"/>
          <w:sz w:val="21"/>
          <w:szCs w:val="21"/>
        </w:rPr>
      </w:pPr>
      <w:r>
        <w:rPr>
          <w:rFonts w:ascii="Times New Roman"/>
          <w:sz w:val="21"/>
          <w:szCs w:val="21"/>
        </w:rPr>
        <w:t>16.3 不可抗力事件延续120天以上，双方应通过友好协商，确定是否继续履行合同。</w:t>
      </w:r>
    </w:p>
    <w:p>
      <w:pPr>
        <w:pStyle w:val="22"/>
        <w:spacing w:beforeLines="0" w:after="120" w:afterLines="0" w:line="360" w:lineRule="auto"/>
        <w:rPr>
          <w:rFonts w:ascii="Times New Roman"/>
          <w:b/>
          <w:sz w:val="21"/>
          <w:szCs w:val="21"/>
        </w:rPr>
      </w:pPr>
      <w:r>
        <w:rPr>
          <w:rFonts w:ascii="Times New Roman"/>
          <w:b/>
          <w:sz w:val="21"/>
          <w:szCs w:val="21"/>
        </w:rPr>
        <w:t>十七、诉讼</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17.1 双方在执行合同中所发生的一切争议，应通过协商解决。如协商不成，可向合同签订地法院起诉，合同签订地在此约定为宁波市。</w:t>
      </w:r>
    </w:p>
    <w:p>
      <w:pPr>
        <w:pStyle w:val="22"/>
        <w:spacing w:beforeLines="0" w:after="120" w:afterLines="0" w:line="360" w:lineRule="auto"/>
        <w:rPr>
          <w:rFonts w:ascii="Times New Roman"/>
          <w:b/>
          <w:sz w:val="21"/>
          <w:szCs w:val="21"/>
        </w:rPr>
      </w:pPr>
      <w:r>
        <w:rPr>
          <w:rFonts w:ascii="Times New Roman"/>
          <w:b/>
          <w:sz w:val="21"/>
          <w:szCs w:val="21"/>
        </w:rPr>
        <w:t>十八、合同生效及其它</w:t>
      </w:r>
    </w:p>
    <w:p>
      <w:pPr>
        <w:pStyle w:val="22"/>
        <w:spacing w:beforeLines="0" w:after="120" w:afterLines="0" w:line="360" w:lineRule="auto"/>
        <w:rPr>
          <w:rFonts w:ascii="Times New Roman"/>
          <w:sz w:val="21"/>
          <w:szCs w:val="21"/>
        </w:rPr>
      </w:pPr>
      <w:r>
        <w:rPr>
          <w:rFonts w:ascii="Times New Roman"/>
          <w:sz w:val="21"/>
          <w:szCs w:val="21"/>
        </w:rPr>
        <w:t>18.1 合同经双方法定代表人或授权委托代理人签字并加盖单位公章后生效。</w:t>
      </w:r>
    </w:p>
    <w:p>
      <w:pPr>
        <w:pStyle w:val="22"/>
        <w:spacing w:beforeLines="0" w:after="120" w:afterLines="0" w:line="360" w:lineRule="auto"/>
        <w:rPr>
          <w:rFonts w:ascii="Times New Roman"/>
          <w:sz w:val="21"/>
          <w:szCs w:val="21"/>
        </w:rPr>
      </w:pPr>
      <w:r>
        <w:rPr>
          <w:rFonts w:ascii="Times New Roman"/>
          <w:sz w:val="21"/>
          <w:szCs w:val="21"/>
        </w:rPr>
        <w:t>18.2合同执行中涉及采购资金和采购内容修改或补充的，须经甲方审批，并签书面补充协议并报相关部门备案，方可作为主合同不可分割的一部分。</w:t>
      </w:r>
    </w:p>
    <w:p>
      <w:pPr>
        <w:pStyle w:val="22"/>
        <w:spacing w:beforeLines="0" w:after="120" w:afterLines="0" w:line="360" w:lineRule="auto"/>
        <w:rPr>
          <w:rFonts w:ascii="Times New Roman"/>
          <w:sz w:val="21"/>
          <w:szCs w:val="21"/>
        </w:rPr>
      </w:pPr>
      <w:r>
        <w:rPr>
          <w:rFonts w:ascii="Times New Roman"/>
          <w:sz w:val="21"/>
          <w:szCs w:val="21"/>
        </w:rPr>
        <w:t>18.3 磋商文件和乙方的响应文件、及应标承诺等作为本次合同不可分割的一部分，乙方必须严格遵守执行。</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18.4本合同未尽事宜，遵照《民法典》有关条文执行。</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18.5 本合同正本一式两份，具有同等法律效力，甲乙双方各执一份；副本</w:t>
      </w:r>
      <w:r>
        <w:rPr>
          <w:rFonts w:ascii="Times New Roman"/>
          <w:b/>
          <w:sz w:val="21"/>
          <w:szCs w:val="21"/>
        </w:rPr>
        <w:t xml:space="preserve"> </w:t>
      </w:r>
      <w:r>
        <w:rPr>
          <w:rFonts w:ascii="Times New Roman"/>
          <w:b/>
          <w:sz w:val="21"/>
          <w:szCs w:val="21"/>
          <w:u w:val="single"/>
        </w:rPr>
        <w:t xml:space="preserve">    </w:t>
      </w:r>
      <w:r>
        <w:rPr>
          <w:rFonts w:ascii="Times New Roman"/>
          <w:sz w:val="21"/>
          <w:szCs w:val="21"/>
        </w:rPr>
        <w:t>份，(用途)。</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 xml:space="preserve">  </w:t>
      </w:r>
    </w:p>
    <w:p>
      <w:pPr>
        <w:pStyle w:val="22"/>
        <w:spacing w:beforeLines="0" w:after="120" w:afterLines="0" w:line="360" w:lineRule="auto"/>
        <w:ind w:left="420" w:hanging="420" w:hangingChars="200"/>
        <w:rPr>
          <w:rFonts w:ascii="Times New Roman"/>
          <w:sz w:val="21"/>
          <w:szCs w:val="21"/>
        </w:rPr>
      </w:pPr>
      <w:r>
        <w:rPr>
          <w:rFonts w:ascii="Times New Roman"/>
          <w:sz w:val="21"/>
          <w:szCs w:val="21"/>
        </w:rPr>
        <w:t xml:space="preserve">  甲方：                                   乙方： </w:t>
      </w:r>
    </w:p>
    <w:p>
      <w:pPr>
        <w:pStyle w:val="22"/>
        <w:spacing w:beforeLines="0" w:after="120" w:afterLines="0" w:line="360" w:lineRule="auto"/>
        <w:rPr>
          <w:rFonts w:ascii="Times New Roman"/>
          <w:sz w:val="21"/>
          <w:szCs w:val="21"/>
        </w:rPr>
      </w:pPr>
      <w:r>
        <w:rPr>
          <w:rFonts w:ascii="Times New Roman"/>
          <w:sz w:val="21"/>
          <w:szCs w:val="21"/>
        </w:rPr>
        <w:t xml:space="preserve">  地址：                                   地址： </w:t>
      </w:r>
    </w:p>
    <w:p>
      <w:pPr>
        <w:pStyle w:val="22"/>
        <w:spacing w:beforeLines="0" w:after="120" w:afterLines="0" w:line="360" w:lineRule="auto"/>
        <w:rPr>
          <w:rFonts w:ascii="Times New Roman"/>
          <w:sz w:val="21"/>
          <w:szCs w:val="21"/>
        </w:rPr>
      </w:pPr>
      <w:r>
        <w:rPr>
          <w:rFonts w:ascii="Times New Roman"/>
          <w:sz w:val="21"/>
          <w:szCs w:val="21"/>
        </w:rPr>
        <w:t xml:space="preserve">  法定代表人：                             法定代表人：</w:t>
      </w:r>
    </w:p>
    <w:p>
      <w:pPr>
        <w:pStyle w:val="22"/>
        <w:spacing w:beforeLines="0" w:after="120" w:afterLines="0" w:line="360" w:lineRule="auto"/>
        <w:rPr>
          <w:rFonts w:ascii="Times New Roman"/>
          <w:sz w:val="21"/>
          <w:szCs w:val="21"/>
        </w:rPr>
      </w:pPr>
      <w:r>
        <w:rPr>
          <w:rFonts w:ascii="Times New Roman"/>
          <w:sz w:val="21"/>
          <w:szCs w:val="21"/>
        </w:rPr>
        <w:t xml:space="preserve">  签订地点：                               签订日期：      年  月  日</w:t>
      </w:r>
    </w:p>
    <w:p>
      <w:pPr>
        <w:spacing w:line="360" w:lineRule="auto"/>
        <w:rPr>
          <w:b/>
          <w:szCs w:val="21"/>
        </w:rPr>
      </w:pPr>
      <w:r>
        <w:rPr>
          <w:b/>
          <w:szCs w:val="21"/>
        </w:rPr>
        <w:t>本合同未尽事宜或合同内容需实质性调整，根据采购文件规定、成交投标人要约情况及采购人实际承诺结果据实增补或调整。</w:t>
      </w:r>
    </w:p>
    <w:p>
      <w:pPr>
        <w:spacing w:line="360" w:lineRule="auto"/>
        <w:jc w:val="center"/>
        <w:rPr>
          <w:rFonts w:eastAsia="方正黑体简体"/>
          <w:color w:val="000000" w:themeColor="text1"/>
          <w:sz w:val="24"/>
          <w:szCs w:val="24"/>
          <w:highlight w:val="none"/>
          <w14:textFill>
            <w14:solidFill>
              <w14:schemeClr w14:val="tx1"/>
            </w14:solidFill>
          </w14:textFill>
        </w:rPr>
      </w:pPr>
    </w:p>
    <w:p>
      <w:pPr>
        <w:widowControl/>
        <w:ind w:firstLine="560" w:firstLineChars="200"/>
        <w:jc w:val="center"/>
        <w:outlineLvl w:val="0"/>
        <w:rPr>
          <w:rFonts w:ascii="黑体" w:hAnsi="黑体" w:eastAsia="黑体" w:cs="黑体"/>
          <w:kern w:val="0"/>
          <w:sz w:val="28"/>
          <w:szCs w:val="28"/>
          <w:highlight w:val="none"/>
        </w:rPr>
      </w:pPr>
    </w:p>
    <w:p>
      <w:pPr>
        <w:widowControl/>
        <w:jc w:val="left"/>
        <w:rPr>
          <w:rFonts w:ascii="宋体"/>
          <w:color w:val="000000" w:themeColor="text1"/>
          <w:highlight w:val="none"/>
          <w14:textFill>
            <w14:solidFill>
              <w14:schemeClr w14:val="tx1"/>
            </w14:solidFill>
          </w14:textFill>
        </w:rPr>
        <w:sectPr>
          <w:headerReference r:id="rId11" w:type="default"/>
          <w:type w:val="continuous"/>
          <w:pgSz w:w="11907" w:h="16840"/>
          <w:pgMar w:top="1304" w:right="1588" w:bottom="1304" w:left="1588" w:header="720" w:footer="720" w:gutter="0"/>
          <w:pgBorders>
            <w:top w:val="none" w:sz="0" w:space="0"/>
            <w:left w:val="none" w:sz="0" w:space="0"/>
            <w:bottom w:val="none" w:sz="0" w:space="0"/>
            <w:right w:val="none" w:sz="0" w:space="0"/>
          </w:pgBorders>
          <w:cols w:space="720" w:num="1"/>
          <w:docGrid w:linePitch="285" w:charSpace="0"/>
        </w:sectPr>
      </w:pPr>
      <w:r>
        <w:rPr>
          <w:rFonts w:ascii="宋体"/>
          <w:color w:val="000000" w:themeColor="text1"/>
          <w:highlight w:val="none"/>
          <w14:textFill>
            <w14:solidFill>
              <w14:schemeClr w14:val="tx1"/>
            </w14:solidFill>
          </w14:textFill>
        </w:rPr>
        <w:br w:type="page"/>
      </w:r>
    </w:p>
    <w:p>
      <w:pPr>
        <w:widowControl/>
        <w:jc w:val="left"/>
        <w:rPr>
          <w:rFonts w:ascii="宋体"/>
          <w:color w:val="000000" w:themeColor="text1"/>
          <w:highlight w:val="none"/>
          <w14:textFill>
            <w14:solidFill>
              <w14:schemeClr w14:val="tx1"/>
            </w14:solidFill>
          </w14:textFill>
        </w:rPr>
      </w:pPr>
    </w:p>
    <w:bookmarkEnd w:id="161"/>
    <w:p>
      <w:pPr>
        <w:pStyle w:val="3"/>
        <w:spacing w:beforeLines="0" w:afterLines="0" w:line="360" w:lineRule="auto"/>
        <w:rPr>
          <w:rFonts w:ascii="宋体"/>
          <w:color w:val="000000" w:themeColor="text1"/>
          <w:sz w:val="32"/>
          <w:szCs w:val="32"/>
          <w:highlight w:val="none"/>
          <w14:textFill>
            <w14:solidFill>
              <w14:schemeClr w14:val="tx1"/>
            </w14:solidFill>
          </w14:textFill>
        </w:rPr>
      </w:pPr>
      <w:bookmarkStart w:id="162" w:name="_Toc14550"/>
      <w:bookmarkStart w:id="163" w:name="_Toc141797685"/>
      <w:bookmarkStart w:id="164" w:name="_Toc4685"/>
      <w:r>
        <w:rPr>
          <w:rFonts w:hint="eastAsia" w:ascii="宋体" w:hAnsi="宋体" w:cs="宋体"/>
          <w:color w:val="000000" w:themeColor="text1"/>
          <w:sz w:val="32"/>
          <w:szCs w:val="32"/>
          <w:highlight w:val="none"/>
          <w14:textFill>
            <w14:solidFill>
              <w14:schemeClr w14:val="tx1"/>
            </w14:solidFill>
          </w14:textFill>
        </w:rPr>
        <w:t>第六部分 评标办法</w:t>
      </w:r>
      <w:bookmarkEnd w:id="162"/>
      <w:bookmarkEnd w:id="163"/>
      <w:bookmarkEnd w:id="164"/>
    </w:p>
    <w:p>
      <w:pPr>
        <w:tabs>
          <w:tab w:val="left" w:pos="0"/>
          <w:tab w:val="left" w:pos="723"/>
        </w:tabs>
        <w:spacing w:line="360" w:lineRule="exact"/>
        <w:rPr>
          <w:rFonts w:ascii="宋体"/>
          <w:b/>
          <w:bCs/>
          <w:color w:val="000000" w:themeColor="text1"/>
          <w:highlight w:val="none"/>
          <w14:textFill>
            <w14:solidFill>
              <w14:schemeClr w14:val="tx1"/>
            </w14:solidFill>
          </w14:textFill>
        </w:rPr>
      </w:pPr>
      <w:bookmarkStart w:id="165" w:name="_Toc298230960"/>
      <w:r>
        <w:rPr>
          <w:rFonts w:hint="eastAsia" w:ascii="宋体" w:hAnsi="宋体" w:cs="宋体"/>
          <w:b/>
          <w:bCs/>
          <w:color w:val="000000" w:themeColor="text1"/>
          <w:highlight w:val="none"/>
          <w14:textFill>
            <w14:solidFill>
              <w14:schemeClr w14:val="tx1"/>
            </w14:solidFill>
          </w14:textFill>
        </w:rPr>
        <w:t>一、总则：</w:t>
      </w:r>
    </w:p>
    <w:p>
      <w:pPr>
        <w:tabs>
          <w:tab w:val="left" w:pos="0"/>
          <w:tab w:val="left" w:pos="723"/>
        </w:tabs>
        <w:spacing w:line="360" w:lineRule="exact"/>
        <w:rPr>
          <w:rFonts w:ascii="宋体"/>
          <w:b/>
          <w:bCs/>
          <w:color w:val="000000" w:themeColor="text1"/>
          <w:highlight w:val="none"/>
          <w14:textFill>
            <w14:solidFill>
              <w14:schemeClr w14:val="tx1"/>
            </w14:solidFill>
          </w14:textFill>
        </w:rPr>
      </w:pPr>
    </w:p>
    <w:p>
      <w:pPr>
        <w:spacing w:line="360" w:lineRule="auto"/>
        <w:ind w:firstLine="420" w:firstLineChars="200"/>
        <w:rPr>
          <w:rFonts w:asciiTheme="majorEastAsia" w:hAnsiTheme="majorEastAsia" w:eastAsiaTheme="majorEastAsia"/>
          <w:color w:val="000000" w:themeColor="text1"/>
          <w:highlight w:val="none"/>
          <w14:textFill>
            <w14:solidFill>
              <w14:schemeClr w14:val="tx1"/>
            </w14:solidFill>
          </w14:textFill>
        </w:rPr>
      </w:pPr>
      <w:r>
        <w:rPr>
          <w:rFonts w:cs="宋体" w:asciiTheme="majorEastAsia" w:hAnsiTheme="majorEastAsia" w:eastAsiaTheme="majorEastAsia"/>
          <w:color w:val="000000" w:themeColor="text1"/>
          <w:highlight w:val="none"/>
          <w14:textFill>
            <w14:solidFill>
              <w14:schemeClr w14:val="tx1"/>
            </w14:solidFill>
          </w14:textFill>
        </w:rPr>
        <w:t>1</w:t>
      </w:r>
      <w:r>
        <w:rPr>
          <w:rFonts w:hint="eastAsia" w:cs="宋体" w:asciiTheme="majorEastAsia" w:hAnsiTheme="majorEastAsia" w:eastAsiaTheme="majorEastAsia"/>
          <w:color w:val="000000" w:themeColor="text1"/>
          <w:highlight w:val="none"/>
          <w14:textFill>
            <w14:solidFill>
              <w14:schemeClr w14:val="tx1"/>
            </w14:solidFill>
          </w14:textFill>
        </w:rPr>
        <w:t>、本办法严格遵照《中华人民共和国政府采购法》《中华人民共和国政府采购法实施条例》、《政府采购货物和服务招标投标管理办法》（</w:t>
      </w:r>
      <w:r>
        <w:rPr>
          <w:rFonts w:cs="宋体" w:asciiTheme="majorEastAsia" w:hAnsiTheme="majorEastAsia" w:eastAsiaTheme="majorEastAsia"/>
          <w:color w:val="000000" w:themeColor="text1"/>
          <w:highlight w:val="none"/>
          <w14:textFill>
            <w14:solidFill>
              <w14:schemeClr w14:val="tx1"/>
            </w14:solidFill>
          </w14:textFill>
        </w:rPr>
        <w:t>87</w:t>
      </w:r>
      <w:r>
        <w:rPr>
          <w:rFonts w:hint="eastAsia" w:cs="宋体" w:asciiTheme="majorEastAsia" w:hAnsiTheme="majorEastAsia" w:eastAsiaTheme="majorEastAsia"/>
          <w:color w:val="000000" w:themeColor="text1"/>
          <w:highlight w:val="none"/>
          <w14:textFill>
            <w14:solidFill>
              <w14:schemeClr w14:val="tx1"/>
            </w14:solidFill>
          </w14:textFill>
        </w:rPr>
        <w:t>号令），结合项目所在地有关政府采购的规定和项目的实际情况制定。本评标标准是对“投标人须知”相关条款的具体表述或补充，如有矛盾，应以本办法为准。</w:t>
      </w:r>
    </w:p>
    <w:p>
      <w:pPr>
        <w:spacing w:line="360" w:lineRule="auto"/>
        <w:ind w:firstLine="420" w:firstLineChars="200"/>
        <w:rPr>
          <w:rFonts w:asciiTheme="majorEastAsia" w:hAnsiTheme="majorEastAsia" w:eastAsiaTheme="majorEastAsia"/>
          <w:color w:val="000000" w:themeColor="text1"/>
          <w:highlight w:val="none"/>
          <w14:textFill>
            <w14:solidFill>
              <w14:schemeClr w14:val="tx1"/>
            </w14:solidFill>
          </w14:textFill>
        </w:rPr>
      </w:pPr>
      <w:r>
        <w:rPr>
          <w:rFonts w:cs="宋体" w:asciiTheme="majorEastAsia" w:hAnsiTheme="majorEastAsia" w:eastAsiaTheme="majorEastAsia"/>
          <w:color w:val="000000" w:themeColor="text1"/>
          <w:highlight w:val="none"/>
          <w14:textFill>
            <w14:solidFill>
              <w14:schemeClr w14:val="tx1"/>
            </w14:solidFill>
          </w14:textFill>
        </w:rPr>
        <w:t>2</w:t>
      </w:r>
      <w:r>
        <w:rPr>
          <w:rFonts w:hint="eastAsia" w:cs="宋体" w:asciiTheme="majorEastAsia" w:hAnsiTheme="majorEastAsia" w:eastAsiaTheme="majorEastAsia"/>
          <w:color w:val="000000" w:themeColor="text1"/>
          <w:highlight w:val="none"/>
          <w14:textFill>
            <w14:solidFill>
              <w14:schemeClr w14:val="tx1"/>
            </w14:solidFill>
          </w14:textFill>
        </w:rPr>
        <w:t>、本项目评标采用综合评分法。</w:t>
      </w:r>
    </w:p>
    <w:p>
      <w:pPr>
        <w:widowControl/>
        <w:tabs>
          <w:tab w:val="left" w:pos="0"/>
          <w:tab w:val="left" w:pos="723"/>
        </w:tabs>
        <w:spacing w:line="360" w:lineRule="auto"/>
        <w:jc w:val="left"/>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二、评标组织</w:t>
      </w:r>
    </w:p>
    <w:p>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评标委员会：采购人和采购代理机构根据采购项目的内容和特点，按国家相关规定组建评标委员会。评标委员会由采购人代表、技术、经济方面专家等人员组成。</w:t>
      </w:r>
    </w:p>
    <w:p>
      <w:pPr>
        <w:widowControl/>
        <w:tabs>
          <w:tab w:val="left" w:pos="0"/>
          <w:tab w:val="left" w:pos="723"/>
        </w:tabs>
        <w:spacing w:line="360" w:lineRule="auto"/>
        <w:jc w:val="left"/>
        <w:rPr>
          <w:rFonts w:ascii="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三、评标程序</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1．资格审查：由采购人或代理机构对投标人的资格进行审查。在资格审查时，如发现有不满足下列情形之一的，将被视为无效投标文件。</w:t>
      </w:r>
    </w:p>
    <w:tbl>
      <w:tblPr>
        <w:tblStyle w:val="3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7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523" w:type="dxa"/>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审查类别</w:t>
            </w:r>
          </w:p>
        </w:tc>
        <w:tc>
          <w:tcPr>
            <w:tcW w:w="7192" w:type="dxa"/>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restart"/>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资格条件审查</w:t>
            </w:r>
          </w:p>
        </w:tc>
        <w:tc>
          <w:tcPr>
            <w:tcW w:w="7192" w:type="dxa"/>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一</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满足《中华人民共和国政府采购法》第二十二条规定；未被“信用中国”（www.creditchina.gov.cn)、中国政府采购网（www.ccgp.gov.cn）列入失信被执行人、重大税收违法案件当事人名单、政府采购严重违法失信行为记录名单，提供参加政府采购活动应当具备的一般条件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continue"/>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cs="宋体"/>
                <w:color w:val="000000" w:themeColor="text1"/>
                <w:highlight w:val="none"/>
                <w14:textFill>
                  <w14:solidFill>
                    <w14:schemeClr w14:val="tx1"/>
                  </w14:solidFill>
                </w14:textFill>
              </w:rPr>
            </w:pPr>
          </w:p>
        </w:tc>
        <w:tc>
          <w:tcPr>
            <w:tcW w:w="7192" w:type="dxa"/>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二）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continue"/>
            <w:vAlign w:val="center"/>
          </w:tcPr>
          <w:p>
            <w:pPr>
              <w:keepNext w:val="0"/>
              <w:keepLines w:val="0"/>
              <w:pageBreakBefore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192" w:type="dxa"/>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三</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营业执照副本（或事业法人登记证副本或其他登记证明材料）复印件加盖投标人公章（投标人如果有名称变更的，应提供由行政主管部门出具的变更证明文件复印件加盖投标人公章）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23" w:type="dxa"/>
            <w:vMerge w:val="continue"/>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p>
        </w:tc>
        <w:tc>
          <w:tcPr>
            <w:tcW w:w="7192" w:type="dxa"/>
          </w:tcPr>
          <w:p>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落实政府采购政策需满足的资格要求：</w:t>
            </w:r>
            <w:r>
              <w:rPr>
                <w:rFonts w:hint="eastAsia" w:ascii="宋体" w:hAnsi="宋体" w:cs="宋体"/>
                <w:color w:val="000000" w:themeColor="text1"/>
                <w:highlight w:val="none"/>
                <w:lang w:val="en-US"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23" w:type="dxa"/>
            <w:vMerge w:val="continue"/>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p>
        </w:tc>
        <w:tc>
          <w:tcPr>
            <w:tcW w:w="7192" w:type="dxa"/>
          </w:tcPr>
          <w:p>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五</w:t>
            </w:r>
            <w:r>
              <w:rPr>
                <w:rFonts w:hint="eastAsia" w:ascii="宋体" w:hAnsi="宋体" w:cs="宋体"/>
                <w:color w:val="000000" w:themeColor="text1"/>
                <w:highlight w:val="none"/>
                <w14:textFill>
                  <w14:solidFill>
                    <w14:schemeClr w14:val="tx1"/>
                  </w14:solidFill>
                </w14:textFill>
              </w:rPr>
              <w:t>）特定资格条件：</w:t>
            </w:r>
            <w:r>
              <w:rPr>
                <w:rFonts w:hint="eastAsia" w:ascii="宋体" w:hAnsi="宋体" w:cs="宋体"/>
                <w:iCs/>
                <w:color w:val="000000" w:themeColor="text1"/>
                <w:highlight w:val="none"/>
                <w14:textFill>
                  <w14:solidFill>
                    <w14:schemeClr w14:val="tx1"/>
                  </w14:solidFill>
                </w14:textFill>
              </w:rPr>
              <w:t>无</w:t>
            </w:r>
          </w:p>
        </w:tc>
      </w:tr>
    </w:tbl>
    <w:p>
      <w:pPr>
        <w:spacing w:line="360" w:lineRule="auto"/>
        <w:rPr>
          <w:rFonts w:ascii="宋体" w:hAnsi="宋体"/>
          <w:color w:val="000000" w:themeColor="text1"/>
          <w:highlight w:val="none"/>
          <w14:textFill>
            <w14:solidFill>
              <w14:schemeClr w14:val="tx1"/>
            </w14:solidFill>
          </w14:textFill>
        </w:rPr>
      </w:pPr>
    </w:p>
    <w:p>
      <w:pPr>
        <w:numPr>
          <w:ilvl w:val="0"/>
          <w:numId w:val="6"/>
        </w:numPr>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符合性检查：</w:t>
      </w:r>
      <w:r>
        <w:rPr>
          <w:rFonts w:hint="eastAsia" w:ascii="宋体" w:hAnsi="宋体" w:cs="宋体"/>
          <w:color w:val="000000" w:themeColor="text1"/>
          <w:kern w:val="0"/>
          <w:highlight w:val="none"/>
          <w14:textFill>
            <w14:solidFill>
              <w14:schemeClr w14:val="tx1"/>
            </w14:solidFill>
          </w14:textFill>
        </w:rPr>
        <w:t>评标委员会应当对符合资格审查的投标人的投标文件进行符合性审查，以确定其是否满足招标文件的实质性要求。在符合性审查时，如发现有不满足下列情形之一的，将被视为无效投标文件。</w:t>
      </w:r>
    </w:p>
    <w:tbl>
      <w:tblPr>
        <w:tblStyle w:val="3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7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blHeader/>
        </w:trPr>
        <w:tc>
          <w:tcPr>
            <w:tcW w:w="1540" w:type="dxa"/>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审查类别</w:t>
            </w: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restar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符合性审查</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（商务技术文件）</w:t>
            </w: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（一）按照招标文件规定要求签署或盖章；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（二）投标文件有法定代表人签署本人姓名（或印盖本人姓名章），或签署人提供有效的法定代表人授权委托书且授权委托书填写项目齐全的；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（三）投标文件项目齐全；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（四）投标文件标明的响应或偏离与事实相符且无虚假投标的；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（五）投标文件的实质性内容使用中文表述且意思表述明确，前后无矛盾且使用计量单位符合招标文件要求的；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（六）带“★”的条款满足招标文件要求、已实质性响应招标文件要求且投标文件无采购人不能接受的附加条件的；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（七）投标技术方案明确，不存在一个或一个以上备选（替代）投标方案的；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（八）不存在法律、法规和招标文件规定的其他无效情形；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（九）不存在投标文件的有效期不满足招标文件要求情形；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restar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符合性审查</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（报价文件）</w:t>
            </w: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（一）按照招标文件规定要求签署或盖章；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tabs>
                <w:tab w:val="left" w:pos="612"/>
              </w:tabs>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（二）投标文件项目齐全；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tcPr>
          <w:p>
            <w:pPr>
              <w:keepNext w:val="0"/>
              <w:keepLines w:val="0"/>
              <w:pageBreakBefore w:val="0"/>
              <w:widowControl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（三）投标函已提交并符合招标文件要求；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tcPr>
          <w:p>
            <w:pPr>
              <w:keepNext w:val="0"/>
              <w:keepLines w:val="0"/>
              <w:pageBreakBefore w:val="0"/>
              <w:widowControl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（四）采用人民币报价或者按照招标文件标明的币种报价的；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540" w:type="dxa"/>
            <w:vMerge w:val="continue"/>
          </w:tcPr>
          <w:p>
            <w:pPr>
              <w:keepNext w:val="0"/>
              <w:keepLines w:val="0"/>
              <w:pageBreakBefore w:val="0"/>
              <w:widowControl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（五）不存在报价超出最高限价，或者超出采购预算金额，采购人不能支付的情形。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tcPr>
          <w:p>
            <w:pPr>
              <w:keepNext w:val="0"/>
              <w:keepLines w:val="0"/>
              <w:pageBreakBefore w:val="0"/>
              <w:widowControl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（六）不存在投标报价具有选择性的情形；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540" w:type="dxa"/>
            <w:vMerge w:val="continue"/>
          </w:tcPr>
          <w:p>
            <w:pPr>
              <w:keepNext w:val="0"/>
              <w:keepLines w:val="0"/>
              <w:pageBreakBefore w:val="0"/>
              <w:widowControl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（七）投标报价中未出现重大缺项、漏项；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1540" w:type="dxa"/>
            <w:vMerge w:val="continue"/>
          </w:tcPr>
          <w:p>
            <w:pPr>
              <w:keepNext w:val="0"/>
              <w:keepLines w:val="0"/>
              <w:pageBreakBefore w:val="0"/>
              <w:widowControl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（八）不存在评标委员会认为投标人的报价明显低于其他通过符合性审查投标人的报价，有可能影响产品质量或者不能诚信履约的且不能在评标现场合理时间内提供相关证明材料说明其报价的合理性的情形；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540" w:type="dxa"/>
            <w:vMerge w:val="continue"/>
          </w:tcPr>
          <w:p>
            <w:pPr>
              <w:keepNext w:val="0"/>
              <w:keepLines w:val="0"/>
              <w:pageBreakBefore w:val="0"/>
              <w:widowControl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（九）投标文件（报价文件）内容与投标文件（商务技术文件）内容不存在重大差异的；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40" w:type="dxa"/>
            <w:vMerge w:val="continue"/>
          </w:tcPr>
          <w:p>
            <w:pPr>
              <w:keepNext w:val="0"/>
              <w:keepLines w:val="0"/>
              <w:pageBreakBefore w:val="0"/>
              <w:widowControl w:val="0"/>
              <w:kinsoku/>
              <w:wordWrap/>
              <w:overflowPunct/>
              <w:topLinePunct w:val="0"/>
              <w:autoSpaceDE/>
              <w:autoSpaceDN/>
              <w:bidi w:val="0"/>
              <w:adjustRightInd/>
              <w:snapToGrid/>
              <w:spacing w:line="380" w:lineRule="exact"/>
              <w:ind w:firstLine="210" w:firstLineChars="100"/>
              <w:textAlignment w:val="auto"/>
              <w:rPr>
                <w:rFonts w:ascii="宋体" w:hAnsi="宋体" w:cs="宋体"/>
                <w:color w:val="000000" w:themeColor="text1"/>
                <w:highlight w:val="none"/>
                <w14:textFill>
                  <w14:solidFill>
                    <w14:schemeClr w14:val="tx1"/>
                  </w14:solidFill>
                </w14:textFill>
              </w:rPr>
            </w:pPr>
          </w:p>
        </w:tc>
        <w:tc>
          <w:tcPr>
            <w:tcW w:w="7239"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（十）不存在法律、法规和招标文件规定的其他无效情形；</w:t>
            </w:r>
          </w:p>
        </w:tc>
      </w:tr>
    </w:tbl>
    <w:p>
      <w:pPr>
        <w:keepNext w:val="0"/>
        <w:keepLines w:val="0"/>
        <w:pageBreakBefore w:val="0"/>
        <w:widowControl w:val="0"/>
        <w:kinsoku/>
        <w:wordWrap/>
        <w:overflowPunct/>
        <w:topLinePunct w:val="0"/>
        <w:autoSpaceDE/>
        <w:autoSpaceDN/>
        <w:bidi w:val="0"/>
        <w:adjustRightInd/>
        <w:snapToGrid/>
        <w:spacing w:before="143" w:beforeLines="50" w:line="360" w:lineRule="auto"/>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比较与评价：评标委员会对资格审查、符合性审查合格的投标文件，依照本办法“七、评分标准”对投标文件作进一步评审、比较，判定其偏差性质和程度。评标委员会成员经过阅标、审标和询标，对各投标人进行打分。</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4．最终得分及排序：</w:t>
      </w:r>
      <w:r>
        <w:rPr>
          <w:rFonts w:hint="eastAsia" w:ascii="宋体" w:hAnsi="宋体" w:cs="宋体"/>
          <w:color w:val="000000" w:themeColor="text1"/>
          <w:highlight w:val="none"/>
          <w14:textFill>
            <w14:solidFill>
              <w14:schemeClr w14:val="tx1"/>
            </w14:solidFill>
          </w14:textFill>
        </w:rPr>
        <w:t>评标委员会成员独立按照评分标准（兼评委打分表）规定的内容和分值设置，对各投标文件分别打分汇总后计算平均分（小数点后保留两位数），即为各投标人的综合得分。</w:t>
      </w:r>
      <w:r>
        <w:rPr>
          <w:rFonts w:hint="eastAsia" w:ascii="宋体" w:hAnsi="宋体" w:cs="宋体"/>
          <w:color w:val="000000" w:themeColor="text1"/>
          <w:kern w:val="0"/>
          <w:highlight w:val="none"/>
          <w14:textFill>
            <w14:solidFill>
              <w14:schemeClr w14:val="tx1"/>
            </w14:solidFill>
          </w14:textFill>
        </w:rPr>
        <w:t>评标结果按评审后得分由高到低顺序排列。得分相同的，按投标报价由低到高顺序排列。得分且投标报价相同的并列。</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5．推荐中标候选人原则：</w:t>
      </w:r>
      <w:r>
        <w:rPr>
          <w:rFonts w:hint="eastAsia" w:ascii="宋体" w:hAnsi="宋体" w:cs="宋体"/>
          <w:color w:val="000000" w:themeColor="text1"/>
          <w:kern w:val="0"/>
          <w:highlight w:val="none"/>
          <w14:textFill>
            <w14:solidFill>
              <w14:schemeClr w14:val="tx1"/>
            </w14:solidFill>
          </w14:textFill>
        </w:rPr>
        <w:t>投标文件满足招标文件全部实质性要求，且按照评审因素的量化指标评审得分最高的投标人为排名第一的中标候选人。</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确定中标人：采购代理机构应当自评标结束之日起2个工作日内将评标报告送交采购人。采购人应当自收到评标报告之日起5个工作日内在评标报告确定的中标候选人名单中按顺序确定中标人。中标人因不可抗力或者自身原因不能履行政府采购合同的，采购人可以按照评标报告推荐的下一中标候选人为中标人或重新招标。</w:t>
      </w:r>
    </w:p>
    <w:p>
      <w:pPr>
        <w:spacing w:line="360" w:lineRule="exact"/>
        <w:rPr>
          <w:rFonts w:ascii="宋体" w:hAnsi="宋体" w:cs="宋体"/>
          <w:color w:val="000000" w:themeColor="text1"/>
          <w:highlight w:val="none"/>
          <w14:textFill>
            <w14:solidFill>
              <w14:schemeClr w14:val="tx1"/>
            </w14:solidFill>
          </w14:textFill>
        </w:rPr>
      </w:pPr>
    </w:p>
    <w:p>
      <w:pPr>
        <w:widowControl/>
        <w:tabs>
          <w:tab w:val="left" w:pos="0"/>
          <w:tab w:val="left" w:pos="723"/>
        </w:tabs>
        <w:spacing w:line="360" w:lineRule="auto"/>
        <w:jc w:val="left"/>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四、澄清问题的形式</w:t>
      </w:r>
    </w:p>
    <w:p>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spacing w:line="360" w:lineRule="auto"/>
        <w:ind w:firstLine="420" w:firstLineChars="200"/>
        <w:rPr>
          <w:rFonts w:ascii="宋体" w:hAnsi="宋体"/>
          <w:color w:val="000000" w:themeColor="text1"/>
          <w:highlight w:val="none"/>
          <w14:textFill>
            <w14:solidFill>
              <w14:schemeClr w14:val="tx1"/>
            </w14:solidFill>
          </w14:textFill>
        </w:rPr>
      </w:pPr>
    </w:p>
    <w:p>
      <w:pPr>
        <w:widowControl/>
        <w:tabs>
          <w:tab w:val="left" w:pos="0"/>
          <w:tab w:val="left" w:pos="723"/>
        </w:tabs>
        <w:spacing w:line="360" w:lineRule="auto"/>
        <w:jc w:val="left"/>
        <w:rPr>
          <w:rFonts w:ascii="宋体" w:hAnsi="宋体"/>
          <w:b/>
          <w:color w:val="000000" w:themeColor="text1"/>
          <w:highlight w:val="none"/>
          <w14:textFill>
            <w14:solidFill>
              <w14:schemeClr w14:val="tx1"/>
            </w14:solidFill>
          </w14:textFill>
        </w:rPr>
      </w:pPr>
      <w:r>
        <w:rPr>
          <w:rFonts w:ascii="宋体" w:hAnsi="宋体"/>
          <w:b/>
          <w:color w:val="000000" w:themeColor="text1"/>
          <w:highlight w:val="none"/>
          <w14:textFill>
            <w14:solidFill>
              <w14:schemeClr w14:val="tx1"/>
            </w14:solidFill>
          </w14:textFill>
        </w:rPr>
        <w:t>五</w:t>
      </w:r>
      <w:r>
        <w:rPr>
          <w:rFonts w:hint="eastAsia" w:ascii="宋体" w:hAnsi="宋体"/>
          <w:b/>
          <w:color w:val="000000" w:themeColor="text1"/>
          <w:highlight w:val="none"/>
          <w14:textFill>
            <w14:solidFill>
              <w14:schemeClr w14:val="tx1"/>
            </w14:solidFill>
          </w14:textFill>
        </w:rPr>
        <w:t>、</w:t>
      </w:r>
      <w:r>
        <w:rPr>
          <w:rFonts w:ascii="宋体" w:hAnsi="宋体"/>
          <w:b/>
          <w:color w:val="000000" w:themeColor="text1"/>
          <w:highlight w:val="none"/>
          <w14:textFill>
            <w14:solidFill>
              <w14:schemeClr w14:val="tx1"/>
            </w14:solidFill>
          </w14:textFill>
        </w:rPr>
        <w:t>错误修正</w:t>
      </w:r>
    </w:p>
    <w:p>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投标文件报价出现前后不一致的，按照下列规定修正：</w:t>
      </w:r>
    </w:p>
    <w:p>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1.投标文件中开标一览表内容与投标文件中相应内容不一致的，以开标一览表为准；</w:t>
      </w:r>
    </w:p>
    <w:p>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2.大写金额和小写金额不一致的，以大写金额为准；</w:t>
      </w:r>
    </w:p>
    <w:p>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3.单价金额小数点或者百分比有明显错位的，以开标一览表的总价为准，并修改单价；</w:t>
      </w:r>
    </w:p>
    <w:p>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4.总价金额与按单价汇总金额不一致的，以单价金额计算结果为准。</w:t>
      </w:r>
    </w:p>
    <w:p>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同时出现两种以上不一致的，按照前款规定的顺序修正。修正后的报价按照投标文件澄清第二款的规定经投标人确认后产生约束力，投标人不确认的，其投标无效。</w:t>
      </w:r>
    </w:p>
    <w:p>
      <w:pPr>
        <w:adjustRightInd w:val="0"/>
        <w:snapToGrid w:val="0"/>
        <w:spacing w:line="430" w:lineRule="exact"/>
        <w:rPr>
          <w:rFonts w:ascii="宋体" w:hAnsi="宋体"/>
          <w:b/>
          <w:color w:val="000000" w:themeColor="text1"/>
          <w:sz w:val="28"/>
          <w:szCs w:val="28"/>
          <w:highlight w:val="none"/>
          <w14:textFill>
            <w14:solidFill>
              <w14:schemeClr w14:val="tx1"/>
            </w14:solidFill>
          </w14:textFill>
        </w:rPr>
        <w:sectPr>
          <w:headerReference r:id="rId12" w:type="default"/>
          <w:pgSz w:w="11907" w:h="16840"/>
          <w:pgMar w:top="1304" w:right="1588" w:bottom="1304" w:left="1588" w:header="720" w:footer="720" w:gutter="0"/>
          <w:pgBorders>
            <w:top w:val="none" w:sz="0" w:space="0"/>
            <w:left w:val="none" w:sz="0" w:space="0"/>
            <w:bottom w:val="none" w:sz="0" w:space="0"/>
            <w:right w:val="none" w:sz="0" w:space="0"/>
          </w:pgBorders>
          <w:cols w:space="720" w:num="1"/>
          <w:docGrid w:linePitch="285" w:charSpace="0"/>
        </w:sectPr>
      </w:pPr>
    </w:p>
    <w:p>
      <w:pPr>
        <w:numPr>
          <w:ilvl w:val="0"/>
          <w:numId w:val="7"/>
        </w:numPr>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评分标准（兼评委打分表）</w:t>
      </w:r>
    </w:p>
    <w:tbl>
      <w:tblPr>
        <w:tblStyle w:val="38"/>
        <w:tblW w:w="8820" w:type="dxa"/>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70"/>
        <w:gridCol w:w="6209"/>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trPr>
        <w:tc>
          <w:tcPr>
            <w:tcW w:w="714" w:type="dxa"/>
            <w:vAlign w:val="center"/>
          </w:tcPr>
          <w:p>
            <w:pPr>
              <w:pageBreakBefore w:val="0"/>
              <w:kinsoku/>
              <w:overflowPunct/>
              <w:topLinePunct w:val="0"/>
              <w:autoSpaceDE/>
              <w:autoSpaceDN/>
              <w:bidi w:val="0"/>
              <w:spacing w:line="380" w:lineRule="exact"/>
              <w:jc w:val="center"/>
              <w:textAlignment w:val="auto"/>
              <w:rPr>
                <w:b/>
                <w:bCs/>
                <w:sz w:val="21"/>
                <w:szCs w:val="21"/>
                <w:highlight w:val="none"/>
              </w:rPr>
            </w:pPr>
            <w:r>
              <w:rPr>
                <w:rFonts w:hint="eastAsia"/>
                <w:b/>
                <w:bCs/>
                <w:sz w:val="21"/>
                <w:szCs w:val="21"/>
                <w:highlight w:val="none"/>
              </w:rPr>
              <w:t>序号</w:t>
            </w:r>
          </w:p>
        </w:tc>
        <w:tc>
          <w:tcPr>
            <w:tcW w:w="7379" w:type="dxa"/>
            <w:gridSpan w:val="2"/>
            <w:noWrap/>
            <w:vAlign w:val="center"/>
          </w:tcPr>
          <w:p>
            <w:pPr>
              <w:pageBreakBefore w:val="0"/>
              <w:kinsoku/>
              <w:overflowPunct/>
              <w:topLinePunct w:val="0"/>
              <w:autoSpaceDE/>
              <w:autoSpaceDN/>
              <w:bidi w:val="0"/>
              <w:spacing w:line="380" w:lineRule="exact"/>
              <w:jc w:val="center"/>
              <w:textAlignment w:val="auto"/>
              <w:rPr>
                <w:b/>
                <w:bCs/>
                <w:sz w:val="21"/>
                <w:szCs w:val="21"/>
                <w:highlight w:val="none"/>
              </w:rPr>
            </w:pPr>
            <w:r>
              <w:rPr>
                <w:b/>
                <w:bCs/>
                <w:sz w:val="21"/>
                <w:szCs w:val="21"/>
                <w:highlight w:val="none"/>
              </w:rPr>
              <w:t>评分细则</w:t>
            </w:r>
          </w:p>
        </w:tc>
        <w:tc>
          <w:tcPr>
            <w:tcW w:w="727" w:type="dxa"/>
            <w:noWrap/>
            <w:vAlign w:val="center"/>
          </w:tcPr>
          <w:p>
            <w:pPr>
              <w:pageBreakBefore w:val="0"/>
              <w:kinsoku/>
              <w:overflowPunct/>
              <w:topLinePunct w:val="0"/>
              <w:autoSpaceDE/>
              <w:autoSpaceDN/>
              <w:bidi w:val="0"/>
              <w:spacing w:line="380" w:lineRule="exact"/>
              <w:jc w:val="center"/>
              <w:textAlignment w:val="auto"/>
              <w:rPr>
                <w:b/>
                <w:bCs/>
                <w:sz w:val="21"/>
                <w:szCs w:val="21"/>
                <w:highlight w:val="none"/>
              </w:rPr>
            </w:pPr>
            <w:r>
              <w:rPr>
                <w:b/>
                <w:bCs/>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714" w:type="dxa"/>
            <w:vAlign w:val="center"/>
          </w:tcPr>
          <w:p>
            <w:pPr>
              <w:pageBreakBefore w:val="0"/>
              <w:kinsoku/>
              <w:overflowPunct/>
              <w:topLinePunct w:val="0"/>
              <w:autoSpaceDE/>
              <w:autoSpaceDN/>
              <w:bidi w:val="0"/>
              <w:spacing w:line="380" w:lineRule="exact"/>
              <w:jc w:val="center"/>
              <w:textAlignment w:val="auto"/>
              <w:rPr>
                <w:sz w:val="21"/>
                <w:szCs w:val="21"/>
                <w:highlight w:val="none"/>
              </w:rPr>
            </w:pPr>
            <w:bookmarkStart w:id="166" w:name="OLE_LINK21" w:colFirst="3" w:colLast="3"/>
            <w:r>
              <w:rPr>
                <w:rFonts w:hint="eastAsia"/>
                <w:sz w:val="21"/>
                <w:szCs w:val="21"/>
                <w:highlight w:val="none"/>
              </w:rPr>
              <w:t>1</w:t>
            </w:r>
          </w:p>
        </w:tc>
        <w:tc>
          <w:tcPr>
            <w:tcW w:w="1170" w:type="dxa"/>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sz w:val="21"/>
                <w:szCs w:val="21"/>
                <w:highlight w:val="none"/>
              </w:rPr>
            </w:pPr>
            <w:r>
              <w:rPr>
                <w:rFonts w:hint="eastAsia"/>
                <w:sz w:val="21"/>
                <w:szCs w:val="21"/>
                <w:highlight w:val="none"/>
              </w:rPr>
              <w:t>技术指标响应</w:t>
            </w:r>
          </w:p>
        </w:tc>
        <w:tc>
          <w:tcPr>
            <w:tcW w:w="6209" w:type="dxa"/>
            <w:tcBorders>
              <w:left w:val="single" w:color="000000" w:sz="4" w:space="0"/>
            </w:tcBorders>
            <w:vAlign w:val="center"/>
          </w:tcPr>
          <w:p>
            <w:pPr>
              <w:pageBreakBefore w:val="0"/>
              <w:widowControl/>
              <w:kinsoku/>
              <w:overflowPunct/>
              <w:topLinePunct w:val="0"/>
              <w:autoSpaceDE/>
              <w:autoSpaceDN/>
              <w:bidi w:val="0"/>
              <w:spacing w:line="380" w:lineRule="exact"/>
              <w:jc w:val="left"/>
              <w:textAlignment w:val="auto"/>
              <w:rPr>
                <w:rFonts w:hint="eastAsia" w:ascii="宋体" w:hAnsi="宋体" w:cs="Times New Roman"/>
                <w:color w:val="auto"/>
                <w:sz w:val="21"/>
                <w:szCs w:val="21"/>
                <w:highlight w:val="none"/>
              </w:rPr>
            </w:pPr>
            <w:bookmarkStart w:id="167" w:name="OLE_LINK14"/>
            <w:r>
              <w:rPr>
                <w:rFonts w:hint="eastAsia" w:ascii="宋体" w:hAnsi="宋体" w:cs="Times New Roman"/>
                <w:color w:val="auto"/>
                <w:sz w:val="21"/>
                <w:szCs w:val="21"/>
                <w:highlight w:val="none"/>
              </w:rPr>
              <w:t>评委根据投标人提供的投标文件，对第二章“招标内容与技术需求”的响应情况进行评审，完全满足的得</w:t>
            </w:r>
            <w:r>
              <w:rPr>
                <w:rFonts w:hint="eastAsia" w:ascii="宋体" w:hAnsi="宋体" w:cs="Times New Roman"/>
                <w:color w:val="auto"/>
                <w:sz w:val="21"/>
                <w:szCs w:val="21"/>
                <w:highlight w:val="none"/>
                <w:lang w:val="en-US" w:eastAsia="zh-CN"/>
              </w:rPr>
              <w:t>18</w:t>
            </w:r>
            <w:r>
              <w:rPr>
                <w:rFonts w:hint="eastAsia" w:ascii="宋体" w:hAnsi="宋体" w:cs="Times New Roman"/>
                <w:color w:val="auto"/>
                <w:sz w:val="21"/>
                <w:szCs w:val="21"/>
                <w:highlight w:val="none"/>
              </w:rPr>
              <w:t>分；</w:t>
            </w:r>
          </w:p>
          <w:p>
            <w:pPr>
              <w:pageBreakBefore w:val="0"/>
              <w:widowControl/>
              <w:kinsoku/>
              <w:overflowPunct/>
              <w:topLinePunct w:val="0"/>
              <w:autoSpaceDE/>
              <w:autoSpaceDN/>
              <w:bidi w:val="0"/>
              <w:spacing w:line="380" w:lineRule="exact"/>
              <w:jc w:val="left"/>
              <w:textAlignment w:val="auto"/>
              <w:rPr>
                <w:rFonts w:hint="eastAsia" w:ascii="宋体" w:hAnsi="宋体" w:cs="Times New Roman"/>
                <w:color w:val="auto"/>
                <w:sz w:val="21"/>
                <w:szCs w:val="21"/>
                <w:highlight w:val="none"/>
              </w:rPr>
            </w:pPr>
            <w:r>
              <w:rPr>
                <w:rFonts w:hint="eastAsia" w:ascii="宋体" w:hAnsi="宋体" w:cs="Times New Roman"/>
                <w:color w:val="auto"/>
                <w:sz w:val="21"/>
                <w:szCs w:val="21"/>
                <w:highlight w:val="none"/>
              </w:rPr>
              <w:t>标注“</w:t>
            </w:r>
            <w:r>
              <w:rPr>
                <w:rFonts w:hint="eastAsia" w:asciiTheme="majorEastAsia" w:hAnsiTheme="majorEastAsia" w:eastAsiaTheme="majorEastAsia" w:cstheme="majorEastAsia"/>
                <w:kern w:val="0"/>
                <w:szCs w:val="21"/>
              </w:rPr>
              <w:t>▲</w:t>
            </w:r>
            <w:r>
              <w:rPr>
                <w:rFonts w:hint="eastAsia" w:ascii="宋体" w:hAnsi="宋体" w:cs="Times New Roman"/>
                <w:color w:val="auto"/>
                <w:sz w:val="21"/>
                <w:szCs w:val="21"/>
                <w:highlight w:val="none"/>
              </w:rPr>
              <w:t>”条款为重要技术指标，每负偏离一条扣1.</w:t>
            </w:r>
            <w:r>
              <w:rPr>
                <w:rFonts w:hint="eastAsia" w:ascii="宋体" w:hAnsi="宋体" w:cs="Times New Roman"/>
                <w:color w:val="auto"/>
                <w:sz w:val="21"/>
                <w:szCs w:val="21"/>
                <w:highlight w:val="none"/>
                <w:lang w:val="en-US" w:eastAsia="zh-CN"/>
              </w:rPr>
              <w:t>5</w:t>
            </w:r>
            <w:r>
              <w:rPr>
                <w:rFonts w:hint="eastAsia" w:ascii="宋体" w:hAnsi="宋体" w:cs="Times New Roman"/>
                <w:color w:val="auto"/>
                <w:sz w:val="21"/>
                <w:szCs w:val="21"/>
                <w:highlight w:val="none"/>
              </w:rPr>
              <w:t>分；</w:t>
            </w:r>
          </w:p>
          <w:p>
            <w:pPr>
              <w:pageBreakBefore w:val="0"/>
              <w:widowControl/>
              <w:kinsoku/>
              <w:overflowPunct/>
              <w:topLinePunct w:val="0"/>
              <w:autoSpaceDE/>
              <w:autoSpaceDN/>
              <w:bidi w:val="0"/>
              <w:spacing w:line="380" w:lineRule="exact"/>
              <w:jc w:val="left"/>
              <w:textAlignment w:val="auto"/>
              <w:rPr>
                <w:rFonts w:hint="eastAsia" w:ascii="宋体" w:hAnsi="宋体" w:cs="Times New Roman"/>
                <w:color w:val="auto"/>
                <w:sz w:val="21"/>
                <w:szCs w:val="21"/>
                <w:highlight w:val="none"/>
              </w:rPr>
            </w:pPr>
            <w:r>
              <w:rPr>
                <w:rFonts w:hint="eastAsia" w:ascii="宋体" w:hAnsi="宋体" w:cs="Times New Roman"/>
                <w:color w:val="auto"/>
                <w:sz w:val="21"/>
                <w:szCs w:val="21"/>
                <w:highlight w:val="none"/>
              </w:rPr>
              <w:t>未标注“</w:t>
            </w:r>
            <w:r>
              <w:rPr>
                <w:rFonts w:hint="eastAsia" w:asciiTheme="majorEastAsia" w:hAnsiTheme="majorEastAsia" w:eastAsiaTheme="majorEastAsia" w:cstheme="majorEastAsia"/>
                <w:kern w:val="0"/>
                <w:szCs w:val="21"/>
              </w:rPr>
              <w:t>▲</w:t>
            </w:r>
            <w:r>
              <w:rPr>
                <w:rFonts w:hint="eastAsia" w:ascii="宋体" w:hAnsi="宋体" w:cs="Times New Roman"/>
                <w:color w:val="auto"/>
                <w:sz w:val="21"/>
                <w:szCs w:val="21"/>
                <w:highlight w:val="none"/>
              </w:rPr>
              <w:t>”的技术指标，每负偏离一条扣</w:t>
            </w:r>
            <w:r>
              <w:rPr>
                <w:rFonts w:hint="eastAsia" w:ascii="宋体" w:hAnsi="宋体" w:cs="Times New Roman"/>
                <w:color w:val="auto"/>
                <w:sz w:val="21"/>
                <w:szCs w:val="21"/>
                <w:highlight w:val="none"/>
                <w:lang w:val="en-US" w:eastAsia="zh-CN"/>
              </w:rPr>
              <w:t>0.5</w:t>
            </w:r>
            <w:r>
              <w:rPr>
                <w:rFonts w:hint="eastAsia" w:ascii="宋体" w:hAnsi="宋体" w:cs="Times New Roman"/>
                <w:color w:val="auto"/>
                <w:sz w:val="21"/>
                <w:szCs w:val="21"/>
                <w:highlight w:val="none"/>
              </w:rPr>
              <w:t>分</w:t>
            </w:r>
          </w:p>
          <w:p>
            <w:pPr>
              <w:pageBreakBefore w:val="0"/>
              <w:widowControl/>
              <w:kinsoku/>
              <w:overflowPunct/>
              <w:topLinePunct w:val="0"/>
              <w:autoSpaceDE/>
              <w:autoSpaceDN/>
              <w:bidi w:val="0"/>
              <w:spacing w:line="380" w:lineRule="exact"/>
              <w:jc w:val="left"/>
              <w:textAlignment w:val="auto"/>
            </w:pPr>
            <w:r>
              <w:rPr>
                <w:rFonts w:hint="eastAsia" w:ascii="宋体" w:hAnsi="宋体" w:cs="Times New Roman"/>
                <w:color w:val="auto"/>
                <w:sz w:val="21"/>
                <w:szCs w:val="21"/>
                <w:highlight w:val="none"/>
                <w:lang w:val="en-US" w:eastAsia="zh-CN"/>
              </w:rPr>
              <w:t>此项分值扣减至0分时，其投标文件作无效标处理，不再进行评审。</w:t>
            </w:r>
            <w:bookmarkEnd w:id="167"/>
          </w:p>
        </w:tc>
        <w:tc>
          <w:tcPr>
            <w:tcW w:w="727" w:type="dxa"/>
            <w:noWrap/>
            <w:vAlign w:val="center"/>
          </w:tcPr>
          <w:p>
            <w:pPr>
              <w:pageBreakBefore w:val="0"/>
              <w:kinsoku/>
              <w:overflowPunct/>
              <w:topLinePunct w:val="0"/>
              <w:autoSpaceDE/>
              <w:autoSpaceDN/>
              <w:bidi w:val="0"/>
              <w:spacing w:line="38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4" w:hRule="atLeast"/>
        </w:trPr>
        <w:tc>
          <w:tcPr>
            <w:tcW w:w="714" w:type="dxa"/>
            <w:vMerge w:val="restart"/>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2</w:t>
            </w:r>
          </w:p>
        </w:tc>
        <w:tc>
          <w:tcPr>
            <w:tcW w:w="1170" w:type="dxa"/>
            <w:vMerge w:val="restart"/>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rFonts w:hint="default" w:ascii="宋体" w:hAnsi="宋体" w:eastAsia="宋体"/>
                <w:sz w:val="21"/>
                <w:szCs w:val="21"/>
                <w:highlight w:val="none"/>
                <w:lang w:val="en-US" w:eastAsia="zh-CN"/>
              </w:rPr>
            </w:pPr>
            <w:bookmarkStart w:id="168" w:name="OLE_LINK19"/>
            <w:r>
              <w:rPr>
                <w:rFonts w:hint="eastAsia" w:ascii="宋体" w:hAnsi="宋体"/>
                <w:sz w:val="21"/>
                <w:szCs w:val="21"/>
                <w:highlight w:val="none"/>
                <w:lang w:val="en-US" w:eastAsia="zh-CN"/>
              </w:rPr>
              <w:t>改造方案</w:t>
            </w:r>
            <w:bookmarkEnd w:id="168"/>
          </w:p>
        </w:tc>
        <w:tc>
          <w:tcPr>
            <w:tcW w:w="6209" w:type="dxa"/>
            <w:tcBorders>
              <w:left w:val="single" w:color="000000" w:sz="4" w:space="0"/>
            </w:tcBorders>
            <w:vAlign w:val="center"/>
          </w:tcPr>
          <w:p>
            <w:pPr>
              <w:widowControl/>
              <w:spacing w:line="380" w:lineRule="exact"/>
              <w:jc w:val="left"/>
              <w:rPr>
                <w:rFonts w:hint="eastAsia" w:ascii="宋体" w:hAnsi="宋体" w:cs="Times New Roman"/>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(1)根据投标人提供由原机房操作间和备用机房改造为集约化机房的改造方案（包含但不限于信息化机房标准进行改造、综合布线、配电、暖通、消防、安防、动力环控和设备配置安装等子系统内容）进行评</w:t>
            </w:r>
            <w:r>
              <w:rPr>
                <w:rFonts w:hint="eastAsia" w:ascii="宋体" w:hAnsi="宋体" w:cs="Times New Roman"/>
                <w:b w:val="0"/>
                <w:bCs w:val="0"/>
                <w:color w:val="auto"/>
                <w:sz w:val="21"/>
                <w:szCs w:val="21"/>
                <w:highlight w:val="none"/>
                <w:lang w:val="en-US" w:eastAsia="zh-CN"/>
              </w:rPr>
              <w:t>议：</w:t>
            </w:r>
          </w:p>
          <w:p>
            <w:pPr>
              <w:pStyle w:val="17"/>
              <w:pageBreakBefore w:val="0"/>
              <w:numPr>
                <w:ilvl w:val="0"/>
                <w:numId w:val="0"/>
              </w:numPr>
              <w:kinsoku/>
              <w:overflowPunct/>
              <w:topLinePunct w:val="0"/>
              <w:autoSpaceDE/>
              <w:autoSpaceDN/>
              <w:bidi w:val="0"/>
              <w:spacing w:line="360" w:lineRule="auto"/>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eastAsia" w:ascii="宋体" w:hAnsi="宋体" w:cs="宋体"/>
                <w:b w:val="0"/>
                <w:color w:val="auto"/>
                <w:sz w:val="21"/>
                <w:szCs w:val="21"/>
                <w:highlight w:val="none"/>
                <w:lang w:val="en-US" w:eastAsia="zh-CN"/>
              </w:rPr>
              <w:t>原机房操作间和备用机房</w:t>
            </w:r>
            <w:r>
              <w:rPr>
                <w:rFonts w:hint="eastAsia" w:ascii="宋体" w:hAnsi="宋体" w:cs="宋体"/>
                <w:b w:val="0"/>
                <w:bCs w:val="0"/>
                <w:color w:val="auto"/>
                <w:sz w:val="21"/>
                <w:szCs w:val="21"/>
                <w:highlight w:val="none"/>
                <w:lang w:val="en-US" w:eastAsia="zh-CN"/>
              </w:rPr>
              <w:t>改造</w:t>
            </w:r>
            <w:r>
              <w:rPr>
                <w:rFonts w:hint="eastAsia" w:ascii="宋体" w:hAnsi="宋体" w:eastAsia="宋体" w:cs="宋体"/>
                <w:b w:val="0"/>
                <w:bCs w:val="0"/>
                <w:color w:val="auto"/>
                <w:sz w:val="21"/>
                <w:szCs w:val="21"/>
                <w:highlight w:val="none"/>
                <w:lang w:val="en-US" w:eastAsia="zh-CN"/>
              </w:rPr>
              <w:t>方案内容详细、涉及</w:t>
            </w:r>
            <w:r>
              <w:rPr>
                <w:rFonts w:hint="eastAsia" w:ascii="宋体" w:hAnsi="宋体" w:cs="宋体"/>
                <w:b w:val="0"/>
                <w:bCs w:val="0"/>
                <w:color w:val="auto"/>
                <w:sz w:val="21"/>
                <w:szCs w:val="21"/>
                <w:highlight w:val="none"/>
                <w:lang w:val="en-US" w:eastAsia="zh-CN"/>
              </w:rPr>
              <w:t>改造</w:t>
            </w:r>
            <w:r>
              <w:rPr>
                <w:rFonts w:hint="eastAsia" w:ascii="宋体" w:hAnsi="宋体" w:eastAsia="宋体" w:cs="宋体"/>
                <w:b w:val="0"/>
                <w:bCs w:val="0"/>
                <w:color w:val="auto"/>
                <w:sz w:val="21"/>
                <w:szCs w:val="21"/>
                <w:highlight w:val="none"/>
                <w:lang w:val="en-US" w:eastAsia="zh-CN"/>
              </w:rPr>
              <w:t>专业内容全面、能清晰明了</w:t>
            </w:r>
            <w:r>
              <w:rPr>
                <w:rFonts w:hint="eastAsia" w:ascii="宋体" w:hAnsi="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lang w:val="en-US" w:eastAsia="zh-CN"/>
              </w:rPr>
              <w:t>体现改建内容板块的</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pStyle w:val="17"/>
              <w:pageBreakBefore w:val="0"/>
              <w:numPr>
                <w:ilvl w:val="0"/>
                <w:numId w:val="0"/>
              </w:numPr>
              <w:kinsoku/>
              <w:overflowPunct/>
              <w:topLinePunct w:val="0"/>
              <w:autoSpaceDE/>
              <w:autoSpaceDN/>
              <w:bidi w:val="0"/>
              <w:spacing w:line="360" w:lineRule="auto"/>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eastAsia" w:ascii="宋体" w:hAnsi="宋体" w:cs="宋体"/>
                <w:b w:val="0"/>
                <w:color w:val="auto"/>
                <w:sz w:val="21"/>
                <w:szCs w:val="21"/>
                <w:highlight w:val="none"/>
                <w:lang w:val="en-US" w:eastAsia="zh-CN"/>
              </w:rPr>
              <w:t>原机房操作间和备用机房</w:t>
            </w:r>
            <w:r>
              <w:rPr>
                <w:rFonts w:hint="eastAsia" w:ascii="宋体" w:hAnsi="宋体" w:cs="宋体"/>
                <w:b w:val="0"/>
                <w:bCs w:val="0"/>
                <w:color w:val="auto"/>
                <w:sz w:val="21"/>
                <w:szCs w:val="21"/>
                <w:highlight w:val="none"/>
                <w:lang w:val="en-US" w:eastAsia="zh-CN"/>
              </w:rPr>
              <w:t>改造</w:t>
            </w:r>
            <w:r>
              <w:rPr>
                <w:rFonts w:hint="eastAsia" w:ascii="宋体" w:hAnsi="宋体" w:eastAsia="宋体" w:cs="宋体"/>
                <w:b w:val="0"/>
                <w:bCs w:val="0"/>
                <w:color w:val="auto"/>
                <w:sz w:val="21"/>
                <w:szCs w:val="21"/>
                <w:highlight w:val="none"/>
                <w:lang w:val="en-US" w:eastAsia="zh-CN"/>
              </w:rPr>
              <w:t>方案内容简单、涉及</w:t>
            </w:r>
            <w:r>
              <w:rPr>
                <w:rFonts w:hint="eastAsia" w:ascii="宋体" w:hAnsi="宋体" w:cs="宋体"/>
                <w:b w:val="0"/>
                <w:bCs w:val="0"/>
                <w:color w:val="auto"/>
                <w:sz w:val="21"/>
                <w:szCs w:val="21"/>
                <w:highlight w:val="none"/>
                <w:lang w:val="en-US" w:eastAsia="zh-CN"/>
              </w:rPr>
              <w:t>改造</w:t>
            </w:r>
            <w:r>
              <w:rPr>
                <w:rFonts w:hint="eastAsia" w:ascii="宋体" w:hAnsi="宋体" w:eastAsia="宋体" w:cs="宋体"/>
                <w:b w:val="0"/>
                <w:bCs w:val="0"/>
                <w:color w:val="auto"/>
                <w:sz w:val="21"/>
                <w:szCs w:val="21"/>
                <w:highlight w:val="none"/>
                <w:lang w:val="en-US" w:eastAsia="zh-CN"/>
              </w:rPr>
              <w:t>专业内容粗糙、不能清晰明了的体现</w:t>
            </w:r>
            <w:r>
              <w:rPr>
                <w:rFonts w:hint="eastAsia" w:ascii="宋体" w:hAnsi="宋体" w:cs="宋体"/>
                <w:b w:val="0"/>
                <w:bCs w:val="0"/>
                <w:color w:val="auto"/>
                <w:sz w:val="21"/>
                <w:szCs w:val="21"/>
                <w:highlight w:val="none"/>
                <w:lang w:val="en-US" w:eastAsia="zh-CN"/>
              </w:rPr>
              <w:t>改造</w:t>
            </w:r>
            <w:r>
              <w:rPr>
                <w:rFonts w:hint="eastAsia" w:ascii="宋体" w:hAnsi="宋体" w:eastAsia="宋体" w:cs="宋体"/>
                <w:b w:val="0"/>
                <w:bCs w:val="0"/>
                <w:color w:val="auto"/>
                <w:sz w:val="21"/>
                <w:szCs w:val="21"/>
                <w:highlight w:val="none"/>
                <w:lang w:val="en-US" w:eastAsia="zh-CN"/>
              </w:rPr>
              <w:t>内容板块的</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w:t>
            </w:r>
          </w:p>
          <w:p>
            <w:pPr>
              <w:pStyle w:val="17"/>
              <w:pageBreakBefore w:val="0"/>
              <w:numPr>
                <w:ilvl w:val="0"/>
                <w:numId w:val="0"/>
              </w:numPr>
              <w:kinsoku/>
              <w:overflowPunct/>
              <w:topLinePunct w:val="0"/>
              <w:autoSpaceDE/>
              <w:autoSpaceDN/>
              <w:bidi w:val="0"/>
              <w:spacing w:line="360" w:lineRule="auto"/>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w:t>
            </w:r>
            <w:r>
              <w:rPr>
                <w:rFonts w:hint="eastAsia" w:ascii="宋体" w:hAnsi="宋体" w:cs="宋体"/>
                <w:b w:val="0"/>
                <w:color w:val="auto"/>
                <w:sz w:val="21"/>
                <w:szCs w:val="21"/>
                <w:highlight w:val="none"/>
                <w:lang w:val="en-US" w:eastAsia="zh-CN"/>
              </w:rPr>
              <w:t>原机房操作间和备用机房</w:t>
            </w:r>
            <w:r>
              <w:rPr>
                <w:rFonts w:hint="eastAsia" w:ascii="宋体" w:hAnsi="宋体" w:cs="宋体"/>
                <w:b w:val="0"/>
                <w:bCs w:val="0"/>
                <w:color w:val="auto"/>
                <w:sz w:val="21"/>
                <w:szCs w:val="21"/>
                <w:highlight w:val="none"/>
                <w:lang w:val="en-US" w:eastAsia="zh-CN"/>
              </w:rPr>
              <w:t>改造</w:t>
            </w:r>
            <w:r>
              <w:rPr>
                <w:rFonts w:hint="eastAsia" w:ascii="宋体" w:hAnsi="宋体" w:eastAsia="宋体" w:cs="宋体"/>
                <w:b w:val="0"/>
                <w:bCs w:val="0"/>
                <w:color w:val="auto"/>
                <w:sz w:val="21"/>
                <w:szCs w:val="21"/>
                <w:highlight w:val="none"/>
                <w:lang w:val="en-US" w:eastAsia="zh-CN"/>
              </w:rPr>
              <w:t>方案内容不完善，具体涉及</w:t>
            </w:r>
            <w:r>
              <w:rPr>
                <w:rFonts w:hint="eastAsia" w:ascii="宋体" w:hAnsi="宋体" w:cs="宋体"/>
                <w:b w:val="0"/>
                <w:bCs w:val="0"/>
                <w:color w:val="auto"/>
                <w:sz w:val="21"/>
                <w:szCs w:val="21"/>
                <w:highlight w:val="none"/>
                <w:lang w:val="en-US" w:eastAsia="zh-CN"/>
              </w:rPr>
              <w:t>改造</w:t>
            </w:r>
            <w:r>
              <w:rPr>
                <w:rFonts w:hint="eastAsia" w:ascii="宋体" w:hAnsi="宋体" w:eastAsia="宋体" w:cs="宋体"/>
                <w:b w:val="0"/>
                <w:bCs w:val="0"/>
                <w:color w:val="auto"/>
                <w:sz w:val="21"/>
                <w:szCs w:val="21"/>
                <w:highlight w:val="none"/>
                <w:lang w:val="en-US" w:eastAsia="zh-CN"/>
              </w:rPr>
              <w:t>专业</w:t>
            </w:r>
            <w:r>
              <w:rPr>
                <w:rFonts w:hint="eastAsia" w:ascii="宋体" w:hAnsi="宋体" w:cs="宋体"/>
                <w:b w:val="0"/>
                <w:bCs w:val="0"/>
                <w:color w:val="auto"/>
                <w:sz w:val="21"/>
                <w:szCs w:val="21"/>
                <w:highlight w:val="none"/>
                <w:lang w:val="en-US" w:eastAsia="zh-CN"/>
              </w:rPr>
              <w:t>内容</w:t>
            </w:r>
            <w:r>
              <w:rPr>
                <w:rFonts w:hint="eastAsia" w:ascii="宋体" w:hAnsi="宋体" w:eastAsia="宋体" w:cs="宋体"/>
                <w:b w:val="0"/>
                <w:bCs w:val="0"/>
                <w:color w:val="auto"/>
                <w:sz w:val="21"/>
                <w:szCs w:val="21"/>
                <w:highlight w:val="none"/>
                <w:lang w:val="en-US" w:eastAsia="zh-CN"/>
              </w:rPr>
              <w:t>不符合本项目要求的</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pStyle w:val="47"/>
              <w:pageBreakBefore w:val="0"/>
              <w:kinsoku/>
              <w:overflowPunct/>
              <w:topLinePunct w:val="0"/>
              <w:autoSpaceDE/>
              <w:autoSpaceDN/>
              <w:bidi w:val="0"/>
              <w:spacing w:line="360" w:lineRule="auto"/>
              <w:ind w:left="0" w:leftChars="0" w:firstLine="0" w:firstLineChars="0"/>
              <w:jc w:val="left"/>
              <w:textAlignment w:val="auto"/>
              <w:rPr>
                <w:rFonts w:hint="default"/>
                <w:lang w:val="en-US" w:eastAsia="zh-CN"/>
              </w:rPr>
            </w:pPr>
            <w:r>
              <w:rPr>
                <w:rFonts w:hint="eastAsia" w:ascii="宋体" w:hAnsi="宋体" w:eastAsia="宋体" w:cs="宋体"/>
                <w:b w:val="0"/>
                <w:bCs w:val="0"/>
                <w:color w:val="auto"/>
                <w:sz w:val="21"/>
                <w:szCs w:val="21"/>
                <w:highlight w:val="none"/>
              </w:rPr>
              <w:t>④未提供此项的得0分。</w:t>
            </w:r>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dxa"/>
            <w:vMerge w:val="continue"/>
            <w:vAlign w:val="center"/>
          </w:tcPr>
          <w:p>
            <w:pPr>
              <w:pageBreakBefore w:val="0"/>
              <w:kinsoku/>
              <w:overflowPunct/>
              <w:topLinePunct w:val="0"/>
              <w:autoSpaceDE/>
              <w:autoSpaceDN/>
              <w:bidi w:val="0"/>
              <w:spacing w:line="380" w:lineRule="exact"/>
              <w:jc w:val="center"/>
              <w:textAlignment w:val="auto"/>
              <w:rPr>
                <w:rFonts w:hint="eastAsia"/>
                <w:sz w:val="21"/>
                <w:szCs w:val="21"/>
                <w:highlight w:val="none"/>
                <w:lang w:val="en-US" w:eastAsia="zh-CN"/>
              </w:rPr>
            </w:pPr>
          </w:p>
        </w:tc>
        <w:tc>
          <w:tcPr>
            <w:tcW w:w="1170" w:type="dxa"/>
            <w:vMerge w:val="continue"/>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rFonts w:hint="eastAsia" w:ascii="宋体" w:hAnsi="宋体"/>
                <w:sz w:val="21"/>
                <w:szCs w:val="21"/>
                <w:highlight w:val="none"/>
                <w:lang w:val="en-US" w:eastAsia="zh-CN"/>
              </w:rPr>
            </w:pPr>
          </w:p>
        </w:tc>
        <w:tc>
          <w:tcPr>
            <w:tcW w:w="6209" w:type="dxa"/>
            <w:tcBorders>
              <w:left w:val="single" w:color="000000" w:sz="4" w:space="0"/>
            </w:tcBorders>
            <w:vAlign w:val="center"/>
          </w:tcPr>
          <w:p>
            <w:pPr>
              <w:pStyle w:val="47"/>
              <w:pageBreakBefore w:val="0"/>
              <w:kinsoku/>
              <w:overflowPunct/>
              <w:topLinePunct w:val="0"/>
              <w:autoSpaceDE/>
              <w:autoSpaceDN/>
              <w:bidi w:val="0"/>
              <w:spacing w:line="360" w:lineRule="auto"/>
              <w:ind w:left="0" w:leftChars="0" w:firstLine="0" w:firstLineChars="0"/>
              <w:jc w:val="left"/>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(2)集约化机房改造材料质量控制措施根据供应商提供的装修系统、配电系统、暖通系统、综合布线系统、老机房A列机柜等中心机房改造涉及到的材料设备（详见第二部分 招标项目需求中“</w:t>
            </w:r>
            <w:r>
              <w:rPr>
                <w:rFonts w:hint="eastAsia"/>
                <w:sz w:val="21"/>
                <w:szCs w:val="21"/>
                <w:lang w:val="en-US" w:eastAsia="zh-CN"/>
              </w:rPr>
              <w:t>5.1中心机房扩建改造品目清单</w:t>
            </w:r>
            <w:r>
              <w:rPr>
                <w:rFonts w:hint="eastAsia" w:ascii="宋体" w:hAnsi="宋体"/>
                <w:b w:val="0"/>
                <w:bCs w:val="0"/>
                <w:color w:val="auto"/>
                <w:sz w:val="21"/>
                <w:szCs w:val="21"/>
                <w:highlight w:val="none"/>
                <w:lang w:val="en-US" w:eastAsia="zh-CN"/>
              </w:rPr>
              <w:t>”）的质量控制措施进行综合评议。</w:t>
            </w:r>
          </w:p>
          <w:p>
            <w:pPr>
              <w:pStyle w:val="47"/>
              <w:pageBreakBefore w:val="0"/>
              <w:kinsoku/>
              <w:overflowPunct/>
              <w:topLinePunct w:val="0"/>
              <w:autoSpaceDE/>
              <w:autoSpaceDN/>
              <w:bidi w:val="0"/>
              <w:spacing w:line="360" w:lineRule="auto"/>
              <w:ind w:left="0" w:leftChars="0" w:firstLine="0" w:firstLineChars="0"/>
              <w:jc w:val="left"/>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①集约化机房改造材料设备控制措施内容齐全完整、条理清晰，控制措施严谨的，得4分；</w:t>
            </w:r>
          </w:p>
          <w:p>
            <w:pPr>
              <w:pStyle w:val="47"/>
              <w:pageBreakBefore w:val="0"/>
              <w:kinsoku/>
              <w:overflowPunct/>
              <w:topLinePunct w:val="0"/>
              <w:autoSpaceDE/>
              <w:autoSpaceDN/>
              <w:bidi w:val="0"/>
              <w:spacing w:line="360" w:lineRule="auto"/>
              <w:ind w:left="0" w:leftChars="0" w:firstLine="0" w:firstLineChars="0"/>
              <w:jc w:val="left"/>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②集约化机房改造材料设备控制措施内容较齐全、条理较清晰，控制措施较严谨得2分；</w:t>
            </w:r>
          </w:p>
          <w:p>
            <w:pPr>
              <w:pStyle w:val="47"/>
              <w:pageBreakBefore w:val="0"/>
              <w:kinsoku/>
              <w:overflowPunct/>
              <w:topLinePunct w:val="0"/>
              <w:autoSpaceDE/>
              <w:autoSpaceDN/>
              <w:bidi w:val="0"/>
              <w:spacing w:line="360" w:lineRule="auto"/>
              <w:ind w:left="0" w:leftChars="0" w:firstLine="0" w:firstLineChars="0"/>
              <w:jc w:val="left"/>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lang w:val="en-US" w:eastAsia="zh-CN"/>
              </w:rPr>
              <w:t>③集约化机房改造材料设备控制措施内容简单、条理性一般，控制措施不够严谨的，得1分</w:t>
            </w:r>
          </w:p>
          <w:p>
            <w:pPr>
              <w:pStyle w:val="47"/>
              <w:pageBreakBefore w:val="0"/>
              <w:kinsoku/>
              <w:overflowPunct/>
              <w:topLinePunct w:val="0"/>
              <w:autoSpaceDE/>
              <w:autoSpaceDN/>
              <w:bidi w:val="0"/>
              <w:spacing w:line="360" w:lineRule="auto"/>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b w:val="0"/>
                <w:bCs w:val="0"/>
                <w:color w:val="auto"/>
                <w:sz w:val="21"/>
                <w:szCs w:val="21"/>
                <w:highlight w:val="none"/>
                <w:lang w:val="en-US" w:eastAsia="zh-CN"/>
              </w:rPr>
              <w:t>④未提供施工材料质量控制措施的本项不得分。</w:t>
            </w:r>
          </w:p>
        </w:tc>
        <w:tc>
          <w:tcPr>
            <w:tcW w:w="727" w:type="dxa"/>
            <w:noWrap/>
            <w:vAlign w:val="center"/>
          </w:tcPr>
          <w:p>
            <w:pPr>
              <w:pageBreakBefore w:val="0"/>
              <w:kinsoku/>
              <w:overflowPunct/>
              <w:topLinePunct w:val="0"/>
              <w:autoSpaceDE/>
              <w:autoSpaceDN/>
              <w:bidi w:val="0"/>
              <w:spacing w:line="380" w:lineRule="exact"/>
              <w:jc w:val="center"/>
              <w:textAlignment w:val="auto"/>
              <w:rPr>
                <w:rFonts w:hint="default"/>
                <w:sz w:val="21"/>
                <w:szCs w:val="21"/>
                <w:highlight w:val="none"/>
                <w:lang w:val="en-US" w:eastAsia="zh-CN"/>
              </w:rPr>
            </w:pPr>
            <w:r>
              <w:rPr>
                <w:rFonts w:hint="eastAsia"/>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trPr>
        <w:tc>
          <w:tcPr>
            <w:tcW w:w="714" w:type="dxa"/>
            <w:vAlign w:val="center"/>
          </w:tcPr>
          <w:p>
            <w:pPr>
              <w:pageBreakBefore w:val="0"/>
              <w:kinsoku/>
              <w:overflowPunct/>
              <w:topLinePunct w:val="0"/>
              <w:autoSpaceDE/>
              <w:autoSpaceDN/>
              <w:bidi w:val="0"/>
              <w:spacing w:line="380" w:lineRule="exact"/>
              <w:jc w:val="center"/>
              <w:textAlignment w:val="auto"/>
              <w:rPr>
                <w:rFonts w:hint="default"/>
                <w:sz w:val="21"/>
                <w:szCs w:val="21"/>
                <w:highlight w:val="none"/>
                <w:lang w:val="en-US" w:eastAsia="zh-CN"/>
              </w:rPr>
            </w:pPr>
            <w:r>
              <w:rPr>
                <w:rFonts w:hint="eastAsia"/>
                <w:sz w:val="21"/>
                <w:szCs w:val="21"/>
                <w:highlight w:val="none"/>
                <w:lang w:val="en-US" w:eastAsia="zh-CN"/>
              </w:rPr>
              <w:t>3</w:t>
            </w:r>
          </w:p>
        </w:tc>
        <w:tc>
          <w:tcPr>
            <w:tcW w:w="1170" w:type="dxa"/>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重点难点分析</w:t>
            </w:r>
          </w:p>
        </w:tc>
        <w:tc>
          <w:tcPr>
            <w:tcW w:w="6209" w:type="dxa"/>
            <w:tcBorders>
              <w:left w:val="single" w:color="000000" w:sz="4" w:space="0"/>
            </w:tcBorders>
            <w:vAlign w:val="center"/>
          </w:tcPr>
          <w:p>
            <w:pPr>
              <w:keepNext w:val="0"/>
              <w:keepLines w:val="0"/>
              <w:pageBreakBefore w:val="0"/>
              <w:kinsoku/>
              <w:wordWrap/>
              <w:overflowPunct/>
              <w:topLinePunct w:val="0"/>
              <w:autoSpaceDE/>
              <w:autoSpaceDN/>
              <w:bidi w:val="0"/>
              <w:adjustRightInd/>
              <w:snapToGrid/>
              <w:spacing w:line="380" w:lineRule="exact"/>
              <w:ind w:right="0"/>
              <w:jc w:val="left"/>
              <w:textAlignment w:val="auto"/>
              <w:rPr>
                <w:rFonts w:hint="eastAsia" w:ascii="宋体" w:hAnsi="宋体" w:eastAsia="宋体" w:cs="宋体"/>
                <w:b w:val="0"/>
                <w:bCs w:val="0"/>
                <w:color w:val="auto"/>
                <w:szCs w:val="21"/>
                <w:highlight w:val="none"/>
                <w:lang w:val="zh-CN" w:eastAsia="zh-CN"/>
              </w:rPr>
            </w:pPr>
            <w:r>
              <w:rPr>
                <w:rFonts w:hint="eastAsia" w:ascii="宋体" w:hAnsi="宋体" w:eastAsia="宋体" w:cs="宋体"/>
                <w:b w:val="0"/>
                <w:bCs w:val="0"/>
                <w:color w:val="auto"/>
                <w:szCs w:val="21"/>
                <w:highlight w:val="none"/>
                <w:lang w:val="zh-CN"/>
              </w:rPr>
              <w:t>针对本项目的</w:t>
            </w:r>
            <w:r>
              <w:rPr>
                <w:rFonts w:hint="eastAsia" w:ascii="宋体" w:hAnsi="宋体" w:eastAsia="宋体" w:cs="宋体"/>
                <w:b w:val="0"/>
                <w:bCs w:val="0"/>
                <w:color w:val="auto"/>
                <w:szCs w:val="21"/>
                <w:highlight w:val="none"/>
              </w:rPr>
              <w:t>重点难点分析</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包括但不限于老中心机房改造，同时将基层院</w:t>
            </w:r>
            <w:r>
              <w:rPr>
                <w:rFonts w:hint="eastAsia" w:ascii="宋体" w:hAnsi="宋体" w:cs="宋体"/>
                <w:b w:val="0"/>
                <w:bCs w:val="0"/>
                <w:color w:val="auto"/>
                <w:szCs w:val="21"/>
                <w:highlight w:val="none"/>
                <w:lang w:val="en-US" w:eastAsia="zh-CN"/>
              </w:rPr>
              <w:t>39个</w:t>
            </w:r>
            <w:r>
              <w:rPr>
                <w:rFonts w:hint="eastAsia" w:ascii="宋体" w:hAnsi="宋体" w:eastAsia="宋体" w:cs="宋体"/>
                <w:b w:val="0"/>
                <w:bCs w:val="0"/>
                <w:color w:val="auto"/>
                <w:szCs w:val="21"/>
                <w:highlight w:val="none"/>
                <w:lang w:val="en-US" w:eastAsia="zh-CN"/>
              </w:rPr>
              <w:t>应用迁移至集约化服务器资源池，将基层院</w:t>
            </w:r>
            <w:r>
              <w:rPr>
                <w:rFonts w:hint="eastAsia" w:ascii="宋体" w:hAnsi="宋体" w:cs="宋体"/>
                <w:b w:val="0"/>
                <w:bCs w:val="0"/>
                <w:color w:val="auto"/>
                <w:szCs w:val="21"/>
                <w:highlight w:val="none"/>
                <w:lang w:val="en-US" w:eastAsia="zh-CN"/>
              </w:rPr>
              <w:t>122台</w:t>
            </w:r>
            <w:r>
              <w:rPr>
                <w:rFonts w:hint="eastAsia" w:ascii="宋体" w:hAnsi="宋体" w:eastAsia="宋体" w:cs="宋体"/>
                <w:b w:val="0"/>
                <w:bCs w:val="0"/>
                <w:color w:val="auto"/>
                <w:szCs w:val="21"/>
                <w:highlight w:val="none"/>
                <w:lang w:val="en-US" w:eastAsia="zh-CN"/>
              </w:rPr>
              <w:t>服务器、存储、安全等设备迁移部署至中院集约化机房，同步完成法院专网网络大二层优化和升级改造等内容）及解决方案进行</w:t>
            </w:r>
            <w:r>
              <w:rPr>
                <w:rFonts w:hint="eastAsia" w:ascii="宋体" w:hAnsi="宋体" w:eastAsia="宋体" w:cs="宋体"/>
                <w:b w:val="0"/>
                <w:bCs w:val="0"/>
                <w:color w:val="auto"/>
                <w:szCs w:val="21"/>
                <w:highlight w:val="none"/>
                <w:lang w:val="zh-CN"/>
              </w:rPr>
              <w:t>综合评议</w:t>
            </w:r>
            <w:r>
              <w:rPr>
                <w:rFonts w:hint="eastAsia" w:ascii="宋体" w:hAnsi="宋体" w:eastAsia="宋体" w:cs="宋体"/>
                <w:b w:val="0"/>
                <w:bCs w:val="0"/>
                <w:color w:val="auto"/>
                <w:szCs w:val="21"/>
                <w:highlight w:val="none"/>
                <w:lang w:val="zh-CN"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ind w:right="0"/>
              <w:jc w:val="left"/>
              <w:textAlignment w:val="auto"/>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①</w:t>
            </w:r>
            <w:bookmarkStart w:id="169" w:name="OLE_LINK2"/>
            <w:r>
              <w:rPr>
                <w:rFonts w:hint="eastAsia" w:ascii="宋体" w:hAnsi="宋体" w:eastAsia="宋体" w:cs="宋体"/>
                <w:b w:val="0"/>
                <w:bCs w:val="0"/>
                <w:color w:val="auto"/>
                <w:szCs w:val="21"/>
                <w:highlight w:val="none"/>
                <w:lang w:val="en-US" w:eastAsia="zh-CN"/>
              </w:rPr>
              <w:t>老中心机房改造，同时将基层院</w:t>
            </w:r>
            <w:r>
              <w:rPr>
                <w:rFonts w:hint="eastAsia" w:ascii="宋体" w:hAnsi="宋体" w:cs="宋体"/>
                <w:b w:val="0"/>
                <w:bCs w:val="0"/>
                <w:color w:val="auto"/>
                <w:szCs w:val="21"/>
                <w:highlight w:val="none"/>
                <w:lang w:val="en-US" w:eastAsia="zh-CN"/>
              </w:rPr>
              <w:t>39个</w:t>
            </w:r>
            <w:r>
              <w:rPr>
                <w:rFonts w:hint="eastAsia" w:ascii="宋体" w:hAnsi="宋体" w:eastAsia="宋体" w:cs="宋体"/>
                <w:b w:val="0"/>
                <w:bCs w:val="0"/>
                <w:color w:val="auto"/>
                <w:szCs w:val="21"/>
                <w:highlight w:val="none"/>
                <w:lang w:val="en-US" w:eastAsia="zh-CN"/>
              </w:rPr>
              <w:t>应用迁移至集约化服务器资源池，将基层院</w:t>
            </w:r>
            <w:r>
              <w:rPr>
                <w:rFonts w:hint="eastAsia" w:ascii="宋体" w:hAnsi="宋体" w:cs="宋体"/>
                <w:b w:val="0"/>
                <w:bCs w:val="0"/>
                <w:color w:val="auto"/>
                <w:szCs w:val="21"/>
                <w:highlight w:val="none"/>
                <w:lang w:val="en-US" w:eastAsia="zh-CN"/>
              </w:rPr>
              <w:t>122台</w:t>
            </w:r>
            <w:r>
              <w:rPr>
                <w:rFonts w:hint="eastAsia" w:ascii="宋体" w:hAnsi="宋体" w:eastAsia="宋体" w:cs="宋体"/>
                <w:b w:val="0"/>
                <w:bCs w:val="0"/>
                <w:color w:val="auto"/>
                <w:szCs w:val="21"/>
                <w:highlight w:val="none"/>
                <w:lang w:val="en-US" w:eastAsia="zh-CN"/>
              </w:rPr>
              <w:t>服务器、存储、安全等设备迁移部署至中院集约化机房，同步完成法院专网网络大二层优化和升级改造等内容</w:t>
            </w:r>
            <w:bookmarkEnd w:id="169"/>
            <w:r>
              <w:rPr>
                <w:rFonts w:hint="eastAsia" w:ascii="宋体" w:hAnsi="宋体" w:eastAsia="宋体" w:cs="宋体"/>
                <w:b w:val="0"/>
                <w:bCs w:val="0"/>
                <w:color w:val="auto"/>
                <w:szCs w:val="21"/>
                <w:highlight w:val="none"/>
                <w:lang w:val="en-US" w:eastAsia="zh-CN"/>
              </w:rPr>
              <w:t>的技术分析</w:t>
            </w:r>
            <w:r>
              <w:rPr>
                <w:rFonts w:hint="eastAsia" w:ascii="宋体" w:hAnsi="宋体" w:eastAsia="宋体" w:cs="宋体"/>
                <w:b w:val="0"/>
                <w:bCs w:val="0"/>
                <w:color w:val="000000"/>
                <w:szCs w:val="21"/>
                <w:highlight w:val="none"/>
                <w:lang w:val="en-US" w:eastAsia="zh-CN"/>
              </w:rPr>
              <w:t>内容详细、分析深刻到位、完全契合本项目实际建设重点难点内容，提出对应的解决方法技术路线清晰高效的得</w:t>
            </w:r>
            <w:r>
              <w:rPr>
                <w:rFonts w:hint="eastAsia" w:ascii="宋体" w:hAnsi="宋体" w:cs="宋体"/>
                <w:b w:val="0"/>
                <w:bCs w:val="0"/>
                <w:color w:val="000000"/>
                <w:szCs w:val="21"/>
                <w:highlight w:val="none"/>
                <w:lang w:val="en-US" w:eastAsia="zh-CN"/>
              </w:rPr>
              <w:t>7</w:t>
            </w:r>
            <w:r>
              <w:rPr>
                <w:rFonts w:hint="eastAsia" w:ascii="宋体" w:hAnsi="宋体" w:eastAsia="宋体" w:cs="宋体"/>
                <w:b w:val="0"/>
                <w:bCs w:val="0"/>
                <w:color w:val="000000"/>
                <w:szCs w:val="21"/>
                <w:highlight w:val="none"/>
                <w:lang w:val="en-US" w:eastAsia="zh-CN"/>
              </w:rPr>
              <w:t>分；</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ind w:right="0"/>
              <w:jc w:val="left"/>
              <w:textAlignment w:val="auto"/>
              <w:rPr>
                <w:rFonts w:hint="eastAsia" w:ascii="宋体" w:hAnsi="宋体" w:eastAsia="宋体" w:cs="宋体"/>
                <w:b w:val="0"/>
                <w:bCs w:val="0"/>
                <w:color w:val="000000"/>
                <w:szCs w:val="21"/>
                <w:highlight w:val="none"/>
                <w:lang w:val="en-US" w:eastAsia="zh-CN"/>
              </w:rPr>
            </w:pPr>
            <w:r>
              <w:rPr>
                <w:rFonts w:hint="eastAsia" w:ascii="宋体" w:hAnsi="宋体" w:eastAsia="宋体" w:cs="宋体"/>
                <w:b w:val="0"/>
                <w:bCs w:val="0"/>
                <w:color w:val="000000"/>
                <w:szCs w:val="21"/>
                <w:highlight w:val="none"/>
                <w:lang w:val="en-US" w:eastAsia="zh-CN"/>
              </w:rPr>
              <w:t>②</w:t>
            </w:r>
            <w:r>
              <w:rPr>
                <w:rFonts w:hint="eastAsia" w:ascii="宋体" w:hAnsi="宋体" w:eastAsia="宋体" w:cs="宋体"/>
                <w:b w:val="0"/>
                <w:bCs w:val="0"/>
                <w:color w:val="auto"/>
                <w:szCs w:val="21"/>
                <w:highlight w:val="none"/>
                <w:lang w:val="en-US" w:eastAsia="zh-CN"/>
              </w:rPr>
              <w:t>老中心机房改造，同时将基层院</w:t>
            </w:r>
            <w:r>
              <w:rPr>
                <w:rFonts w:hint="eastAsia" w:ascii="宋体" w:hAnsi="宋体" w:cs="宋体"/>
                <w:b w:val="0"/>
                <w:bCs w:val="0"/>
                <w:color w:val="auto"/>
                <w:szCs w:val="21"/>
                <w:highlight w:val="none"/>
                <w:lang w:val="en-US" w:eastAsia="zh-CN"/>
              </w:rPr>
              <w:t>39个</w:t>
            </w:r>
            <w:r>
              <w:rPr>
                <w:rFonts w:hint="eastAsia" w:ascii="宋体" w:hAnsi="宋体" w:eastAsia="宋体" w:cs="宋体"/>
                <w:b w:val="0"/>
                <w:bCs w:val="0"/>
                <w:color w:val="auto"/>
                <w:szCs w:val="21"/>
                <w:highlight w:val="none"/>
                <w:lang w:val="en-US" w:eastAsia="zh-CN"/>
              </w:rPr>
              <w:t>应用迁移至集约化服务器资源池，将基层院</w:t>
            </w:r>
            <w:r>
              <w:rPr>
                <w:rFonts w:hint="eastAsia" w:ascii="宋体" w:hAnsi="宋体" w:cs="宋体"/>
                <w:b w:val="0"/>
                <w:bCs w:val="0"/>
                <w:color w:val="auto"/>
                <w:szCs w:val="21"/>
                <w:highlight w:val="none"/>
                <w:lang w:val="en-US" w:eastAsia="zh-CN"/>
              </w:rPr>
              <w:t>122台</w:t>
            </w:r>
            <w:r>
              <w:rPr>
                <w:rFonts w:hint="eastAsia" w:ascii="宋体" w:hAnsi="宋体" w:eastAsia="宋体" w:cs="宋体"/>
                <w:b w:val="0"/>
                <w:bCs w:val="0"/>
                <w:color w:val="auto"/>
                <w:szCs w:val="21"/>
                <w:highlight w:val="none"/>
                <w:lang w:val="en-US" w:eastAsia="zh-CN"/>
              </w:rPr>
              <w:t>服务器、存储、安全等设备迁移部署至中院集约化机房，同步完成法院专网网络大二层优化和升级改造等内容</w:t>
            </w:r>
            <w:r>
              <w:rPr>
                <w:rFonts w:hint="eastAsia" w:ascii="宋体" w:hAnsi="宋体" w:eastAsia="宋体" w:cs="宋体"/>
                <w:b w:val="0"/>
                <w:bCs w:val="0"/>
                <w:color w:val="000000"/>
                <w:szCs w:val="21"/>
                <w:highlight w:val="none"/>
                <w:lang w:val="en-US" w:eastAsia="zh-CN"/>
              </w:rPr>
              <w:t>的技术分析内容相对详细、分析相对深刻到位、基本契合本项目实际建设重点难点内容，提出的解决方法技术路线相对清晰高效的得</w:t>
            </w:r>
            <w:r>
              <w:rPr>
                <w:rFonts w:hint="eastAsia" w:ascii="宋体" w:hAnsi="宋体" w:cs="宋体"/>
                <w:b w:val="0"/>
                <w:bCs w:val="0"/>
                <w:color w:val="000000"/>
                <w:szCs w:val="21"/>
                <w:highlight w:val="none"/>
                <w:lang w:val="en-US" w:eastAsia="zh-CN"/>
              </w:rPr>
              <w:t>5</w:t>
            </w:r>
            <w:r>
              <w:rPr>
                <w:rFonts w:hint="eastAsia" w:ascii="宋体" w:hAnsi="宋体" w:eastAsia="宋体" w:cs="宋体"/>
                <w:b w:val="0"/>
                <w:bCs w:val="0"/>
                <w:color w:val="000000"/>
                <w:szCs w:val="21"/>
                <w:highlight w:val="none"/>
                <w:lang w:val="en-US" w:eastAsia="zh-CN"/>
              </w:rPr>
              <w:t>分；</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ind w:right="0"/>
              <w:jc w:val="both"/>
              <w:textAlignment w:val="auto"/>
              <w:rPr>
                <w:rFonts w:hint="eastAsia" w:ascii="宋体" w:hAnsi="宋体" w:eastAsia="宋体" w:cs="宋体"/>
                <w:b w:val="0"/>
                <w:bCs w:val="0"/>
                <w:color w:val="000000"/>
                <w:szCs w:val="21"/>
                <w:highlight w:val="none"/>
                <w:lang w:val="zh-CN" w:eastAsia="zh-CN"/>
              </w:rPr>
            </w:pPr>
            <w:r>
              <w:rPr>
                <w:rFonts w:hint="eastAsia" w:ascii="宋体" w:hAnsi="宋体" w:eastAsia="宋体" w:cs="宋体"/>
                <w:b w:val="0"/>
                <w:bCs w:val="0"/>
                <w:color w:val="000000"/>
                <w:szCs w:val="21"/>
                <w:highlight w:val="none"/>
                <w:lang w:val="en-US" w:eastAsia="zh-CN"/>
              </w:rPr>
              <w:t>③</w:t>
            </w:r>
            <w:r>
              <w:rPr>
                <w:rFonts w:hint="eastAsia" w:ascii="宋体" w:hAnsi="宋体" w:eastAsia="宋体" w:cs="宋体"/>
                <w:b w:val="0"/>
                <w:bCs w:val="0"/>
                <w:color w:val="auto"/>
                <w:szCs w:val="21"/>
                <w:highlight w:val="none"/>
                <w:lang w:val="en-US" w:eastAsia="zh-CN"/>
              </w:rPr>
              <w:t>老中心机房改造，同时将基层院</w:t>
            </w:r>
            <w:r>
              <w:rPr>
                <w:rFonts w:hint="eastAsia" w:ascii="宋体" w:hAnsi="宋体" w:cs="宋体"/>
                <w:b w:val="0"/>
                <w:bCs w:val="0"/>
                <w:color w:val="auto"/>
                <w:szCs w:val="21"/>
                <w:highlight w:val="none"/>
                <w:lang w:val="en-US" w:eastAsia="zh-CN"/>
              </w:rPr>
              <w:t>39个应用</w:t>
            </w:r>
            <w:r>
              <w:rPr>
                <w:rFonts w:hint="eastAsia" w:ascii="宋体" w:hAnsi="宋体" w:eastAsia="宋体" w:cs="宋体"/>
                <w:b w:val="0"/>
                <w:bCs w:val="0"/>
                <w:color w:val="auto"/>
                <w:szCs w:val="21"/>
                <w:highlight w:val="none"/>
                <w:lang w:val="en-US" w:eastAsia="zh-CN"/>
              </w:rPr>
              <w:t>迁移至集约化服务器资源池，将基层院</w:t>
            </w:r>
            <w:r>
              <w:rPr>
                <w:rFonts w:hint="eastAsia" w:ascii="宋体" w:hAnsi="宋体" w:cs="宋体"/>
                <w:b w:val="0"/>
                <w:bCs w:val="0"/>
                <w:color w:val="auto"/>
                <w:szCs w:val="21"/>
                <w:highlight w:val="none"/>
                <w:lang w:val="en-US" w:eastAsia="zh-CN"/>
              </w:rPr>
              <w:t>122台</w:t>
            </w:r>
            <w:r>
              <w:rPr>
                <w:rFonts w:hint="eastAsia" w:ascii="宋体" w:hAnsi="宋体" w:eastAsia="宋体" w:cs="宋体"/>
                <w:b w:val="0"/>
                <w:bCs w:val="0"/>
                <w:color w:val="auto"/>
                <w:szCs w:val="21"/>
                <w:highlight w:val="none"/>
                <w:lang w:val="en-US" w:eastAsia="zh-CN"/>
              </w:rPr>
              <w:t>服务器、存储、安全等设备迁移部署至中院集约化机房，同步完成法院专网网络大二层优化和升级改造等内容</w:t>
            </w:r>
            <w:r>
              <w:rPr>
                <w:rFonts w:hint="eastAsia" w:ascii="宋体" w:hAnsi="宋体" w:eastAsia="宋体" w:cs="宋体"/>
                <w:b w:val="0"/>
                <w:bCs w:val="0"/>
                <w:color w:val="000000"/>
                <w:szCs w:val="21"/>
                <w:highlight w:val="none"/>
                <w:lang w:val="en-US" w:eastAsia="zh-CN"/>
              </w:rPr>
              <w:t>的技术分析内容简单粗糙、分析基于表面、与本项目实际建设重点难点内容契合度一般，提出的解决方法技术路线简单、混乱的得</w:t>
            </w:r>
            <w:r>
              <w:rPr>
                <w:rFonts w:hint="eastAsia" w:ascii="宋体" w:hAnsi="宋体" w:cs="宋体"/>
                <w:b w:val="0"/>
                <w:bCs w:val="0"/>
                <w:color w:val="000000"/>
                <w:szCs w:val="21"/>
                <w:highlight w:val="none"/>
                <w:lang w:val="en-US" w:eastAsia="zh-CN"/>
              </w:rPr>
              <w:t>3</w:t>
            </w:r>
            <w:r>
              <w:rPr>
                <w:rFonts w:hint="eastAsia" w:ascii="宋体" w:hAnsi="宋体" w:eastAsia="宋体" w:cs="宋体"/>
                <w:b w:val="0"/>
                <w:bCs w:val="0"/>
                <w:color w:val="000000"/>
                <w:szCs w:val="21"/>
                <w:highlight w:val="none"/>
                <w:lang w:val="en-US" w:eastAsia="zh-CN"/>
              </w:rPr>
              <w:t>分；</w:t>
            </w:r>
          </w:p>
          <w:p>
            <w:pPr>
              <w:pStyle w:val="47"/>
              <w:pageBreakBefore w:val="0"/>
              <w:kinsoku/>
              <w:overflowPunct/>
              <w:topLinePunct w:val="0"/>
              <w:autoSpaceDE/>
              <w:autoSpaceDN/>
              <w:bidi w:val="0"/>
              <w:spacing w:line="380" w:lineRule="exact"/>
              <w:ind w:left="0" w:leftChars="0" w:firstLine="0" w:firstLineChars="0"/>
              <w:jc w:val="both"/>
              <w:textAlignment w:val="auto"/>
              <w:rPr>
                <w:rFonts w:hint="eastAsia" w:ascii="仿宋" w:hAnsi="仿宋" w:eastAsia="仿宋" w:cs="仿宋"/>
                <w:b w:val="0"/>
                <w:bCs w:val="0"/>
                <w:sz w:val="28"/>
                <w:szCs w:val="28"/>
                <w:highlight w:val="none"/>
                <w:lang w:val="en-US" w:eastAsia="zh-CN"/>
              </w:rPr>
            </w:pPr>
            <w:r>
              <w:rPr>
                <w:rFonts w:hint="eastAsia" w:ascii="宋体" w:hAnsi="宋体" w:eastAsia="宋体" w:cs="宋体"/>
                <w:b w:val="0"/>
                <w:bCs w:val="0"/>
                <w:color w:val="000000"/>
                <w:szCs w:val="21"/>
                <w:highlight w:val="none"/>
                <w:lang w:val="zh-CN"/>
              </w:rPr>
              <w:t>④</w:t>
            </w:r>
            <w:r>
              <w:rPr>
                <w:rFonts w:hint="eastAsia" w:ascii="宋体" w:hAnsi="宋体" w:eastAsia="宋体" w:cs="宋体"/>
                <w:b w:val="0"/>
                <w:bCs w:val="0"/>
                <w:color w:val="auto"/>
                <w:szCs w:val="21"/>
                <w:highlight w:val="none"/>
              </w:rPr>
              <w:t>未提供此项的得0分</w:t>
            </w:r>
            <w:r>
              <w:rPr>
                <w:rFonts w:hint="eastAsia" w:ascii="宋体" w:hAnsi="宋体" w:eastAsia="宋体" w:cs="宋体"/>
                <w:b w:val="0"/>
                <w:bCs w:val="0"/>
                <w:color w:val="000000"/>
                <w:szCs w:val="21"/>
                <w:highlight w:val="none"/>
                <w:lang w:val="zh-CN"/>
              </w:rPr>
              <w:t>。</w:t>
            </w:r>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trPr>
        <w:tc>
          <w:tcPr>
            <w:tcW w:w="714" w:type="dxa"/>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4</w:t>
            </w:r>
          </w:p>
        </w:tc>
        <w:tc>
          <w:tcPr>
            <w:tcW w:w="1170" w:type="dxa"/>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信息安全保障措施</w:t>
            </w:r>
          </w:p>
        </w:tc>
        <w:tc>
          <w:tcPr>
            <w:tcW w:w="6209" w:type="dxa"/>
            <w:tcBorders>
              <w:left w:val="single" w:color="000000" w:sz="4" w:space="0"/>
            </w:tcBorders>
            <w:vAlign w:val="center"/>
          </w:tcPr>
          <w:p>
            <w:pPr>
              <w:pStyle w:val="17"/>
              <w:pageBreakBefore w:val="0"/>
              <w:numPr>
                <w:ilvl w:val="0"/>
                <w:numId w:val="0"/>
              </w:numPr>
              <w:kinsoku/>
              <w:overflowPunct/>
              <w:topLinePunct w:val="0"/>
              <w:autoSpaceDE/>
              <w:autoSpaceDN/>
              <w:bidi w:val="0"/>
              <w:spacing w:line="380" w:lineRule="exact"/>
              <w:textAlignment w:val="auto"/>
              <w:rPr>
                <w:rFonts w:hint="eastAsia" w:ascii="宋体" w:hAnsi="宋体" w:eastAsia="宋体" w:cs="宋体"/>
                <w:b w:val="0"/>
                <w:bCs w:val="0"/>
                <w:color w:val="auto"/>
                <w:sz w:val="21"/>
                <w:szCs w:val="21"/>
                <w:highlight w:val="none"/>
              </w:rPr>
            </w:pPr>
            <w:bookmarkStart w:id="170" w:name="OLE_LINK16"/>
            <w:r>
              <w:rPr>
                <w:rFonts w:hint="eastAsia" w:ascii="宋体" w:hAnsi="宋体" w:eastAsia="宋体" w:cs="宋体"/>
                <w:b w:val="0"/>
                <w:bCs w:val="0"/>
                <w:color w:val="auto"/>
                <w:sz w:val="21"/>
                <w:szCs w:val="21"/>
                <w:highlight w:val="none"/>
              </w:rPr>
              <w:t>根据投标人提供的项目信息安全保障措施</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包含但不限于</w:t>
            </w:r>
            <w:r>
              <w:rPr>
                <w:rFonts w:hint="eastAsia" w:asciiTheme="majorEastAsia" w:hAnsiTheme="majorEastAsia" w:eastAsiaTheme="majorEastAsia" w:cstheme="majorEastAsia"/>
                <w:sz w:val="21"/>
                <w:szCs w:val="21"/>
                <w:highlight w:val="none"/>
              </w:rPr>
              <w:t>数据管理</w:t>
            </w:r>
            <w:r>
              <w:rPr>
                <w:rFonts w:hint="eastAsia" w:asciiTheme="majorEastAsia" w:hAnsiTheme="majorEastAsia" w:eastAsiaTheme="majorEastAsia" w:cstheme="majorEastAsia"/>
                <w:sz w:val="21"/>
                <w:szCs w:val="21"/>
                <w:highlight w:val="none"/>
                <w:lang w:eastAsia="zh-CN"/>
              </w:rPr>
              <w:t>、</w:t>
            </w:r>
            <w:r>
              <w:rPr>
                <w:rFonts w:hint="eastAsia" w:asciiTheme="majorEastAsia" w:hAnsiTheme="majorEastAsia" w:eastAsiaTheme="majorEastAsia" w:cstheme="majorEastAsia"/>
                <w:sz w:val="21"/>
                <w:szCs w:val="21"/>
                <w:highlight w:val="none"/>
                <w:lang w:val="en-US" w:eastAsia="zh-CN"/>
              </w:rPr>
              <w:t>人员安全责任落实制度等内容</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的详细程度进行综合评议：</w:t>
            </w:r>
          </w:p>
          <w:p>
            <w:pPr>
              <w:pStyle w:val="17"/>
              <w:pageBreakBefore w:val="0"/>
              <w:numPr>
                <w:ilvl w:val="0"/>
                <w:numId w:val="0"/>
              </w:numPr>
              <w:kinsoku/>
              <w:overflowPunct/>
              <w:topLinePunct w:val="0"/>
              <w:autoSpaceDE/>
              <w:autoSpaceDN/>
              <w:bidi w:val="0"/>
              <w:spacing w:line="38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①项目信息安全保障措施得力有效、承诺</w:t>
            </w:r>
            <w:r>
              <w:rPr>
                <w:rFonts w:hint="eastAsia" w:ascii="宋体" w:hAnsi="宋体" w:cs="宋体"/>
                <w:b w:val="0"/>
                <w:bCs w:val="0"/>
                <w:color w:val="auto"/>
                <w:sz w:val="21"/>
                <w:szCs w:val="21"/>
                <w:highlight w:val="none"/>
                <w:lang w:val="en-US" w:eastAsia="zh-CN"/>
              </w:rPr>
              <w:t>人员</w:t>
            </w:r>
            <w:r>
              <w:rPr>
                <w:rFonts w:hint="eastAsia" w:ascii="宋体" w:hAnsi="宋体" w:eastAsia="宋体" w:cs="宋体"/>
                <w:b w:val="0"/>
                <w:bCs w:val="0"/>
                <w:color w:val="auto"/>
                <w:sz w:val="21"/>
                <w:szCs w:val="21"/>
                <w:highlight w:val="none"/>
              </w:rPr>
              <w:t>责任落实制度详细有效的，得</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pStyle w:val="17"/>
              <w:pageBreakBefore w:val="0"/>
              <w:numPr>
                <w:ilvl w:val="0"/>
                <w:numId w:val="0"/>
              </w:numPr>
              <w:kinsoku/>
              <w:overflowPunct/>
              <w:topLinePunct w:val="0"/>
              <w:autoSpaceDE/>
              <w:autoSpaceDN/>
              <w:bidi w:val="0"/>
              <w:spacing w:line="38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②项目信息安全保障措施得较为有效、承诺</w:t>
            </w:r>
            <w:r>
              <w:rPr>
                <w:rFonts w:hint="eastAsia" w:ascii="宋体" w:hAnsi="宋体" w:cs="宋体"/>
                <w:b w:val="0"/>
                <w:bCs w:val="0"/>
                <w:color w:val="auto"/>
                <w:sz w:val="21"/>
                <w:szCs w:val="21"/>
                <w:highlight w:val="none"/>
                <w:lang w:val="en-US" w:eastAsia="zh-CN"/>
              </w:rPr>
              <w:t>人员</w:t>
            </w:r>
            <w:r>
              <w:rPr>
                <w:rFonts w:hint="eastAsia" w:ascii="宋体" w:hAnsi="宋体" w:eastAsia="宋体" w:cs="宋体"/>
                <w:b w:val="0"/>
                <w:bCs w:val="0"/>
                <w:color w:val="auto"/>
                <w:sz w:val="21"/>
                <w:szCs w:val="21"/>
                <w:highlight w:val="none"/>
              </w:rPr>
              <w:t>责任落实制度较为详细有效的，得</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w:t>
            </w:r>
          </w:p>
          <w:p>
            <w:pPr>
              <w:pStyle w:val="17"/>
              <w:pageBreakBefore w:val="0"/>
              <w:numPr>
                <w:ilvl w:val="0"/>
                <w:numId w:val="0"/>
              </w:numPr>
              <w:kinsoku/>
              <w:overflowPunct/>
              <w:topLinePunct w:val="0"/>
              <w:autoSpaceDE/>
              <w:autoSpaceDN/>
              <w:bidi w:val="0"/>
              <w:spacing w:line="38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③项目信息安全保障措施有缺陷、承诺</w:t>
            </w:r>
            <w:r>
              <w:rPr>
                <w:rFonts w:hint="eastAsia" w:ascii="宋体" w:hAnsi="宋体" w:cs="宋体"/>
                <w:b w:val="0"/>
                <w:bCs w:val="0"/>
                <w:color w:val="auto"/>
                <w:sz w:val="21"/>
                <w:szCs w:val="21"/>
                <w:highlight w:val="none"/>
                <w:lang w:val="en-US" w:eastAsia="zh-CN"/>
              </w:rPr>
              <w:t>人员</w:t>
            </w:r>
            <w:r>
              <w:rPr>
                <w:rFonts w:hint="eastAsia" w:ascii="宋体" w:hAnsi="宋体" w:eastAsia="宋体" w:cs="宋体"/>
                <w:b w:val="0"/>
                <w:bCs w:val="0"/>
                <w:color w:val="auto"/>
                <w:sz w:val="21"/>
                <w:szCs w:val="21"/>
                <w:highlight w:val="none"/>
              </w:rPr>
              <w:t>责任落实制度不完善的，得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pageBreakBefore w:val="0"/>
              <w:widowControl/>
              <w:kinsoku/>
              <w:overflowPunct/>
              <w:topLinePunct w:val="0"/>
              <w:autoSpaceDE/>
              <w:autoSpaceDN/>
              <w:bidi w:val="0"/>
              <w:spacing w:line="380" w:lineRule="exact"/>
              <w:jc w:val="left"/>
              <w:textAlignment w:val="auto"/>
              <w:rPr>
                <w:rFonts w:hint="eastAsia" w:ascii="宋体" w:hAnsi="宋体" w:cs="Times New Roman"/>
                <w:color w:val="auto"/>
                <w:sz w:val="21"/>
                <w:szCs w:val="21"/>
                <w:highlight w:val="none"/>
                <w:lang w:val="en-US" w:eastAsia="zh-CN"/>
              </w:rPr>
            </w:pPr>
            <w:r>
              <w:rPr>
                <w:rFonts w:hint="eastAsia" w:ascii="宋体" w:hAnsi="宋体" w:eastAsia="宋体" w:cs="宋体"/>
                <w:b w:val="0"/>
                <w:bCs w:val="0"/>
                <w:color w:val="auto"/>
                <w:sz w:val="21"/>
                <w:szCs w:val="21"/>
                <w:highlight w:val="none"/>
              </w:rPr>
              <w:t>④未提供此项的得0分。</w:t>
            </w:r>
            <w:bookmarkEnd w:id="170"/>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4" w:type="dxa"/>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5</w:t>
            </w:r>
          </w:p>
        </w:tc>
        <w:tc>
          <w:tcPr>
            <w:tcW w:w="1170" w:type="dxa"/>
            <w:vMerge w:val="restart"/>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rFonts w:hint="eastAsia" w:ascii="宋体" w:hAnsi="宋体"/>
                <w:sz w:val="21"/>
                <w:szCs w:val="21"/>
                <w:highlight w:val="none"/>
              </w:rPr>
            </w:pPr>
            <w:bookmarkStart w:id="171" w:name="OLE_LINK20"/>
            <w:r>
              <w:rPr>
                <w:szCs w:val="21"/>
              </w:rPr>
              <w:t>技术方案</w:t>
            </w:r>
            <w:bookmarkEnd w:id="171"/>
          </w:p>
        </w:tc>
        <w:tc>
          <w:tcPr>
            <w:tcW w:w="6209" w:type="dxa"/>
            <w:tcBorders>
              <w:left w:val="single" w:color="000000" w:sz="4" w:space="0"/>
            </w:tcBorders>
            <w:vAlign w:val="center"/>
          </w:tcPr>
          <w:p>
            <w:pPr>
              <w:pageBreakBefore w:val="0"/>
              <w:kinsoku/>
              <w:overflowPunct/>
              <w:topLinePunct w:val="0"/>
              <w:autoSpaceDE/>
              <w:autoSpaceDN/>
              <w:bidi w:val="0"/>
              <w:spacing w:line="380" w:lineRule="exact"/>
              <w:jc w:val="left"/>
              <w:textAlignment w:val="auto"/>
              <w:rPr>
                <w:szCs w:val="21"/>
                <w:highlight w:val="none"/>
              </w:rPr>
            </w:pPr>
            <w:r>
              <w:rPr>
                <w:rFonts w:hint="eastAsia"/>
                <w:szCs w:val="21"/>
                <w:highlight w:val="none"/>
                <w:lang w:val="en-US" w:eastAsia="zh-CN"/>
              </w:rPr>
              <w:t>（1）</w:t>
            </w:r>
            <w:r>
              <w:rPr>
                <w:szCs w:val="21"/>
                <w:highlight w:val="none"/>
              </w:rPr>
              <w:t xml:space="preserve">根据投标人提供完整的技术方案（包含但不限于总体构架设计合理、原有设备实现良好对接的兼容性与信息安全建设等内容）进行综合评议。 </w:t>
            </w:r>
          </w:p>
          <w:p>
            <w:pPr>
              <w:keepLines/>
              <w:pageBreakBefore w:val="0"/>
              <w:kinsoku/>
              <w:overflowPunct/>
              <w:topLinePunct w:val="0"/>
              <w:autoSpaceDE/>
              <w:autoSpaceDN/>
              <w:bidi w:val="0"/>
              <w:adjustRightInd w:val="0"/>
              <w:spacing w:line="380" w:lineRule="exact"/>
              <w:contextualSpacing/>
              <w:textAlignment w:val="auto"/>
              <w:rPr>
                <w:color w:val="000000"/>
                <w:highlight w:val="none"/>
              </w:rPr>
            </w:pPr>
            <w:r>
              <w:rPr>
                <w:rFonts w:hint="eastAsia" w:ascii="宋体" w:hAnsi="宋体" w:eastAsia="宋体" w:cs="宋体"/>
                <w:b w:val="0"/>
                <w:bCs w:val="0"/>
                <w:color w:val="auto"/>
                <w:sz w:val="21"/>
                <w:szCs w:val="21"/>
                <w:highlight w:val="none"/>
              </w:rPr>
              <w:t>①</w:t>
            </w:r>
            <w:r>
              <w:rPr>
                <w:color w:val="000000"/>
                <w:highlight w:val="none"/>
              </w:rPr>
              <w:t>方案整体内容清晰完整，与原有设备实现良好对接的兼容性阐述清晰，本次项目定位明确，</w:t>
            </w:r>
            <w:r>
              <w:rPr>
                <w:szCs w:val="21"/>
                <w:highlight w:val="none"/>
              </w:rPr>
              <w:t>信息安全建设</w:t>
            </w:r>
            <w:r>
              <w:rPr>
                <w:color w:val="000000"/>
                <w:highlight w:val="none"/>
              </w:rPr>
              <w:t>描述详实，具有总体设计框架和设计思路，采用先进、成熟、规范的技术路线和技术构架的得</w:t>
            </w:r>
            <w:r>
              <w:rPr>
                <w:rFonts w:hint="eastAsia"/>
                <w:color w:val="000000"/>
                <w:highlight w:val="none"/>
                <w:lang w:val="en-US" w:eastAsia="zh-CN"/>
              </w:rPr>
              <w:t>5</w:t>
            </w:r>
            <w:r>
              <w:rPr>
                <w:color w:val="000000"/>
                <w:highlight w:val="none"/>
              </w:rPr>
              <w:t>分；</w:t>
            </w:r>
          </w:p>
          <w:p>
            <w:pPr>
              <w:keepLines/>
              <w:pageBreakBefore w:val="0"/>
              <w:kinsoku/>
              <w:overflowPunct/>
              <w:topLinePunct w:val="0"/>
              <w:autoSpaceDE/>
              <w:autoSpaceDN/>
              <w:bidi w:val="0"/>
              <w:adjustRightInd w:val="0"/>
              <w:spacing w:line="380" w:lineRule="exact"/>
              <w:contextualSpacing/>
              <w:textAlignment w:val="auto"/>
              <w:rPr>
                <w:color w:val="000000"/>
                <w:highlight w:val="none"/>
              </w:rPr>
            </w:pPr>
            <w:r>
              <w:rPr>
                <w:rFonts w:hint="eastAsia" w:ascii="宋体" w:hAnsi="宋体" w:cs="宋体"/>
                <w:color w:val="000000"/>
                <w:highlight w:val="none"/>
              </w:rPr>
              <w:t>②</w:t>
            </w:r>
            <w:r>
              <w:rPr>
                <w:color w:val="000000"/>
                <w:highlight w:val="none"/>
              </w:rPr>
              <w:t>方案整体内容一般，与原有设备实现良好对接的兼容性阐述阐述较清晰，本次项目定位较明确，</w:t>
            </w:r>
            <w:r>
              <w:rPr>
                <w:szCs w:val="21"/>
                <w:highlight w:val="none"/>
              </w:rPr>
              <w:t>信息安全建设</w:t>
            </w:r>
            <w:r>
              <w:rPr>
                <w:color w:val="000000"/>
                <w:highlight w:val="none"/>
              </w:rPr>
              <w:t>描述较详实，总体设计框架和设计思路尚可的得</w:t>
            </w:r>
            <w:r>
              <w:rPr>
                <w:rFonts w:hint="eastAsia"/>
                <w:color w:val="000000"/>
                <w:highlight w:val="none"/>
                <w:lang w:val="en-US" w:eastAsia="zh-CN"/>
              </w:rPr>
              <w:t>3</w:t>
            </w:r>
            <w:r>
              <w:rPr>
                <w:color w:val="000000"/>
                <w:highlight w:val="none"/>
              </w:rPr>
              <w:t>分；</w:t>
            </w:r>
          </w:p>
          <w:p>
            <w:pPr>
              <w:keepLines/>
              <w:pageBreakBefore w:val="0"/>
              <w:kinsoku/>
              <w:overflowPunct/>
              <w:topLinePunct w:val="0"/>
              <w:autoSpaceDE/>
              <w:autoSpaceDN/>
              <w:bidi w:val="0"/>
              <w:adjustRightInd w:val="0"/>
              <w:spacing w:line="380" w:lineRule="exact"/>
              <w:contextualSpacing/>
              <w:textAlignment w:val="auto"/>
              <w:rPr>
                <w:color w:val="000000"/>
                <w:highlight w:val="none"/>
              </w:rPr>
            </w:pPr>
            <w:r>
              <w:rPr>
                <w:rFonts w:hint="eastAsia" w:ascii="宋体" w:hAnsi="宋体" w:cs="宋体"/>
                <w:color w:val="000000"/>
                <w:highlight w:val="none"/>
              </w:rPr>
              <w:t>③</w:t>
            </w:r>
            <w:r>
              <w:rPr>
                <w:color w:val="000000"/>
                <w:highlight w:val="none"/>
              </w:rPr>
              <w:t>方案整体内容欠缺，与公与原有设备实现良好对接的兼容性阐述不清晰，本次项目定位不太明确，建设站址勘察描述简陋，总体设计框架和设计思路一般的得</w:t>
            </w:r>
            <w:r>
              <w:rPr>
                <w:rFonts w:hint="eastAsia"/>
                <w:color w:val="000000"/>
                <w:highlight w:val="none"/>
                <w:lang w:val="en-US" w:eastAsia="zh-CN"/>
              </w:rPr>
              <w:t>1</w:t>
            </w:r>
            <w:r>
              <w:rPr>
                <w:color w:val="000000"/>
                <w:highlight w:val="none"/>
              </w:rPr>
              <w:t>分；</w:t>
            </w:r>
          </w:p>
          <w:p>
            <w:pPr>
              <w:pageBreakBefore w:val="0"/>
              <w:widowControl/>
              <w:kinsoku/>
              <w:overflowPunct/>
              <w:topLinePunct w:val="0"/>
              <w:autoSpaceDE/>
              <w:autoSpaceDN/>
              <w:bidi w:val="0"/>
              <w:spacing w:line="380" w:lineRule="exact"/>
              <w:jc w:val="left"/>
              <w:textAlignment w:val="auto"/>
              <w:rPr>
                <w:rFonts w:hint="eastAsia" w:ascii="宋体" w:hAnsi="宋体" w:eastAsia="宋体" w:cs="宋体"/>
                <w:b w:val="0"/>
                <w:bCs w:val="0"/>
                <w:color w:val="auto"/>
                <w:szCs w:val="21"/>
                <w:highlight w:val="none"/>
              </w:rPr>
            </w:pPr>
            <w:r>
              <w:rPr>
                <w:rFonts w:hint="eastAsia" w:ascii="宋体" w:hAnsi="宋体" w:cs="宋体"/>
                <w:bCs/>
                <w:color w:val="000000"/>
                <w:szCs w:val="21"/>
                <w:highlight w:val="none"/>
                <w:lang w:bidi="ar"/>
              </w:rPr>
              <w:t>④</w:t>
            </w:r>
            <w:r>
              <w:rPr>
                <w:bCs/>
                <w:color w:val="000000"/>
                <w:szCs w:val="21"/>
                <w:highlight w:val="none"/>
              </w:rPr>
              <w:t>未提供相应内容的得</w:t>
            </w:r>
            <w:r>
              <w:rPr>
                <w:rFonts w:hint="eastAsia"/>
                <w:bCs/>
                <w:color w:val="000000"/>
                <w:szCs w:val="21"/>
                <w:highlight w:val="none"/>
                <w:lang w:val="en-US" w:eastAsia="zh-CN"/>
              </w:rPr>
              <w:t>0</w:t>
            </w:r>
            <w:r>
              <w:rPr>
                <w:bCs/>
                <w:color w:val="000000"/>
                <w:szCs w:val="21"/>
                <w:highlight w:val="none"/>
              </w:rPr>
              <w:t>分。</w:t>
            </w:r>
          </w:p>
        </w:tc>
        <w:tc>
          <w:tcPr>
            <w:tcW w:w="727" w:type="dxa"/>
            <w:noWrap/>
            <w:vAlign w:val="center"/>
          </w:tcPr>
          <w:p>
            <w:pPr>
              <w:pageBreakBefore w:val="0"/>
              <w:kinsoku/>
              <w:overflowPunct/>
              <w:topLinePunct w:val="0"/>
              <w:autoSpaceDE/>
              <w:autoSpaceDN/>
              <w:bidi w:val="0"/>
              <w:spacing w:line="38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14" w:type="dxa"/>
            <w:vMerge w:val="restart"/>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6</w:t>
            </w:r>
          </w:p>
        </w:tc>
        <w:tc>
          <w:tcPr>
            <w:tcW w:w="1170" w:type="dxa"/>
            <w:vMerge w:val="continue"/>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szCs w:val="21"/>
              </w:rPr>
            </w:pPr>
          </w:p>
        </w:tc>
        <w:tc>
          <w:tcPr>
            <w:tcW w:w="6209" w:type="dxa"/>
            <w:tcBorders>
              <w:left w:val="single" w:color="000000" w:sz="4" w:space="0"/>
            </w:tcBorders>
            <w:vAlign w:val="center"/>
          </w:tcPr>
          <w:p>
            <w:pPr>
              <w:keepNext w:val="0"/>
              <w:keepLines w:val="0"/>
              <w:pageBreakBefore w:val="0"/>
              <w:widowControl/>
              <w:kinsoku/>
              <w:wordWrap/>
              <w:overflowPunct/>
              <w:topLinePunct w:val="0"/>
              <w:bidi w:val="0"/>
              <w:snapToGrid/>
              <w:spacing w:before="0" w:after="0" w:line="380" w:lineRule="exact"/>
              <w:jc w:val="left"/>
              <w:textAlignment w:val="auto"/>
              <w:rPr>
                <w:rFonts w:hint="eastAsia" w:ascii="Times New Roman" w:hAnsi="Times New Roman" w:eastAsia="宋体" w:cs="Times New Roman"/>
                <w:color w:val="auto"/>
                <w:highlight w:val="none"/>
                <w:lang w:val="zh-CN" w:eastAsia="zh-CN"/>
              </w:rPr>
            </w:pPr>
          </w:p>
          <w:p>
            <w:pPr>
              <w:keepNext w:val="0"/>
              <w:keepLines w:val="0"/>
              <w:pageBreakBefore w:val="0"/>
              <w:widowControl/>
              <w:kinsoku/>
              <w:wordWrap/>
              <w:overflowPunct/>
              <w:topLinePunct w:val="0"/>
              <w:bidi w:val="0"/>
              <w:snapToGrid/>
              <w:spacing w:before="0" w:after="0" w:line="380" w:lineRule="exact"/>
              <w:jc w:val="left"/>
              <w:textAlignment w:val="auto"/>
              <w:rPr>
                <w:rFonts w:hint="eastAsia" w:ascii="Times New Roman" w:hAnsi="Times New Roman" w:eastAsia="宋体" w:cs="Times New Roman"/>
                <w:color w:val="auto"/>
                <w:highlight w:val="none"/>
                <w:lang w:val="en-US" w:eastAsia="zh-CN"/>
              </w:rPr>
            </w:pPr>
            <w:r>
              <w:rPr>
                <w:rFonts w:hint="eastAsia" w:ascii="宋体" w:hAnsi="宋体" w:cs="宋体"/>
                <w:bCs/>
                <w:color w:val="000000"/>
                <w:szCs w:val="21"/>
                <w:highlight w:val="none"/>
                <w:lang w:eastAsia="zh-CN" w:bidi="ar"/>
              </w:rPr>
              <w:t>（</w:t>
            </w:r>
            <w:r>
              <w:rPr>
                <w:rFonts w:hint="eastAsia" w:ascii="宋体" w:hAnsi="宋体" w:cs="宋体"/>
                <w:bCs/>
                <w:color w:val="000000"/>
                <w:szCs w:val="21"/>
                <w:highlight w:val="none"/>
                <w:lang w:val="en-US" w:eastAsia="zh-CN" w:bidi="ar"/>
              </w:rPr>
              <w:t>2</w:t>
            </w:r>
            <w:r>
              <w:rPr>
                <w:rFonts w:hint="eastAsia" w:ascii="宋体" w:hAnsi="宋体" w:cs="宋体"/>
                <w:bCs/>
                <w:color w:val="000000"/>
                <w:szCs w:val="21"/>
                <w:highlight w:val="none"/>
                <w:lang w:eastAsia="zh-CN" w:bidi="ar"/>
              </w:rPr>
              <w:t>）</w:t>
            </w:r>
            <w:r>
              <w:rPr>
                <w:rFonts w:hint="eastAsia" w:ascii="Times New Roman" w:hAnsi="Times New Roman" w:eastAsia="宋体" w:cs="Times New Roman"/>
                <w:color w:val="auto"/>
                <w:highlight w:val="none"/>
                <w:lang w:val="en-US" w:eastAsia="zh-CN"/>
              </w:rPr>
              <w:t>根据供应商的针对“中心机房扩建和基础支撑体系集约化”的节点进度计划安排（包括但不限于中心机房现状结合新的改造内容的进度计划的时间节点以及在改造和设备供货方面的工作板块时间节点安排等内容）进行综合评议。</w:t>
            </w:r>
          </w:p>
          <w:p>
            <w:pPr>
              <w:keepNext w:val="0"/>
              <w:keepLines w:val="0"/>
              <w:pageBreakBefore w:val="0"/>
              <w:widowControl/>
              <w:kinsoku/>
              <w:wordWrap/>
              <w:overflowPunct/>
              <w:topLinePunct w:val="0"/>
              <w:bidi w:val="0"/>
              <w:snapToGrid/>
              <w:spacing w:before="0" w:after="0" w:line="380" w:lineRule="exact"/>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①项目</w:t>
            </w:r>
            <w:r>
              <w:rPr>
                <w:rFonts w:hint="eastAsia" w:ascii="Times New Roman" w:hAnsi="Times New Roman" w:eastAsia="宋体" w:cs="Times New Roman"/>
                <w:color w:val="auto"/>
                <w:highlight w:val="none"/>
                <w:lang w:val="zh-CN" w:eastAsia="zh-CN"/>
              </w:rPr>
              <w:t>进度计划</w:t>
            </w:r>
            <w:r>
              <w:rPr>
                <w:rFonts w:hint="eastAsia" w:ascii="Times New Roman" w:hAnsi="Times New Roman" w:eastAsia="宋体" w:cs="Times New Roman"/>
                <w:color w:val="auto"/>
                <w:highlight w:val="none"/>
                <w:lang w:val="en-US" w:eastAsia="zh-CN"/>
              </w:rPr>
              <w:t>安排内容的详细完整、与实际现状契合，时间节点明确的得4分。</w:t>
            </w:r>
          </w:p>
          <w:p>
            <w:pPr>
              <w:keepNext w:val="0"/>
              <w:keepLines w:val="0"/>
              <w:pageBreakBefore w:val="0"/>
              <w:widowControl/>
              <w:kinsoku/>
              <w:wordWrap/>
              <w:overflowPunct/>
              <w:topLinePunct w:val="0"/>
              <w:bidi w:val="0"/>
              <w:snapToGrid/>
              <w:spacing w:before="0" w:after="0" w:line="380" w:lineRule="exact"/>
              <w:jc w:val="lef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②项目</w:t>
            </w:r>
            <w:r>
              <w:rPr>
                <w:rFonts w:hint="default" w:ascii="Times New Roman" w:hAnsi="Times New Roman" w:eastAsia="宋体" w:cs="Times New Roman"/>
                <w:color w:val="auto"/>
                <w:highlight w:val="none"/>
                <w:lang w:val="en-US" w:eastAsia="zh-CN"/>
              </w:rPr>
              <w:t>进度计划安排内容的</w:t>
            </w:r>
            <w:r>
              <w:rPr>
                <w:rFonts w:hint="eastAsia" w:ascii="Times New Roman" w:hAnsi="Times New Roman" w:eastAsia="宋体" w:cs="Times New Roman"/>
                <w:color w:val="auto"/>
                <w:highlight w:val="none"/>
                <w:lang w:val="en-US" w:eastAsia="zh-CN"/>
              </w:rPr>
              <w:t>较简单</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与实际现状相对契合、时间节点基本明确的</w:t>
            </w:r>
            <w:r>
              <w:rPr>
                <w:rFonts w:hint="default" w:ascii="Times New Roman" w:hAnsi="Times New Roman" w:eastAsia="宋体" w:cs="Times New Roman"/>
                <w:color w:val="auto"/>
                <w:highlight w:val="none"/>
                <w:lang w:val="en-US" w:eastAsia="zh-CN"/>
              </w:rPr>
              <w:t>得</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分。</w:t>
            </w:r>
          </w:p>
          <w:p>
            <w:pPr>
              <w:keepNext w:val="0"/>
              <w:keepLines w:val="0"/>
              <w:pageBreakBefore w:val="0"/>
              <w:widowControl/>
              <w:kinsoku/>
              <w:wordWrap/>
              <w:overflowPunct/>
              <w:topLinePunct w:val="0"/>
              <w:bidi w:val="0"/>
              <w:snapToGrid/>
              <w:spacing w:before="0" w:after="0" w:line="380" w:lineRule="exact"/>
              <w:jc w:val="lef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③项目</w:t>
            </w:r>
            <w:r>
              <w:rPr>
                <w:rFonts w:hint="default" w:ascii="Times New Roman" w:hAnsi="Times New Roman" w:eastAsia="宋体" w:cs="Times New Roman"/>
                <w:color w:val="auto"/>
                <w:highlight w:val="none"/>
                <w:lang w:val="en-US" w:eastAsia="zh-CN"/>
              </w:rPr>
              <w:t>进度计划安排内容的</w:t>
            </w:r>
            <w:r>
              <w:rPr>
                <w:rFonts w:hint="eastAsia" w:ascii="Times New Roman" w:hAnsi="Times New Roman" w:eastAsia="宋体" w:cs="Times New Roman"/>
                <w:color w:val="auto"/>
                <w:highlight w:val="none"/>
                <w:lang w:val="en-US" w:eastAsia="zh-CN"/>
              </w:rPr>
              <w:t>不完整</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不符合实际现状、时间节点安排不合理的</w:t>
            </w:r>
            <w:r>
              <w:rPr>
                <w:rFonts w:hint="default" w:ascii="Times New Roman" w:hAnsi="Times New Roman" w:eastAsia="宋体" w:cs="Times New Roman"/>
                <w:color w:val="auto"/>
                <w:highlight w:val="none"/>
                <w:lang w:val="en-US" w:eastAsia="zh-CN"/>
              </w:rPr>
              <w:t>得</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分。</w:t>
            </w:r>
          </w:p>
          <w:p>
            <w:pPr>
              <w:pageBreakBefore w:val="0"/>
              <w:widowControl/>
              <w:kinsoku/>
              <w:overflowPunct/>
              <w:topLinePunct w:val="0"/>
              <w:autoSpaceDE/>
              <w:autoSpaceDN/>
              <w:bidi w:val="0"/>
              <w:spacing w:line="380" w:lineRule="exact"/>
              <w:jc w:val="left"/>
              <w:textAlignment w:val="auto"/>
              <w:rPr>
                <w:rFonts w:hint="eastAsia" w:ascii="宋体" w:hAnsi="宋体" w:eastAsia="宋体" w:cs="宋体"/>
                <w:bCs/>
                <w:color w:val="000000"/>
                <w:szCs w:val="21"/>
                <w:highlight w:val="none"/>
                <w:lang w:eastAsia="zh-CN" w:bidi="ar"/>
              </w:rPr>
            </w:pPr>
            <w:r>
              <w:rPr>
                <w:rFonts w:hint="eastAsia" w:ascii="Times New Roman" w:hAnsi="Times New Roman" w:eastAsia="宋体" w:cs="Times New Roman"/>
                <w:color w:val="auto"/>
                <w:highlight w:val="none"/>
                <w:lang w:val="zh-CN" w:eastAsia="zh-CN"/>
              </w:rPr>
              <w:t>④</w:t>
            </w:r>
            <w:r>
              <w:rPr>
                <w:rFonts w:hint="eastAsia" w:ascii="Times New Roman" w:hAnsi="Times New Roman" w:eastAsia="宋体" w:cs="Times New Roman"/>
                <w:color w:val="auto"/>
                <w:highlight w:val="none"/>
                <w:lang w:val="en-US" w:eastAsia="zh-CN"/>
              </w:rPr>
              <w:t>未提供施工</w:t>
            </w:r>
            <w:r>
              <w:rPr>
                <w:rFonts w:hint="eastAsia" w:ascii="Times New Roman" w:hAnsi="Times New Roman" w:eastAsia="宋体" w:cs="Times New Roman"/>
                <w:color w:val="auto"/>
                <w:highlight w:val="none"/>
                <w:lang w:val="zh-CN" w:eastAsia="zh-CN"/>
              </w:rPr>
              <w:t>进度计划</w:t>
            </w:r>
            <w:r>
              <w:rPr>
                <w:rFonts w:hint="eastAsia" w:ascii="Times New Roman" w:hAnsi="Times New Roman" w:eastAsia="宋体" w:cs="Times New Roman"/>
                <w:color w:val="auto"/>
                <w:highlight w:val="none"/>
                <w:lang w:val="en-US" w:eastAsia="zh-CN"/>
              </w:rPr>
              <w:t>安排内容的</w:t>
            </w:r>
            <w:r>
              <w:rPr>
                <w:rFonts w:hint="eastAsia" w:ascii="Times New Roman" w:hAnsi="Times New Roman" w:eastAsia="宋体" w:cs="Times New Roman"/>
                <w:color w:val="auto"/>
                <w:highlight w:val="none"/>
                <w:lang w:val="zh-CN" w:eastAsia="zh-CN"/>
              </w:rPr>
              <w:t>本项不得分。</w:t>
            </w:r>
          </w:p>
        </w:tc>
        <w:tc>
          <w:tcPr>
            <w:tcW w:w="727" w:type="dxa"/>
            <w:noWrap/>
            <w:vAlign w:val="center"/>
          </w:tcPr>
          <w:p>
            <w:pPr>
              <w:pageBreakBefore w:val="0"/>
              <w:kinsoku/>
              <w:overflowPunct/>
              <w:topLinePunct w:val="0"/>
              <w:autoSpaceDE/>
              <w:autoSpaceDN/>
              <w:bidi w:val="0"/>
              <w:spacing w:line="380" w:lineRule="exact"/>
              <w:jc w:val="center"/>
              <w:textAlignment w:val="auto"/>
              <w:rPr>
                <w:rFonts w:hint="default"/>
                <w:sz w:val="21"/>
                <w:szCs w:val="21"/>
                <w:highlight w:val="none"/>
                <w:lang w:val="en-US" w:eastAsia="zh-CN"/>
              </w:rPr>
            </w:pPr>
            <w:r>
              <w:rPr>
                <w:rFonts w:hint="eastAsia"/>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14" w:type="dxa"/>
            <w:vMerge w:val="continue"/>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p>
        </w:tc>
        <w:tc>
          <w:tcPr>
            <w:tcW w:w="1170" w:type="dxa"/>
            <w:tcBorders>
              <w:right w:val="single" w:color="000000" w:sz="4" w:space="0"/>
            </w:tcBorders>
            <w:vAlign w:val="center"/>
          </w:tcPr>
          <w:p>
            <w:pPr>
              <w:pageBreakBefore w:val="0"/>
              <w:kinsoku/>
              <w:overflowPunct/>
              <w:topLinePunct w:val="0"/>
              <w:autoSpaceDE/>
              <w:autoSpaceDN/>
              <w:bidi w:val="0"/>
              <w:spacing w:line="380" w:lineRule="exact"/>
              <w:jc w:val="center"/>
              <w:textAlignment w:val="auto"/>
              <w:rPr>
                <w:rFonts w:hint="eastAsia" w:ascii="宋体" w:hAnsi="宋体"/>
                <w:sz w:val="21"/>
                <w:szCs w:val="21"/>
                <w:highlight w:val="none"/>
              </w:rPr>
            </w:pPr>
            <w:r>
              <w:rPr>
                <w:szCs w:val="21"/>
              </w:rPr>
              <w:t>供货方案</w:t>
            </w:r>
          </w:p>
        </w:tc>
        <w:tc>
          <w:tcPr>
            <w:tcW w:w="6209" w:type="dxa"/>
            <w:tcBorders>
              <w:left w:val="single" w:color="000000" w:sz="4" w:space="0"/>
            </w:tcBorders>
            <w:vAlign w:val="center"/>
          </w:tcPr>
          <w:p>
            <w:pPr>
              <w:keepLines/>
              <w:pageBreakBefore w:val="0"/>
              <w:kinsoku/>
              <w:overflowPunct/>
              <w:topLinePunct w:val="0"/>
              <w:autoSpaceDE/>
              <w:autoSpaceDN/>
              <w:bidi w:val="0"/>
              <w:spacing w:line="380" w:lineRule="exact"/>
              <w:textAlignment w:val="auto"/>
              <w:rPr>
                <w:bCs/>
                <w:color w:val="000000"/>
                <w:kern w:val="0"/>
                <w:szCs w:val="21"/>
                <w:highlight w:val="none"/>
              </w:rPr>
            </w:pPr>
            <w:r>
              <w:rPr>
                <w:bCs/>
                <w:color w:val="000000"/>
                <w:kern w:val="0"/>
                <w:szCs w:val="21"/>
                <w:highlight w:val="none"/>
              </w:rPr>
              <w:t>根据投标人提供的供货方案（包含但不限于交货方式、供货保障流程、供货实施步骤等内容）进行综合评议。</w:t>
            </w:r>
          </w:p>
          <w:p>
            <w:pPr>
              <w:keepLines/>
              <w:pageBreakBefore w:val="0"/>
              <w:kinsoku/>
              <w:overflowPunct/>
              <w:topLinePunct w:val="0"/>
              <w:autoSpaceDE/>
              <w:autoSpaceDN/>
              <w:bidi w:val="0"/>
              <w:spacing w:line="380" w:lineRule="exact"/>
              <w:textAlignment w:val="auto"/>
              <w:rPr>
                <w:bCs/>
                <w:color w:val="000000"/>
                <w:kern w:val="0"/>
                <w:szCs w:val="21"/>
                <w:highlight w:val="none"/>
              </w:rPr>
            </w:pPr>
            <w:r>
              <w:rPr>
                <w:bCs/>
                <w:color w:val="000000"/>
                <w:kern w:val="0"/>
                <w:szCs w:val="21"/>
                <w:highlight w:val="none"/>
              </w:rPr>
              <w:t>交货期满足招标文件要求、交货方式切合实际需求、供货保障流程设计合理、供货实施步骤清晰，能确保供货的得</w:t>
            </w:r>
            <w:r>
              <w:rPr>
                <w:rFonts w:hint="eastAsia"/>
                <w:bCs/>
                <w:color w:val="000000"/>
                <w:kern w:val="0"/>
                <w:szCs w:val="21"/>
                <w:highlight w:val="none"/>
                <w:lang w:val="en-US" w:eastAsia="zh-CN"/>
              </w:rPr>
              <w:t>4</w:t>
            </w:r>
            <w:r>
              <w:rPr>
                <w:bCs/>
                <w:color w:val="000000"/>
                <w:kern w:val="0"/>
                <w:szCs w:val="21"/>
                <w:highlight w:val="none"/>
              </w:rPr>
              <w:t>分；</w:t>
            </w:r>
          </w:p>
          <w:p>
            <w:pPr>
              <w:keepLines/>
              <w:pageBreakBefore w:val="0"/>
              <w:kinsoku/>
              <w:overflowPunct/>
              <w:topLinePunct w:val="0"/>
              <w:autoSpaceDE/>
              <w:autoSpaceDN/>
              <w:bidi w:val="0"/>
              <w:spacing w:line="380" w:lineRule="exact"/>
              <w:textAlignment w:val="auto"/>
              <w:rPr>
                <w:bCs/>
                <w:color w:val="000000"/>
                <w:kern w:val="0"/>
                <w:szCs w:val="21"/>
                <w:highlight w:val="none"/>
              </w:rPr>
            </w:pPr>
            <w:r>
              <w:rPr>
                <w:bCs/>
                <w:color w:val="000000"/>
                <w:kern w:val="0"/>
                <w:szCs w:val="21"/>
                <w:highlight w:val="none"/>
              </w:rPr>
              <w:t>交货期限满足招标文件要求、但交货方式有缺漏、部分细节有待补充，基本能确保供货的得</w:t>
            </w:r>
            <w:r>
              <w:rPr>
                <w:rFonts w:hint="eastAsia"/>
                <w:bCs/>
                <w:color w:val="000000"/>
                <w:kern w:val="0"/>
                <w:szCs w:val="21"/>
                <w:highlight w:val="none"/>
                <w:lang w:val="en-US" w:eastAsia="zh-CN"/>
              </w:rPr>
              <w:t>2</w:t>
            </w:r>
            <w:r>
              <w:rPr>
                <w:bCs/>
                <w:color w:val="000000"/>
                <w:kern w:val="0"/>
                <w:szCs w:val="21"/>
                <w:highlight w:val="none"/>
              </w:rPr>
              <w:t>分；</w:t>
            </w:r>
          </w:p>
          <w:p>
            <w:pPr>
              <w:keepLines/>
              <w:pageBreakBefore w:val="0"/>
              <w:kinsoku/>
              <w:overflowPunct/>
              <w:topLinePunct w:val="0"/>
              <w:autoSpaceDE/>
              <w:autoSpaceDN/>
              <w:bidi w:val="0"/>
              <w:spacing w:line="380" w:lineRule="exact"/>
              <w:textAlignment w:val="auto"/>
              <w:rPr>
                <w:bCs/>
                <w:color w:val="000000"/>
                <w:kern w:val="0"/>
                <w:szCs w:val="21"/>
                <w:highlight w:val="none"/>
              </w:rPr>
            </w:pPr>
            <w:r>
              <w:rPr>
                <w:bCs/>
                <w:color w:val="000000"/>
                <w:kern w:val="0"/>
                <w:szCs w:val="21"/>
                <w:highlight w:val="none"/>
              </w:rPr>
              <w:t>交货期限满足招标文件要求，供货方案不完整，实际操作存在延迟交货风险的得</w:t>
            </w:r>
            <w:r>
              <w:rPr>
                <w:rFonts w:hint="eastAsia"/>
                <w:bCs/>
                <w:color w:val="000000"/>
                <w:kern w:val="0"/>
                <w:szCs w:val="21"/>
                <w:highlight w:val="none"/>
                <w:lang w:val="en-US" w:eastAsia="zh-CN"/>
              </w:rPr>
              <w:t>1</w:t>
            </w:r>
            <w:r>
              <w:rPr>
                <w:bCs/>
                <w:color w:val="000000"/>
                <w:kern w:val="0"/>
                <w:szCs w:val="21"/>
                <w:highlight w:val="none"/>
              </w:rPr>
              <w:t>分；</w:t>
            </w:r>
          </w:p>
          <w:p>
            <w:pPr>
              <w:pageBreakBefore w:val="0"/>
              <w:kinsoku/>
              <w:overflowPunct/>
              <w:topLinePunct w:val="0"/>
              <w:autoSpaceDE/>
              <w:autoSpaceDN/>
              <w:bidi w:val="0"/>
              <w:spacing w:line="380" w:lineRule="exact"/>
              <w:textAlignment w:val="auto"/>
              <w:rPr>
                <w:rFonts w:hint="eastAsia" w:ascii="宋体" w:hAnsi="宋体" w:cs="宋体"/>
                <w:bCs/>
                <w:color w:val="000000"/>
                <w:szCs w:val="21"/>
                <w:highlight w:val="none"/>
                <w:lang w:bidi="ar"/>
              </w:rPr>
            </w:pPr>
            <w:r>
              <w:rPr>
                <w:bCs/>
                <w:color w:val="000000"/>
                <w:szCs w:val="21"/>
                <w:highlight w:val="none"/>
              </w:rPr>
              <w:t>未提供相应内容的不得分。</w:t>
            </w:r>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trPr>
        <w:tc>
          <w:tcPr>
            <w:tcW w:w="714" w:type="dxa"/>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7</w:t>
            </w:r>
          </w:p>
        </w:tc>
        <w:tc>
          <w:tcPr>
            <w:tcW w:w="1170" w:type="dxa"/>
            <w:tcBorders>
              <w:right w:val="single" w:color="000000" w:sz="4" w:space="0"/>
            </w:tcBorders>
            <w:vAlign w:val="center"/>
          </w:tcPr>
          <w:p>
            <w:pPr>
              <w:pageBreakBefore w:val="0"/>
              <w:kinsoku/>
              <w:overflowPunct/>
              <w:topLinePunct w:val="0"/>
              <w:autoSpaceDE/>
              <w:autoSpaceDN/>
              <w:bidi w:val="0"/>
              <w:spacing w:line="380" w:lineRule="exact"/>
              <w:jc w:val="center"/>
              <w:textAlignment w:val="auto"/>
              <w:rPr>
                <w:rFonts w:ascii="Times New Roman" w:hAnsi="Times New Roman" w:eastAsia="宋体" w:cs="Times New Roman"/>
                <w:kern w:val="2"/>
                <w:sz w:val="21"/>
                <w:szCs w:val="21"/>
                <w:lang w:val="en-US" w:eastAsia="zh-CN" w:bidi="ar-SA"/>
              </w:rPr>
            </w:pPr>
            <w:r>
              <w:rPr>
                <w:szCs w:val="21"/>
              </w:rPr>
              <w:t>安装方案</w:t>
            </w:r>
          </w:p>
        </w:tc>
        <w:tc>
          <w:tcPr>
            <w:tcW w:w="6209" w:type="dxa"/>
            <w:tcBorders>
              <w:left w:val="single" w:color="000000" w:sz="4" w:space="0"/>
            </w:tcBorders>
            <w:vAlign w:val="center"/>
          </w:tcPr>
          <w:p>
            <w:pPr>
              <w:keepLines/>
              <w:pageBreakBefore w:val="0"/>
              <w:kinsoku/>
              <w:overflowPunct/>
              <w:topLinePunct w:val="0"/>
              <w:autoSpaceDE/>
              <w:autoSpaceDN/>
              <w:bidi w:val="0"/>
              <w:spacing w:line="380" w:lineRule="exact"/>
              <w:textAlignment w:val="auto"/>
              <w:rPr>
                <w:bCs/>
                <w:color w:val="000000"/>
                <w:kern w:val="0"/>
                <w:szCs w:val="21"/>
              </w:rPr>
            </w:pPr>
            <w:r>
              <w:rPr>
                <w:bCs/>
                <w:color w:val="000000"/>
                <w:kern w:val="0"/>
                <w:szCs w:val="21"/>
              </w:rPr>
              <w:t>根据投标人提供的安装方案（包含但不限于安装方案、安装人员、调试等内容）进行综合评议。</w:t>
            </w:r>
          </w:p>
          <w:p>
            <w:pPr>
              <w:keepLines/>
              <w:pageBreakBefore w:val="0"/>
              <w:kinsoku/>
              <w:overflowPunct/>
              <w:topLinePunct w:val="0"/>
              <w:autoSpaceDE/>
              <w:autoSpaceDN/>
              <w:bidi w:val="0"/>
              <w:spacing w:line="380" w:lineRule="exact"/>
              <w:textAlignment w:val="auto"/>
              <w:rPr>
                <w:bCs/>
                <w:color w:val="000000"/>
              </w:rPr>
            </w:pPr>
            <w:r>
              <w:rPr>
                <w:bCs/>
                <w:color w:val="000000"/>
              </w:rPr>
              <w:t>安装方法得当、安装人员配置贴合实际需求、调试方法科学明确、开箱调试方式科学，能确保产品正常安装并通过验收的得</w:t>
            </w:r>
            <w:r>
              <w:rPr>
                <w:rFonts w:hint="eastAsia"/>
                <w:bCs/>
                <w:color w:val="000000"/>
                <w:lang w:val="en-US" w:eastAsia="zh-CN"/>
              </w:rPr>
              <w:t>6</w:t>
            </w:r>
            <w:r>
              <w:rPr>
                <w:bCs/>
                <w:color w:val="000000"/>
              </w:rPr>
              <w:t>分；</w:t>
            </w:r>
          </w:p>
          <w:p>
            <w:pPr>
              <w:keepLines/>
              <w:pageBreakBefore w:val="0"/>
              <w:kinsoku/>
              <w:overflowPunct/>
              <w:topLinePunct w:val="0"/>
              <w:autoSpaceDE/>
              <w:autoSpaceDN/>
              <w:bidi w:val="0"/>
              <w:spacing w:line="380" w:lineRule="exact"/>
              <w:textAlignment w:val="auto"/>
              <w:rPr>
                <w:bCs/>
                <w:color w:val="000000"/>
              </w:rPr>
            </w:pPr>
            <w:r>
              <w:rPr>
                <w:bCs/>
                <w:color w:val="000000"/>
              </w:rPr>
              <w:t>安装调试方案中涉及安装方法、安装人员配置、调试方法、开箱调试方式，但内容笼统细节不完善的得</w:t>
            </w:r>
            <w:r>
              <w:rPr>
                <w:rFonts w:hint="eastAsia"/>
                <w:bCs/>
                <w:color w:val="000000"/>
                <w:lang w:val="en-US" w:eastAsia="zh-CN"/>
              </w:rPr>
              <w:t>4</w:t>
            </w:r>
            <w:r>
              <w:rPr>
                <w:bCs/>
                <w:color w:val="000000"/>
              </w:rPr>
              <w:t>分；</w:t>
            </w:r>
          </w:p>
          <w:p>
            <w:pPr>
              <w:keepLines/>
              <w:pageBreakBefore w:val="0"/>
              <w:kinsoku/>
              <w:overflowPunct/>
              <w:topLinePunct w:val="0"/>
              <w:autoSpaceDE/>
              <w:autoSpaceDN/>
              <w:bidi w:val="0"/>
              <w:spacing w:line="380" w:lineRule="exact"/>
              <w:textAlignment w:val="auto"/>
              <w:rPr>
                <w:bCs/>
                <w:color w:val="000000"/>
              </w:rPr>
            </w:pPr>
            <w:r>
              <w:rPr>
                <w:bCs/>
                <w:color w:val="000000"/>
              </w:rPr>
              <w:t>安装调试方案不完整，实际操作有无法保证产品正常安装风险的得</w:t>
            </w:r>
            <w:r>
              <w:rPr>
                <w:rFonts w:hint="eastAsia"/>
                <w:bCs/>
                <w:color w:val="000000"/>
                <w:lang w:val="en-US" w:eastAsia="zh-CN"/>
              </w:rPr>
              <w:t>2</w:t>
            </w:r>
            <w:r>
              <w:rPr>
                <w:bCs/>
                <w:color w:val="000000"/>
              </w:rPr>
              <w:t>分；</w:t>
            </w:r>
          </w:p>
          <w:p>
            <w:pPr>
              <w:keepLines/>
              <w:pageBreakBefore w:val="0"/>
              <w:kinsoku/>
              <w:overflowPunct/>
              <w:topLinePunct w:val="0"/>
              <w:autoSpaceDE/>
              <w:autoSpaceDN/>
              <w:bidi w:val="0"/>
              <w:spacing w:line="380" w:lineRule="exact"/>
              <w:textAlignment w:val="auto"/>
              <w:rPr>
                <w:rFonts w:ascii="Times New Roman" w:hAnsi="Times New Roman" w:eastAsia="宋体" w:cs="Times New Roman"/>
                <w:bCs/>
                <w:color w:val="000000"/>
                <w:kern w:val="2"/>
                <w:sz w:val="21"/>
                <w:szCs w:val="21"/>
                <w:lang w:val="en-US" w:eastAsia="zh-CN" w:bidi="ar-SA"/>
              </w:rPr>
            </w:pPr>
            <w:r>
              <w:rPr>
                <w:bCs/>
                <w:color w:val="000000"/>
                <w:szCs w:val="21"/>
              </w:rPr>
              <w:t>未提供相应内容的得</w:t>
            </w:r>
            <w:r>
              <w:rPr>
                <w:rFonts w:hint="eastAsia"/>
                <w:bCs/>
                <w:color w:val="000000"/>
                <w:szCs w:val="21"/>
                <w:lang w:val="en-US" w:eastAsia="zh-CN"/>
              </w:rPr>
              <w:t>0</w:t>
            </w:r>
            <w:r>
              <w:rPr>
                <w:bCs/>
                <w:color w:val="000000"/>
                <w:szCs w:val="21"/>
              </w:rPr>
              <w:t>分。</w:t>
            </w:r>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9" w:hRule="atLeast"/>
        </w:trPr>
        <w:tc>
          <w:tcPr>
            <w:tcW w:w="714" w:type="dxa"/>
            <w:vAlign w:val="center"/>
          </w:tcPr>
          <w:p>
            <w:pPr>
              <w:pageBreakBefore w:val="0"/>
              <w:kinsoku/>
              <w:overflowPunct/>
              <w:topLinePunct w:val="0"/>
              <w:autoSpaceDE/>
              <w:autoSpaceDN/>
              <w:bidi w:val="0"/>
              <w:spacing w:line="38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8</w:t>
            </w:r>
          </w:p>
        </w:tc>
        <w:tc>
          <w:tcPr>
            <w:tcW w:w="1170" w:type="dxa"/>
            <w:tcBorders>
              <w:right w:val="single" w:color="000000" w:sz="4" w:space="0"/>
            </w:tcBorders>
            <w:vAlign w:val="center"/>
          </w:tcPr>
          <w:p>
            <w:pPr>
              <w:pStyle w:val="130"/>
              <w:pageBreakBefore w:val="0"/>
              <w:kinsoku/>
              <w:overflowPunct/>
              <w:topLinePunct w:val="0"/>
              <w:autoSpaceDE/>
              <w:autoSpaceDN/>
              <w:bidi w:val="0"/>
              <w:spacing w:line="380" w:lineRule="exact"/>
              <w:ind w:left="0" w:leftChars="0" w:firstLine="0" w:firstLineChars="0"/>
              <w:jc w:val="both"/>
              <w:textAlignment w:val="auto"/>
              <w:rPr>
                <w:color w:val="auto"/>
                <w:sz w:val="21"/>
                <w:szCs w:val="21"/>
                <w:highlight w:val="none"/>
              </w:rPr>
            </w:pPr>
            <w:r>
              <w:rPr>
                <w:rFonts w:hint="eastAsia" w:ascii="宋体" w:hAnsi="宋体"/>
                <w:color w:val="auto"/>
                <w:sz w:val="21"/>
                <w:szCs w:val="21"/>
                <w:highlight w:val="none"/>
              </w:rPr>
              <w:t>技术培训</w:t>
            </w:r>
          </w:p>
        </w:tc>
        <w:tc>
          <w:tcPr>
            <w:tcW w:w="6209" w:type="dxa"/>
            <w:tcBorders>
              <w:left w:val="single" w:color="000000" w:sz="4" w:space="0"/>
            </w:tcBorders>
            <w:vAlign w:val="center"/>
          </w:tcPr>
          <w:p>
            <w:pPr>
              <w:pStyle w:val="130"/>
              <w:pageBreakBefore w:val="0"/>
              <w:kinsoku/>
              <w:overflowPunct/>
              <w:topLinePunct w:val="0"/>
              <w:autoSpaceDE/>
              <w:autoSpaceDN/>
              <w:bidi w:val="0"/>
              <w:spacing w:line="380" w:lineRule="exact"/>
              <w:ind w:left="0" w:leftChars="0" w:firstLine="0" w:firstLineChars="0"/>
              <w:textAlignment w:val="auto"/>
              <w:rPr>
                <w:rFonts w:ascii="宋体" w:hAnsi="宋体"/>
                <w:color w:val="auto"/>
                <w:sz w:val="21"/>
                <w:szCs w:val="21"/>
                <w:highlight w:val="none"/>
              </w:rPr>
            </w:pPr>
            <w:r>
              <w:rPr>
                <w:rFonts w:hint="eastAsia" w:ascii="宋体" w:hAnsi="宋体"/>
                <w:color w:val="auto"/>
                <w:sz w:val="21"/>
                <w:szCs w:val="21"/>
                <w:highlight w:val="none"/>
              </w:rPr>
              <w:t>根据投标人提供的项目技术培训方案（包括但不限于在网络系统运行中出现故障时的应急处理措施、网络系统常规操作手册资料等内容）进行综合评议</w:t>
            </w:r>
          </w:p>
          <w:p>
            <w:pPr>
              <w:pageBreakBefore w:val="0"/>
              <w:widowControl/>
              <w:kinsoku/>
              <w:overflowPunct/>
              <w:topLinePunct w:val="0"/>
              <w:autoSpaceDE/>
              <w:autoSpaceDN/>
              <w:bidi w:val="0"/>
              <w:spacing w:line="380" w:lineRule="exact"/>
              <w:jc w:val="left"/>
              <w:textAlignment w:val="auto"/>
              <w:rPr>
                <w:rFonts w:ascii="宋体" w:hAnsi="宋体" w:cs="宋体"/>
                <w:sz w:val="21"/>
                <w:szCs w:val="21"/>
                <w:highlight w:val="none"/>
                <w:lang w:bidi="ar"/>
              </w:rPr>
            </w:pPr>
            <w:r>
              <w:rPr>
                <w:rFonts w:hint="eastAsia" w:ascii="宋体" w:hAnsi="宋体" w:cs="宋体"/>
                <w:sz w:val="21"/>
                <w:szCs w:val="21"/>
                <w:highlight w:val="none"/>
                <w:lang w:bidi="ar"/>
              </w:rPr>
              <w:t>①</w:t>
            </w:r>
            <w:r>
              <w:rPr>
                <w:rFonts w:hint="eastAsia" w:ascii="宋体" w:hAnsi="宋体"/>
                <w:sz w:val="21"/>
                <w:szCs w:val="21"/>
                <w:highlight w:val="none"/>
              </w:rPr>
              <w:t>系统网络运行中出现故障时的应急处理措施规范，在处理过程中能快速解决问题、达到应急应用效果</w:t>
            </w:r>
            <w:r>
              <w:rPr>
                <w:rFonts w:hint="eastAsia" w:ascii="宋体" w:hAnsi="宋体" w:cs="宋体"/>
                <w:sz w:val="21"/>
                <w:szCs w:val="21"/>
                <w:highlight w:val="none"/>
              </w:rPr>
              <w:t>，</w:t>
            </w:r>
            <w:r>
              <w:rPr>
                <w:rFonts w:hint="eastAsia" w:ascii="宋体" w:hAnsi="宋体"/>
                <w:sz w:val="21"/>
                <w:szCs w:val="21"/>
                <w:highlight w:val="none"/>
              </w:rPr>
              <w:t>系统网络常规操作手册资料内切实满足项目实际需求、操作手册条理、逻辑清晰，能高效指导技术人员对网络系统的操作的</w:t>
            </w:r>
            <w:r>
              <w:rPr>
                <w:rFonts w:hint="eastAsia" w:ascii="宋体" w:hAnsi="宋体" w:cs="宋体"/>
                <w:bCs/>
                <w:sz w:val="21"/>
                <w:szCs w:val="21"/>
                <w:highlight w:val="none"/>
              </w:rPr>
              <w:t>得</w:t>
            </w:r>
            <w:r>
              <w:rPr>
                <w:rFonts w:hint="eastAsia" w:ascii="宋体" w:hAnsi="宋体" w:cs="宋体"/>
                <w:bCs/>
                <w:sz w:val="21"/>
                <w:szCs w:val="21"/>
                <w:highlight w:val="none"/>
                <w:lang w:val="en-US" w:eastAsia="zh-CN"/>
              </w:rPr>
              <w:t>3</w:t>
            </w:r>
            <w:r>
              <w:rPr>
                <w:rFonts w:hint="eastAsia" w:ascii="宋体" w:hAnsi="宋体" w:cs="宋体"/>
                <w:bCs/>
                <w:sz w:val="21"/>
                <w:szCs w:val="21"/>
                <w:highlight w:val="none"/>
              </w:rPr>
              <w:t>分；</w:t>
            </w:r>
          </w:p>
          <w:p>
            <w:pPr>
              <w:pageBreakBefore w:val="0"/>
              <w:widowControl/>
              <w:kinsoku/>
              <w:overflowPunct/>
              <w:topLinePunct w:val="0"/>
              <w:autoSpaceDE/>
              <w:autoSpaceDN/>
              <w:bidi w:val="0"/>
              <w:spacing w:line="380" w:lineRule="exact"/>
              <w:jc w:val="left"/>
              <w:textAlignment w:val="auto"/>
              <w:rPr>
                <w:rFonts w:ascii="宋体" w:hAnsi="宋体" w:cs="宋体"/>
                <w:bCs/>
                <w:sz w:val="21"/>
                <w:szCs w:val="21"/>
                <w:highlight w:val="none"/>
              </w:rPr>
            </w:pPr>
            <w:r>
              <w:rPr>
                <w:rFonts w:hint="eastAsia" w:ascii="宋体" w:hAnsi="宋体" w:cs="宋体"/>
                <w:sz w:val="21"/>
                <w:szCs w:val="21"/>
                <w:highlight w:val="none"/>
                <w:lang w:bidi="ar"/>
              </w:rPr>
              <w:t>②</w:t>
            </w:r>
            <w:r>
              <w:rPr>
                <w:rFonts w:hint="eastAsia" w:ascii="宋体" w:hAnsi="宋体"/>
                <w:sz w:val="21"/>
                <w:szCs w:val="21"/>
                <w:highlight w:val="none"/>
              </w:rPr>
              <w:t>系统网络运行中出现故障时的应急处理措施相对规范，在处理过程中能较快速解决问题、基本达到应急应用效果</w:t>
            </w:r>
            <w:r>
              <w:rPr>
                <w:rFonts w:hint="eastAsia" w:ascii="宋体" w:hAnsi="宋体" w:cs="宋体"/>
                <w:sz w:val="21"/>
                <w:szCs w:val="21"/>
                <w:highlight w:val="none"/>
              </w:rPr>
              <w:t>，</w:t>
            </w:r>
            <w:r>
              <w:rPr>
                <w:rFonts w:hint="eastAsia" w:ascii="宋体" w:hAnsi="宋体"/>
                <w:sz w:val="21"/>
                <w:szCs w:val="21"/>
                <w:highlight w:val="none"/>
              </w:rPr>
              <w:t>系统网络常规操作手册资料内基本满足项目实际需求、操作手册内容条理相对清晰，能基本满足指导技术人员对网络系统的操作的</w:t>
            </w:r>
            <w:r>
              <w:rPr>
                <w:rFonts w:hint="eastAsia" w:ascii="宋体" w:hAnsi="宋体" w:cs="宋体"/>
                <w:bCs/>
                <w:sz w:val="21"/>
                <w:szCs w:val="21"/>
                <w:highlight w:val="none"/>
              </w:rPr>
              <w:t>得</w:t>
            </w:r>
            <w:r>
              <w:rPr>
                <w:rFonts w:hint="eastAsia" w:ascii="宋体" w:hAnsi="宋体" w:cs="宋体"/>
                <w:bCs/>
                <w:sz w:val="21"/>
                <w:szCs w:val="21"/>
                <w:highlight w:val="none"/>
                <w:lang w:val="en-US" w:eastAsia="zh-CN"/>
              </w:rPr>
              <w:t>2</w:t>
            </w:r>
            <w:r>
              <w:rPr>
                <w:rFonts w:hint="eastAsia" w:ascii="宋体" w:hAnsi="宋体" w:cs="宋体"/>
                <w:bCs/>
                <w:sz w:val="21"/>
                <w:szCs w:val="21"/>
                <w:highlight w:val="none"/>
              </w:rPr>
              <w:t>分；</w:t>
            </w:r>
          </w:p>
          <w:p>
            <w:pPr>
              <w:pageBreakBefore w:val="0"/>
              <w:widowControl/>
              <w:kinsoku/>
              <w:overflowPunct/>
              <w:topLinePunct w:val="0"/>
              <w:autoSpaceDE/>
              <w:autoSpaceDN/>
              <w:bidi w:val="0"/>
              <w:spacing w:line="380" w:lineRule="exact"/>
              <w:jc w:val="left"/>
              <w:textAlignment w:val="auto"/>
              <w:rPr>
                <w:rFonts w:ascii="宋体" w:hAnsi="宋体" w:cs="宋体"/>
                <w:bCs/>
                <w:sz w:val="21"/>
                <w:szCs w:val="21"/>
                <w:highlight w:val="none"/>
              </w:rPr>
            </w:pPr>
            <w:r>
              <w:rPr>
                <w:rFonts w:hint="eastAsia" w:ascii="宋体" w:hAnsi="宋体" w:cs="宋体"/>
                <w:bCs/>
                <w:sz w:val="21"/>
                <w:szCs w:val="21"/>
                <w:highlight w:val="none"/>
              </w:rPr>
              <w:t>③</w:t>
            </w:r>
            <w:r>
              <w:rPr>
                <w:rFonts w:hint="eastAsia" w:ascii="宋体" w:hAnsi="宋体"/>
                <w:sz w:val="21"/>
                <w:szCs w:val="21"/>
                <w:highlight w:val="none"/>
              </w:rPr>
              <w:t>系统网络运行中出现故障时的应急处理措施不规范，在处理过程中不能快速解决问题、未能达到应急应用效果</w:t>
            </w:r>
            <w:r>
              <w:rPr>
                <w:rFonts w:hint="eastAsia" w:ascii="宋体" w:hAnsi="宋体" w:cs="宋体"/>
                <w:sz w:val="21"/>
                <w:szCs w:val="21"/>
                <w:highlight w:val="none"/>
              </w:rPr>
              <w:t>，</w:t>
            </w:r>
            <w:r>
              <w:rPr>
                <w:rFonts w:hint="eastAsia" w:ascii="宋体" w:hAnsi="宋体"/>
                <w:sz w:val="21"/>
                <w:szCs w:val="21"/>
                <w:highlight w:val="none"/>
              </w:rPr>
              <w:t>系统网络常规操作手册资料内不能满足项目实际需求、操作手册内容条理不清晰，前后矛盾，不能指导技术人员对网络系统的操作的</w:t>
            </w:r>
            <w:r>
              <w:rPr>
                <w:rFonts w:hint="eastAsia" w:ascii="宋体" w:hAnsi="宋体" w:cs="宋体"/>
                <w:bCs/>
                <w:sz w:val="21"/>
                <w:szCs w:val="21"/>
                <w:highlight w:val="none"/>
              </w:rPr>
              <w:t>得</w:t>
            </w:r>
            <w:r>
              <w:rPr>
                <w:rFonts w:hint="eastAsia" w:ascii="宋体" w:hAnsi="宋体" w:cs="宋体"/>
                <w:bCs/>
                <w:sz w:val="21"/>
                <w:szCs w:val="21"/>
                <w:highlight w:val="none"/>
                <w:lang w:val="en-US" w:eastAsia="zh-CN"/>
              </w:rPr>
              <w:t>1</w:t>
            </w:r>
            <w:r>
              <w:rPr>
                <w:rFonts w:hint="eastAsia" w:ascii="宋体" w:hAnsi="宋体" w:cs="宋体"/>
                <w:bCs/>
                <w:sz w:val="21"/>
                <w:szCs w:val="21"/>
                <w:highlight w:val="none"/>
              </w:rPr>
              <w:t>分；</w:t>
            </w:r>
          </w:p>
          <w:p>
            <w:pPr>
              <w:pStyle w:val="130"/>
              <w:keepNext w:val="0"/>
              <w:keepLines w:val="0"/>
              <w:pageBreakBefore w:val="0"/>
              <w:widowControl w:val="0"/>
              <w:kinsoku/>
              <w:wordWrap/>
              <w:overflowPunct/>
              <w:topLinePunct w:val="0"/>
              <w:autoSpaceDE/>
              <w:autoSpaceDN/>
              <w:bidi w:val="0"/>
              <w:adjustRightInd/>
              <w:snapToGrid/>
              <w:spacing w:beforeLines="0" w:afterLines="0" w:line="380" w:lineRule="exact"/>
              <w:ind w:left="0" w:leftChars="0" w:firstLine="0" w:firstLineChars="0"/>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④未提供此项的得0分。</w:t>
            </w:r>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eastAsia="zh-CN"/>
              </w:rPr>
            </w:pPr>
            <w:r>
              <w:rPr>
                <w:rFonts w:hint="eastAsia"/>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ageBreakBefore w:val="0"/>
              <w:kinsoku/>
              <w:overflowPunct/>
              <w:topLinePunct w:val="0"/>
              <w:autoSpaceDE/>
              <w:autoSpaceDN/>
              <w:bidi w:val="0"/>
              <w:spacing w:line="380" w:lineRule="exact"/>
              <w:jc w:val="center"/>
              <w:textAlignment w:val="auto"/>
              <w:rPr>
                <w:rFonts w:hint="default"/>
                <w:sz w:val="21"/>
                <w:szCs w:val="21"/>
                <w:highlight w:val="none"/>
                <w:lang w:val="en-US" w:eastAsia="zh-CN"/>
              </w:rPr>
            </w:pPr>
            <w:r>
              <w:rPr>
                <w:rFonts w:hint="eastAsia"/>
                <w:sz w:val="21"/>
                <w:szCs w:val="21"/>
                <w:highlight w:val="none"/>
                <w:lang w:val="en-US" w:eastAsia="zh-CN"/>
              </w:rPr>
              <w:t>9</w:t>
            </w:r>
          </w:p>
        </w:tc>
        <w:tc>
          <w:tcPr>
            <w:tcW w:w="1170" w:type="dxa"/>
            <w:tcBorders>
              <w:right w:val="single" w:color="000000" w:sz="4" w:space="0"/>
            </w:tcBorders>
            <w:vAlign w:val="center"/>
          </w:tcPr>
          <w:p>
            <w:pPr>
              <w:pageBreakBefore w:val="0"/>
              <w:kinsoku/>
              <w:overflowPunct/>
              <w:topLinePunct w:val="0"/>
              <w:autoSpaceDE/>
              <w:autoSpaceDN/>
              <w:bidi w:val="0"/>
              <w:spacing w:line="380" w:lineRule="exact"/>
              <w:jc w:val="center"/>
              <w:textAlignment w:val="auto"/>
              <w:rPr>
                <w:rFonts w:hint="eastAsia" w:ascii="Times New Roman" w:hAnsi="Times New Roman" w:eastAsia="宋体" w:cs="Times New Roman"/>
                <w:kern w:val="2"/>
                <w:sz w:val="21"/>
                <w:szCs w:val="21"/>
                <w:lang w:val="en-US" w:eastAsia="zh-CN" w:bidi="ar-SA"/>
              </w:rPr>
            </w:pPr>
            <w:r>
              <w:rPr>
                <w:szCs w:val="21"/>
              </w:rPr>
              <w:t>项目负责人资质证书</w:t>
            </w:r>
          </w:p>
        </w:tc>
        <w:tc>
          <w:tcPr>
            <w:tcW w:w="6209" w:type="dxa"/>
            <w:tcBorders>
              <w:left w:val="single" w:color="000000" w:sz="4" w:space="0"/>
            </w:tcBorders>
            <w:vAlign w:val="center"/>
          </w:tcPr>
          <w:p>
            <w:pPr>
              <w:pageBreakBefore w:val="0"/>
              <w:kinsoku/>
              <w:overflowPunct/>
              <w:topLinePunct w:val="0"/>
              <w:autoSpaceDE/>
              <w:autoSpaceDN/>
              <w:bidi w:val="0"/>
              <w:spacing w:line="380" w:lineRule="exact"/>
              <w:textAlignment w:val="auto"/>
              <w:rPr>
                <w:szCs w:val="21"/>
              </w:rPr>
            </w:pPr>
            <w:r>
              <w:rPr>
                <w:szCs w:val="21"/>
              </w:rPr>
              <w:t xml:space="preserve">投标人拟派的项目负责人具有高级信息系统项目管理师证书的得2分，未提供不得分。 </w:t>
            </w:r>
          </w:p>
          <w:p>
            <w:pPr>
              <w:pageBreakBefore w:val="0"/>
              <w:kinsoku/>
              <w:overflowPunct/>
              <w:topLinePunct w:val="0"/>
              <w:autoSpaceDE/>
              <w:autoSpaceDN/>
              <w:bidi w:val="0"/>
              <w:spacing w:line="380" w:lineRule="exact"/>
              <w:textAlignment w:val="auto"/>
              <w:rPr>
                <w:rFonts w:hint="eastAsia" w:ascii="Times New Roman" w:hAnsi="Times New Roman" w:eastAsia="宋体" w:cs="Times New Roman"/>
                <w:kern w:val="2"/>
                <w:sz w:val="21"/>
                <w:szCs w:val="21"/>
                <w:lang w:val="en-US" w:eastAsia="zh-CN" w:bidi="ar-SA"/>
              </w:rPr>
            </w:pPr>
            <w:r>
              <w:rPr>
                <w:szCs w:val="21"/>
              </w:rPr>
              <w:t>备注：需提供资质证书复印件及投标截止时间前三个月任意一个月投标人为其缴纳社保证明复印件加盖投标人公章。</w:t>
            </w:r>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ageBreakBefore w:val="0"/>
              <w:kinsoku/>
              <w:overflowPunct/>
              <w:topLinePunct w:val="0"/>
              <w:autoSpaceDE/>
              <w:autoSpaceDN/>
              <w:bidi w:val="0"/>
              <w:spacing w:line="380" w:lineRule="exact"/>
              <w:jc w:val="center"/>
              <w:textAlignment w:val="auto"/>
              <w:rPr>
                <w:rFonts w:hint="default"/>
                <w:sz w:val="21"/>
                <w:szCs w:val="21"/>
                <w:highlight w:val="none"/>
                <w:lang w:val="en-US" w:eastAsia="zh-CN"/>
              </w:rPr>
            </w:pPr>
            <w:r>
              <w:rPr>
                <w:rFonts w:hint="eastAsia"/>
                <w:sz w:val="21"/>
                <w:szCs w:val="21"/>
                <w:highlight w:val="none"/>
                <w:lang w:val="en-US" w:eastAsia="zh-CN"/>
              </w:rPr>
              <w:t>10</w:t>
            </w:r>
          </w:p>
        </w:tc>
        <w:tc>
          <w:tcPr>
            <w:tcW w:w="1170" w:type="dxa"/>
            <w:tcBorders>
              <w:right w:val="single" w:color="000000" w:sz="4" w:space="0"/>
            </w:tcBorders>
            <w:vAlign w:val="center"/>
          </w:tcPr>
          <w:p>
            <w:pPr>
              <w:pageBreakBefore w:val="0"/>
              <w:kinsoku/>
              <w:overflowPunct/>
              <w:topLinePunct w:val="0"/>
              <w:autoSpaceDE/>
              <w:autoSpaceDN/>
              <w:bidi w:val="0"/>
              <w:spacing w:line="380" w:lineRule="exact"/>
              <w:jc w:val="center"/>
              <w:textAlignment w:val="auto"/>
              <w:rPr>
                <w:rFonts w:hint="eastAsia" w:ascii="Times New Roman" w:hAnsi="Times New Roman" w:eastAsia="宋体" w:cs="Times New Roman"/>
                <w:kern w:val="2"/>
                <w:sz w:val="21"/>
                <w:szCs w:val="21"/>
                <w:lang w:val="en-US" w:eastAsia="zh-CN" w:bidi="ar-SA"/>
              </w:rPr>
            </w:pPr>
            <w:bookmarkStart w:id="172" w:name="OLE_LINK18"/>
            <w:r>
              <w:rPr>
                <w:szCs w:val="21"/>
              </w:rPr>
              <w:t>项目组人员资质证书</w:t>
            </w:r>
            <w:bookmarkEnd w:id="172"/>
          </w:p>
        </w:tc>
        <w:tc>
          <w:tcPr>
            <w:tcW w:w="6209" w:type="dxa"/>
            <w:tcBorders>
              <w:left w:val="single" w:color="000000" w:sz="4" w:space="0"/>
            </w:tcBorders>
            <w:vAlign w:val="center"/>
          </w:tcPr>
          <w:p>
            <w:pPr>
              <w:pageBreakBefore w:val="0"/>
              <w:kinsoku/>
              <w:overflowPunct/>
              <w:topLinePunct w:val="0"/>
              <w:autoSpaceDE/>
              <w:autoSpaceDN/>
              <w:bidi w:val="0"/>
              <w:spacing w:line="380" w:lineRule="exact"/>
              <w:jc w:val="left"/>
              <w:textAlignment w:val="auto"/>
              <w:rPr>
                <w:szCs w:val="21"/>
                <w:highlight w:val="none"/>
              </w:rPr>
            </w:pPr>
            <w:r>
              <w:rPr>
                <w:szCs w:val="21"/>
                <w:highlight w:val="none"/>
              </w:rPr>
              <w:t>投标人拟派的项目组人员（除项目负责人外）具有CISAW（信息安全保障人员证书）的得1分；</w:t>
            </w:r>
          </w:p>
          <w:p>
            <w:pPr>
              <w:pageBreakBefore w:val="0"/>
              <w:kinsoku/>
              <w:overflowPunct/>
              <w:topLinePunct w:val="0"/>
              <w:autoSpaceDE/>
              <w:autoSpaceDN/>
              <w:bidi w:val="0"/>
              <w:spacing w:line="380" w:lineRule="exact"/>
              <w:jc w:val="left"/>
              <w:textAlignment w:val="auto"/>
              <w:rPr>
                <w:szCs w:val="21"/>
                <w:highlight w:val="none"/>
              </w:rPr>
            </w:pPr>
            <w:r>
              <w:rPr>
                <w:szCs w:val="21"/>
                <w:highlight w:val="none"/>
              </w:rPr>
              <w:t>投标人拟派的项目组人员（除项目负责人外）具有CISP（中国信息安全测评中心注册信息安全专业人员证书）的得1分；</w:t>
            </w:r>
          </w:p>
          <w:p>
            <w:pPr>
              <w:pageBreakBefore w:val="0"/>
              <w:kinsoku/>
              <w:overflowPunct/>
              <w:topLinePunct w:val="0"/>
              <w:autoSpaceDE/>
              <w:autoSpaceDN/>
              <w:bidi w:val="0"/>
              <w:spacing w:line="380" w:lineRule="exact"/>
              <w:textAlignment w:val="auto"/>
              <w:rPr>
                <w:rFonts w:hint="eastAsia" w:ascii="Times New Roman" w:hAnsi="Times New Roman" w:eastAsia="宋体" w:cs="Times New Roman"/>
                <w:kern w:val="2"/>
                <w:sz w:val="21"/>
                <w:szCs w:val="21"/>
                <w:highlight w:val="none"/>
                <w:lang w:val="en-US" w:eastAsia="zh-CN" w:bidi="ar-SA"/>
              </w:rPr>
            </w:pPr>
            <w:r>
              <w:rPr>
                <w:szCs w:val="21"/>
                <w:highlight w:val="none"/>
              </w:rPr>
              <w:t>备注：需提供资质证书复印件及投标截止时间前三个月任意一个月投标人为其缴纳社保证明复印件加盖投标人公章。</w:t>
            </w:r>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ageBreakBefore w:val="0"/>
              <w:kinsoku/>
              <w:overflowPunct/>
              <w:topLinePunct w:val="0"/>
              <w:autoSpaceDE/>
              <w:autoSpaceDN/>
              <w:bidi w:val="0"/>
              <w:spacing w:line="380" w:lineRule="exact"/>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kern w:val="2"/>
                <w:sz w:val="21"/>
                <w:szCs w:val="21"/>
                <w:highlight w:val="none"/>
                <w:lang w:val="en-US" w:eastAsia="zh-CN" w:bidi="ar-SA"/>
              </w:rPr>
              <w:t>11</w:t>
            </w:r>
          </w:p>
        </w:tc>
        <w:tc>
          <w:tcPr>
            <w:tcW w:w="1170" w:type="dxa"/>
            <w:tcBorders>
              <w:right w:val="single" w:color="000000" w:sz="4" w:space="0"/>
            </w:tcBorders>
            <w:vAlign w:val="center"/>
          </w:tcPr>
          <w:p>
            <w:pPr>
              <w:pStyle w:val="130"/>
              <w:pageBreakBefore w:val="0"/>
              <w:kinsoku/>
              <w:overflowPunct/>
              <w:topLinePunct w:val="0"/>
              <w:autoSpaceDE/>
              <w:autoSpaceDN/>
              <w:bidi w:val="0"/>
              <w:snapToGrid w:val="0"/>
              <w:spacing w:line="380" w:lineRule="exact"/>
              <w:ind w:left="0" w:leftChars="0" w:firstLine="0" w:firstLineChars="0"/>
              <w:jc w:val="both"/>
              <w:textAlignment w:val="auto"/>
              <w:rPr>
                <w:rFonts w:ascii="宋体" w:hAnsi="宋体"/>
                <w:color w:val="auto"/>
                <w:sz w:val="21"/>
                <w:szCs w:val="21"/>
                <w:highlight w:val="none"/>
              </w:rPr>
            </w:pPr>
            <w:bookmarkStart w:id="173" w:name="OLE_LINK17"/>
            <w:r>
              <w:rPr>
                <w:rFonts w:hint="eastAsia" w:ascii="宋体" w:hAnsi="宋体"/>
                <w:color w:val="auto"/>
                <w:sz w:val="21"/>
                <w:szCs w:val="21"/>
                <w:highlight w:val="none"/>
              </w:rPr>
              <w:t>综合能力</w:t>
            </w:r>
            <w:bookmarkEnd w:id="173"/>
          </w:p>
        </w:tc>
        <w:tc>
          <w:tcPr>
            <w:tcW w:w="6209" w:type="dxa"/>
            <w:tcBorders>
              <w:left w:val="single" w:color="000000" w:sz="4" w:space="0"/>
            </w:tcBorders>
            <w:vAlign w:val="center"/>
          </w:tcPr>
          <w:p>
            <w:pPr>
              <w:pStyle w:val="130"/>
              <w:keepNext w:val="0"/>
              <w:keepLines w:val="0"/>
              <w:pageBreakBefore w:val="0"/>
              <w:widowControl w:val="0"/>
              <w:kinsoku/>
              <w:wordWrap/>
              <w:overflowPunct/>
              <w:topLinePunct w:val="0"/>
              <w:autoSpaceDE/>
              <w:autoSpaceDN/>
              <w:bidi w:val="0"/>
              <w:adjustRightInd/>
              <w:snapToGrid w:val="0"/>
              <w:spacing w:beforeLines="0" w:afterLines="0" w:line="380" w:lineRule="exact"/>
              <w:ind w:left="0" w:leftChars="0" w:firstLine="0" w:firstLineChars="0"/>
              <w:textAlignment w:val="auto"/>
              <w:rPr>
                <w:rFonts w:ascii="宋体" w:hAnsi="宋体"/>
                <w:color w:val="auto"/>
                <w:sz w:val="21"/>
                <w:szCs w:val="21"/>
                <w:highlight w:val="none"/>
                <w:lang w:val="zh-CN"/>
              </w:rPr>
            </w:pPr>
            <w:r>
              <w:rPr>
                <w:rFonts w:hint="eastAsia" w:ascii="宋体" w:hAnsi="宋体"/>
                <w:color w:val="auto"/>
                <w:sz w:val="21"/>
                <w:szCs w:val="21"/>
                <w:highlight w:val="none"/>
                <w:lang w:val="zh-CN"/>
              </w:rPr>
              <w:t>（</w:t>
            </w:r>
            <w:r>
              <w:rPr>
                <w:rFonts w:hint="eastAsia" w:ascii="宋体" w:hAnsi="宋体"/>
                <w:color w:val="auto"/>
                <w:sz w:val="21"/>
                <w:szCs w:val="21"/>
                <w:highlight w:val="none"/>
              </w:rPr>
              <w:t>1</w:t>
            </w:r>
            <w:r>
              <w:rPr>
                <w:rFonts w:hint="eastAsia" w:ascii="宋体" w:hAnsi="宋体"/>
                <w:color w:val="auto"/>
                <w:sz w:val="21"/>
                <w:szCs w:val="21"/>
                <w:highlight w:val="none"/>
                <w:lang w:val="zh-CN"/>
              </w:rPr>
              <w:t>）</w:t>
            </w:r>
            <w:r>
              <w:rPr>
                <w:rFonts w:hint="eastAsia" w:ascii="宋体" w:hAnsi="宋体"/>
                <w:color w:val="auto"/>
                <w:sz w:val="21"/>
                <w:szCs w:val="21"/>
                <w:highlight w:val="none"/>
              </w:rPr>
              <w:t>投标人</w:t>
            </w:r>
            <w:r>
              <w:rPr>
                <w:rFonts w:hint="eastAsia" w:ascii="宋体" w:hAnsi="宋体"/>
                <w:color w:val="auto"/>
                <w:sz w:val="21"/>
                <w:szCs w:val="21"/>
                <w:highlight w:val="none"/>
                <w:lang w:val="zh-CN"/>
              </w:rPr>
              <w:t>具有有效的信息安全管理体系认证证书，得</w:t>
            </w:r>
            <w:r>
              <w:rPr>
                <w:rFonts w:hint="eastAsia"/>
                <w:color w:val="auto"/>
                <w:sz w:val="21"/>
                <w:szCs w:val="21"/>
                <w:highlight w:val="none"/>
                <w:lang w:val="en-US" w:eastAsia="zh-CN"/>
              </w:rPr>
              <w:t>1</w:t>
            </w:r>
            <w:r>
              <w:rPr>
                <w:rFonts w:hint="eastAsia" w:ascii="宋体" w:hAnsi="宋体"/>
                <w:color w:val="auto"/>
                <w:sz w:val="21"/>
                <w:szCs w:val="21"/>
                <w:highlight w:val="none"/>
                <w:lang w:val="zh-CN"/>
              </w:rPr>
              <w:t>分。</w:t>
            </w:r>
          </w:p>
          <w:p>
            <w:pPr>
              <w:pStyle w:val="130"/>
              <w:keepNext w:val="0"/>
              <w:keepLines w:val="0"/>
              <w:pageBreakBefore w:val="0"/>
              <w:widowControl w:val="0"/>
              <w:kinsoku/>
              <w:wordWrap/>
              <w:overflowPunct/>
              <w:topLinePunct w:val="0"/>
              <w:autoSpaceDE/>
              <w:autoSpaceDN/>
              <w:bidi w:val="0"/>
              <w:adjustRightInd/>
              <w:snapToGrid w:val="0"/>
              <w:spacing w:beforeLines="0" w:afterLines="0" w:line="380" w:lineRule="exact"/>
              <w:ind w:left="0" w:leftChars="0" w:firstLine="0" w:firstLineChars="0"/>
              <w:textAlignment w:val="auto"/>
              <w:rPr>
                <w:rFonts w:ascii="宋体" w:hAnsi="宋体"/>
                <w:color w:val="auto"/>
                <w:sz w:val="21"/>
                <w:szCs w:val="21"/>
                <w:highlight w:val="none"/>
              </w:rPr>
            </w:pPr>
            <w:r>
              <w:rPr>
                <w:rFonts w:hint="eastAsia" w:ascii="宋体" w:hAnsi="宋体"/>
                <w:color w:val="auto"/>
                <w:sz w:val="21"/>
                <w:szCs w:val="21"/>
                <w:highlight w:val="none"/>
                <w:lang w:val="zh-CN"/>
              </w:rPr>
              <w:t>（</w:t>
            </w:r>
            <w:r>
              <w:rPr>
                <w:rFonts w:hint="eastAsia" w:ascii="宋体" w:hAnsi="宋体"/>
                <w:color w:val="auto"/>
                <w:sz w:val="21"/>
                <w:szCs w:val="21"/>
                <w:highlight w:val="none"/>
              </w:rPr>
              <w:t>2</w:t>
            </w:r>
            <w:r>
              <w:rPr>
                <w:rFonts w:hint="eastAsia" w:ascii="宋体" w:hAnsi="宋体"/>
                <w:color w:val="auto"/>
                <w:sz w:val="21"/>
                <w:szCs w:val="21"/>
                <w:highlight w:val="none"/>
                <w:lang w:val="zh-CN"/>
              </w:rPr>
              <w:t>）</w:t>
            </w:r>
            <w:r>
              <w:rPr>
                <w:rFonts w:hint="eastAsia" w:ascii="宋体" w:hAnsi="宋体"/>
                <w:color w:val="auto"/>
                <w:sz w:val="21"/>
                <w:szCs w:val="21"/>
                <w:highlight w:val="none"/>
              </w:rPr>
              <w:t>投标人</w:t>
            </w:r>
            <w:r>
              <w:rPr>
                <w:rFonts w:hint="eastAsia" w:ascii="宋体" w:hAnsi="宋体"/>
                <w:color w:val="auto"/>
                <w:sz w:val="21"/>
                <w:szCs w:val="21"/>
                <w:highlight w:val="none"/>
                <w:lang w:val="zh-CN"/>
              </w:rPr>
              <w:t>具有有效的信息技术服务管理体系证书，得</w:t>
            </w:r>
            <w:r>
              <w:rPr>
                <w:rFonts w:hint="eastAsia"/>
                <w:color w:val="auto"/>
                <w:sz w:val="21"/>
                <w:szCs w:val="21"/>
                <w:highlight w:val="none"/>
                <w:lang w:val="en-US" w:eastAsia="zh-CN"/>
              </w:rPr>
              <w:t>1</w:t>
            </w:r>
            <w:r>
              <w:rPr>
                <w:rFonts w:hint="eastAsia" w:ascii="宋体" w:hAnsi="宋体"/>
                <w:color w:val="auto"/>
                <w:sz w:val="21"/>
                <w:szCs w:val="21"/>
                <w:highlight w:val="none"/>
              </w:rPr>
              <w:t>分。</w:t>
            </w:r>
          </w:p>
          <w:p>
            <w:pPr>
              <w:pStyle w:val="130"/>
              <w:keepNext w:val="0"/>
              <w:keepLines w:val="0"/>
              <w:pageBreakBefore w:val="0"/>
              <w:widowControl w:val="0"/>
              <w:kinsoku/>
              <w:wordWrap/>
              <w:overflowPunct/>
              <w:topLinePunct w:val="0"/>
              <w:autoSpaceDE/>
              <w:autoSpaceDN/>
              <w:bidi w:val="0"/>
              <w:adjustRightInd/>
              <w:snapToGrid w:val="0"/>
              <w:spacing w:beforeLines="0" w:afterLines="0" w:line="380" w:lineRule="exact"/>
              <w:ind w:left="0" w:leftChars="0" w:firstLine="0" w:firstLineChars="0"/>
              <w:textAlignment w:val="auto"/>
              <w:rPr>
                <w:rFonts w:ascii="宋体" w:hAnsi="宋体"/>
                <w:color w:val="auto"/>
                <w:sz w:val="21"/>
                <w:szCs w:val="21"/>
                <w:highlight w:val="none"/>
              </w:rPr>
            </w:pPr>
            <w:r>
              <w:rPr>
                <w:rFonts w:hint="eastAsia" w:ascii="宋体" w:hAnsi="宋体"/>
                <w:color w:val="auto"/>
                <w:sz w:val="21"/>
                <w:szCs w:val="21"/>
                <w:highlight w:val="none"/>
                <w:lang w:val="zh-CN"/>
              </w:rPr>
              <w:t>（</w:t>
            </w:r>
            <w:r>
              <w:rPr>
                <w:rFonts w:hint="eastAsia" w:ascii="宋体" w:hAnsi="宋体"/>
                <w:color w:val="auto"/>
                <w:sz w:val="21"/>
                <w:szCs w:val="21"/>
                <w:highlight w:val="none"/>
              </w:rPr>
              <w:t>3</w:t>
            </w:r>
            <w:r>
              <w:rPr>
                <w:rFonts w:hint="eastAsia" w:ascii="宋体" w:hAnsi="宋体"/>
                <w:color w:val="auto"/>
                <w:sz w:val="21"/>
                <w:szCs w:val="21"/>
                <w:highlight w:val="none"/>
                <w:lang w:val="zh-CN"/>
              </w:rPr>
              <w:t>）</w:t>
            </w:r>
            <w:r>
              <w:rPr>
                <w:rFonts w:hint="eastAsia" w:ascii="宋体" w:hAnsi="宋体"/>
                <w:color w:val="auto"/>
                <w:sz w:val="21"/>
                <w:szCs w:val="21"/>
                <w:highlight w:val="none"/>
              </w:rPr>
              <w:t>投标人</w:t>
            </w:r>
            <w:r>
              <w:rPr>
                <w:rFonts w:hint="eastAsia" w:ascii="宋体" w:hAnsi="宋体"/>
                <w:color w:val="auto"/>
                <w:sz w:val="21"/>
                <w:szCs w:val="21"/>
                <w:highlight w:val="none"/>
                <w:lang w:val="zh-CN"/>
              </w:rPr>
              <w:t>具有有效的质量管理体系认证证书，得</w:t>
            </w:r>
            <w:r>
              <w:rPr>
                <w:rFonts w:hint="eastAsia"/>
                <w:color w:val="auto"/>
                <w:sz w:val="21"/>
                <w:szCs w:val="21"/>
                <w:highlight w:val="none"/>
                <w:lang w:val="en-US" w:eastAsia="zh-CN"/>
              </w:rPr>
              <w:t>1</w:t>
            </w:r>
            <w:r>
              <w:rPr>
                <w:rFonts w:hint="eastAsia" w:ascii="宋体" w:hAnsi="宋体"/>
                <w:color w:val="auto"/>
                <w:sz w:val="21"/>
                <w:szCs w:val="21"/>
                <w:highlight w:val="none"/>
              </w:rPr>
              <w:t>分。</w:t>
            </w:r>
          </w:p>
          <w:p>
            <w:pPr>
              <w:pStyle w:val="130"/>
              <w:keepNext w:val="0"/>
              <w:keepLines w:val="0"/>
              <w:pageBreakBefore w:val="0"/>
              <w:widowControl w:val="0"/>
              <w:kinsoku/>
              <w:wordWrap/>
              <w:overflowPunct/>
              <w:topLinePunct w:val="0"/>
              <w:autoSpaceDE/>
              <w:autoSpaceDN/>
              <w:bidi w:val="0"/>
              <w:adjustRightInd/>
              <w:spacing w:beforeLines="0" w:afterLines="0" w:line="380" w:lineRule="exact"/>
              <w:ind w:left="0" w:leftChars="0" w:firstLine="0" w:firstLineChars="0"/>
              <w:textAlignment w:val="auto"/>
              <w:rPr>
                <w:rFonts w:ascii="宋体" w:hAnsi="宋体"/>
                <w:color w:val="auto"/>
                <w:sz w:val="21"/>
                <w:szCs w:val="21"/>
                <w:highlight w:val="none"/>
              </w:rPr>
            </w:pPr>
            <w:r>
              <w:rPr>
                <w:rFonts w:hint="eastAsia" w:ascii="宋体" w:hAnsi="宋体"/>
                <w:color w:val="auto"/>
                <w:sz w:val="21"/>
                <w:szCs w:val="21"/>
                <w:highlight w:val="none"/>
              </w:rPr>
              <w:t>（投标文件中须提供证书复印件加盖公章，不提供则不得分）。</w:t>
            </w:r>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eastAsia="zh-CN"/>
              </w:rPr>
            </w:pPr>
            <w:r>
              <w:rPr>
                <w:rFonts w:hint="eastAsia"/>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ageBreakBefore w:val="0"/>
              <w:kinsoku/>
              <w:overflowPunct/>
              <w:topLinePunct w:val="0"/>
              <w:autoSpaceDE/>
              <w:autoSpaceDN/>
              <w:bidi w:val="0"/>
              <w:spacing w:line="380" w:lineRule="exact"/>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kern w:val="2"/>
                <w:sz w:val="21"/>
                <w:szCs w:val="21"/>
                <w:highlight w:val="none"/>
                <w:lang w:val="en-US" w:eastAsia="zh-CN" w:bidi="ar-SA"/>
              </w:rPr>
              <w:t>12</w:t>
            </w:r>
          </w:p>
        </w:tc>
        <w:tc>
          <w:tcPr>
            <w:tcW w:w="1170" w:type="dxa"/>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sz w:val="21"/>
                <w:szCs w:val="21"/>
                <w:highlight w:val="none"/>
              </w:rPr>
            </w:pPr>
            <w:r>
              <w:rPr>
                <w:rFonts w:hint="eastAsia"/>
                <w:sz w:val="21"/>
                <w:szCs w:val="21"/>
                <w:highlight w:val="none"/>
              </w:rPr>
              <w:t>项目业绩</w:t>
            </w:r>
          </w:p>
        </w:tc>
        <w:tc>
          <w:tcPr>
            <w:tcW w:w="6209" w:type="dxa"/>
            <w:tcBorders>
              <w:left w:val="single" w:color="000000" w:sz="4" w:space="0"/>
            </w:tcBorders>
            <w:vAlign w:val="center"/>
          </w:tcPr>
          <w:p>
            <w:pPr>
              <w:pStyle w:val="130"/>
              <w:pageBreakBefore w:val="0"/>
              <w:kinsoku/>
              <w:overflowPunct/>
              <w:topLinePunct w:val="0"/>
              <w:autoSpaceDE/>
              <w:autoSpaceDN/>
              <w:bidi w:val="0"/>
              <w:snapToGrid w:val="0"/>
              <w:spacing w:line="380" w:lineRule="exact"/>
              <w:ind w:left="0" w:leftChars="0" w:firstLine="0" w:firstLineChars="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投标人自2021年1月1日（以合同签订时间为准）以来具有类似项目业绩的，每提供1个业绩得1分，最多得3分。</w:t>
            </w:r>
          </w:p>
          <w:p>
            <w:pPr>
              <w:pStyle w:val="130"/>
              <w:pageBreakBefore w:val="0"/>
              <w:kinsoku/>
              <w:overflowPunct/>
              <w:topLinePunct w:val="0"/>
              <w:autoSpaceDE/>
              <w:autoSpaceDN/>
              <w:bidi w:val="0"/>
              <w:snapToGrid w:val="0"/>
              <w:spacing w:line="380" w:lineRule="exact"/>
              <w:ind w:left="0" w:leftChars="0" w:firstLine="0" w:firstLineChars="0"/>
              <w:textAlignment w:val="auto"/>
              <w:rPr>
                <w:rFonts w:ascii="Times New Roman" w:hAnsi="Times New Roman"/>
                <w:sz w:val="21"/>
                <w:szCs w:val="21"/>
                <w:highlight w:val="none"/>
              </w:rPr>
            </w:pPr>
            <w:r>
              <w:rPr>
                <w:rFonts w:hint="eastAsia" w:ascii="宋体" w:hAnsi="宋体" w:eastAsia="宋体" w:cs="宋体"/>
                <w:color w:val="auto"/>
                <w:sz w:val="21"/>
                <w:szCs w:val="21"/>
                <w:highlight w:val="none"/>
                <w:lang w:val="zh-CN"/>
              </w:rPr>
              <w:t>（有效业绩：提供合同</w:t>
            </w:r>
            <w:r>
              <w:rPr>
                <w:rFonts w:hint="eastAsia" w:cs="宋体"/>
                <w:color w:val="auto"/>
                <w:sz w:val="21"/>
                <w:szCs w:val="21"/>
                <w:highlight w:val="none"/>
                <w:lang w:val="en-US" w:eastAsia="zh-CN"/>
              </w:rPr>
              <w:t>复印件并加盖公章</w:t>
            </w:r>
            <w:r>
              <w:rPr>
                <w:rFonts w:hint="eastAsia" w:ascii="宋体" w:hAnsi="宋体" w:eastAsia="宋体" w:cs="宋体"/>
                <w:color w:val="auto"/>
                <w:sz w:val="21"/>
                <w:szCs w:val="21"/>
                <w:highlight w:val="none"/>
                <w:lang w:val="zh-CN"/>
              </w:rPr>
              <w:t>）</w:t>
            </w:r>
          </w:p>
        </w:tc>
        <w:tc>
          <w:tcPr>
            <w:tcW w:w="727" w:type="dxa"/>
            <w:noWrap/>
            <w:vAlign w:val="center"/>
          </w:tcPr>
          <w:p>
            <w:pPr>
              <w:pageBreakBefore w:val="0"/>
              <w:kinsoku/>
              <w:overflowPunct/>
              <w:topLinePunct w:val="0"/>
              <w:autoSpaceDE/>
              <w:autoSpaceDN/>
              <w:bidi w:val="0"/>
              <w:spacing w:line="380" w:lineRule="exact"/>
              <w:jc w:val="center"/>
              <w:textAlignment w:val="auto"/>
              <w:rPr>
                <w:sz w:val="21"/>
                <w:szCs w:val="21"/>
                <w:highlight w:val="none"/>
              </w:rPr>
            </w:pPr>
            <w:r>
              <w:rPr>
                <w:rFonts w:hint="eastAsia"/>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ageBreakBefore w:val="0"/>
              <w:kinsoku/>
              <w:overflowPunct/>
              <w:topLinePunct w:val="0"/>
              <w:autoSpaceDE/>
              <w:autoSpaceDN/>
              <w:bidi w:val="0"/>
              <w:spacing w:line="380" w:lineRule="exact"/>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b w:val="0"/>
                <w:bCs w:val="0"/>
                <w:kern w:val="2"/>
                <w:sz w:val="21"/>
                <w:szCs w:val="21"/>
                <w:highlight w:val="none"/>
                <w:lang w:val="en-US" w:eastAsia="zh-CN" w:bidi="ar-SA"/>
              </w:rPr>
              <w:t>13</w:t>
            </w:r>
          </w:p>
        </w:tc>
        <w:tc>
          <w:tcPr>
            <w:tcW w:w="1170" w:type="dxa"/>
            <w:tcBorders>
              <w:right w:val="single" w:color="000000" w:sz="4" w:space="0"/>
            </w:tcBorders>
            <w:vAlign w:val="center"/>
          </w:tcPr>
          <w:p>
            <w:pPr>
              <w:pageBreakBefore w:val="0"/>
              <w:kinsoku/>
              <w:overflowPunct/>
              <w:topLinePunct w:val="0"/>
              <w:autoSpaceDE/>
              <w:autoSpaceDN/>
              <w:bidi w:val="0"/>
              <w:snapToGrid w:val="0"/>
              <w:spacing w:line="380" w:lineRule="exact"/>
              <w:jc w:val="center"/>
              <w:textAlignment w:val="auto"/>
              <w:rPr>
                <w:rFonts w:hint="eastAsia"/>
                <w:sz w:val="21"/>
                <w:szCs w:val="21"/>
                <w:highlight w:val="none"/>
              </w:rPr>
            </w:pPr>
            <w:r>
              <w:rPr>
                <w:rFonts w:hint="eastAsia"/>
                <w:sz w:val="21"/>
                <w:szCs w:val="21"/>
                <w:highlight w:val="none"/>
              </w:rPr>
              <w:t>节能环保加分</w:t>
            </w:r>
          </w:p>
        </w:tc>
        <w:tc>
          <w:tcPr>
            <w:tcW w:w="6209" w:type="dxa"/>
            <w:tcBorders>
              <w:left w:val="single" w:color="000000" w:sz="4" w:space="0"/>
            </w:tcBorders>
            <w:vAlign w:val="center"/>
          </w:tcPr>
          <w:p>
            <w:pPr>
              <w:pStyle w:val="130"/>
              <w:spacing w:beforeLines="0" w:afterLines="0" w:line="380" w:lineRule="exact"/>
              <w:ind w:firstLine="0" w:firstLineChars="0"/>
              <w:rPr>
                <w:rFonts w:hint="eastAsia"/>
                <w:color w:val="auto"/>
                <w:sz w:val="21"/>
                <w:szCs w:val="21"/>
                <w:highlight w:val="none"/>
              </w:rPr>
            </w:pPr>
            <w:bookmarkStart w:id="174" w:name="OLE_LINK15"/>
            <w:r>
              <w:rPr>
                <w:rFonts w:hint="eastAsia"/>
                <w:color w:val="auto"/>
                <w:sz w:val="21"/>
                <w:szCs w:val="21"/>
                <w:highlight w:val="none"/>
              </w:rPr>
              <w:t>1、投标产品属于《节能产品政府采购品目清单》范围的且具有国家确定的认证机构出具的、处于有效期之内的节能产品认证证书的得0.5分；</w:t>
            </w:r>
          </w:p>
          <w:p>
            <w:pPr>
              <w:pStyle w:val="130"/>
              <w:spacing w:beforeLines="0" w:afterLines="0" w:line="380" w:lineRule="exact"/>
              <w:ind w:firstLine="0" w:firstLineChars="0"/>
              <w:rPr>
                <w:rFonts w:hint="eastAsia"/>
                <w:color w:val="auto"/>
                <w:sz w:val="21"/>
                <w:szCs w:val="21"/>
                <w:highlight w:val="none"/>
              </w:rPr>
            </w:pPr>
            <w:r>
              <w:rPr>
                <w:rFonts w:hint="eastAsia"/>
                <w:color w:val="auto"/>
                <w:sz w:val="21"/>
                <w:szCs w:val="21"/>
                <w:highlight w:val="none"/>
              </w:rPr>
              <w:t>2、投标产品属于《环境标志产品政府采购品目清单》范围的且具有国家确定的认证机构出具的、处于有效期之内的环境标志产品认证证书的得0.5分。</w:t>
            </w:r>
          </w:p>
          <w:p>
            <w:pPr>
              <w:pStyle w:val="130"/>
              <w:spacing w:beforeLines="0" w:afterLines="0" w:line="380" w:lineRule="exact"/>
              <w:ind w:firstLine="0" w:firstLineChars="0"/>
              <w:rPr>
                <w:rFonts w:hint="eastAsia"/>
                <w:color w:val="auto"/>
                <w:sz w:val="21"/>
                <w:szCs w:val="21"/>
                <w:highlight w:val="none"/>
              </w:rPr>
            </w:pPr>
            <w:r>
              <w:rPr>
                <w:rFonts w:hint="eastAsia"/>
                <w:color w:val="auto"/>
                <w:sz w:val="21"/>
                <w:szCs w:val="21"/>
                <w:highlight w:val="none"/>
              </w:rPr>
              <w:t>注：投标文件中必须同时提供以下资料：</w:t>
            </w:r>
          </w:p>
          <w:p>
            <w:pPr>
              <w:pStyle w:val="130"/>
              <w:spacing w:beforeLines="0" w:afterLines="0" w:line="380" w:lineRule="exact"/>
              <w:ind w:firstLine="0" w:firstLineChars="0"/>
              <w:rPr>
                <w:rFonts w:hint="eastAsia"/>
                <w:color w:val="auto"/>
                <w:sz w:val="21"/>
                <w:szCs w:val="21"/>
                <w:highlight w:val="none"/>
              </w:rPr>
            </w:pPr>
            <w:r>
              <w:rPr>
                <w:rFonts w:hint="eastAsia"/>
                <w:color w:val="auto"/>
                <w:sz w:val="21"/>
                <w:szCs w:val="21"/>
                <w:highlight w:val="none"/>
              </w:rPr>
              <w:t>（1）提供政府采购品目清单相关内容页（并对相关内容作圈记），采购品目清单详见《关于印发环境标志产品政府采购品目清单的通知》（财库〔2019〕18号）和《关于印发节能产品政府采购品目清单的通知》（财库〔2019〕19号）。</w:t>
            </w:r>
          </w:p>
          <w:p>
            <w:pPr>
              <w:pStyle w:val="130"/>
              <w:pageBreakBefore w:val="0"/>
              <w:kinsoku/>
              <w:overflowPunct/>
              <w:topLinePunct w:val="0"/>
              <w:autoSpaceDE/>
              <w:autoSpaceDN/>
              <w:bidi w:val="0"/>
              <w:snapToGrid/>
              <w:spacing w:beforeLines="0" w:afterLines="0" w:line="380" w:lineRule="exact"/>
              <w:ind w:left="0" w:leftChars="0" w:firstLine="0" w:firstLineChars="0"/>
              <w:textAlignment w:val="auto"/>
              <w:rPr>
                <w:rFonts w:hint="eastAsia" w:ascii="宋体" w:hAnsi="宋体" w:eastAsia="宋体" w:cs="宋体"/>
                <w:color w:val="auto"/>
                <w:sz w:val="21"/>
                <w:szCs w:val="21"/>
                <w:highlight w:val="none"/>
                <w:lang w:val="zh-CN"/>
              </w:rPr>
            </w:pPr>
            <w:r>
              <w:rPr>
                <w:rFonts w:hint="eastAsia"/>
                <w:color w:val="auto"/>
                <w:sz w:val="21"/>
                <w:szCs w:val="21"/>
                <w:highlight w:val="none"/>
              </w:rPr>
              <w:t>（2）《市场监管总局关于发布参与实施政府采购节能产品、环境标志产品认证机构名录的公告》中的认证机构出具的、处于有效期之内的节能产品/环境标志产品认证证书复印件并加盖公章。</w:t>
            </w:r>
            <w:bookmarkEnd w:id="174"/>
          </w:p>
        </w:tc>
        <w:tc>
          <w:tcPr>
            <w:tcW w:w="727" w:type="dxa"/>
            <w:noWrap/>
            <w:vAlign w:val="center"/>
          </w:tcPr>
          <w:p>
            <w:pPr>
              <w:pageBreakBefore w:val="0"/>
              <w:kinsoku/>
              <w:overflowPunct/>
              <w:topLinePunct w:val="0"/>
              <w:autoSpaceDE/>
              <w:autoSpaceDN/>
              <w:bidi w:val="0"/>
              <w:spacing w:line="380" w:lineRule="exact"/>
              <w:jc w:val="center"/>
              <w:textAlignment w:val="auto"/>
              <w:rPr>
                <w:rFonts w:hint="eastAsia" w:eastAsia="宋体"/>
                <w:sz w:val="21"/>
                <w:szCs w:val="21"/>
                <w:highlight w:val="none"/>
                <w:lang w:val="en-US" w:eastAsia="zh-CN"/>
              </w:rPr>
            </w:pPr>
            <w:r>
              <w:rPr>
                <w:rFonts w:hint="eastAsia"/>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pStyle w:val="2"/>
              <w:pageBreakBefore w:val="0"/>
              <w:kinsoku/>
              <w:overflowPunct/>
              <w:topLinePunct w:val="0"/>
              <w:autoSpaceDE/>
              <w:autoSpaceDN/>
              <w:bidi w:val="0"/>
              <w:spacing w:line="380" w:lineRule="exact"/>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14</w:t>
            </w:r>
          </w:p>
        </w:tc>
        <w:tc>
          <w:tcPr>
            <w:tcW w:w="1170" w:type="dxa"/>
            <w:tcBorders>
              <w:right w:val="single" w:color="000000" w:sz="4" w:space="0"/>
            </w:tcBorders>
            <w:vAlign w:val="center"/>
          </w:tcPr>
          <w:p>
            <w:pPr>
              <w:pageBreakBefore w:val="0"/>
              <w:kinsoku/>
              <w:wordWrap w:val="0"/>
              <w:overflowPunct/>
              <w:topLinePunct w:val="0"/>
              <w:autoSpaceDE/>
              <w:autoSpaceDN/>
              <w:bidi w:val="0"/>
              <w:spacing w:line="380" w:lineRule="exact"/>
              <w:jc w:val="center"/>
              <w:textAlignment w:val="auto"/>
              <w:rPr>
                <w:rFonts w:ascii="宋体" w:hAnsi="宋体"/>
                <w:szCs w:val="21"/>
                <w:highlight w:val="none"/>
              </w:rPr>
            </w:pPr>
            <w:r>
              <w:rPr>
                <w:rFonts w:hint="eastAsia" w:ascii="宋体" w:hAnsi="宋体"/>
                <w:szCs w:val="21"/>
                <w:highlight w:val="none"/>
              </w:rPr>
              <w:t>价</w:t>
            </w:r>
          </w:p>
          <w:p>
            <w:pPr>
              <w:pageBreakBefore w:val="0"/>
              <w:kinsoku/>
              <w:wordWrap w:val="0"/>
              <w:overflowPunct/>
              <w:topLinePunct w:val="0"/>
              <w:autoSpaceDE/>
              <w:autoSpaceDN/>
              <w:bidi w:val="0"/>
              <w:spacing w:line="380" w:lineRule="exact"/>
              <w:jc w:val="center"/>
              <w:textAlignment w:val="auto"/>
              <w:rPr>
                <w:rFonts w:ascii="宋体" w:hAnsi="宋体"/>
                <w:szCs w:val="21"/>
                <w:highlight w:val="none"/>
              </w:rPr>
            </w:pPr>
            <w:r>
              <w:rPr>
                <w:rFonts w:hint="eastAsia" w:ascii="宋体" w:hAnsi="宋体"/>
                <w:szCs w:val="21"/>
                <w:highlight w:val="none"/>
              </w:rPr>
              <w:t>格</w:t>
            </w:r>
          </w:p>
          <w:p>
            <w:pPr>
              <w:pageBreakBefore w:val="0"/>
              <w:kinsoku/>
              <w:wordWrap w:val="0"/>
              <w:overflowPunct/>
              <w:topLinePunct w:val="0"/>
              <w:autoSpaceDE/>
              <w:autoSpaceDN/>
              <w:bidi w:val="0"/>
              <w:spacing w:line="380" w:lineRule="exact"/>
              <w:jc w:val="center"/>
              <w:textAlignment w:val="auto"/>
              <w:rPr>
                <w:rFonts w:ascii="宋体" w:hAnsi="宋体"/>
                <w:szCs w:val="21"/>
                <w:highlight w:val="none"/>
              </w:rPr>
            </w:pPr>
            <w:r>
              <w:rPr>
                <w:rFonts w:hint="eastAsia" w:ascii="宋体" w:hAnsi="宋体"/>
                <w:szCs w:val="21"/>
                <w:highlight w:val="none"/>
              </w:rPr>
              <w:t>分</w:t>
            </w:r>
          </w:p>
          <w:p>
            <w:pPr>
              <w:pageBreakBefore w:val="0"/>
              <w:kinsoku/>
              <w:wordWrap w:val="0"/>
              <w:overflowPunct/>
              <w:topLinePunct w:val="0"/>
              <w:autoSpaceDE/>
              <w:autoSpaceDN/>
              <w:bidi w:val="0"/>
              <w:spacing w:line="380" w:lineRule="exact"/>
              <w:jc w:val="center"/>
              <w:textAlignment w:val="auto"/>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30分</w:t>
            </w:r>
          </w:p>
        </w:tc>
        <w:tc>
          <w:tcPr>
            <w:tcW w:w="6209" w:type="dxa"/>
            <w:tcBorders>
              <w:left w:val="single" w:color="000000" w:sz="4" w:space="0"/>
            </w:tcBorders>
            <w:vAlign w:val="center"/>
          </w:tcPr>
          <w:p>
            <w:pPr>
              <w:pageBreakBefore w:val="0"/>
              <w:kinsoku/>
              <w:wordWrap w:val="0"/>
              <w:overflowPunct/>
              <w:topLinePunct w:val="0"/>
              <w:autoSpaceDE/>
              <w:autoSpaceDN/>
              <w:bidi w:val="0"/>
              <w:spacing w:line="380" w:lineRule="exact"/>
              <w:textAlignment w:val="auto"/>
              <w:rPr>
                <w:rFonts w:ascii="宋体" w:hAnsi="宋体"/>
                <w:szCs w:val="21"/>
                <w:highlight w:val="none"/>
              </w:rPr>
            </w:pPr>
            <w:r>
              <w:rPr>
                <w:rFonts w:hint="eastAsia" w:ascii="宋体" w:hAnsi="宋体"/>
                <w:szCs w:val="21"/>
                <w:highlight w:val="none"/>
              </w:rPr>
              <w:t>本次公开招标设有最高限价（详见</w:t>
            </w:r>
            <w:r>
              <w:rPr>
                <w:rFonts w:ascii="宋体" w:hAnsi="宋体"/>
                <w:szCs w:val="21"/>
                <w:highlight w:val="none"/>
              </w:rPr>
              <w:t>第一章招标公告</w:t>
            </w:r>
            <w:r>
              <w:rPr>
                <w:rFonts w:hint="eastAsia" w:ascii="宋体" w:hAnsi="宋体"/>
                <w:szCs w:val="21"/>
                <w:highlight w:val="none"/>
              </w:rPr>
              <w:t>），投标价超出最高限价作无效标处理。</w:t>
            </w:r>
          </w:p>
          <w:p>
            <w:pPr>
              <w:pageBreakBefore w:val="0"/>
              <w:kinsoku/>
              <w:wordWrap w:val="0"/>
              <w:overflowPunct/>
              <w:topLinePunct w:val="0"/>
              <w:autoSpaceDE/>
              <w:autoSpaceDN/>
              <w:bidi w:val="0"/>
              <w:spacing w:line="380" w:lineRule="exact"/>
              <w:textAlignment w:val="auto"/>
              <w:rPr>
                <w:rFonts w:hint="eastAsia" w:ascii="宋体" w:hAnsi="宋体" w:eastAsia="宋体"/>
                <w:szCs w:val="21"/>
                <w:highlight w:val="none"/>
                <w:lang w:eastAsia="zh-CN"/>
              </w:rPr>
            </w:pPr>
            <w:r>
              <w:rPr>
                <w:rFonts w:hint="eastAsia" w:ascii="宋体" w:hAnsi="宋体"/>
                <w:szCs w:val="21"/>
                <w:highlight w:val="none"/>
              </w:rPr>
              <w:t>参与评审的价格</w:t>
            </w:r>
            <w:r>
              <w:rPr>
                <w:rFonts w:ascii="宋体" w:hAnsi="宋体"/>
                <w:szCs w:val="21"/>
                <w:highlight w:val="none"/>
              </w:rPr>
              <w:t>=</w:t>
            </w:r>
            <w:r>
              <w:rPr>
                <w:rFonts w:hint="eastAsia" w:ascii="宋体" w:hAnsi="宋体"/>
                <w:szCs w:val="21"/>
                <w:highlight w:val="none"/>
                <w:lang w:val="en-US" w:eastAsia="zh-CN"/>
              </w:rPr>
              <w:t>投标报价</w:t>
            </w:r>
            <w:r>
              <w:rPr>
                <w:rFonts w:ascii="宋体" w:hAnsi="宋体"/>
                <w:szCs w:val="21"/>
                <w:highlight w:val="none"/>
              </w:rPr>
              <w:t>-</w:t>
            </w:r>
            <w:r>
              <w:rPr>
                <w:rFonts w:hint="eastAsia" w:ascii="宋体" w:hAnsi="宋体"/>
                <w:szCs w:val="21"/>
                <w:highlight w:val="none"/>
              </w:rPr>
              <w:t>小微企业价格扣除优惠值1</w:t>
            </w:r>
            <w:r>
              <w:rPr>
                <w:rFonts w:ascii="宋体" w:hAnsi="宋体"/>
                <w:szCs w:val="21"/>
                <w:highlight w:val="none"/>
              </w:rPr>
              <w:t>0%</w:t>
            </w:r>
            <w:r>
              <w:rPr>
                <w:rFonts w:hint="eastAsia" w:ascii="宋体" w:hAnsi="宋体"/>
                <w:szCs w:val="21"/>
                <w:highlight w:val="none"/>
                <w:lang w:eastAsia="zh-CN"/>
              </w:rPr>
              <w:t>（</w:t>
            </w:r>
            <w:r>
              <w:rPr>
                <w:rFonts w:hint="eastAsia" w:ascii="宋体" w:hAnsi="宋体"/>
                <w:szCs w:val="21"/>
                <w:highlight w:val="none"/>
                <w:lang w:val="en-US" w:eastAsia="zh-CN"/>
              </w:rPr>
              <w:t>如有</w:t>
            </w:r>
            <w:r>
              <w:rPr>
                <w:rFonts w:hint="eastAsia" w:ascii="宋体" w:hAnsi="宋体"/>
                <w:szCs w:val="21"/>
                <w:highlight w:val="none"/>
                <w:lang w:eastAsia="zh-CN"/>
              </w:rPr>
              <w:t>）</w:t>
            </w:r>
          </w:p>
          <w:p>
            <w:pPr>
              <w:pageBreakBefore w:val="0"/>
              <w:kinsoku/>
              <w:wordWrap w:val="0"/>
              <w:overflowPunct/>
              <w:topLinePunct w:val="0"/>
              <w:autoSpaceDE/>
              <w:autoSpaceDN/>
              <w:bidi w:val="0"/>
              <w:spacing w:line="380" w:lineRule="exact"/>
              <w:textAlignment w:val="auto"/>
              <w:rPr>
                <w:rFonts w:hint="eastAsia" w:ascii="宋体" w:hAnsi="宋体" w:eastAsia="宋体"/>
                <w:szCs w:val="21"/>
                <w:highlight w:val="none"/>
                <w:lang w:eastAsia="zh-CN"/>
              </w:rPr>
            </w:pPr>
            <w:r>
              <w:rPr>
                <w:rFonts w:hint="eastAsia" w:ascii="宋体" w:hAnsi="宋体"/>
                <w:szCs w:val="21"/>
                <w:highlight w:val="none"/>
              </w:rPr>
              <w:t>评标基准价</w:t>
            </w:r>
            <w:r>
              <w:rPr>
                <w:rFonts w:ascii="宋体" w:hAnsi="宋体"/>
                <w:szCs w:val="21"/>
                <w:highlight w:val="none"/>
              </w:rPr>
              <w:t>=</w:t>
            </w:r>
            <w:r>
              <w:rPr>
                <w:rFonts w:hint="eastAsia" w:ascii="宋体" w:hAnsi="宋体"/>
                <w:szCs w:val="21"/>
                <w:highlight w:val="none"/>
              </w:rPr>
              <w:t>满足</w:t>
            </w:r>
            <w:r>
              <w:rPr>
                <w:rFonts w:hint="eastAsia" w:ascii="宋体" w:hAnsi="宋体"/>
                <w:szCs w:val="21"/>
                <w:highlight w:val="none"/>
                <w:lang w:eastAsia="zh-CN"/>
              </w:rPr>
              <w:t>招标文件</w:t>
            </w:r>
            <w:r>
              <w:rPr>
                <w:rFonts w:hint="eastAsia" w:ascii="宋体" w:hAnsi="宋体"/>
                <w:szCs w:val="21"/>
                <w:highlight w:val="none"/>
              </w:rPr>
              <w:t>要求且“参与评审的价格”中最低的价格为评标基准价</w:t>
            </w:r>
            <w:r>
              <w:rPr>
                <w:rFonts w:hint="eastAsia" w:ascii="宋体" w:hAnsi="宋体"/>
                <w:szCs w:val="21"/>
                <w:highlight w:val="none"/>
                <w:lang w:eastAsia="zh-CN"/>
              </w:rPr>
              <w:t>。</w:t>
            </w:r>
          </w:p>
          <w:p>
            <w:pPr>
              <w:pageBreakBefore w:val="0"/>
              <w:kinsoku/>
              <w:wordWrap w:val="0"/>
              <w:overflowPunct/>
              <w:topLinePunct w:val="0"/>
              <w:autoSpaceDE/>
              <w:autoSpaceDN/>
              <w:bidi w:val="0"/>
              <w:spacing w:line="380" w:lineRule="exact"/>
              <w:textAlignment w:val="auto"/>
              <w:rPr>
                <w:rFonts w:ascii="宋体" w:hAnsi="宋体"/>
                <w:szCs w:val="21"/>
                <w:highlight w:val="none"/>
              </w:rPr>
            </w:pPr>
            <w:r>
              <w:rPr>
                <w:szCs w:val="21"/>
              </w:rPr>
              <w:t>参与评审的价格为评标基准价的其价格得分得满分30分</w:t>
            </w:r>
            <w:r>
              <w:rPr>
                <w:rFonts w:hint="eastAsia" w:ascii="宋体" w:hAnsi="宋体"/>
                <w:szCs w:val="21"/>
                <w:highlight w:val="none"/>
              </w:rPr>
              <w:t>，其他供应商报价得分计算公式如下：</w:t>
            </w:r>
          </w:p>
          <w:p>
            <w:pPr>
              <w:pageBreakBefore w:val="0"/>
              <w:kinsoku/>
              <w:wordWrap w:val="0"/>
              <w:overflowPunct/>
              <w:topLinePunct w:val="0"/>
              <w:autoSpaceDE/>
              <w:autoSpaceDN/>
              <w:bidi w:val="0"/>
              <w:spacing w:line="380" w:lineRule="exact"/>
              <w:textAlignment w:val="auto"/>
              <w:rPr>
                <w:rFonts w:hint="eastAsia" w:ascii="宋体" w:hAnsi="宋体" w:eastAsia="宋体" w:cs="Times New Roman"/>
                <w:spacing w:val="0"/>
                <w:kern w:val="2"/>
                <w:sz w:val="21"/>
                <w:szCs w:val="21"/>
                <w:highlight w:val="none"/>
                <w:lang w:val="en-US" w:eastAsia="zh-CN" w:bidi="ar-SA"/>
              </w:rPr>
            </w:pPr>
            <w:r>
              <w:rPr>
                <w:rFonts w:hint="eastAsia" w:ascii="宋体" w:hAnsi="宋体"/>
                <w:szCs w:val="21"/>
                <w:highlight w:val="none"/>
              </w:rPr>
              <w:t>报价得分</w:t>
            </w:r>
            <w:r>
              <w:rPr>
                <w:rFonts w:ascii="宋体" w:hAnsi="宋体"/>
                <w:szCs w:val="21"/>
                <w:highlight w:val="none"/>
              </w:rPr>
              <w:t>=（</w:t>
            </w:r>
            <w:r>
              <w:rPr>
                <w:rFonts w:hint="eastAsia" w:ascii="宋体" w:hAnsi="宋体"/>
                <w:szCs w:val="21"/>
                <w:highlight w:val="none"/>
              </w:rPr>
              <w:t>评标基准价</w:t>
            </w:r>
            <w:r>
              <w:rPr>
                <w:rFonts w:ascii="宋体" w:hAnsi="宋体"/>
                <w:szCs w:val="21"/>
                <w:highlight w:val="none"/>
              </w:rPr>
              <w:t>/</w:t>
            </w:r>
            <w:r>
              <w:rPr>
                <w:szCs w:val="21"/>
              </w:rPr>
              <w:t>各投标人</w:t>
            </w:r>
            <w:r>
              <w:rPr>
                <w:rFonts w:hint="eastAsia" w:ascii="宋体" w:hAnsi="宋体"/>
                <w:szCs w:val="21"/>
                <w:highlight w:val="none"/>
              </w:rPr>
              <w:t>参与评审的价格</w:t>
            </w:r>
            <w:r>
              <w:rPr>
                <w:rFonts w:ascii="宋体" w:hAnsi="宋体"/>
                <w:szCs w:val="21"/>
                <w:highlight w:val="none"/>
              </w:rPr>
              <w:t>）</w:t>
            </w:r>
            <w:r>
              <w:rPr>
                <w:rFonts w:hint="eastAsia" w:ascii="宋体" w:hAnsi="宋体"/>
                <w:szCs w:val="21"/>
                <w:highlight w:val="none"/>
              </w:rPr>
              <w:t>×30</w:t>
            </w:r>
            <w:r>
              <w:rPr>
                <w:rFonts w:ascii="宋体" w:hAnsi="宋体"/>
                <w:szCs w:val="21"/>
                <w:highlight w:val="none"/>
              </w:rPr>
              <w:t>%</w:t>
            </w:r>
            <w:r>
              <w:rPr>
                <w:rFonts w:hint="eastAsia" w:ascii="宋体" w:hAnsi="宋体"/>
                <w:szCs w:val="21"/>
                <w:highlight w:val="none"/>
              </w:rPr>
              <w:t>×</w:t>
            </w:r>
            <w:r>
              <w:rPr>
                <w:rFonts w:ascii="宋体" w:hAnsi="宋体"/>
                <w:szCs w:val="21"/>
                <w:highlight w:val="none"/>
              </w:rPr>
              <w:t>100</w:t>
            </w:r>
            <w:r>
              <w:rPr>
                <w:rFonts w:hint="eastAsia"/>
                <w:spacing w:val="0"/>
                <w:kern w:val="2"/>
                <w:sz w:val="21"/>
                <w:szCs w:val="21"/>
                <w:highlight w:val="none"/>
              </w:rPr>
              <w:t>（保留二位小数）</w:t>
            </w:r>
          </w:p>
        </w:tc>
        <w:tc>
          <w:tcPr>
            <w:tcW w:w="727" w:type="dxa"/>
            <w:noWrap/>
            <w:vAlign w:val="center"/>
          </w:tcPr>
          <w:p>
            <w:pPr>
              <w:pageBreakBefore w:val="0"/>
              <w:kinsoku/>
              <w:wordWrap w:val="0"/>
              <w:overflowPunct/>
              <w:topLinePunct w:val="0"/>
              <w:autoSpaceDE/>
              <w:autoSpaceDN/>
              <w:bidi w:val="0"/>
              <w:spacing w:line="380" w:lineRule="exact"/>
              <w:jc w:val="center"/>
              <w:textAlignment w:val="auto"/>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30</w:t>
            </w:r>
          </w:p>
        </w:tc>
      </w:tr>
      <w:bookmarkEnd w:id="16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093" w:type="dxa"/>
            <w:gridSpan w:val="3"/>
            <w:noWrap/>
            <w:vAlign w:val="center"/>
          </w:tcPr>
          <w:p>
            <w:pPr>
              <w:pageBreakBefore w:val="0"/>
              <w:kinsoku/>
              <w:overflowPunct/>
              <w:topLinePunct w:val="0"/>
              <w:autoSpaceDE/>
              <w:autoSpaceDN/>
              <w:bidi w:val="0"/>
              <w:spacing w:line="380" w:lineRule="exact"/>
              <w:jc w:val="center"/>
              <w:textAlignment w:val="auto"/>
              <w:rPr>
                <w:sz w:val="21"/>
                <w:szCs w:val="21"/>
                <w:highlight w:val="none"/>
              </w:rPr>
            </w:pPr>
            <w:r>
              <w:rPr>
                <w:sz w:val="21"/>
                <w:szCs w:val="21"/>
                <w:highlight w:val="none"/>
              </w:rPr>
              <w:t>合计</w:t>
            </w:r>
          </w:p>
        </w:tc>
        <w:tc>
          <w:tcPr>
            <w:tcW w:w="727" w:type="dxa"/>
            <w:noWrap/>
            <w:vAlign w:val="center"/>
          </w:tcPr>
          <w:p>
            <w:pPr>
              <w:pageBreakBefore w:val="0"/>
              <w:kinsoku/>
              <w:overflowPunct/>
              <w:topLinePunct w:val="0"/>
              <w:autoSpaceDE/>
              <w:autoSpaceDN/>
              <w:bidi w:val="0"/>
              <w:spacing w:line="380" w:lineRule="exact"/>
              <w:jc w:val="center"/>
              <w:textAlignment w:val="auto"/>
              <w:rPr>
                <w:rFonts w:hint="default" w:eastAsia="宋体"/>
                <w:sz w:val="21"/>
                <w:szCs w:val="21"/>
                <w:highlight w:val="none"/>
                <w:lang w:val="en-US" w:eastAsia="zh-CN"/>
              </w:rPr>
            </w:pPr>
            <w:r>
              <w:rPr>
                <w:rFonts w:hint="eastAsia"/>
                <w:sz w:val="21"/>
                <w:szCs w:val="21"/>
                <w:highlight w:val="none"/>
                <w:lang w:val="en-US" w:eastAsia="zh-CN"/>
              </w:rPr>
              <w:t>100</w:t>
            </w:r>
          </w:p>
        </w:tc>
      </w:tr>
    </w:tbl>
    <w:p>
      <w:pPr>
        <w:pStyle w:val="3"/>
        <w:spacing w:beforeLines="0" w:afterLines="0" w:line="360" w:lineRule="auto"/>
        <w:rPr>
          <w:rFonts w:ascii="宋体"/>
          <w:color w:val="000000" w:themeColor="text1"/>
          <w:sz w:val="32"/>
          <w:szCs w:val="32"/>
          <w:highlight w:val="none"/>
          <w14:textFill>
            <w14:solidFill>
              <w14:schemeClr w14:val="tx1"/>
            </w14:solidFill>
          </w14:textFill>
        </w:rPr>
        <w:sectPr>
          <w:headerReference r:id="rId13" w:type="default"/>
          <w:pgSz w:w="11907" w:h="16840"/>
          <w:pgMar w:top="1304" w:right="1588" w:bottom="1304" w:left="1588" w:header="720" w:footer="720" w:gutter="0"/>
          <w:pgBorders>
            <w:top w:val="none" w:sz="0" w:space="0"/>
            <w:left w:val="none" w:sz="0" w:space="0"/>
            <w:bottom w:val="none" w:sz="0" w:space="0"/>
            <w:right w:val="none" w:sz="0" w:space="0"/>
          </w:pgBorders>
          <w:cols w:space="720" w:num="1"/>
          <w:docGrid w:linePitch="285" w:charSpace="0"/>
        </w:sectPr>
      </w:pPr>
    </w:p>
    <w:bookmarkEnd w:id="165"/>
    <w:p>
      <w:pPr>
        <w:pStyle w:val="37"/>
        <w:ind w:firstLine="640"/>
        <w:rPr>
          <w:rFonts w:ascii="宋体" w:hAnsi="宋体" w:cs="宋体"/>
          <w:color w:val="000000" w:themeColor="text1"/>
          <w:sz w:val="32"/>
          <w:szCs w:val="32"/>
          <w:highlight w:val="none"/>
          <w14:textFill>
            <w14:solidFill>
              <w14:schemeClr w14:val="tx1"/>
            </w14:solidFill>
          </w14:textFill>
        </w:rPr>
      </w:pPr>
      <w:bookmarkStart w:id="175" w:name="_Toc316649303"/>
    </w:p>
    <w:p>
      <w:pPr>
        <w:pStyle w:val="3"/>
        <w:spacing w:beforeLines="0" w:afterLines="0" w:line="360" w:lineRule="auto"/>
        <w:rPr>
          <w:rFonts w:ascii="宋体"/>
          <w:color w:val="000000" w:themeColor="text1"/>
          <w:sz w:val="32"/>
          <w:szCs w:val="32"/>
          <w:highlight w:val="none"/>
          <w14:textFill>
            <w14:solidFill>
              <w14:schemeClr w14:val="tx1"/>
            </w14:solidFill>
          </w14:textFill>
        </w:rPr>
      </w:pPr>
      <w:bookmarkStart w:id="176" w:name="_Toc5841"/>
      <w:bookmarkStart w:id="177" w:name="_Toc141797686"/>
      <w:bookmarkStart w:id="178" w:name="_Toc21257"/>
      <w:r>
        <w:rPr>
          <w:rFonts w:hint="eastAsia" w:ascii="宋体" w:hAnsi="宋体" w:cs="宋体"/>
          <w:color w:val="000000" w:themeColor="text1"/>
          <w:sz w:val="32"/>
          <w:szCs w:val="32"/>
          <w:highlight w:val="none"/>
          <w14:textFill>
            <w14:solidFill>
              <w14:schemeClr w14:val="tx1"/>
            </w14:solidFill>
          </w14:textFill>
        </w:rPr>
        <w:t>第七部分 附件（投标文件格式）</w:t>
      </w:r>
      <w:bookmarkEnd w:id="175"/>
      <w:bookmarkEnd w:id="176"/>
      <w:bookmarkEnd w:id="177"/>
      <w:bookmarkEnd w:id="178"/>
    </w:p>
    <w:p>
      <w:pPr>
        <w:jc w:val="center"/>
        <w:rPr>
          <w:rFonts w:ascii="宋体"/>
          <w:b/>
          <w:bCs/>
          <w:color w:val="000000" w:themeColor="text1"/>
          <w:sz w:val="36"/>
          <w:szCs w:val="36"/>
          <w:highlight w:val="none"/>
          <w:u w:val="single"/>
          <w14:textFill>
            <w14:solidFill>
              <w14:schemeClr w14:val="tx1"/>
            </w14:solidFill>
          </w14:textFill>
        </w:rPr>
      </w:pP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ascii="宋体" w:hAnsi="宋体" w:cs="宋体"/>
          <w:b/>
          <w:bCs/>
          <w:color w:val="000000" w:themeColor="text1"/>
          <w:kern w:val="0"/>
          <w:highlight w:val="none"/>
          <w14:textFill>
            <w14:solidFill>
              <w14:schemeClr w14:val="tx1"/>
            </w14:solidFill>
          </w14:textFill>
        </w:rPr>
        <w:t>1</w:t>
      </w:r>
      <w:r>
        <w:rPr>
          <w:rFonts w:hint="eastAsia" w:ascii="宋体" w:hAnsi="宋体" w:cs="宋体"/>
          <w:b/>
          <w:bCs/>
          <w:color w:val="000000" w:themeColor="text1"/>
          <w:kern w:val="0"/>
          <w:highlight w:val="none"/>
          <w14:textFill>
            <w14:solidFill>
              <w14:schemeClr w14:val="tx1"/>
            </w14:solidFill>
          </w14:textFill>
        </w:rPr>
        <w:t>、投标文件的外包装封面</w:t>
      </w:r>
    </w:p>
    <w:p>
      <w:pPr>
        <w:widowControl/>
        <w:spacing w:before="240" w:beforeLines="100" w:line="360" w:lineRule="auto"/>
        <w:jc w:val="center"/>
        <w:rPr>
          <w:rFonts w:ascii="宋体"/>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highlight w:val="none"/>
          <w14:textFill>
            <w14:solidFill>
              <w14:schemeClr w14:val="tx1"/>
            </w14:solidFill>
          </w14:textFill>
        </w:rPr>
        <w:t>电子备份投标文件</w:t>
      </w:r>
    </w:p>
    <w:p>
      <w:pPr>
        <w:widowControl/>
        <w:spacing w:line="360" w:lineRule="auto"/>
        <w:jc w:val="left"/>
        <w:rPr>
          <w:rFonts w:ascii="宋体"/>
          <w:color w:val="000000" w:themeColor="text1"/>
          <w:kern w:val="0"/>
          <w:highlight w:val="none"/>
          <w14:textFill>
            <w14:solidFill>
              <w14:schemeClr w14:val="tx1"/>
            </w14:solidFill>
          </w14:textFill>
        </w:rPr>
      </w:pP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项目编号：</w:t>
      </w: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项目名称：</w:t>
      </w: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投标人名称（加盖公章）：</w:t>
      </w:r>
    </w:p>
    <w:p>
      <w:pPr>
        <w:widowControl/>
        <w:spacing w:line="360" w:lineRule="auto"/>
        <w:jc w:val="left"/>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投标人地址：</w:t>
      </w:r>
    </w:p>
    <w:p>
      <w:pPr>
        <w:widowControl/>
        <w:spacing w:line="360" w:lineRule="auto"/>
        <w:jc w:val="left"/>
        <w:rPr>
          <w:rFonts w:ascii="宋体"/>
          <w:color w:val="000000" w:themeColor="text1"/>
          <w:kern w:val="0"/>
          <w:sz w:val="24"/>
          <w:szCs w:val="24"/>
          <w:highlight w:val="none"/>
          <w14:textFill>
            <w14:solidFill>
              <w14:schemeClr w14:val="tx1"/>
            </w14:solidFill>
          </w14:textFill>
        </w:rPr>
      </w:pPr>
    </w:p>
    <w:p>
      <w:pPr>
        <w:widowControl/>
        <w:spacing w:line="360" w:lineRule="auto"/>
        <w:ind w:firstLine="630" w:firstLineChars="300"/>
        <w:jc w:val="left"/>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年  月  日</w:t>
      </w:r>
    </w:p>
    <w:p>
      <w:pPr>
        <w:widowControl/>
        <w:spacing w:line="360" w:lineRule="auto"/>
        <w:jc w:val="left"/>
        <w:rPr>
          <w:rFonts w:ascii="宋体" w:hAnsi="宋体" w:cs="宋体"/>
          <w:color w:val="000000" w:themeColor="text1"/>
          <w:kern w:val="0"/>
          <w:highlight w:val="none"/>
          <w14:textFill>
            <w14:solidFill>
              <w14:schemeClr w14:val="tx1"/>
            </w14:solidFill>
          </w14:textFill>
        </w:rPr>
      </w:pPr>
    </w:p>
    <w:p>
      <w:pPr>
        <w:widowControl/>
        <w:spacing w:line="360" w:lineRule="auto"/>
        <w:jc w:val="left"/>
        <w:rPr>
          <w:rFonts w:ascii="宋体"/>
          <w:color w:val="000000" w:themeColor="text1"/>
          <w:kern w:val="0"/>
          <w:sz w:val="24"/>
          <w:szCs w:val="24"/>
          <w:highlight w:val="none"/>
          <w14:textFill>
            <w14:solidFill>
              <w14:schemeClr w14:val="tx1"/>
            </w14:solidFill>
          </w14:textFill>
        </w:rPr>
      </w:pP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ascii="宋体" w:hAnsi="宋体" w:cs="宋体"/>
          <w:b/>
          <w:bCs/>
          <w:color w:val="000000" w:themeColor="text1"/>
          <w:kern w:val="0"/>
          <w:highlight w:val="none"/>
          <w14:textFill>
            <w14:solidFill>
              <w14:schemeClr w14:val="tx1"/>
            </w14:solidFill>
          </w14:textFill>
        </w:rPr>
        <w:t>2</w:t>
      </w:r>
      <w:r>
        <w:rPr>
          <w:rFonts w:hint="eastAsia" w:ascii="宋体" w:hAnsi="宋体" w:cs="宋体"/>
          <w:b/>
          <w:bCs/>
          <w:color w:val="000000" w:themeColor="text1"/>
          <w:kern w:val="0"/>
          <w:highlight w:val="none"/>
          <w14:textFill>
            <w14:solidFill>
              <w14:schemeClr w14:val="tx1"/>
            </w14:solidFill>
          </w14:textFill>
        </w:rPr>
        <w:t>、投标文件封面格式</w:t>
      </w:r>
    </w:p>
    <w:p>
      <w:pPr>
        <w:widowControl/>
        <w:spacing w:before="240" w:beforeLines="100" w:line="360" w:lineRule="auto"/>
        <w:jc w:val="center"/>
        <w:rPr>
          <w:rFonts w:ascii="宋体"/>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highlight w:val="none"/>
          <w14:textFill>
            <w14:solidFill>
              <w14:schemeClr w14:val="tx1"/>
            </w14:solidFill>
          </w14:textFill>
        </w:rPr>
        <w:t>资格文件</w:t>
      </w:r>
      <w:r>
        <w:rPr>
          <w:rFonts w:ascii="宋体" w:hAnsi="宋体" w:cs="宋体"/>
          <w:b/>
          <w:bCs/>
          <w:color w:val="000000" w:themeColor="text1"/>
          <w:kern w:val="0"/>
          <w:highlight w:val="none"/>
          <w14:textFill>
            <w14:solidFill>
              <w14:schemeClr w14:val="tx1"/>
            </w14:solidFill>
          </w14:textFill>
        </w:rPr>
        <w:t>/</w:t>
      </w:r>
      <w:r>
        <w:rPr>
          <w:rFonts w:hint="eastAsia" w:ascii="宋体" w:hAnsi="宋体" w:cs="宋体"/>
          <w:b/>
          <w:bCs/>
          <w:color w:val="000000" w:themeColor="text1"/>
          <w:kern w:val="0"/>
          <w:highlight w:val="none"/>
          <w14:textFill>
            <w14:solidFill>
              <w14:schemeClr w14:val="tx1"/>
            </w14:solidFill>
          </w14:textFill>
        </w:rPr>
        <w:t>商务技术文件</w:t>
      </w:r>
      <w:r>
        <w:rPr>
          <w:rFonts w:ascii="宋体" w:hAnsi="宋体" w:cs="宋体"/>
          <w:b/>
          <w:bCs/>
          <w:color w:val="000000" w:themeColor="text1"/>
          <w:kern w:val="0"/>
          <w:highlight w:val="none"/>
          <w14:textFill>
            <w14:solidFill>
              <w14:schemeClr w14:val="tx1"/>
            </w14:solidFill>
          </w14:textFill>
        </w:rPr>
        <w:t>/</w:t>
      </w:r>
      <w:r>
        <w:rPr>
          <w:rFonts w:hint="eastAsia" w:ascii="宋体" w:hAnsi="宋体" w:cs="宋体"/>
          <w:b/>
          <w:bCs/>
          <w:color w:val="000000" w:themeColor="text1"/>
          <w:kern w:val="0"/>
          <w:highlight w:val="none"/>
          <w14:textFill>
            <w14:solidFill>
              <w14:schemeClr w14:val="tx1"/>
            </w14:solidFill>
          </w14:textFill>
        </w:rPr>
        <w:t>报价文件</w:t>
      </w:r>
    </w:p>
    <w:p>
      <w:pPr>
        <w:widowControl/>
        <w:spacing w:line="360" w:lineRule="auto"/>
        <w:jc w:val="left"/>
        <w:rPr>
          <w:rFonts w:ascii="宋体"/>
          <w:color w:val="000000" w:themeColor="text1"/>
          <w:kern w:val="0"/>
          <w:highlight w:val="none"/>
          <w14:textFill>
            <w14:solidFill>
              <w14:schemeClr w14:val="tx1"/>
            </w14:solidFill>
          </w14:textFill>
        </w:rPr>
      </w:pP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项目编号：</w:t>
      </w: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项目名称：</w:t>
      </w: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投标人名称（加盖公章）：</w:t>
      </w: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投标人地址：</w:t>
      </w:r>
    </w:p>
    <w:p>
      <w:pPr>
        <w:widowControl/>
        <w:spacing w:line="360" w:lineRule="auto"/>
        <w:jc w:val="left"/>
        <w:rPr>
          <w:rFonts w:ascii="宋体" w:hAnsi="宋体" w:cs="宋体"/>
          <w:color w:val="000000" w:themeColor="text1"/>
          <w:kern w:val="0"/>
          <w:highlight w:val="none"/>
          <w14:textFill>
            <w14:solidFill>
              <w14:schemeClr w14:val="tx1"/>
            </w14:solidFill>
          </w14:textFill>
        </w:rPr>
      </w:pPr>
    </w:p>
    <w:p>
      <w:pPr>
        <w:spacing w:line="400" w:lineRule="exact"/>
        <w:ind w:firstLine="420" w:firstLineChars="200"/>
        <w:rPr>
          <w:rFonts w:ascii="宋体"/>
          <w:b/>
          <w:bCs/>
          <w:color w:val="000000" w:themeColor="text1"/>
          <w:sz w:val="24"/>
          <w:szCs w:val="24"/>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年  月  日</w:t>
      </w:r>
      <w:r>
        <w:rPr>
          <w:rFonts w:ascii="宋体"/>
          <w:color w:val="000000" w:themeColor="text1"/>
          <w:sz w:val="24"/>
          <w:szCs w:val="24"/>
          <w:highlight w:val="none"/>
          <w14:textFill>
            <w14:solidFill>
              <w14:schemeClr w14:val="tx1"/>
            </w14:solidFill>
          </w14:textFill>
        </w:rPr>
        <w:br w:type="page"/>
      </w: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highlight w:val="none"/>
          <w14:textFill>
            <w14:solidFill>
              <w14:schemeClr w14:val="tx1"/>
            </w14:solidFill>
          </w14:textFill>
        </w:rPr>
        <w:t>资格文件组成：</w:t>
      </w:r>
    </w:p>
    <w:p>
      <w:pPr>
        <w:widowControl/>
        <w:spacing w:line="360" w:lineRule="auto"/>
        <w:ind w:firstLine="420" w:firstLineChars="200"/>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（1）符合参加政府采购活动应当具备的一般条件的承诺函；</w:t>
      </w:r>
    </w:p>
    <w:p>
      <w:pPr>
        <w:widowControl/>
        <w:spacing w:line="360" w:lineRule="auto"/>
        <w:ind w:firstLine="420" w:firstLineChars="200"/>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（2）有效的企业法人营业执照（或事业法人登记证）、其他组织（个体工商户的营业执照或者民办非企业单位登记证书复印件。投标人如果有名称变更的，应提供由行政主管部门出具的变更证明文件；</w:t>
      </w:r>
    </w:p>
    <w:p>
      <w:pPr>
        <w:widowControl/>
        <w:spacing w:line="360" w:lineRule="auto"/>
        <w:ind w:firstLine="420" w:firstLineChars="200"/>
        <w:jc w:val="left"/>
        <w:rPr>
          <w:rFonts w:hint="eastAsia" w:asciiTheme="minorEastAsia" w:hAnsiTheme="minorEastAsia" w:eastAsiaTheme="minorEastAsia"/>
          <w:color w:val="000000" w:themeColor="text1"/>
          <w:highlight w:val="none"/>
          <w:lang w:eastAsia="zh-CN"/>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（3）落实政府采购政策需满足的资格要求</w:t>
      </w:r>
      <w:r>
        <w:rPr>
          <w:rFonts w:hint="eastAsia" w:asciiTheme="minorEastAsia" w:hAnsiTheme="minorEastAsia" w:eastAsiaTheme="minorEastAsia"/>
          <w:color w:val="000000" w:themeColor="text1"/>
          <w:highlight w:val="none"/>
          <w:lang w:eastAsia="zh-CN"/>
          <w14:textFill>
            <w14:solidFill>
              <w14:schemeClr w14:val="tx1"/>
            </w14:solidFill>
          </w14:textFill>
        </w:rPr>
        <w:t>（</w:t>
      </w:r>
      <w:r>
        <w:rPr>
          <w:rFonts w:hint="eastAsia" w:asciiTheme="minorEastAsia" w:hAnsiTheme="minorEastAsia" w:eastAsiaTheme="minorEastAsia"/>
          <w:color w:val="000000" w:themeColor="text1"/>
          <w:highlight w:val="none"/>
          <w:lang w:val="en-US" w:eastAsia="zh-CN"/>
          <w14:textFill>
            <w14:solidFill>
              <w14:schemeClr w14:val="tx1"/>
            </w14:solidFill>
          </w14:textFill>
        </w:rPr>
        <w:t>如有</w:t>
      </w:r>
      <w:r>
        <w:rPr>
          <w:rFonts w:hint="eastAsia" w:asciiTheme="minorEastAsia" w:hAnsiTheme="minorEastAsia" w:eastAsiaTheme="minorEastAsia"/>
          <w:color w:val="000000" w:themeColor="text1"/>
          <w:highlight w:val="none"/>
          <w:lang w:eastAsia="zh-CN"/>
          <w14:textFill>
            <w14:solidFill>
              <w14:schemeClr w14:val="tx1"/>
            </w14:solidFill>
          </w14:textFill>
        </w:rPr>
        <w:t>）；</w:t>
      </w:r>
    </w:p>
    <w:p>
      <w:pPr>
        <w:widowControl/>
        <w:spacing w:line="360" w:lineRule="auto"/>
        <w:ind w:firstLine="420" w:firstLineChars="200"/>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（4）投标人的特定条件的证明文件（如有）。</w:t>
      </w:r>
    </w:p>
    <w:p>
      <w:pPr>
        <w:pStyle w:val="4"/>
        <w:spacing w:line="380" w:lineRule="exact"/>
        <w:ind w:left="0" w:firstLine="0"/>
        <w:rPr>
          <w:rFonts w:cs="仿宋_GB2312" w:asciiTheme="minorEastAsia" w:hAnsiTheme="minorEastAsia" w:eastAsiaTheme="minorEastAsia"/>
          <w:color w:val="000000" w:themeColor="text1"/>
          <w:highlight w:val="none"/>
          <w14:textFill>
            <w14:solidFill>
              <w14:schemeClr w14:val="tx1"/>
            </w14:solidFill>
          </w14:textFill>
        </w:rPr>
      </w:pPr>
      <w:r>
        <w:rPr>
          <w:rFonts w:ascii="宋体"/>
          <w:color w:val="000000" w:themeColor="text1"/>
          <w:sz w:val="24"/>
          <w:szCs w:val="24"/>
          <w:highlight w:val="none"/>
          <w14:textFill>
            <w14:solidFill>
              <w14:schemeClr w14:val="tx1"/>
            </w14:solidFill>
          </w14:textFill>
        </w:rPr>
        <w:br w:type="page"/>
      </w:r>
      <w:bookmarkStart w:id="179" w:name="_Toc5293"/>
      <w:bookmarkStart w:id="180" w:name="_Toc141797131"/>
      <w:bookmarkStart w:id="181" w:name="_Toc17837"/>
      <w:bookmarkStart w:id="182" w:name="_Toc141797687"/>
      <w:r>
        <w:rPr>
          <w:rFonts w:hint="eastAsia" w:asciiTheme="minorEastAsia" w:hAnsiTheme="minorEastAsia" w:eastAsiaTheme="minorEastAsia"/>
          <w:color w:val="000000" w:themeColor="text1"/>
          <w:sz w:val="28"/>
          <w:szCs w:val="28"/>
          <w:highlight w:val="none"/>
          <w14:textFill>
            <w14:solidFill>
              <w14:schemeClr w14:val="tx1"/>
            </w14:solidFill>
          </w14:textFill>
        </w:rPr>
        <w:t>（一）</w:t>
      </w:r>
      <w:r>
        <w:rPr>
          <w:rFonts w:cs="仿宋_GB2312" w:asciiTheme="minorEastAsia" w:hAnsiTheme="minorEastAsia" w:eastAsiaTheme="minorEastAsia"/>
          <w:color w:val="000000" w:themeColor="text1"/>
          <w:sz w:val="28"/>
          <w:szCs w:val="28"/>
          <w:highlight w:val="none"/>
          <w14:textFill>
            <w14:solidFill>
              <w14:schemeClr w14:val="tx1"/>
            </w14:solidFill>
          </w14:textFill>
        </w:rPr>
        <w:t xml:space="preserve"> 符合参加政府采购活动应当具备的一般条件的承诺函</w:t>
      </w:r>
      <w:bookmarkEnd w:id="179"/>
      <w:bookmarkEnd w:id="180"/>
      <w:bookmarkEnd w:id="181"/>
      <w:bookmarkEnd w:id="182"/>
    </w:p>
    <w:p>
      <w:pPr>
        <w:snapToGrid w:val="0"/>
        <w:spacing w:line="360" w:lineRule="auto"/>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i/>
          <w:iCs/>
          <w:color w:val="000000" w:themeColor="text1"/>
          <w:highlight w:val="none"/>
          <w:u w:val="single"/>
          <w14:textFill>
            <w14:solidFill>
              <w14:schemeClr w14:val="tx1"/>
            </w14:solidFill>
          </w14:textFill>
        </w:rPr>
        <w:t xml:space="preserve"> （采购人、采购代理机构） </w:t>
      </w:r>
      <w:r>
        <w:rPr>
          <w:rFonts w:hint="eastAsia" w:cs="仿宋_GB2312" w:asciiTheme="minorEastAsia" w:hAnsiTheme="minorEastAsia" w:eastAsiaTheme="minorEastAsia"/>
          <w:color w:val="000000" w:themeColor="text1"/>
          <w:highlight w:val="none"/>
          <w14:textFill>
            <w14:solidFill>
              <w14:schemeClr w14:val="tx1"/>
            </w14:solidFill>
          </w14:textFill>
        </w:rPr>
        <w:t>：</w:t>
      </w:r>
    </w:p>
    <w:p>
      <w:pPr>
        <w:snapToGrid w:val="0"/>
        <w:spacing w:line="360" w:lineRule="auto"/>
        <w:ind w:firstLine="420" w:firstLineChars="200"/>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我方参与</w:t>
      </w:r>
      <w:r>
        <w:rPr>
          <w:rFonts w:hint="eastAsia" w:asciiTheme="minorEastAsia" w:hAnsiTheme="minorEastAsia" w:eastAsiaTheme="minorEastAsia"/>
          <w:color w:val="000000" w:themeColor="text1"/>
          <w:highlight w:val="none"/>
          <w14:textFill>
            <w14:solidFill>
              <w14:schemeClr w14:val="tx1"/>
            </w14:solidFill>
          </w14:textFill>
        </w:rPr>
        <w:t>项目</w:t>
      </w:r>
      <w:r>
        <w:rPr>
          <w:rFonts w:hint="eastAsia" w:cs="仿宋_GB2312" w:asciiTheme="minorEastAsia" w:hAnsiTheme="minorEastAsia" w:eastAsiaTheme="minorEastAsia"/>
          <w:color w:val="000000" w:themeColor="text1"/>
          <w:highlight w:val="none"/>
          <w14:textFill>
            <w14:solidFill>
              <w14:schemeClr w14:val="tx1"/>
            </w14:solidFill>
          </w14:textFill>
        </w:rPr>
        <w:t>【招标编号：】政府采购活动，郑重承诺：</w:t>
      </w:r>
    </w:p>
    <w:p>
      <w:pPr>
        <w:snapToGrid w:val="0"/>
        <w:spacing w:line="360" w:lineRule="auto"/>
        <w:ind w:firstLine="315" w:firstLineChars="150"/>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（一）具备《中华人民共和国政府采购法》第二十二条第一款规定的条件：</w:t>
      </w:r>
    </w:p>
    <w:p>
      <w:pPr>
        <w:snapToGrid w:val="0"/>
        <w:spacing w:line="360" w:lineRule="auto"/>
        <w:ind w:firstLine="420" w:firstLineChars="200"/>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1、</w:t>
      </w:r>
      <w:r>
        <w:rPr>
          <w:rFonts w:cs="仿宋_GB2312" w:asciiTheme="minorEastAsia" w:hAnsiTheme="minorEastAsia" w:eastAsiaTheme="minorEastAsia"/>
          <w:color w:val="000000" w:themeColor="text1"/>
          <w:highlight w:val="none"/>
          <w14:textFill>
            <w14:solidFill>
              <w14:schemeClr w14:val="tx1"/>
            </w14:solidFill>
          </w14:textFill>
        </w:rPr>
        <w:t>具有独立承担民事责任的能力；</w:t>
      </w:r>
    </w:p>
    <w:p>
      <w:pPr>
        <w:snapToGrid w:val="0"/>
        <w:spacing w:line="360" w:lineRule="auto"/>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w:t>
      </w:r>
      <w:r>
        <w:rPr>
          <w:rFonts w:asciiTheme="minorEastAsia" w:hAnsiTheme="minorEastAsia" w:eastAsiaTheme="minorEastAsia"/>
          <w:color w:val="000000" w:themeColor="text1"/>
          <w:highlight w:val="none"/>
          <w14:textFill>
            <w14:solidFill>
              <w14:schemeClr w14:val="tx1"/>
            </w14:solidFill>
          </w14:textFill>
        </w:rPr>
        <w:t xml:space="preserve">具有良好的商业信誉和健全的财务会计制度； </w:t>
      </w:r>
    </w:p>
    <w:p>
      <w:pPr>
        <w:snapToGrid w:val="0"/>
        <w:spacing w:line="360" w:lineRule="auto"/>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w:t>
      </w:r>
      <w:r>
        <w:rPr>
          <w:rFonts w:asciiTheme="minorEastAsia" w:hAnsiTheme="minorEastAsia" w:eastAsiaTheme="minorEastAsia"/>
          <w:color w:val="000000" w:themeColor="text1"/>
          <w:highlight w:val="none"/>
          <w14:textFill>
            <w14:solidFill>
              <w14:schemeClr w14:val="tx1"/>
            </w14:solidFill>
          </w14:textFill>
        </w:rPr>
        <w:t>具有履行合同所必需的设备和专业技术能力；</w:t>
      </w:r>
    </w:p>
    <w:p>
      <w:pPr>
        <w:snapToGrid w:val="0"/>
        <w:spacing w:line="360" w:lineRule="auto"/>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4、</w:t>
      </w:r>
      <w:r>
        <w:rPr>
          <w:rFonts w:asciiTheme="minorEastAsia" w:hAnsiTheme="minorEastAsia" w:eastAsiaTheme="minorEastAsia"/>
          <w:color w:val="000000" w:themeColor="text1"/>
          <w:highlight w:val="none"/>
          <w14:textFill>
            <w14:solidFill>
              <w14:schemeClr w14:val="tx1"/>
            </w14:solidFill>
          </w14:textFill>
        </w:rPr>
        <w:t>有依法缴纳税收和社会保障资金的良好记录；</w:t>
      </w:r>
    </w:p>
    <w:p>
      <w:pPr>
        <w:snapToGrid w:val="0"/>
        <w:spacing w:line="360" w:lineRule="auto"/>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5、</w:t>
      </w:r>
      <w:r>
        <w:rPr>
          <w:rFonts w:asciiTheme="minorEastAsia" w:hAnsiTheme="minorEastAsia" w:eastAsiaTheme="minorEastAsia"/>
          <w:color w:val="000000" w:themeColor="text1"/>
          <w:highlight w:val="none"/>
          <w14:textFill>
            <w14:solidFill>
              <w14:schemeClr w14:val="tx1"/>
            </w14:solidFill>
          </w14:textFill>
        </w:rPr>
        <w:t>参加政府采购活动前三年内，在经营活动中没有重大违法记录；</w:t>
      </w:r>
    </w:p>
    <w:p>
      <w:pPr>
        <w:snapToGrid w:val="0"/>
        <w:spacing w:line="360" w:lineRule="auto"/>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6、</w:t>
      </w:r>
      <w:r>
        <w:rPr>
          <w:rFonts w:asciiTheme="minorEastAsia" w:hAnsiTheme="minorEastAsia" w:eastAsiaTheme="minorEastAsia"/>
          <w:color w:val="000000" w:themeColor="text1"/>
          <w:highlight w:val="none"/>
          <w14:textFill>
            <w14:solidFill>
              <w14:schemeClr w14:val="tx1"/>
            </w14:solidFill>
          </w14:textFill>
        </w:rPr>
        <w:t>具有法律、行政法规规定的其他条件。</w:t>
      </w:r>
    </w:p>
    <w:p>
      <w:pPr>
        <w:snapToGrid w:val="0"/>
        <w:spacing w:line="360" w:lineRule="auto"/>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（二）未被信用中国（</w:t>
      </w:r>
      <w:r>
        <w:rPr>
          <w:rFonts w:asciiTheme="minorEastAsia" w:hAnsiTheme="minorEastAsia" w:eastAsiaTheme="minorEastAsia"/>
          <w:color w:val="000000" w:themeColor="text1"/>
          <w:highlight w:val="none"/>
          <w14:textFill>
            <w14:solidFill>
              <w14:schemeClr w14:val="tx1"/>
            </w14:solidFill>
          </w14:textFill>
        </w:rPr>
        <w:t>www.creditchina.gov.cn)、中国政府采购网（www.ccgp.gov.cn）列入失信被执行人、重大税收违法案件当事人名单、政府采购严重违法失信行为记录名单。</w:t>
      </w:r>
    </w:p>
    <w:p>
      <w:pPr>
        <w:snapToGrid w:val="0"/>
        <w:spacing w:line="360" w:lineRule="auto"/>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（三）不存在以下情况：</w:t>
      </w:r>
    </w:p>
    <w:p>
      <w:pPr>
        <w:snapToGrid w:val="0"/>
        <w:spacing w:line="360" w:lineRule="auto"/>
        <w:ind w:firstLine="420" w:firstLineChars="200"/>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1、</w:t>
      </w:r>
      <w:r>
        <w:rPr>
          <w:rFonts w:cs="仿宋_GB2312" w:asciiTheme="minorEastAsia" w:hAnsiTheme="minorEastAsia" w:eastAsiaTheme="minorEastAsia"/>
          <w:color w:val="000000" w:themeColor="text1"/>
          <w:highlight w:val="none"/>
          <w14:textFill>
            <w14:solidFill>
              <w14:schemeClr w14:val="tx1"/>
            </w14:solidFill>
          </w14:textFill>
        </w:rPr>
        <w:t>单位负责人为同一人或者存在直接控股、管理关系的不同供应商参加同一合同项下的政府采购活动的；</w:t>
      </w:r>
    </w:p>
    <w:p>
      <w:pPr>
        <w:snapToGrid w:val="0"/>
        <w:spacing w:line="360" w:lineRule="auto"/>
        <w:ind w:firstLine="420" w:firstLineChars="200"/>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2、</w:t>
      </w:r>
      <w:r>
        <w:rPr>
          <w:rFonts w:cs="仿宋_GB2312" w:asciiTheme="minorEastAsia" w:hAnsiTheme="minorEastAsia" w:eastAsiaTheme="minorEastAsia"/>
          <w:color w:val="000000" w:themeColor="text1"/>
          <w:highlight w:val="none"/>
          <w14:textFill>
            <w14:solidFill>
              <w14:schemeClr w14:val="tx1"/>
            </w14:solidFill>
          </w14:textFill>
        </w:rPr>
        <w:t>为采购项目提供整体设计、规范编制或者项目管理、监理、检测等服务后再参加该采购项目的其他采购活动的</w:t>
      </w:r>
      <w:r>
        <w:rPr>
          <w:rFonts w:hint="eastAsia" w:cs="仿宋_GB2312" w:asciiTheme="minorEastAsia" w:hAnsiTheme="minorEastAsia" w:eastAsiaTheme="minorEastAsia"/>
          <w:color w:val="000000" w:themeColor="text1"/>
          <w:highlight w:val="none"/>
          <w14:textFill>
            <w14:solidFill>
              <w14:schemeClr w14:val="tx1"/>
            </w14:solidFill>
          </w14:textFill>
        </w:rPr>
        <w:t>；</w:t>
      </w:r>
    </w:p>
    <w:p>
      <w:pPr>
        <w:snapToGrid w:val="0"/>
        <w:spacing w:line="360" w:lineRule="auto"/>
        <w:ind w:firstLine="420" w:firstLineChars="200"/>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3、为公益一类事业单位、使用事业编制且由财政拨款保障的群团组织。</w:t>
      </w:r>
    </w:p>
    <w:p>
      <w:pPr>
        <w:pStyle w:val="17"/>
        <w:rPr>
          <w:color w:val="000000" w:themeColor="text1"/>
          <w:highlight w:val="none"/>
          <w14:textFill>
            <w14:solidFill>
              <w14:schemeClr w14:val="tx1"/>
            </w14:solidFill>
          </w14:textFill>
        </w:rPr>
      </w:pPr>
    </w:p>
    <w:p>
      <w:pPr>
        <w:pStyle w:val="2"/>
        <w:jc w:val="both"/>
        <w:rPr>
          <w:rFonts w:cs="仿宋_GB2312" w:asciiTheme="minorEastAsia" w:hAnsiTheme="minorEastAsia" w:eastAsiaTheme="minorEastAsia"/>
          <w:color w:val="000000" w:themeColor="text1"/>
          <w:sz w:val="21"/>
          <w:szCs w:val="21"/>
          <w:highlight w:val="none"/>
          <w14:textFill>
            <w14:solidFill>
              <w14:schemeClr w14:val="tx1"/>
            </w14:solidFill>
          </w14:textFill>
        </w:rPr>
      </w:pPr>
    </w:p>
    <w:p>
      <w:pPr>
        <w:rPr>
          <w:rFonts w:cs="仿宋_GB2312" w:asciiTheme="minorEastAsia" w:hAnsiTheme="minorEastAsia" w:eastAsiaTheme="minorEastAsia"/>
          <w:color w:val="000000" w:themeColor="text1"/>
          <w:highlight w:val="none"/>
          <w14:textFill>
            <w14:solidFill>
              <w14:schemeClr w14:val="tx1"/>
            </w14:solidFill>
          </w14:textFill>
        </w:rPr>
      </w:pPr>
    </w:p>
    <w:p>
      <w:pPr>
        <w:adjustRightInd w:val="0"/>
        <w:snapToGrid w:val="0"/>
        <w:spacing w:line="360" w:lineRule="auto"/>
        <w:ind w:left="425"/>
        <w:rPr>
          <w:rFonts w:asciiTheme="minorEastAsia" w:hAnsiTheme="minorEastAsia" w:eastAsiaTheme="minorEastAsia"/>
          <w:color w:val="000000" w:themeColor="text1"/>
          <w:spacing w:val="4"/>
          <w:highlight w:val="none"/>
          <w14:textFill>
            <w14:solidFill>
              <w14:schemeClr w14:val="tx1"/>
            </w14:solidFill>
          </w14:textFill>
        </w:rPr>
      </w:pPr>
    </w:p>
    <w:p>
      <w:pPr>
        <w:spacing w:line="480" w:lineRule="auto"/>
        <w:ind w:right="420" w:firstLine="5040" w:firstLineChars="24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投标人（公章）：                               </w:t>
      </w:r>
    </w:p>
    <w:p>
      <w:pPr>
        <w:spacing w:line="480" w:lineRule="auto"/>
        <w:ind w:right="420" w:firstLine="3990" w:firstLineChars="19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投标人代表（签字或印章）：     </w:t>
      </w:r>
    </w:p>
    <w:p>
      <w:pPr>
        <w:spacing w:line="480" w:lineRule="auto"/>
        <w:ind w:right="420" w:firstLine="3045" w:firstLineChars="145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                   年    月    日</w:t>
      </w:r>
    </w:p>
    <w:p>
      <w:pPr>
        <w:pStyle w:val="18"/>
        <w:ind w:firstLine="0"/>
        <w:rPr>
          <w:rFonts w:asciiTheme="minorEastAsia" w:hAnsiTheme="minorEastAsia" w:eastAsiaTheme="minorEastAsia"/>
          <w:color w:val="000000" w:themeColor="text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（若为联合体投标，联合体各方须单独提供并盖章）</w:t>
      </w:r>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p>
    <w:p>
      <w:pPr>
        <w:pStyle w:val="4"/>
        <w:spacing w:line="380" w:lineRule="exact"/>
        <w:ind w:left="0" w:firstLine="0"/>
        <w:rPr>
          <w:rFonts w:asciiTheme="minorEastAsia" w:hAnsiTheme="minorEastAsia" w:eastAsiaTheme="minorEastAsia"/>
          <w:color w:val="000000" w:themeColor="text1"/>
          <w:sz w:val="28"/>
          <w:szCs w:val="28"/>
          <w:highlight w:val="none"/>
          <w14:textFill>
            <w14:solidFill>
              <w14:schemeClr w14:val="tx1"/>
            </w14:solidFill>
          </w14:textFill>
        </w:rPr>
      </w:pPr>
    </w:p>
    <w:p>
      <w:pPr>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br w:type="page"/>
      </w:r>
    </w:p>
    <w:p>
      <w:pPr>
        <w:pStyle w:val="4"/>
        <w:spacing w:line="380" w:lineRule="exact"/>
        <w:ind w:left="0" w:firstLine="0"/>
        <w:rPr>
          <w:rFonts w:asciiTheme="minorEastAsia" w:hAnsiTheme="minorEastAsia" w:eastAsiaTheme="minorEastAsia"/>
          <w:color w:val="000000" w:themeColor="text1"/>
          <w:sz w:val="28"/>
          <w:szCs w:val="28"/>
          <w:highlight w:val="none"/>
          <w14:textFill>
            <w14:solidFill>
              <w14:schemeClr w14:val="tx1"/>
            </w14:solidFill>
          </w14:textFill>
        </w:rPr>
      </w:pPr>
    </w:p>
    <w:p>
      <w:pPr>
        <w:pStyle w:val="4"/>
        <w:spacing w:line="380" w:lineRule="exact"/>
        <w:ind w:left="0" w:firstLine="0"/>
        <w:rPr>
          <w:rFonts w:asciiTheme="minorEastAsia" w:hAnsiTheme="minorEastAsia" w:eastAsiaTheme="minorEastAsia"/>
          <w:color w:val="000000" w:themeColor="text1"/>
          <w:sz w:val="28"/>
          <w:szCs w:val="28"/>
          <w:highlight w:val="none"/>
          <w14:textFill>
            <w14:solidFill>
              <w14:schemeClr w14:val="tx1"/>
            </w14:solidFill>
          </w14:textFill>
        </w:rPr>
      </w:pPr>
      <w:bookmarkStart w:id="183" w:name="_Toc141797688"/>
      <w:bookmarkStart w:id="184" w:name="_Toc17025"/>
      <w:bookmarkStart w:id="185" w:name="_Toc26128"/>
      <w:bookmarkStart w:id="186" w:name="_Toc141797132"/>
      <w:r>
        <w:rPr>
          <w:rFonts w:hint="eastAsia" w:asciiTheme="minorEastAsia" w:hAnsiTheme="minorEastAsia" w:eastAsiaTheme="minorEastAsia"/>
          <w:color w:val="000000" w:themeColor="text1"/>
          <w:sz w:val="28"/>
          <w:szCs w:val="28"/>
          <w:highlight w:val="none"/>
          <w14:textFill>
            <w14:solidFill>
              <w14:schemeClr w14:val="tx1"/>
            </w14:solidFill>
          </w14:textFill>
        </w:rPr>
        <w:t>（二）有效的企业法人营业执照（或事业法人登记证）、其他组织（个体工商户的营业执照或者民办非企业单位登记证书复印件。投标人如果有名称变更的，应提供由行政主管部门出具的变更证明文件</w:t>
      </w:r>
      <w:bookmarkEnd w:id="183"/>
      <w:bookmarkEnd w:id="184"/>
      <w:bookmarkEnd w:id="185"/>
      <w:bookmarkEnd w:id="186"/>
    </w:p>
    <w:p>
      <w:pPr>
        <w:pStyle w:val="18"/>
        <w:ind w:firstLine="0"/>
        <w:jc w:val="center"/>
        <w:rPr>
          <w:rFonts w:asciiTheme="minorEastAsia" w:hAnsiTheme="minorEastAsia" w:eastAsiaTheme="minorEastAsia"/>
          <w:bCs/>
          <w:color w:val="000000" w:themeColor="text1"/>
          <w:sz w:val="22"/>
          <w:szCs w:val="22"/>
          <w:highlight w:val="none"/>
          <w14:textFill>
            <w14:solidFill>
              <w14:schemeClr w14:val="tx1"/>
            </w14:solidFill>
          </w14:textFill>
        </w:rPr>
      </w:pPr>
      <w:r>
        <w:rPr>
          <w:rFonts w:hint="eastAsia" w:asciiTheme="minorEastAsia" w:hAnsiTheme="minorEastAsia" w:eastAsiaTheme="minorEastAsia"/>
          <w:bCs/>
          <w:color w:val="000000" w:themeColor="text1"/>
          <w:sz w:val="22"/>
          <w:szCs w:val="22"/>
          <w:highlight w:val="none"/>
          <w14:textFill>
            <w14:solidFill>
              <w14:schemeClr w14:val="tx1"/>
            </w14:solidFill>
          </w14:textFill>
        </w:rPr>
        <w:t>（复印件并加盖公章）</w:t>
      </w:r>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（若为联合体投标，联合体各方须单独提供并盖章）</w:t>
      </w:r>
      <w:r>
        <w:rPr>
          <w:rFonts w:asciiTheme="minorEastAsia" w:hAnsiTheme="minorEastAsia" w:eastAsiaTheme="minorEastAsia"/>
          <w:color w:val="000000" w:themeColor="text1"/>
          <w:highlight w:val="none"/>
          <w14:textFill>
            <w14:solidFill>
              <w14:schemeClr w14:val="tx1"/>
            </w14:solidFill>
          </w14:textFill>
        </w:rPr>
        <w:br w:type="page"/>
      </w:r>
    </w:p>
    <w:p>
      <w:pPr>
        <w:autoSpaceDE w:val="0"/>
        <w:autoSpaceDN w:val="0"/>
        <w:jc w:val="center"/>
        <w:rPr>
          <w:rFonts w:ascii="宋体" w:hAnsi="宋体" w:cs="宋体"/>
          <w:b/>
          <w:color w:val="000000" w:themeColor="text1"/>
          <w:kern w:val="0"/>
          <w:sz w:val="28"/>
          <w:szCs w:val="28"/>
          <w:highlight w:val="none"/>
          <w14:textFill>
            <w14:solidFill>
              <w14:schemeClr w14:val="tx1"/>
            </w14:solidFill>
          </w14:textFill>
        </w:rPr>
      </w:pPr>
    </w:p>
    <w:p>
      <w:pPr>
        <w:autoSpaceDE w:val="0"/>
        <w:autoSpaceDN w:val="0"/>
        <w:jc w:val="center"/>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（三）落实政府采购政策需满足的资格要求</w:t>
      </w:r>
    </w:p>
    <w:p>
      <w:pPr>
        <w:spacing w:line="360" w:lineRule="auto"/>
        <w:rPr>
          <w:rFonts w:cs="仿宋_GB2312" w:asciiTheme="minorEastAsia" w:hAnsiTheme="minorEastAsia" w:eastAsiaTheme="minorEastAsia"/>
          <w:color w:val="000000" w:themeColor="text1"/>
          <w:sz w:val="24"/>
          <w:highlight w:val="none"/>
          <w14:textFill>
            <w14:solidFill>
              <w14:schemeClr w14:val="tx1"/>
            </w14:solidFill>
          </w14:textFill>
        </w:rPr>
      </w:pPr>
    </w:p>
    <w:p>
      <w:pPr>
        <w:spacing w:line="360" w:lineRule="auto"/>
        <w:jc w:val="center"/>
        <w:rPr>
          <w:rFonts w:cs="仿宋_GB2312" w:asciiTheme="minorEastAsia" w:hAnsiTheme="minorEastAsia" w:eastAsiaTheme="minorEastAsia"/>
          <w:b/>
          <w:bCs/>
          <w:color w:val="000000" w:themeColor="text1"/>
          <w:sz w:val="24"/>
          <w:highlight w:val="none"/>
          <w14:textFill>
            <w14:solidFill>
              <w14:schemeClr w14:val="tx1"/>
            </w14:solidFill>
          </w14:textFill>
        </w:rPr>
      </w:pPr>
      <w:r>
        <w:rPr>
          <w:rFonts w:hint="eastAsia" w:cs="仿宋_GB2312" w:asciiTheme="minorEastAsia" w:hAnsiTheme="minorEastAsia" w:eastAsiaTheme="minorEastAsia"/>
          <w:b/>
          <w:bCs/>
          <w:color w:val="000000" w:themeColor="text1"/>
          <w:sz w:val="24"/>
          <w:highlight w:val="none"/>
          <w14:textFill>
            <w14:solidFill>
              <w14:schemeClr w14:val="tx1"/>
            </w14:solidFill>
          </w14:textFill>
        </w:rPr>
        <w:t>（根据招标公告</w:t>
      </w:r>
      <w:r>
        <w:rPr>
          <w:rFonts w:hint="eastAsia" w:asciiTheme="minorEastAsia" w:hAnsiTheme="minorEastAsia" w:eastAsiaTheme="minorEastAsia"/>
          <w:b/>
          <w:bCs/>
          <w:color w:val="000000" w:themeColor="text1"/>
          <w:sz w:val="24"/>
          <w:highlight w:val="none"/>
          <w14:textFill>
            <w14:solidFill>
              <w14:schemeClr w14:val="tx1"/>
            </w14:solidFill>
          </w14:textFill>
        </w:rPr>
        <w:t>落实政府采购政策需满足的资格要求选择提供相应的材料；未要求的，无需提供</w:t>
      </w:r>
      <w:r>
        <w:rPr>
          <w:rFonts w:hint="eastAsia" w:cs="仿宋_GB2312" w:asciiTheme="minorEastAsia" w:hAnsiTheme="minorEastAsia" w:eastAsiaTheme="minorEastAsia"/>
          <w:b/>
          <w:bCs/>
          <w:color w:val="000000" w:themeColor="text1"/>
          <w:sz w:val="24"/>
          <w:highlight w:val="none"/>
          <w14:textFill>
            <w14:solidFill>
              <w14:schemeClr w14:val="tx1"/>
            </w14:solidFill>
          </w14:textFill>
        </w:rPr>
        <w:t>）</w:t>
      </w: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A.专门面向中小企业，</w:t>
      </w:r>
      <w:r>
        <w:rPr>
          <w:rFonts w:hint="eastAsia" w:ascii="宋体" w:hAnsi="宋体" w:cs="宋体"/>
          <w:color w:val="000000" w:themeColor="text1"/>
          <w:highlight w:val="none"/>
          <w14:textFill>
            <w14:solidFill>
              <w14:schemeClr w14:val="tx1"/>
            </w14:solidFill>
          </w14:textFill>
        </w:rPr>
        <w:t>提供的货物全部由符合政策要求的中小企业制造</w:t>
      </w:r>
      <w:r>
        <w:rPr>
          <w:rFonts w:hint="eastAsia" w:cs="仿宋_GB2312" w:asciiTheme="minorEastAsia" w:hAnsiTheme="minorEastAsia" w:eastAsiaTheme="minorEastAsia"/>
          <w:color w:val="000000" w:themeColor="text1"/>
          <w:highlight w:val="none"/>
          <w14:textFill>
            <w14:solidFill>
              <w14:schemeClr w14:val="tx1"/>
            </w14:solidFill>
          </w14:textFill>
        </w:rPr>
        <w:t>，提供相应的中小企业声明函（附件1）</w:t>
      </w: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p>
    <w:p>
      <w:pPr>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br w:type="page"/>
      </w: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B.要求以联合体形式参加的，提供联合协议和中小企业声明函（附件1），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p>
    <w:p>
      <w:pPr>
        <w:autoSpaceDE w:val="0"/>
        <w:autoSpaceDN w:val="0"/>
        <w:jc w:val="center"/>
        <w:rPr>
          <w:rFonts w:ascii="宋体" w:hAnsi="宋体" w:cs="宋体"/>
          <w:b/>
          <w:color w:val="000000" w:themeColor="text1"/>
          <w:kern w:val="0"/>
          <w:sz w:val="28"/>
          <w:szCs w:val="28"/>
          <w:highlight w:val="none"/>
          <w:lang w:val="zh-CN"/>
          <w14:textFill>
            <w14:solidFill>
              <w14:schemeClr w14:val="tx1"/>
            </w14:solidFill>
          </w14:textFill>
        </w:rPr>
      </w:pPr>
      <w:r>
        <w:rPr>
          <w:rFonts w:hint="eastAsia" w:ascii="宋体" w:hAnsi="宋体" w:cs="宋体"/>
          <w:b/>
          <w:color w:val="000000" w:themeColor="text1"/>
          <w:kern w:val="0"/>
          <w:sz w:val="28"/>
          <w:szCs w:val="28"/>
          <w:highlight w:val="none"/>
          <w:lang w:val="zh-CN"/>
          <w14:textFill>
            <w14:solidFill>
              <w14:schemeClr w14:val="tx1"/>
            </w14:solidFill>
          </w14:textFill>
        </w:rPr>
        <w:t>联合协议</w:t>
      </w:r>
    </w:p>
    <w:p>
      <w:pPr>
        <w:widowControl/>
        <w:spacing w:line="480" w:lineRule="exact"/>
        <w:ind w:firstLine="422" w:firstLineChars="200"/>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（以联合体形式投标的，提供联合协议；本项目不接受联合体投标或者投标人不以联合体形式投标的，则不需要提供）</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u w:val="single"/>
          <w14:textFill>
            <w14:solidFill>
              <w14:schemeClr w14:val="tx1"/>
            </w14:solidFill>
          </w14:textFill>
        </w:rPr>
        <w:t>（联合体所有成员名称）</w:t>
      </w:r>
      <w:r>
        <w:rPr>
          <w:rFonts w:hint="eastAsia" w:ascii="宋体" w:hAnsi="宋体" w:cs="宋体"/>
          <w:color w:val="000000" w:themeColor="text1"/>
          <w:kern w:val="0"/>
          <w:highlight w:val="none"/>
          <w14:textFill>
            <w14:solidFill>
              <w14:schemeClr w14:val="tx1"/>
            </w14:solidFill>
          </w14:textFill>
        </w:rPr>
        <w:t>自愿</w:t>
      </w:r>
      <w:r>
        <w:rPr>
          <w:rFonts w:hint="eastAsia" w:ascii="宋体" w:hAnsi="宋体" w:cs="宋体"/>
          <w:color w:val="000000" w:themeColor="text1"/>
          <w:kern w:val="0"/>
          <w:highlight w:val="none"/>
          <w:lang w:val="zh-CN"/>
          <w14:textFill>
            <w14:solidFill>
              <w14:schemeClr w14:val="tx1"/>
            </w14:solidFill>
          </w14:textFill>
        </w:rPr>
        <w:t>组成一个联合体，以一个投标人的身份</w:t>
      </w:r>
      <w:r>
        <w:rPr>
          <w:rFonts w:hint="eastAsia" w:ascii="宋体" w:hAnsi="宋体" w:cs="宋体"/>
          <w:color w:val="000000" w:themeColor="text1"/>
          <w:kern w:val="0"/>
          <w:highlight w:val="none"/>
          <w14:textFill>
            <w14:solidFill>
              <w14:schemeClr w14:val="tx1"/>
            </w14:solidFill>
          </w14:textFill>
        </w:rPr>
        <w:t>参加</w:t>
      </w:r>
      <w:r>
        <w:rPr>
          <w:rFonts w:hint="eastAsia" w:ascii="宋体" w:hAnsi="宋体" w:cs="宋体"/>
          <w:color w:val="000000" w:themeColor="text1"/>
          <w:highlight w:val="none"/>
          <w14:textFill>
            <w14:solidFill>
              <w14:schemeClr w14:val="tx1"/>
            </w14:solidFill>
          </w14:textFill>
        </w:rPr>
        <w:t>项目【招标编号：        】</w:t>
      </w:r>
      <w:r>
        <w:rPr>
          <w:rFonts w:hint="eastAsia" w:ascii="宋体" w:hAnsi="宋体" w:cs="宋体"/>
          <w:color w:val="000000" w:themeColor="text1"/>
          <w:kern w:val="0"/>
          <w:highlight w:val="none"/>
          <w:lang w:val="zh-CN"/>
          <w14:textFill>
            <w14:solidFill>
              <w14:schemeClr w14:val="tx1"/>
            </w14:solidFill>
          </w14:textFill>
        </w:rPr>
        <w:t xml:space="preserve">投标。 </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一、各方一致决定，</w:t>
      </w:r>
      <w:r>
        <w:rPr>
          <w:rFonts w:hint="eastAsia" w:ascii="宋体" w:hAnsi="宋体" w:cs="宋体"/>
          <w:color w:val="000000" w:themeColor="text1"/>
          <w:kern w:val="0"/>
          <w:highlight w:val="none"/>
          <w:u w:val="single"/>
          <w14:textFill>
            <w14:solidFill>
              <w14:schemeClr w14:val="tx1"/>
            </w14:solidFill>
          </w14:textFill>
        </w:rPr>
        <w:t>（某联合体成员名称）</w:t>
      </w:r>
      <w:r>
        <w:rPr>
          <w:rFonts w:hint="eastAsia" w:ascii="宋体" w:hAnsi="宋体" w:cs="宋体"/>
          <w:color w:val="000000" w:themeColor="text1"/>
          <w:kern w:val="0"/>
          <w:highlight w:val="none"/>
          <w14:textFill>
            <w14:solidFill>
              <w14:schemeClr w14:val="tx1"/>
            </w14:solidFill>
          </w14:textFill>
        </w:rPr>
        <w:t>为联合体</w:t>
      </w:r>
      <w:r>
        <w:rPr>
          <w:rFonts w:hint="eastAsia" w:ascii="宋体" w:hAnsi="宋体" w:cs="宋体"/>
          <w:color w:val="000000" w:themeColor="text1"/>
          <w:kern w:val="0"/>
          <w:highlight w:val="none"/>
          <w:lang w:val="zh-CN"/>
          <w14:textFill>
            <w14:solidFill>
              <w14:schemeClr w14:val="tx1"/>
            </w14:solidFill>
          </w14:textFill>
        </w:rPr>
        <w:t>牵头人</w:t>
      </w:r>
      <w:r>
        <w:rPr>
          <w:rFonts w:hint="eastAsia" w:ascii="宋体" w:hAnsi="宋体" w:cs="宋体"/>
          <w:color w:val="000000" w:themeColor="text1"/>
          <w:highlight w:val="none"/>
          <w14:textFill>
            <w14:solidFill>
              <w14:schemeClr w14:val="tx1"/>
            </w14:solidFill>
          </w14:textFill>
        </w:rPr>
        <w:t>，代表所有联合体成员负责投标和合同实施阶段的主办、协调工作</w:t>
      </w:r>
      <w:r>
        <w:rPr>
          <w:rFonts w:hint="eastAsia" w:ascii="宋体" w:hAnsi="宋体" w:cs="宋体"/>
          <w:color w:val="000000" w:themeColor="text1"/>
          <w:kern w:val="0"/>
          <w:highlight w:val="none"/>
          <w:lang w:val="zh-CN"/>
          <w14:textFill>
            <w14:solidFill>
              <w14:schemeClr w14:val="tx1"/>
            </w14:solidFill>
          </w14:textFill>
        </w:rPr>
        <w:t>。</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二、</w:t>
      </w:r>
      <w:r>
        <w:rPr>
          <w:rFonts w:hint="eastAsia" w:ascii="宋体" w:hAnsi="宋体" w:cs="宋体"/>
          <w:color w:val="000000" w:themeColor="text1"/>
          <w:highlight w:val="none"/>
          <w14:textFill>
            <w14:solidFill>
              <w14:schemeClr w14:val="tx1"/>
            </w14:solidFill>
          </w14:textFill>
        </w:rPr>
        <w:t>所有联合体成员各方签署授权书，授权书载明的</w:t>
      </w:r>
      <w:r>
        <w:rPr>
          <w:rFonts w:hint="eastAsia" w:ascii="宋体" w:hAnsi="宋体" w:cs="宋体"/>
          <w:color w:val="000000" w:themeColor="text1"/>
          <w:kern w:val="0"/>
          <w:highlight w:val="none"/>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三、本次联合投标中，分工如下：</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bookmarkStart w:id="187" w:name="_Hlk101134295"/>
      <w:r>
        <w:rPr>
          <w:rFonts w:hint="eastAsia" w:ascii="宋体" w:hAnsi="宋体" w:cs="宋体"/>
          <w:color w:val="000000" w:themeColor="text1"/>
          <w:kern w:val="0"/>
          <w:highlight w:val="none"/>
          <w:u w:val="single"/>
          <w14:textFill>
            <w14:solidFill>
              <w14:schemeClr w14:val="tx1"/>
            </w14:solidFill>
          </w14:textFill>
        </w:rPr>
        <w:t>（联合体成员1）</w:t>
      </w:r>
      <w:r>
        <w:rPr>
          <w:rFonts w:hint="eastAsia" w:ascii="宋体" w:hAnsi="宋体" w:cs="宋体"/>
          <w:color w:val="000000" w:themeColor="text1"/>
          <w:kern w:val="0"/>
          <w:highlight w:val="none"/>
          <w:lang w:val="zh-CN"/>
          <w14:textFill>
            <w14:solidFill>
              <w14:schemeClr w14:val="tx1"/>
            </w14:solidFill>
          </w14:textFill>
        </w:rPr>
        <w:t>承担的工作和义务为：；</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u w:val="single"/>
          <w14:textFill>
            <w14:solidFill>
              <w14:schemeClr w14:val="tx1"/>
            </w14:solidFill>
          </w14:textFill>
        </w:rPr>
        <w:t>（联合体成员</w:t>
      </w:r>
      <w:r>
        <w:rPr>
          <w:rFonts w:ascii="宋体" w:hAnsi="宋体" w:cs="宋体"/>
          <w:color w:val="000000" w:themeColor="text1"/>
          <w:kern w:val="0"/>
          <w:highlight w:val="none"/>
          <w:u w:val="single"/>
          <w14:textFill>
            <w14:solidFill>
              <w14:schemeClr w14:val="tx1"/>
            </w14:solidFill>
          </w14:textFill>
        </w:rPr>
        <w:t>2</w:t>
      </w:r>
      <w:r>
        <w:rPr>
          <w:rFonts w:hint="eastAsia" w:ascii="宋体" w:hAnsi="宋体" w:cs="宋体"/>
          <w:color w:val="000000" w:themeColor="text1"/>
          <w:kern w:val="0"/>
          <w:highlight w:val="none"/>
          <w:u w:val="single"/>
          <w14:textFill>
            <w14:solidFill>
              <w14:schemeClr w14:val="tx1"/>
            </w14:solidFill>
          </w14:textFill>
        </w:rPr>
        <w:t>）</w:t>
      </w:r>
      <w:r>
        <w:rPr>
          <w:rFonts w:hint="eastAsia" w:ascii="宋体" w:hAnsi="宋体" w:cs="宋体"/>
          <w:color w:val="000000" w:themeColor="text1"/>
          <w:kern w:val="0"/>
          <w:highlight w:val="none"/>
          <w:lang w:val="zh-CN"/>
          <w14:textFill>
            <w14:solidFill>
              <w14:schemeClr w14:val="tx1"/>
            </w14:solidFill>
          </w14:textFill>
        </w:rPr>
        <w:t>承担的工作和义务为：；</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w:t>
      </w:r>
    </w:p>
    <w:bookmarkEnd w:id="187"/>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四、联合体成员中小企业合同份额（如果有）。</w:t>
      </w:r>
    </w:p>
    <w:p>
      <w:pPr>
        <w:snapToGrid w:val="0"/>
        <w:spacing w:line="480" w:lineRule="exact"/>
        <w:ind w:firstLine="576"/>
        <w:rPr>
          <w:rFonts w:ascii="宋体" w:hAnsi="宋体" w:cs="宋体"/>
          <w:b/>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1、</w:t>
      </w:r>
      <w:r>
        <w:rPr>
          <w:rFonts w:hint="eastAsia" w:ascii="宋体" w:hAnsi="宋体" w:cs="宋体"/>
          <w:color w:val="000000" w:themeColor="text1"/>
          <w:kern w:val="0"/>
          <w:highlight w:val="none"/>
          <w:u w:val="single"/>
          <w14:textFill>
            <w14:solidFill>
              <w14:schemeClr w14:val="tx1"/>
            </w14:solidFill>
          </w14:textFill>
        </w:rPr>
        <w:t>（联合体成员</w:t>
      </w:r>
      <w:r>
        <w:rPr>
          <w:rFonts w:ascii="宋体" w:hAnsi="宋体" w:cs="宋体"/>
          <w:color w:val="000000" w:themeColor="text1"/>
          <w:kern w:val="0"/>
          <w:highlight w:val="none"/>
          <w:u w:val="single"/>
          <w14:textFill>
            <w14:solidFill>
              <w14:schemeClr w14:val="tx1"/>
            </w14:solidFill>
          </w14:textFill>
        </w:rPr>
        <w:t>X,</w:t>
      </w:r>
      <w:r>
        <w:rPr>
          <w:rFonts w:hint="eastAsia" w:ascii="宋体" w:hAnsi="宋体" w:cs="宋体"/>
          <w:color w:val="000000" w:themeColor="text1"/>
          <w:kern w:val="0"/>
          <w:highlight w:val="none"/>
          <w:u w:val="single"/>
          <w14:textFill>
            <w14:solidFill>
              <w14:schemeClr w14:val="tx1"/>
            </w14:solidFill>
          </w14:textFill>
        </w:rPr>
        <w:t>……）</w:t>
      </w:r>
      <w:r>
        <w:rPr>
          <w:rFonts w:hint="eastAsia" w:ascii="宋体" w:hAnsi="宋体" w:cs="宋体"/>
          <w:color w:val="000000" w:themeColor="text1"/>
          <w:kern w:val="0"/>
          <w:highlight w:val="none"/>
          <w14:textFill>
            <w14:solidFill>
              <w14:schemeClr w14:val="tx1"/>
            </w14:solidFill>
          </w14:textFill>
        </w:rPr>
        <w:t>提供的全部服务由小微企业承接，其合同份额占到合同总金额%以上；</w:t>
      </w:r>
      <w:r>
        <w:rPr>
          <w:rFonts w:hint="eastAsia" w:ascii="宋体" w:hAnsi="宋体" w:cs="宋体"/>
          <w:color w:val="000000" w:themeColor="text1"/>
          <w:kern w:val="0"/>
          <w:highlight w:val="none"/>
          <w:lang w:val="zh-CN"/>
          <w14:textFill>
            <w14:solidFill>
              <w14:schemeClr w14:val="tx1"/>
            </w14:solidFill>
          </w14:textFill>
        </w:rPr>
        <w:t>……。</w:t>
      </w:r>
      <w:r>
        <w:rPr>
          <w:rFonts w:hint="eastAsia" w:ascii="宋体" w:hAnsi="宋体" w:cs="宋体"/>
          <w:b/>
          <w:color w:val="000000" w:themeColor="text1"/>
          <w:kern w:val="0"/>
          <w:highlight w:val="none"/>
          <w:lang w:val="zh-CN"/>
          <w14:textFill>
            <w14:solidFill>
              <w14:schemeClr w14:val="tx1"/>
            </w14:solidFill>
          </w14:textFill>
        </w:rPr>
        <w:t>（未预留份额专门面向中小企业采购的的采购项目，以及预留份额中的非预留部分采购包，接受联合体投标的，联合协议约定小微企业的合同份额占到合同总金额30%以上的，对联合体报价给予4%的扣除。</w:t>
      </w:r>
      <w:r>
        <w:rPr>
          <w:rFonts w:hint="eastAsia" w:ascii="宋体" w:hAnsi="宋体" w:cs="宋体"/>
          <w:b/>
          <w:color w:val="000000" w:themeColor="text1"/>
          <w:kern w:val="0"/>
          <w:highlight w:val="none"/>
          <w14:textFill>
            <w14:solidFill>
              <w14:schemeClr w14:val="tx1"/>
            </w14:solidFill>
          </w14:textFill>
        </w:rPr>
        <w:t>投标人</w:t>
      </w:r>
      <w:r>
        <w:rPr>
          <w:rFonts w:hint="eastAsia" w:ascii="宋体" w:hAnsi="宋体" w:cs="宋体"/>
          <w:b/>
          <w:color w:val="000000" w:themeColor="text1"/>
          <w:highlight w:val="none"/>
          <w14:textFill>
            <w14:solidFill>
              <w14:schemeClr w14:val="tx1"/>
            </w14:solidFill>
          </w14:textFill>
        </w:rPr>
        <w:t>拟享受以上价格扣除政策的，填写有关内容。</w:t>
      </w:r>
      <w:r>
        <w:rPr>
          <w:rFonts w:hint="eastAsia" w:ascii="宋体" w:hAnsi="宋体" w:cs="宋体"/>
          <w:b/>
          <w:color w:val="000000" w:themeColor="text1"/>
          <w:kern w:val="0"/>
          <w:highlight w:val="none"/>
          <w:lang w:val="zh-CN"/>
          <w14:textFill>
            <w14:solidFill>
              <w14:schemeClr w14:val="tx1"/>
            </w14:solidFill>
          </w14:textFill>
        </w:rPr>
        <w:t>）</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2、中小企业合同金额达到%，小微企业合同金额达到%</w:t>
      </w:r>
      <w:r>
        <w:rPr>
          <w:rFonts w:hint="eastAsia" w:ascii="宋体" w:hAnsi="宋体" w:cs="宋体"/>
          <w:color w:val="000000" w:themeColor="text1"/>
          <w:kern w:val="0"/>
          <w:highlight w:val="none"/>
          <w:lang w:val="zh-CN"/>
          <w14:textFill>
            <w14:solidFill>
              <w14:schemeClr w14:val="tx1"/>
            </w14:solidFill>
          </w14:textFill>
        </w:rPr>
        <w:t>。</w:t>
      </w:r>
      <w:r>
        <w:rPr>
          <w:rFonts w:hint="eastAsia" w:ascii="宋体" w:hAnsi="宋体" w:cs="宋体"/>
          <w:b/>
          <w:bCs/>
          <w:color w:val="000000" w:themeColor="text1"/>
          <w:kern w:val="0"/>
          <w:highlight w:val="none"/>
          <w:lang w:val="zh-CN"/>
          <w14:textFill>
            <w14:solidFill>
              <w14:schemeClr w14:val="tx1"/>
            </w14:solidFill>
          </w14:textFill>
        </w:rPr>
        <w:t>（</w:t>
      </w:r>
      <w:r>
        <w:rPr>
          <w:rFonts w:hint="eastAsia" w:ascii="宋体" w:hAnsi="宋体" w:cs="宋体"/>
          <w:b/>
          <w:bCs/>
          <w:color w:val="000000" w:themeColor="text1"/>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000000" w:themeColor="text1"/>
          <w:kern w:val="0"/>
          <w:highlight w:val="none"/>
          <w:lang w:val="zh-CN"/>
          <w14:textFill>
            <w14:solidFill>
              <w14:schemeClr w14:val="tx1"/>
            </w14:solidFill>
          </w14:textFill>
        </w:rPr>
        <w:t>）</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五、如果中标，</w:t>
      </w:r>
      <w:r>
        <w:rPr>
          <w:rFonts w:hint="eastAsia" w:ascii="宋体" w:hAnsi="宋体" w:cs="宋体"/>
          <w:color w:val="000000" w:themeColor="text1"/>
          <w:highlight w:val="none"/>
          <w14:textFill>
            <w14:solidFill>
              <w14:schemeClr w14:val="tx1"/>
            </w14:solidFill>
          </w14:textFill>
        </w:rPr>
        <w:t>联合体各成员方共同与采购人签订合同，并就采购合同约定的事项对采购人承担连带责任。</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六、有关本次联合投标的其他事宜：</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1、联合体各方不再单独参加或者与其他供应商另外组成联合体参加同一合同项下的政府采购活动。</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2、联合体中有同类资质的各方按照联合体分工承担相同工作的，按照资质等级较低的供应商确定资质等级。</w:t>
      </w:r>
    </w:p>
    <w:p>
      <w:pPr>
        <w:snapToGrid w:val="0"/>
        <w:spacing w:line="480" w:lineRule="exact"/>
        <w:ind w:firstLine="576"/>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3、本协议提交采购人、采购机构后，联合体各方不得以任何形式对上述内容进行修改或撤销。</w:t>
      </w:r>
    </w:p>
    <w:p>
      <w:pPr>
        <w:snapToGrid w:val="0"/>
        <w:spacing w:line="480" w:lineRule="exact"/>
        <w:ind w:firstLine="5040" w:firstLineChars="2400"/>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联合体成员名称(公章)：</w:t>
      </w:r>
    </w:p>
    <w:p>
      <w:pPr>
        <w:pStyle w:val="2"/>
        <w:spacing w:line="480" w:lineRule="exact"/>
        <w:rPr>
          <w:rFonts w:ascii="宋体" w:hAnsi="宋体" w:cs="宋体"/>
          <w:b w:val="0"/>
          <w:bCs w:val="0"/>
          <w:color w:val="000000" w:themeColor="text1"/>
          <w:kern w:val="0"/>
          <w:sz w:val="21"/>
          <w:szCs w:val="21"/>
          <w:highlight w:val="none"/>
          <w:lang w:val="zh-CN"/>
          <w14:textFill>
            <w14:solidFill>
              <w14:schemeClr w14:val="tx1"/>
            </w14:solidFill>
          </w14:textFill>
        </w:rPr>
      </w:pPr>
      <w:bookmarkStart w:id="188" w:name="_Toc136345116"/>
      <w:bookmarkStart w:id="189" w:name="_Toc8054"/>
      <w:bookmarkStart w:id="190" w:name="_Toc20076"/>
      <w:bookmarkStart w:id="191" w:name="_Toc136017655"/>
      <w:r>
        <w:rPr>
          <w:rFonts w:hint="eastAsia" w:ascii="宋体" w:hAnsi="宋体" w:cs="宋体"/>
          <w:b w:val="0"/>
          <w:bCs w:val="0"/>
          <w:color w:val="000000" w:themeColor="text1"/>
          <w:kern w:val="0"/>
          <w:sz w:val="21"/>
          <w:szCs w:val="21"/>
          <w:highlight w:val="none"/>
          <w:lang w:val="zh-CN"/>
          <w14:textFill>
            <w14:solidFill>
              <w14:schemeClr w14:val="tx1"/>
            </w14:solidFill>
          </w14:textFill>
        </w:rPr>
        <w:t>联合体成员名称(公章)：</w:t>
      </w:r>
      <w:bookmarkEnd w:id="188"/>
      <w:bookmarkEnd w:id="189"/>
      <w:bookmarkEnd w:id="190"/>
      <w:bookmarkEnd w:id="191"/>
    </w:p>
    <w:p>
      <w:pPr>
        <w:spacing w:line="480" w:lineRule="exact"/>
        <w:rPr>
          <w:color w:val="000000" w:themeColor="text1"/>
          <w:highlight w:val="none"/>
          <w:lang w:val="zh-CN"/>
          <w14:textFill>
            <w14:solidFill>
              <w14:schemeClr w14:val="tx1"/>
            </w14:solidFill>
          </w14:textFill>
        </w:rPr>
      </w:pPr>
    </w:p>
    <w:p>
      <w:pPr>
        <w:snapToGrid w:val="0"/>
        <w:spacing w:line="480" w:lineRule="exac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 xml:space="preserve">                                               日期：  年  月   日</w:t>
      </w:r>
    </w:p>
    <w:p>
      <w:pPr>
        <w:pStyle w:val="4"/>
        <w:spacing w:line="380" w:lineRule="exact"/>
        <w:jc w:val="both"/>
        <w:rPr>
          <w:rFonts w:ascii="宋体" w:hAnsi="宋体" w:cs="宋体"/>
          <w:b w:val="0"/>
          <w:bCs w:val="0"/>
          <w:color w:val="000000" w:themeColor="text1"/>
          <w:sz w:val="21"/>
          <w:szCs w:val="21"/>
          <w:highlight w:val="none"/>
          <w:lang w:val="zh-CN"/>
          <w14:textFill>
            <w14:solidFill>
              <w14:schemeClr w14:val="tx1"/>
            </w14:solidFill>
          </w14:textFill>
        </w:rPr>
      </w:pPr>
      <w:bookmarkStart w:id="192" w:name="_Toc136345117"/>
      <w:bookmarkStart w:id="193" w:name="_Toc22840"/>
      <w:bookmarkStart w:id="194" w:name="_Toc136017656"/>
      <w:bookmarkStart w:id="195" w:name="_Toc1918"/>
      <w:r>
        <w:rPr>
          <w:rFonts w:hint="eastAsia" w:ascii="宋体" w:hAnsi="宋体" w:cs="宋体"/>
          <w:b w:val="0"/>
          <w:bCs w:val="0"/>
          <w:color w:val="000000" w:themeColor="text1"/>
          <w:sz w:val="21"/>
          <w:szCs w:val="21"/>
          <w:highlight w:val="none"/>
          <w:lang w:val="zh-CN"/>
          <w14:textFill>
            <w14:solidFill>
              <w14:schemeClr w14:val="tx1"/>
            </w14:solidFill>
          </w14:textFill>
        </w:rPr>
        <w:t>注：按本格式和要求提供。</w:t>
      </w:r>
      <w:bookmarkEnd w:id="192"/>
      <w:bookmarkEnd w:id="193"/>
      <w:bookmarkEnd w:id="194"/>
      <w:bookmarkEnd w:id="195"/>
    </w:p>
    <w:p>
      <w:pPr>
        <w:rPr>
          <w:rFonts w:ascii="宋体" w:hAnsi="宋体" w:cs="宋体"/>
          <w:color w:val="000000" w:themeColor="text1"/>
          <w:kern w:val="0"/>
          <w:highlight w:val="none"/>
          <w:lang w:val="zh-CN"/>
          <w14:textFill>
            <w14:solidFill>
              <w14:schemeClr w14:val="tx1"/>
            </w14:solidFill>
          </w14:textFill>
        </w:rPr>
      </w:pP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p>
    <w:p>
      <w:pPr>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br w:type="page"/>
      </w: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highlight w:val="none"/>
          <w14:textFill>
            <w14:solidFill>
              <w14:schemeClr w14:val="tx1"/>
            </w14:solidFill>
          </w14:textFill>
        </w:rPr>
        <w:t>C.要求合同分包的，提供分包意向协议和中小企业声明函（附件1），分包意向协议中中小企业合同金额应当达到招标公告载明的比例；如果投标人本身提供所有标的均由中小企业制造或承接的，视同符合了资格条件，无需再向中小企业分包，无需提供分包意向协议。</w:t>
      </w:r>
    </w:p>
    <w:p>
      <w:pPr>
        <w:widowControl/>
        <w:spacing w:line="480" w:lineRule="exact"/>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分包意向协议</w:t>
      </w:r>
    </w:p>
    <w:p>
      <w:pPr>
        <w:widowControl/>
        <w:spacing w:line="480" w:lineRule="exact"/>
        <w:ind w:firstLine="422" w:firstLineChars="200"/>
        <w:jc w:val="lef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（中标后以分包方式履行合同的，提供分包意向协议；采购人不同意分包或者投标人中标后不以分包方式履行合同的，则不需要提供。）</w:t>
      </w:r>
    </w:p>
    <w:p>
      <w:pPr>
        <w:widowControl/>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u w:val="single"/>
          <w14:textFill>
            <w14:solidFill>
              <w14:schemeClr w14:val="tx1"/>
            </w14:solidFill>
          </w14:textFill>
        </w:rPr>
        <w:t>（投标人名称）</w:t>
      </w:r>
      <w:r>
        <w:rPr>
          <w:rFonts w:hint="eastAsia" w:ascii="宋体" w:hAnsi="宋体" w:cs="宋体"/>
          <w:color w:val="000000" w:themeColor="text1"/>
          <w:kern w:val="0"/>
          <w:highlight w:val="none"/>
          <w:lang w:val="zh-CN"/>
          <w14:textFill>
            <w14:solidFill>
              <w14:schemeClr w14:val="tx1"/>
            </w14:solidFill>
          </w14:textFill>
        </w:rPr>
        <w:t>若成为</w:t>
      </w:r>
      <w:r>
        <w:rPr>
          <w:rFonts w:hint="eastAsia" w:ascii="宋体" w:hAnsi="宋体" w:cs="宋体"/>
          <w:color w:val="000000" w:themeColor="text1"/>
          <w:highlight w:val="none"/>
          <w14:textFill>
            <w14:solidFill>
              <w14:schemeClr w14:val="tx1"/>
            </w14:solidFill>
          </w14:textFill>
        </w:rPr>
        <w:t>项目【招标编号：       】</w:t>
      </w:r>
      <w:r>
        <w:rPr>
          <w:rFonts w:hint="eastAsia" w:ascii="宋体" w:hAnsi="宋体" w:cs="宋体"/>
          <w:color w:val="000000" w:themeColor="text1"/>
          <w:kern w:val="0"/>
          <w:highlight w:val="none"/>
          <w:lang w:val="zh-CN"/>
          <w14:textFill>
            <w14:solidFill>
              <w14:schemeClr w14:val="tx1"/>
            </w14:solidFill>
          </w14:textFill>
        </w:rPr>
        <w:t>的中标人，将依法采取分包方式履行合同。</w:t>
      </w:r>
      <w:r>
        <w:rPr>
          <w:rFonts w:hint="eastAsia" w:ascii="宋体" w:hAnsi="宋体" w:cs="宋体"/>
          <w:color w:val="000000" w:themeColor="text1"/>
          <w:kern w:val="0"/>
          <w:highlight w:val="none"/>
          <w:u w:val="single"/>
          <w14:textFill>
            <w14:solidFill>
              <w14:schemeClr w14:val="tx1"/>
            </w14:solidFill>
          </w14:textFill>
        </w:rPr>
        <w:t>（投标人名称）</w:t>
      </w:r>
      <w:r>
        <w:rPr>
          <w:rFonts w:hint="eastAsia" w:ascii="宋体" w:hAnsi="宋体" w:cs="宋体"/>
          <w:color w:val="000000" w:themeColor="text1"/>
          <w:kern w:val="0"/>
          <w:highlight w:val="none"/>
          <w14:textFill>
            <w14:solidFill>
              <w14:schemeClr w14:val="tx1"/>
            </w14:solidFill>
          </w14:textFill>
        </w:rPr>
        <w:t>与</w:t>
      </w:r>
      <w:r>
        <w:rPr>
          <w:rFonts w:hint="eastAsia" w:ascii="宋体" w:hAnsi="宋体" w:cs="宋体"/>
          <w:color w:val="000000" w:themeColor="text1"/>
          <w:kern w:val="0"/>
          <w:highlight w:val="none"/>
          <w:u w:val="single"/>
          <w14:textFill>
            <w14:solidFill>
              <w14:schemeClr w14:val="tx1"/>
            </w14:solidFill>
          </w14:textFill>
        </w:rPr>
        <w:t>（所有分包供应商名称）</w:t>
      </w:r>
      <w:r>
        <w:rPr>
          <w:rFonts w:hint="eastAsia" w:ascii="宋体" w:hAnsi="宋体" w:cs="宋体"/>
          <w:color w:val="000000" w:themeColor="text1"/>
          <w:kern w:val="0"/>
          <w:highlight w:val="none"/>
          <w14:textFill>
            <w14:solidFill>
              <w14:schemeClr w14:val="tx1"/>
            </w14:solidFill>
          </w14:textFill>
        </w:rPr>
        <w:t>达成分包意向协议</w:t>
      </w:r>
      <w:r>
        <w:rPr>
          <w:rFonts w:hint="eastAsia" w:ascii="宋体" w:hAnsi="宋体" w:cs="宋体"/>
          <w:color w:val="000000" w:themeColor="text1"/>
          <w:kern w:val="0"/>
          <w:highlight w:val="none"/>
          <w:lang w:val="zh-CN"/>
          <w14:textFill>
            <w14:solidFill>
              <w14:schemeClr w14:val="tx1"/>
            </w14:solidFill>
          </w14:textFill>
        </w:rPr>
        <w:t xml:space="preserve">。 </w:t>
      </w:r>
    </w:p>
    <w:p>
      <w:pPr>
        <w:widowControl/>
        <w:numPr>
          <w:ilvl w:val="0"/>
          <w:numId w:val="8"/>
        </w:numPr>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分包标的及数量</w:t>
      </w:r>
    </w:p>
    <w:p>
      <w:pPr>
        <w:widowControl/>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u w:val="single"/>
          <w14:textFill>
            <w14:solidFill>
              <w14:schemeClr w14:val="tx1"/>
            </w14:solidFill>
          </w14:textFill>
        </w:rPr>
        <w:t>（投标人名称）</w:t>
      </w:r>
      <w:r>
        <w:rPr>
          <w:rFonts w:hint="eastAsia" w:ascii="宋体" w:hAnsi="宋体" w:cs="宋体"/>
          <w:color w:val="000000" w:themeColor="text1"/>
          <w:kern w:val="0"/>
          <w:highlight w:val="none"/>
          <w:lang w:val="zh-CN"/>
          <w14:textFill>
            <w14:solidFill>
              <w14:schemeClr w14:val="tx1"/>
            </w14:solidFill>
          </w14:textFill>
        </w:rPr>
        <w:t>将</w:t>
      </w:r>
      <w:r>
        <w:rPr>
          <w:rFonts w:ascii="宋体" w:hAnsi="宋体" w:cs="宋体"/>
          <w:color w:val="000000" w:themeColor="text1"/>
          <w:kern w:val="0"/>
          <w:highlight w:val="none"/>
          <w:u w:val="single"/>
          <w14:textFill>
            <w14:solidFill>
              <w14:schemeClr w14:val="tx1"/>
            </w14:solidFill>
          </w14:textFill>
        </w:rPr>
        <w:t xml:space="preserve"> XX工作内容   </w:t>
      </w:r>
      <w:r>
        <w:rPr>
          <w:rFonts w:hint="eastAsia" w:ascii="宋体" w:hAnsi="宋体" w:cs="宋体"/>
          <w:color w:val="000000" w:themeColor="text1"/>
          <w:highlight w:val="none"/>
          <w14:textFill>
            <w14:solidFill>
              <w14:schemeClr w14:val="tx1"/>
            </w14:solidFill>
          </w14:textFill>
        </w:rPr>
        <w:t>分包给</w:t>
      </w:r>
      <w:r>
        <w:rPr>
          <w:rFonts w:hint="eastAsia" w:ascii="宋体" w:hAnsi="宋体" w:cs="宋体"/>
          <w:color w:val="000000" w:themeColor="text1"/>
          <w:kern w:val="0"/>
          <w:highlight w:val="none"/>
          <w:u w:val="single"/>
          <w14:textFill>
            <w14:solidFill>
              <w14:schemeClr w14:val="tx1"/>
            </w14:solidFill>
          </w14:textFill>
        </w:rPr>
        <w:t>（分包供应商1名称）</w:t>
      </w:r>
      <w:r>
        <w:rPr>
          <w:rFonts w:hint="eastAsia" w:ascii="宋体" w:hAnsi="宋体" w:cs="宋体"/>
          <w:color w:val="000000" w:themeColor="text1"/>
          <w:kern w:val="0"/>
          <w:highlight w:val="none"/>
          <w:lang w:val="zh-CN"/>
          <w14:textFill>
            <w14:solidFill>
              <w14:schemeClr w14:val="tx1"/>
            </w14:solidFill>
          </w14:textFill>
        </w:rPr>
        <w:t>，</w:t>
      </w:r>
      <w:r>
        <w:rPr>
          <w:rFonts w:hint="eastAsia" w:ascii="宋体" w:hAnsi="宋体" w:cs="宋体"/>
          <w:color w:val="000000" w:themeColor="text1"/>
          <w:kern w:val="0"/>
          <w:highlight w:val="none"/>
          <w:u w:val="single"/>
          <w14:textFill>
            <w14:solidFill>
              <w14:schemeClr w14:val="tx1"/>
            </w14:solidFill>
          </w14:textFill>
        </w:rPr>
        <w:t>（分包供应商2名称），</w:t>
      </w:r>
      <w:r>
        <w:rPr>
          <w:rFonts w:hint="eastAsia" w:ascii="宋体" w:hAnsi="宋体" w:cs="宋体"/>
          <w:color w:val="000000" w:themeColor="text1"/>
          <w:kern w:val="0"/>
          <w:highlight w:val="none"/>
          <w:lang w:val="zh-CN"/>
          <w14:textFill>
            <w14:solidFill>
              <w14:schemeClr w14:val="tx1"/>
            </w14:solidFill>
          </w14:textFill>
        </w:rPr>
        <w:t>具备承</w:t>
      </w:r>
      <w:r>
        <w:rPr>
          <w:rFonts w:hint="eastAsia" w:ascii="宋体" w:hAnsi="宋体" w:cs="宋体"/>
          <w:color w:val="000000" w:themeColor="text1"/>
          <w:kern w:val="0"/>
          <w:highlight w:val="none"/>
          <w14:textFill>
            <w14:solidFill>
              <w14:schemeClr w14:val="tx1"/>
            </w14:solidFill>
          </w14:textFill>
        </w:rPr>
        <w:t>担</w:t>
      </w:r>
      <w:r>
        <w:rPr>
          <w:rFonts w:hint="eastAsia" w:ascii="宋体" w:hAnsi="宋体" w:cs="宋体"/>
          <w:color w:val="000000" w:themeColor="text1"/>
          <w:kern w:val="0"/>
          <w:highlight w:val="none"/>
          <w:u w:val="single"/>
          <w:lang w:val="zh-CN"/>
          <w14:textFill>
            <w14:solidFill>
              <w14:schemeClr w14:val="tx1"/>
            </w14:solidFill>
          </w14:textFill>
        </w:rPr>
        <w:t>XX工作内容</w:t>
      </w:r>
      <w:r>
        <w:rPr>
          <w:rFonts w:hint="eastAsia" w:ascii="宋体" w:hAnsi="宋体" w:cs="宋体"/>
          <w:color w:val="000000" w:themeColor="text1"/>
          <w:kern w:val="0"/>
          <w:highlight w:val="none"/>
          <w:lang w:val="zh-CN"/>
          <w14:textFill>
            <w14:solidFill>
              <w14:schemeClr w14:val="tx1"/>
            </w14:solidFill>
          </w14:textFill>
        </w:rPr>
        <w:t>相应资质条件且不得再次分包；</w:t>
      </w:r>
    </w:p>
    <w:p>
      <w:pPr>
        <w:widowControl/>
        <w:spacing w:line="480" w:lineRule="exact"/>
        <w:ind w:firstLine="420" w:firstLineChars="200"/>
        <w:jc w:val="left"/>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w:t>
      </w:r>
    </w:p>
    <w:p>
      <w:pPr>
        <w:widowControl/>
        <w:numPr>
          <w:ilvl w:val="0"/>
          <w:numId w:val="8"/>
        </w:numPr>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分包供应商中小企业合同份额（如果有）</w:t>
      </w:r>
    </w:p>
    <w:p>
      <w:pPr>
        <w:widowControl/>
        <w:numPr>
          <w:ilvl w:val="0"/>
          <w:numId w:val="9"/>
        </w:numPr>
        <w:spacing w:line="480" w:lineRule="exact"/>
        <w:ind w:firstLine="420" w:firstLineChars="200"/>
        <w:jc w:val="left"/>
        <w:rPr>
          <w:rFonts w:ascii="宋体" w:hAnsi="宋体" w:cs="宋体"/>
          <w:b/>
          <w:bCs/>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u w:val="single"/>
          <w14:textFill>
            <w14:solidFill>
              <w14:schemeClr w14:val="tx1"/>
            </w14:solidFill>
          </w14:textFill>
        </w:rPr>
        <w:t>（分包供应商X</w:t>
      </w:r>
      <w:r>
        <w:rPr>
          <w:rFonts w:ascii="宋体" w:hAnsi="宋体" w:cs="宋体"/>
          <w:color w:val="000000" w:themeColor="text1"/>
          <w:kern w:val="0"/>
          <w:highlight w:val="none"/>
          <w:u w:val="single"/>
          <w14:textFill>
            <w14:solidFill>
              <w14:schemeClr w14:val="tx1"/>
            </w14:solidFill>
          </w14:textFill>
        </w:rPr>
        <w:t>,</w:t>
      </w:r>
      <w:r>
        <w:rPr>
          <w:rFonts w:hint="eastAsia" w:ascii="宋体" w:hAnsi="宋体" w:cs="宋体"/>
          <w:color w:val="000000" w:themeColor="text1"/>
          <w:kern w:val="0"/>
          <w:highlight w:val="none"/>
          <w:u w:val="single"/>
          <w14:textFill>
            <w14:solidFill>
              <w14:schemeClr w14:val="tx1"/>
            </w14:solidFill>
          </w14:textFill>
        </w:rPr>
        <w:t>……）提供的服务全部由小微企业承接，</w:t>
      </w:r>
      <w:r>
        <w:rPr>
          <w:rFonts w:hint="eastAsia" w:ascii="宋体" w:hAnsi="宋体" w:cs="宋体"/>
          <w:color w:val="000000" w:themeColor="text1"/>
          <w:kern w:val="0"/>
          <w:highlight w:val="none"/>
          <w14:textFill>
            <w14:solidFill>
              <w14:schemeClr w14:val="tx1"/>
            </w14:solidFill>
          </w14:textFill>
        </w:rPr>
        <w:t>其合同份额占到合同总金额%以上</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kern w:val="0"/>
          <w:highlight w:val="none"/>
          <w:lang w:val="zh-CN"/>
          <w14:textFill>
            <w14:solidFill>
              <w14:schemeClr w14:val="tx1"/>
            </w14:solidFill>
          </w14:textFill>
        </w:rPr>
        <w:t>（未预留份额专门面向中小企业采购的的采购项目，以及预留份额中的非预留部分采购包，允许分包的，分包意向协议约定小微企业的合同份额占到合同总金额30%以上的，对大中型企业的报价给予</w:t>
      </w:r>
      <w:r>
        <w:rPr>
          <w:rFonts w:hint="eastAsia" w:ascii="宋体" w:hAnsi="宋体" w:cs="宋体"/>
          <w:b/>
          <w:color w:val="000000" w:themeColor="text1"/>
          <w:kern w:val="0"/>
          <w:highlight w:val="none"/>
          <w14:textFill>
            <w14:solidFill>
              <w14:schemeClr w14:val="tx1"/>
            </w14:solidFill>
          </w14:textFill>
        </w:rPr>
        <w:t>4</w:t>
      </w:r>
      <w:r>
        <w:rPr>
          <w:rFonts w:hint="eastAsia" w:ascii="宋体" w:hAnsi="宋体" w:cs="宋体"/>
          <w:b/>
          <w:color w:val="000000" w:themeColor="text1"/>
          <w:kern w:val="0"/>
          <w:highlight w:val="none"/>
          <w:lang w:val="zh-CN"/>
          <w14:textFill>
            <w14:solidFill>
              <w14:schemeClr w14:val="tx1"/>
            </w14:solidFill>
          </w14:textFill>
        </w:rPr>
        <w:t>%的扣除。供应商</w:t>
      </w:r>
      <w:r>
        <w:rPr>
          <w:rFonts w:hint="eastAsia" w:ascii="宋体" w:hAnsi="宋体" w:cs="宋体"/>
          <w:b/>
          <w:color w:val="000000" w:themeColor="text1"/>
          <w:highlight w:val="none"/>
          <w14:textFill>
            <w14:solidFill>
              <w14:schemeClr w14:val="tx1"/>
            </w14:solidFill>
          </w14:textFill>
        </w:rPr>
        <w:t>拟享受以上价格扣除政策的，填写有关内容。</w:t>
      </w:r>
      <w:r>
        <w:rPr>
          <w:rFonts w:hint="eastAsia" w:ascii="宋体" w:hAnsi="宋体" w:cs="宋体"/>
          <w:b/>
          <w:color w:val="000000" w:themeColor="text1"/>
          <w:kern w:val="0"/>
          <w:highlight w:val="none"/>
          <w:lang w:val="zh-CN"/>
          <w14:textFill>
            <w14:solidFill>
              <w14:schemeClr w14:val="tx1"/>
            </w14:solidFill>
          </w14:textFill>
        </w:rPr>
        <w:t>）</w:t>
      </w:r>
    </w:p>
    <w:p>
      <w:pPr>
        <w:widowControl/>
        <w:numPr>
          <w:ilvl w:val="0"/>
          <w:numId w:val="9"/>
        </w:numPr>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中小企业合同金额达到%，小微企业合同金额达到%</w:t>
      </w:r>
      <w:r>
        <w:rPr>
          <w:rFonts w:hint="eastAsia" w:ascii="宋体" w:hAnsi="宋体" w:cs="宋体"/>
          <w:color w:val="000000" w:themeColor="text1"/>
          <w:kern w:val="0"/>
          <w:highlight w:val="none"/>
          <w:lang w:val="zh-CN"/>
          <w14:textFill>
            <w14:solidFill>
              <w14:schemeClr w14:val="tx1"/>
            </w14:solidFill>
          </w14:textFill>
        </w:rPr>
        <w:t>。</w:t>
      </w:r>
      <w:r>
        <w:rPr>
          <w:rFonts w:hint="eastAsia" w:ascii="宋体" w:hAnsi="宋体" w:cs="宋体"/>
          <w:b/>
          <w:bCs/>
          <w:color w:val="000000" w:themeColor="text1"/>
          <w:kern w:val="0"/>
          <w:highlight w:val="none"/>
          <w:lang w:val="zh-CN"/>
          <w14:textFill>
            <w14:solidFill>
              <w14:schemeClr w14:val="tx1"/>
            </w14:solidFill>
          </w14:textFill>
        </w:rPr>
        <w:t>（</w:t>
      </w:r>
      <w:r>
        <w:rPr>
          <w:rFonts w:hint="eastAsia" w:ascii="宋体" w:hAnsi="宋体" w:cs="宋体"/>
          <w:b/>
          <w:bCs/>
          <w:color w:val="000000" w:themeColor="text1"/>
          <w:highlight w:val="none"/>
          <w14:textFill>
            <w14:solidFill>
              <w14:schemeClr w14:val="tx1"/>
            </w14:solidFill>
          </w14:textFill>
        </w:rPr>
        <w:t>要求合同分包形式参加的项目或采购包，供应商按招标文件第一部分招标公告申请人的资格要求中规定的</w:t>
      </w:r>
      <w:r>
        <w:rPr>
          <w:rFonts w:hint="eastAsia" w:ascii="宋体" w:hAnsi="宋体" w:cs="宋体"/>
          <w:b/>
          <w:color w:val="000000" w:themeColor="text1"/>
          <w:kern w:val="0"/>
          <w:highlight w:val="none"/>
          <w:lang w:val="zh-CN"/>
          <w14:textFill>
            <w14:solidFill>
              <w14:schemeClr w14:val="tx1"/>
            </w14:solidFill>
          </w14:textFill>
        </w:rPr>
        <w:t>分包意向协议</w:t>
      </w:r>
      <w:r>
        <w:rPr>
          <w:rFonts w:hint="eastAsia" w:ascii="宋体" w:hAnsi="宋体" w:cs="宋体"/>
          <w:b/>
          <w:bCs/>
          <w:color w:val="000000" w:themeColor="text1"/>
          <w:highlight w:val="none"/>
          <w14:textFill>
            <w14:solidFill>
              <w14:schemeClr w14:val="tx1"/>
            </w14:solidFill>
          </w14:textFill>
        </w:rPr>
        <w:t>中中小企业、小微企业合同金额应当达到的比例要求填写。</w:t>
      </w:r>
      <w:r>
        <w:rPr>
          <w:rFonts w:hint="eastAsia" w:ascii="宋体" w:hAnsi="宋体" w:cs="宋体"/>
          <w:b/>
          <w:bCs/>
          <w:color w:val="000000" w:themeColor="text1"/>
          <w:kern w:val="0"/>
          <w:highlight w:val="none"/>
          <w:lang w:val="zh-CN"/>
          <w14:textFill>
            <w14:solidFill>
              <w14:schemeClr w14:val="tx1"/>
            </w14:solidFill>
          </w14:textFill>
        </w:rPr>
        <w:t>）</w:t>
      </w:r>
    </w:p>
    <w:p>
      <w:pPr>
        <w:widowControl/>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三、分包工作履行期限、地点、方式</w:t>
      </w:r>
    </w:p>
    <w:p>
      <w:pPr>
        <w:widowControl/>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四、质量</w:t>
      </w:r>
    </w:p>
    <w:p>
      <w:pPr>
        <w:widowControl/>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五、价款或者报酬</w:t>
      </w:r>
    </w:p>
    <w:p>
      <w:pPr>
        <w:widowControl/>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六、违约责任</w:t>
      </w:r>
    </w:p>
    <w:p>
      <w:pPr>
        <w:widowControl/>
        <w:spacing w:line="480" w:lineRule="exact"/>
        <w:ind w:firstLine="420" w:firstLineChars="2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七、争议解决的办法</w:t>
      </w:r>
    </w:p>
    <w:p>
      <w:pPr>
        <w:widowControl/>
        <w:spacing w:line="480" w:lineRule="exact"/>
        <w:ind w:firstLine="420" w:firstLineChars="200"/>
        <w:jc w:val="left"/>
        <w:rPr>
          <w:rFonts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八、其他</w:t>
      </w:r>
    </w:p>
    <w:p>
      <w:pPr>
        <w:snapToGrid w:val="0"/>
        <w:spacing w:line="360" w:lineRule="auto"/>
        <w:ind w:firstLine="5250" w:firstLineChars="2500"/>
        <w:jc w:val="left"/>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投标人名称(</w:t>
      </w:r>
      <w:r>
        <w:rPr>
          <w:rFonts w:hint="eastAsia" w:ascii="宋体" w:hAnsi="宋体" w:cs="宋体"/>
          <w:color w:val="000000" w:themeColor="text1"/>
          <w:kern w:val="0"/>
          <w:highlight w:val="none"/>
          <w14:textFill>
            <w14:solidFill>
              <w14:schemeClr w14:val="tx1"/>
            </w14:solidFill>
          </w14:textFill>
        </w:rPr>
        <w:t>公章</w:t>
      </w:r>
      <w:r>
        <w:rPr>
          <w:rFonts w:hint="eastAsia" w:ascii="宋体" w:hAnsi="宋体" w:cs="宋体"/>
          <w:color w:val="000000" w:themeColor="text1"/>
          <w:kern w:val="0"/>
          <w:highlight w:val="none"/>
          <w:lang w:val="zh-CN"/>
          <w14:textFill>
            <w14:solidFill>
              <w14:schemeClr w14:val="tx1"/>
            </w14:solidFill>
          </w14:textFill>
        </w:rPr>
        <w:t>)：</w:t>
      </w:r>
    </w:p>
    <w:p>
      <w:pPr>
        <w:snapToGrid w:val="0"/>
        <w:spacing w:line="360" w:lineRule="auto"/>
        <w:ind w:firstLine="5250" w:firstLineChars="2500"/>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分包供应商名称：</w:t>
      </w:r>
    </w:p>
    <w:p>
      <w:pPr>
        <w:snapToGrid w:val="0"/>
        <w:spacing w:line="360" w:lineRule="auto"/>
        <w:ind w:firstLine="5250" w:firstLineChars="2500"/>
        <w:rPr>
          <w:rFonts w:ascii="宋体" w:hAnsi="宋体" w:cs="宋体"/>
          <w:color w:val="000000" w:themeColor="text1"/>
          <w:kern w:val="0"/>
          <w:highlight w:val="none"/>
          <w:lang w:val="zh-CN"/>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w:t>
      </w:r>
    </w:p>
    <w:p>
      <w:pPr>
        <w:spacing w:line="360" w:lineRule="auto"/>
        <w:rPr>
          <w:rFonts w:cs="仿宋_GB2312" w:asciiTheme="minorEastAsia" w:hAnsiTheme="minorEastAsia" w:eastAsiaTheme="minorEastAsia"/>
          <w:color w:val="000000" w:themeColor="text1"/>
          <w:highlight w:val="none"/>
          <w14:textFill>
            <w14:solidFill>
              <w14:schemeClr w14:val="tx1"/>
            </w14:solidFill>
          </w14:textFill>
        </w:rPr>
      </w:pPr>
      <w:r>
        <w:rPr>
          <w:rFonts w:hint="eastAsia" w:ascii="宋体" w:hAnsi="宋体" w:cs="宋体"/>
          <w:color w:val="000000" w:themeColor="text1"/>
          <w:kern w:val="0"/>
          <w:highlight w:val="none"/>
          <w:lang w:val="zh-CN"/>
          <w14:textFill>
            <w14:solidFill>
              <w14:schemeClr w14:val="tx1"/>
            </w14:solidFill>
          </w14:textFill>
        </w:rPr>
        <w:t>日期：  年  月   日</w:t>
      </w:r>
    </w:p>
    <w:p>
      <w:pPr>
        <w:pStyle w:val="4"/>
        <w:keepNext/>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eastAsiaTheme="minorEastAsia"/>
          <w:color w:val="000000" w:themeColor="text1"/>
          <w:sz w:val="28"/>
          <w:szCs w:val="28"/>
          <w:highlight w:val="none"/>
          <w14:textFill>
            <w14:solidFill>
              <w14:schemeClr w14:val="tx1"/>
            </w14:solidFill>
          </w14:textFill>
        </w:rPr>
      </w:pPr>
      <w:bookmarkStart w:id="196" w:name="_Toc28226"/>
      <w:bookmarkStart w:id="197" w:name="_Toc141797689"/>
      <w:bookmarkStart w:id="198" w:name="_Toc22987"/>
      <w:bookmarkStart w:id="199" w:name="_Toc141797133"/>
      <w:r>
        <w:rPr>
          <w:rFonts w:hint="eastAsia" w:asciiTheme="minorEastAsia" w:hAnsiTheme="minorEastAsia" w:eastAsiaTheme="minorEastAsia"/>
          <w:color w:val="000000" w:themeColor="text1"/>
          <w:sz w:val="28"/>
          <w:szCs w:val="28"/>
          <w:highlight w:val="none"/>
          <w14:textFill>
            <w14:solidFill>
              <w14:schemeClr w14:val="tx1"/>
            </w14:solidFill>
          </w14:textFill>
        </w:rPr>
        <w:t>（四）投标人的特定条件的证明文件</w:t>
      </w:r>
      <w:bookmarkEnd w:id="196"/>
      <w:bookmarkEnd w:id="197"/>
      <w:bookmarkEnd w:id="198"/>
      <w:bookmarkEnd w:id="199"/>
    </w:p>
    <w:p>
      <w:pPr>
        <w:pStyle w:val="4"/>
        <w:keepNext/>
        <w:keepLines w:val="0"/>
        <w:pageBreakBefore w:val="0"/>
        <w:widowControl w:val="0"/>
        <w:kinsoku/>
        <w:wordWrap/>
        <w:overflowPunct/>
        <w:topLinePunct w:val="0"/>
        <w:autoSpaceDE/>
        <w:autoSpaceDN/>
        <w:bidi w:val="0"/>
        <w:adjustRightInd/>
        <w:snapToGrid/>
        <w:spacing w:line="360" w:lineRule="auto"/>
        <w:textAlignment w:val="auto"/>
        <w:rPr>
          <w:rFonts w:cs="仿宋_GB2312" w:asciiTheme="minorEastAsia" w:hAnsiTheme="minorEastAsia" w:eastAsiaTheme="minorEastAsia"/>
          <w:b w:val="0"/>
          <w:bCs w:val="0"/>
          <w:color w:val="000000" w:themeColor="text1"/>
          <w:kern w:val="2"/>
          <w:sz w:val="24"/>
          <w:szCs w:val="20"/>
          <w:highlight w:val="none"/>
          <w14:textFill>
            <w14:solidFill>
              <w14:schemeClr w14:val="tx1"/>
            </w14:solidFill>
          </w14:textFill>
        </w:rPr>
      </w:pPr>
      <w:bookmarkStart w:id="200" w:name="_Toc141797690"/>
      <w:bookmarkStart w:id="201" w:name="_Toc141797134"/>
      <w:bookmarkStart w:id="202" w:name="_Toc2975"/>
      <w:bookmarkStart w:id="203" w:name="_Toc11914"/>
      <w:r>
        <w:rPr>
          <w:rFonts w:hint="eastAsia" w:cs="仿宋_GB2312" w:asciiTheme="minorEastAsia" w:hAnsiTheme="minorEastAsia" w:eastAsiaTheme="minorEastAsia"/>
          <w:b w:val="0"/>
          <w:bCs w:val="0"/>
          <w:color w:val="000000" w:themeColor="text1"/>
          <w:kern w:val="2"/>
          <w:sz w:val="24"/>
          <w:szCs w:val="20"/>
          <w:highlight w:val="none"/>
          <w14:textFill>
            <w14:solidFill>
              <w14:schemeClr w14:val="tx1"/>
            </w14:solidFill>
          </w14:textFill>
        </w:rPr>
        <w:t>（根据招标公告本项目的特定资格要求提供相应的材料；未要求的，无需提供）</w:t>
      </w:r>
      <w:bookmarkEnd w:id="200"/>
      <w:bookmarkEnd w:id="201"/>
      <w:bookmarkEnd w:id="202"/>
      <w:bookmarkEnd w:id="203"/>
    </w:p>
    <w:p>
      <w:pPr>
        <w:widowControl/>
        <w:jc w:val="left"/>
        <w:rPr>
          <w:rFonts w:ascii="宋体"/>
          <w:b/>
          <w:bCs/>
          <w:color w:val="000000" w:themeColor="text1"/>
          <w:sz w:val="24"/>
          <w:szCs w:val="24"/>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b/>
          <w:bCs/>
          <w:color w:val="000000" w:themeColor="text1"/>
          <w:sz w:val="24"/>
          <w:szCs w:val="24"/>
          <w:highlight w:val="none"/>
          <w14:textFill>
            <w14:solidFill>
              <w14:schemeClr w14:val="tx1"/>
            </w14:solidFill>
          </w14:textFill>
        </w:rPr>
      </w:pPr>
      <w:r>
        <w:rPr>
          <w:rFonts w:ascii="宋体"/>
          <w:color w:val="000000" w:themeColor="text1"/>
          <w:sz w:val="24"/>
          <w:szCs w:val="24"/>
          <w:highlight w:val="none"/>
          <w14:textFill>
            <w14:solidFill>
              <w14:schemeClr w14:val="tx1"/>
            </w14:solidFill>
          </w14:textFill>
        </w:rPr>
        <w:br w:type="page"/>
      </w:r>
      <w:r>
        <w:rPr>
          <w:rFonts w:ascii="宋体"/>
          <w:color w:val="000000" w:themeColor="text1"/>
          <w:sz w:val="24"/>
          <w:szCs w:val="24"/>
          <w:highlight w:val="none"/>
          <w14:textFill>
            <w14:solidFill>
              <w14:schemeClr w14:val="tx1"/>
            </w14:solidFill>
          </w14:textFill>
        </w:rPr>
        <w:br w:type="textWrapping"/>
      </w:r>
      <w:r>
        <w:rPr>
          <w:rFonts w:hint="eastAsia" w:ascii="宋体" w:hAnsi="宋体" w:cs="宋体"/>
          <w:b/>
          <w:bCs/>
          <w:color w:val="000000" w:themeColor="text1"/>
          <w:kern w:val="0"/>
          <w:highlight w:val="none"/>
          <w14:textFill>
            <w14:solidFill>
              <w14:schemeClr w14:val="tx1"/>
            </w14:solidFill>
          </w14:textFill>
        </w:rPr>
        <w:t>商务技术文件组成：</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（1）单位负责人的身份证明或单位负责人授权书（投标人的代表若不为单位负责人的，必须提交单位负责人授权书），并提供单位负责人和授权代表的身份证正反两面复印件；</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（2）投标人基本情况表；</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（3）技术条款偏离表；</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（3）-1中心机房扩建改造品目清单响应表</w:t>
      </w:r>
      <w:r>
        <w:rPr>
          <w:rFonts w:hint="eastAsia"/>
          <w:color w:val="000000" w:themeColor="text1"/>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（4）商务条款偏离表；</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cs="宋体" w:asciiTheme="minorEastAsia" w:hAnsiTheme="minorEastAsia" w:eastAsiaTheme="minorEastAsia"/>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）第六部分“评标办法”中“评分标准”要求提供的资料（如有需提供）。</w:t>
      </w:r>
    </w:p>
    <w:p>
      <w:pPr>
        <w:widowControl/>
        <w:spacing w:line="360" w:lineRule="auto"/>
        <w:ind w:firstLine="420" w:firstLineChars="200"/>
        <w:jc w:val="left"/>
        <w:rPr>
          <w:rFonts w:ascii="宋体" w:hAnsi="宋体" w:cs="宋体"/>
          <w:color w:val="000000" w:themeColor="text1"/>
          <w:kern w:val="0"/>
          <w:highlight w:val="none"/>
          <w14:textFill>
            <w14:solidFill>
              <w14:schemeClr w14:val="tx1"/>
            </w14:solidFill>
          </w14:textFill>
        </w:rPr>
      </w:pPr>
    </w:p>
    <w:p>
      <w:pPr>
        <w:widowControl/>
        <w:spacing w:line="360" w:lineRule="auto"/>
        <w:ind w:firstLine="420" w:firstLineChars="200"/>
        <w:jc w:val="left"/>
        <w:rPr>
          <w:rFonts w:ascii="宋体"/>
          <w:color w:val="000000" w:themeColor="text1"/>
          <w:highlight w:val="none"/>
          <w14:textFill>
            <w14:solidFill>
              <w14:schemeClr w14:val="tx1"/>
            </w14:solidFill>
          </w14:textFill>
        </w:rPr>
      </w:pPr>
    </w:p>
    <w:p>
      <w:pPr>
        <w:widowControl/>
        <w:spacing w:line="360" w:lineRule="auto"/>
        <w:ind w:firstLine="420" w:firstLineChars="200"/>
        <w:jc w:val="left"/>
        <w:rPr>
          <w:rFonts w:ascii="宋体"/>
          <w:color w:val="000000" w:themeColor="text1"/>
          <w:kern w:val="0"/>
          <w:highlight w:val="none"/>
          <w14:textFill>
            <w14:solidFill>
              <w14:schemeClr w14:val="tx1"/>
            </w14:solidFill>
          </w14:textFill>
        </w:rPr>
      </w:pPr>
    </w:p>
    <w:p>
      <w:pPr>
        <w:widowControl/>
        <w:spacing w:line="360" w:lineRule="auto"/>
        <w:ind w:firstLine="480" w:firstLineChars="200"/>
        <w:jc w:val="left"/>
        <w:rPr>
          <w:rFonts w:ascii="宋体"/>
          <w:color w:val="000000" w:themeColor="text1"/>
          <w:kern w:val="0"/>
          <w:sz w:val="24"/>
          <w:szCs w:val="24"/>
          <w:highlight w:val="none"/>
          <w14:textFill>
            <w14:solidFill>
              <w14:schemeClr w14:val="tx1"/>
            </w14:solidFill>
          </w14:textFill>
        </w:rPr>
      </w:pPr>
    </w:p>
    <w:p>
      <w:pPr>
        <w:pStyle w:val="2"/>
        <w:spacing w:line="380" w:lineRule="exact"/>
        <w:rPr>
          <w:rFonts w:asciiTheme="minorEastAsia" w:hAnsiTheme="minorEastAsia" w:eastAsiaTheme="minorEastAsia"/>
          <w:bCs w:val="0"/>
          <w:color w:val="000000" w:themeColor="text1"/>
          <w:sz w:val="28"/>
          <w:szCs w:val="28"/>
          <w:highlight w:val="none"/>
          <w14:textFill>
            <w14:solidFill>
              <w14:schemeClr w14:val="tx1"/>
            </w14:solidFill>
          </w14:textFill>
        </w:rPr>
      </w:pPr>
      <w:r>
        <w:rPr>
          <w:rFonts w:ascii="宋体"/>
          <w:color w:val="000000" w:themeColor="text1"/>
          <w:sz w:val="24"/>
          <w:szCs w:val="24"/>
          <w:highlight w:val="none"/>
          <w14:textFill>
            <w14:solidFill>
              <w14:schemeClr w14:val="tx1"/>
            </w14:solidFill>
          </w14:textFill>
        </w:rPr>
        <w:br w:type="page"/>
      </w:r>
      <w:bookmarkStart w:id="204" w:name="_Toc141797691"/>
      <w:bookmarkStart w:id="205" w:name="_Toc16587"/>
      <w:bookmarkStart w:id="206" w:name="_Toc29643"/>
      <w:bookmarkStart w:id="207" w:name="_Toc141797135"/>
      <w:r>
        <w:rPr>
          <w:rFonts w:hint="eastAsia" w:asciiTheme="minorEastAsia" w:hAnsiTheme="minorEastAsia" w:eastAsiaTheme="minorEastAsia"/>
          <w:bCs w:val="0"/>
          <w:color w:val="000000" w:themeColor="text1"/>
          <w:sz w:val="28"/>
          <w:szCs w:val="28"/>
          <w:highlight w:val="none"/>
          <w14:textFill>
            <w14:solidFill>
              <w14:schemeClr w14:val="tx1"/>
            </w14:solidFill>
          </w14:textFill>
        </w:rPr>
        <w:t>（一）单位负责人授权书</w:t>
      </w:r>
      <w:bookmarkEnd w:id="204"/>
      <w:bookmarkEnd w:id="205"/>
      <w:bookmarkEnd w:id="206"/>
      <w:bookmarkEnd w:id="207"/>
    </w:p>
    <w:p>
      <w:pPr>
        <w:pStyle w:val="18"/>
        <w:ind w:firstLine="0"/>
        <w:jc w:val="center"/>
        <w:rPr>
          <w:rFonts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bCs/>
          <w:color w:val="000000" w:themeColor="text1"/>
          <w:sz w:val="24"/>
          <w:highlight w:val="none"/>
          <w14:textFill>
            <w14:solidFill>
              <w14:schemeClr w14:val="tx1"/>
            </w14:solidFill>
          </w14:textFill>
        </w:rPr>
        <w:t>（单位负责人来投标的，此表不用）</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u w:val="single"/>
          <w14:textFill>
            <w14:solidFill>
              <w14:schemeClr w14:val="tx1"/>
            </w14:solidFill>
          </w14:textFill>
        </w:rPr>
        <w:t xml:space="preserve">  致 （</w:t>
      </w: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采购代理机构</w:t>
      </w:r>
      <w:r>
        <w:rPr>
          <w:rFonts w:hint="eastAsia" w:asciiTheme="minorEastAsia" w:hAnsiTheme="minorEastAsia" w:eastAsia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p>
    <w:p>
      <w:pPr>
        <w:snapToGrid w:val="0"/>
        <w:spacing w:line="360" w:lineRule="auto"/>
        <w:ind w:firstLine="420" w:firstLineChars="200"/>
        <w:rPr>
          <w:rFonts w:cs="仿宋_GB2312" w:asciiTheme="minorEastAsia" w:hAnsiTheme="minorEastAsia" w:eastAsiaTheme="minorEastAsia"/>
          <w:color w:val="000000" w:themeColor="text1"/>
          <w:kern w:val="0"/>
          <w:highlight w:val="none"/>
          <w14:textFill>
            <w14:solidFill>
              <w14:schemeClr w14:val="tx1"/>
            </w14:solidFill>
          </w14:textFill>
        </w:rPr>
      </w:pPr>
      <w:r>
        <w:rPr>
          <w:rFonts w:hint="eastAsia" w:cs="仿宋_GB2312" w:asciiTheme="minorEastAsia" w:hAnsiTheme="minorEastAsia" w:eastAsiaTheme="minorEastAsia"/>
          <w:color w:val="000000" w:themeColor="text1"/>
          <w:kern w:val="0"/>
          <w:highlight w:val="none"/>
          <w14:textFill>
            <w14:solidFill>
              <w14:schemeClr w14:val="tx1"/>
            </w14:solidFill>
          </w14:textFill>
        </w:rPr>
        <w:t>现</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委托</w:t>
      </w:r>
      <w:r>
        <w:rPr>
          <w:rFonts w:hint="eastAsia" w:cs="仿宋_GB2312" w:asciiTheme="minorEastAsia" w:hAnsiTheme="minorEastAsia" w:eastAsiaTheme="minorEastAsia"/>
          <w:color w:val="000000" w:themeColor="text1"/>
          <w:kern w:val="0"/>
          <w:highlight w:val="none"/>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（姓名）为我方代理人（身份证号码：</w:t>
      </w:r>
      <w:r>
        <w:rPr>
          <w:rFonts w:hint="eastAsia" w:cs="仿宋_GB2312" w:asciiTheme="minorEastAsia" w:hAnsiTheme="minorEastAsia" w:eastAsiaTheme="minorEastAsia"/>
          <w:color w:val="000000" w:themeColor="text1"/>
          <w:kern w:val="0"/>
          <w:highlight w:val="non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，手机：</w:t>
      </w:r>
      <w:r>
        <w:rPr>
          <w:rFonts w:hint="eastAsia" w:cs="仿宋_GB2312" w:asciiTheme="minorEastAsia" w:hAnsiTheme="minorEastAsia" w:eastAsiaTheme="minorEastAsia"/>
          <w:color w:val="000000" w:themeColor="text1"/>
          <w:kern w:val="0"/>
          <w:highlight w:val="non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），以我方名义处理</w:t>
      </w:r>
      <w:r>
        <w:rPr>
          <w:rFonts w:hint="eastAsia" w:cs="仿宋_GB2312" w:asciiTheme="minorEastAsia" w:hAnsiTheme="minorEastAsia" w:eastAsiaTheme="minorEastAsia"/>
          <w:color w:val="000000" w:themeColor="text1"/>
          <w:kern w:val="0"/>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项目</w:t>
      </w:r>
      <w:r>
        <w:rPr>
          <w:rFonts w:hint="eastAsia" w:cs="仿宋_GB2312" w:asciiTheme="minorEastAsia" w:hAnsiTheme="minorEastAsia" w:eastAsiaTheme="minorEastAsia"/>
          <w:color w:val="000000" w:themeColor="text1"/>
          <w:highlight w:val="none"/>
          <w14:textFill>
            <w14:solidFill>
              <w14:schemeClr w14:val="tx1"/>
            </w14:solidFill>
          </w14:textFill>
        </w:rPr>
        <w:t>【招标编号：</w:t>
      </w:r>
      <w:r>
        <w:rPr>
          <w:rFonts w:hint="eastAsia" w:cs="仿宋_GB2312"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highlight w:val="none"/>
          <w14:textFill>
            <w14:solidFill>
              <w14:schemeClr w14:val="tx1"/>
            </w14:solidFill>
          </w14:textFill>
        </w:rPr>
        <w:t>】</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政府采购投标的一切事项，其法律后果由我方承担。</w:t>
      </w:r>
    </w:p>
    <w:p>
      <w:pPr>
        <w:snapToGrid w:val="0"/>
        <w:spacing w:line="360" w:lineRule="auto"/>
        <w:rPr>
          <w:rFonts w:cs="仿宋_GB2312" w:asciiTheme="minorEastAsia" w:hAnsiTheme="minorEastAsia" w:eastAsiaTheme="minorEastAsia"/>
          <w:color w:val="000000" w:themeColor="text1"/>
          <w:kern w:val="0"/>
          <w:highlight w:val="none"/>
          <w14:textFill>
            <w14:solidFill>
              <w14:schemeClr w14:val="tx1"/>
            </w14:solidFill>
          </w14:textFill>
        </w:rPr>
      </w:pP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委托期限</w:t>
      </w:r>
      <w:r>
        <w:rPr>
          <w:rFonts w:hint="eastAsia" w:cs="仿宋_GB2312" w:asciiTheme="minorEastAsia" w:hAnsiTheme="minorEastAsia" w:eastAsiaTheme="minorEastAsia"/>
          <w:color w:val="000000" w:themeColor="text1"/>
          <w:kern w:val="0"/>
          <w:highlight w:val="none"/>
          <w14:textFill>
            <w14:solidFill>
              <w14:schemeClr w14:val="tx1"/>
            </w14:solidFill>
          </w14:textFill>
        </w:rPr>
        <w:t>：</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自</w:t>
      </w:r>
      <w:r>
        <w:rPr>
          <w:rFonts w:hint="eastAsia" w:cs="仿宋_GB2312" w:asciiTheme="minorEastAsia" w:hAnsiTheme="minorEastAsia" w:eastAsiaTheme="minorEastAsia"/>
          <w:color w:val="000000" w:themeColor="text1"/>
          <w:kern w:val="0"/>
          <w:highlight w:val="none"/>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年</w:t>
      </w:r>
      <w:r>
        <w:rPr>
          <w:rFonts w:hint="eastAsia" w:cs="仿宋_GB2312" w:asciiTheme="minorEastAsia" w:hAnsiTheme="minorEastAsia" w:eastAsiaTheme="minorEastAsia"/>
          <w:color w:val="000000" w:themeColor="text1"/>
          <w:kern w:val="0"/>
          <w:highlight w:val="none"/>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月</w:t>
      </w:r>
      <w:r>
        <w:rPr>
          <w:rFonts w:hint="eastAsia" w:cs="仿宋_GB2312" w:asciiTheme="minorEastAsia" w:hAnsiTheme="minorEastAsia" w:eastAsiaTheme="minorEastAsia"/>
          <w:color w:val="000000" w:themeColor="text1"/>
          <w:kern w:val="0"/>
          <w:highlight w:val="none"/>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日起至</w:t>
      </w:r>
      <w:r>
        <w:rPr>
          <w:rFonts w:hint="eastAsia" w:cs="仿宋_GB2312" w:asciiTheme="minorEastAsia" w:hAnsiTheme="minorEastAsia" w:eastAsiaTheme="minorEastAsia"/>
          <w:color w:val="000000" w:themeColor="text1"/>
          <w:kern w:val="0"/>
          <w:highlight w:val="none"/>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年</w:t>
      </w:r>
      <w:r>
        <w:rPr>
          <w:rFonts w:hint="eastAsia" w:cs="仿宋_GB2312" w:asciiTheme="minorEastAsia" w:hAnsiTheme="minorEastAsia" w:eastAsiaTheme="minorEastAsia"/>
          <w:color w:val="000000" w:themeColor="text1"/>
          <w:kern w:val="0"/>
          <w:highlight w:val="none"/>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月</w:t>
      </w:r>
      <w:r>
        <w:rPr>
          <w:rFonts w:hint="eastAsia" w:cs="仿宋_GB2312" w:asciiTheme="minorEastAsia" w:hAnsiTheme="minorEastAsia" w:eastAsiaTheme="minorEastAsia"/>
          <w:color w:val="000000" w:themeColor="text1"/>
          <w:kern w:val="0"/>
          <w:highlight w:val="none"/>
          <w:u w:val="single"/>
          <w14:textFill>
            <w14:solidFill>
              <w14:schemeClr w14:val="tx1"/>
            </w14:solidFill>
          </w14:textFill>
        </w:rPr>
        <w:t xml:space="preserve">    </w:t>
      </w:r>
      <w:r>
        <w:rPr>
          <w:rFonts w:hint="eastAsia" w:cs="仿宋_GB2312" w:asciiTheme="minorEastAsia" w:hAnsiTheme="minorEastAsia" w:eastAsiaTheme="minorEastAsia"/>
          <w:color w:val="000000" w:themeColor="text1"/>
          <w:kern w:val="0"/>
          <w:highlight w:val="none"/>
          <w:lang w:val="zh-CN"/>
          <w14:textFill>
            <w14:solidFill>
              <w14:schemeClr w14:val="tx1"/>
            </w14:solidFill>
          </w14:textFill>
        </w:rPr>
        <w:t>日止。</w:t>
      </w:r>
    </w:p>
    <w:p>
      <w:pPr>
        <w:pStyle w:val="18"/>
        <w:ind w:firstLine="420"/>
        <w:rPr>
          <w:color w:val="000000" w:themeColor="text1"/>
          <w:highlight w:val="none"/>
          <w14:textFill>
            <w14:solidFill>
              <w14:schemeClr w14:val="tx1"/>
            </w14:solidFill>
          </w14:textFill>
        </w:rPr>
      </w:pPr>
      <w:r>
        <w:rPr>
          <w:rFonts w:hint="eastAsia" w:cs="仿宋_GB2312" w:asciiTheme="minorEastAsia" w:hAnsiTheme="minorEastAsia" w:eastAsiaTheme="minorEastAsia"/>
          <w:color w:val="000000" w:themeColor="text1"/>
          <w:sz w:val="21"/>
          <w:szCs w:val="21"/>
          <w:highlight w:val="none"/>
          <w:lang w:val="zh-CN"/>
          <w14:textFill>
            <w14:solidFill>
              <w14:schemeClr w14:val="tx1"/>
            </w14:solidFill>
          </w14:textFill>
        </w:rPr>
        <w:t>特此告知。</w:t>
      </w:r>
    </w:p>
    <w:p>
      <w:pPr>
        <w:pStyle w:val="37"/>
        <w:ind w:left="0" w:firstLine="0" w:firstLineChars="0"/>
        <w:rPr>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附：</w:t>
      </w:r>
    </w:p>
    <w:p>
      <w:pPr>
        <w:pStyle w:val="17"/>
        <w:keepNext w:val="0"/>
        <w:keepLines w:val="0"/>
        <w:pageBreakBefore w:val="0"/>
        <w:widowControl w:val="0"/>
        <w:kinsoku/>
        <w:wordWrap/>
        <w:overflowPunct/>
        <w:topLinePunct w:val="0"/>
        <w:autoSpaceDE/>
        <w:autoSpaceDN/>
        <w:bidi w:val="0"/>
        <w:adjustRightInd/>
        <w:snapToGrid/>
        <w:spacing w:line="360" w:lineRule="auto"/>
        <w:textAlignment w:val="auto"/>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授权代表姓名：   </w:t>
      </w:r>
      <w:r>
        <w:rPr>
          <w:rFonts w:hint="eastAsia"/>
          <w:color w:val="000000" w:themeColor="text1"/>
          <w:sz w:val="21"/>
          <w:szCs w:val="21"/>
          <w:highlight w:val="none"/>
          <w:lang w:val="en-US" w:eastAsia="zh-CN"/>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性别：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部门：      职务：    联系电话：</w:t>
      </w:r>
      <w:r>
        <w:rPr>
          <w:rFonts w:hint="eastAsia" w:ascii="宋体" w:hAnsi="宋体" w:cs="宋体"/>
          <w:color w:val="000000" w:themeColor="text1"/>
          <w:highlight w:val="none"/>
          <w14:textFill>
            <w14:solidFill>
              <w14:schemeClr w14:val="tx1"/>
            </w14:solidFill>
          </w14:textFill>
        </w:rPr>
        <w:t xml:space="preserve"> </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投标人</w:t>
      </w:r>
      <w:r>
        <w:rPr>
          <w:rFonts w:hint="eastAsia" w:asciiTheme="minorEastAsia" w:hAnsiTheme="minorEastAsia" w:eastAsiaTheme="minorEastAsia"/>
          <w:i/>
          <w:iCs/>
          <w:color w:val="000000" w:themeColor="text1"/>
          <w:sz w:val="21"/>
          <w:szCs w:val="21"/>
          <w:highlight w:val="none"/>
          <w14:textFill>
            <w14:solidFill>
              <w14:schemeClr w14:val="tx1"/>
            </w14:solidFill>
          </w14:textFill>
        </w:rPr>
        <w:t>（联合体成员）</w:t>
      </w:r>
      <w:r>
        <w:rPr>
          <w:rFonts w:hint="eastAsia" w:asciiTheme="minorEastAsia" w:hAnsiTheme="minorEastAsia" w:eastAsiaTheme="minorEastAsia"/>
          <w:color w:val="000000" w:themeColor="text1"/>
          <w:sz w:val="21"/>
          <w:szCs w:val="21"/>
          <w:highlight w:val="none"/>
          <w14:textFill>
            <w14:solidFill>
              <w14:schemeClr w14:val="tx1"/>
            </w14:solidFill>
          </w14:textFill>
        </w:rPr>
        <w:t>单位全称（公章）：</w:t>
      </w:r>
    </w:p>
    <w:p>
      <w:pPr>
        <w:pStyle w:val="18"/>
        <w:ind w:firstLine="4410" w:firstLineChars="210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单位负责人（签字或印章）：</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p>
    <w:p>
      <w:pPr>
        <w:pStyle w:val="18"/>
        <w:ind w:firstLine="0"/>
        <w:rPr>
          <w:rFonts w:asciiTheme="minorEastAsia" w:hAnsiTheme="minorEastAsia" w:eastAsiaTheme="minorEastAsia"/>
          <w:i/>
          <w:iCs/>
          <w:color w:val="000000" w:themeColor="text1"/>
          <w:sz w:val="21"/>
          <w:szCs w:val="21"/>
          <w:highlight w:val="none"/>
          <w14:textFill>
            <w14:solidFill>
              <w14:schemeClr w14:val="tx1"/>
            </w14:solidFill>
          </w14:textFill>
        </w:rPr>
      </w:pPr>
      <w:r>
        <w:rPr>
          <w:rFonts w:hint="eastAsia" w:asciiTheme="minorEastAsia" w:hAnsiTheme="minorEastAsia" w:eastAsiaTheme="minorEastAsia"/>
          <w:i/>
          <w:iCs/>
          <w:color w:val="000000" w:themeColor="text1"/>
          <w:sz w:val="21"/>
          <w:szCs w:val="21"/>
          <w:highlight w:val="none"/>
          <w14:textFill>
            <w14:solidFill>
              <w14:schemeClr w14:val="tx1"/>
            </w14:solidFill>
          </w14:textFill>
        </w:rPr>
        <w:t xml:space="preserve">                                          投标人（联合体成员）单位全称（公章）：</w:t>
      </w:r>
    </w:p>
    <w:p>
      <w:pPr>
        <w:pStyle w:val="18"/>
        <w:ind w:firstLine="4410" w:firstLineChars="2100"/>
        <w:rPr>
          <w:rFonts w:asciiTheme="minorEastAsia" w:hAnsiTheme="minorEastAsia" w:eastAsiaTheme="minorEastAsia"/>
          <w:i/>
          <w:iCs/>
          <w:color w:val="000000" w:themeColor="text1"/>
          <w:sz w:val="21"/>
          <w:szCs w:val="21"/>
          <w:highlight w:val="none"/>
          <w14:textFill>
            <w14:solidFill>
              <w14:schemeClr w14:val="tx1"/>
            </w14:solidFill>
          </w14:textFill>
        </w:rPr>
      </w:pPr>
      <w:r>
        <w:rPr>
          <w:rFonts w:hint="eastAsia" w:asciiTheme="minorEastAsia" w:hAnsiTheme="minorEastAsia" w:eastAsiaTheme="minorEastAsia"/>
          <w:i/>
          <w:iCs/>
          <w:color w:val="000000" w:themeColor="text1"/>
          <w:sz w:val="21"/>
          <w:szCs w:val="21"/>
          <w:highlight w:val="none"/>
          <w14:textFill>
            <w14:solidFill>
              <w14:schemeClr w14:val="tx1"/>
            </w14:solidFill>
          </w14:textFill>
        </w:rPr>
        <w:t>单位负责人（签字或印章）：</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日  期：</w:t>
      </w:r>
    </w:p>
    <w:p>
      <w:pPr>
        <w:ind w:firstLine="417" w:firstLineChars="198"/>
        <w:rPr>
          <w:rFonts w:asciiTheme="minorEastAsia" w:hAnsiTheme="minorEastAsia" w:eastAsiaTheme="minorEastAsia"/>
          <w:b/>
          <w:color w:val="000000" w:themeColor="text1"/>
          <w:highlight w:val="none"/>
          <w14:textFill>
            <w14:solidFill>
              <w14:schemeClr w14:val="tx1"/>
            </w14:solidFill>
          </w14:textFill>
        </w:rPr>
      </w:pPr>
    </w:p>
    <w:p>
      <w:pPr>
        <w:rPr>
          <w:rFonts w:asciiTheme="minorEastAsia" w:hAnsiTheme="minorEastAsia" w:eastAsiaTheme="minorEastAsia"/>
          <w:b/>
          <w:color w:val="000000" w:themeColor="text1"/>
          <w:highlight w:val="none"/>
          <w14:textFill>
            <w14:solidFill>
              <w14:schemeClr w14:val="tx1"/>
            </w14:solidFill>
          </w14:textFill>
        </w:rPr>
      </w:pPr>
    </w:p>
    <w:p>
      <w:pPr>
        <w:rPr>
          <w:rFonts w:asciiTheme="minorEastAsia" w:hAnsiTheme="minorEastAsia" w:eastAsiaTheme="minorEastAsia"/>
          <w:b/>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附：被授权人身份证复印件</w:t>
      </w:r>
    </w:p>
    <w:p>
      <w:pPr>
        <w:widowControl/>
        <w:jc w:val="left"/>
        <w:rPr>
          <w:rFonts w:asciiTheme="minorEastAsia" w:hAnsiTheme="minorEastAsia" w:eastAsiaTheme="minorEastAsia"/>
          <w:b/>
          <w:color w:val="000000" w:themeColor="text1"/>
          <w:highlight w:val="none"/>
          <w14:textFill>
            <w14:solidFill>
              <w14:schemeClr w14:val="tx1"/>
            </w14:solidFill>
          </w14:textFill>
        </w:rPr>
      </w:pPr>
    </w:p>
    <w:p>
      <w:pPr>
        <w:widowControl/>
        <w:jc w:val="left"/>
        <w:rPr>
          <w:rFonts w:asciiTheme="minorEastAsia" w:hAnsiTheme="minorEastAsia" w:eastAsiaTheme="minorEastAsia"/>
          <w:b/>
          <w:color w:val="000000" w:themeColor="text1"/>
          <w:highlight w:val="none"/>
          <w14:textFill>
            <w14:solidFill>
              <w14:schemeClr w14:val="tx1"/>
            </w14:solidFill>
          </w14:textFill>
        </w:rPr>
      </w:pPr>
    </w:p>
    <w:p>
      <w:pPr>
        <w:widowControl/>
        <w:jc w:val="left"/>
        <w:rPr>
          <w:rFonts w:asciiTheme="minorEastAsia" w:hAnsiTheme="minorEastAsia" w:eastAsiaTheme="minorEastAsia"/>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（若为联合体投标，联合体须同时盖章提供）</w:t>
      </w:r>
      <w:r>
        <w:rPr>
          <w:rFonts w:asciiTheme="minorEastAsia" w:hAnsiTheme="minorEastAsia" w:eastAsiaTheme="minorEastAsia"/>
          <w:b/>
          <w:color w:val="000000" w:themeColor="text1"/>
          <w:highlight w:val="none"/>
          <w14:textFill>
            <w14:solidFill>
              <w14:schemeClr w14:val="tx1"/>
            </w14:solidFill>
          </w14:textFill>
        </w:rPr>
        <w:br w:type="page"/>
      </w:r>
    </w:p>
    <w:p>
      <w:pPr>
        <w:pStyle w:val="2"/>
        <w:spacing w:line="380" w:lineRule="exact"/>
        <w:rPr>
          <w:rFonts w:asciiTheme="minorEastAsia" w:hAnsiTheme="minorEastAsia" w:eastAsiaTheme="minorEastAsia"/>
          <w:bCs w:val="0"/>
          <w:color w:val="000000" w:themeColor="text1"/>
          <w:sz w:val="24"/>
          <w:szCs w:val="24"/>
          <w:highlight w:val="none"/>
          <w14:textFill>
            <w14:solidFill>
              <w14:schemeClr w14:val="tx1"/>
            </w14:solidFill>
          </w14:textFill>
        </w:rPr>
      </w:pPr>
    </w:p>
    <w:p>
      <w:pPr>
        <w:pStyle w:val="2"/>
        <w:spacing w:line="380" w:lineRule="exact"/>
        <w:rPr>
          <w:rFonts w:asciiTheme="minorEastAsia" w:hAnsiTheme="minorEastAsia" w:eastAsiaTheme="minorEastAsia"/>
          <w:bCs w:val="0"/>
          <w:color w:val="000000" w:themeColor="text1"/>
          <w:sz w:val="24"/>
          <w:szCs w:val="24"/>
          <w:highlight w:val="none"/>
          <w14:textFill>
            <w14:solidFill>
              <w14:schemeClr w14:val="tx1"/>
            </w14:solidFill>
          </w14:textFill>
        </w:rPr>
      </w:pPr>
      <w:bookmarkStart w:id="208" w:name="_Toc15934"/>
      <w:bookmarkStart w:id="209" w:name="_Toc14701"/>
      <w:bookmarkStart w:id="210" w:name="_Toc141797692"/>
      <w:bookmarkStart w:id="211" w:name="_Toc141797136"/>
      <w:r>
        <w:rPr>
          <w:rFonts w:hint="eastAsia" w:asciiTheme="minorEastAsia" w:hAnsiTheme="minorEastAsia" w:eastAsiaTheme="minorEastAsia"/>
          <w:bCs w:val="0"/>
          <w:color w:val="000000" w:themeColor="text1"/>
          <w:sz w:val="24"/>
          <w:szCs w:val="24"/>
          <w:highlight w:val="none"/>
          <w14:textFill>
            <w14:solidFill>
              <w14:schemeClr w14:val="tx1"/>
            </w14:solidFill>
          </w14:textFill>
        </w:rPr>
        <w:t>单位负责人身份证明</w:t>
      </w:r>
      <w:bookmarkEnd w:id="208"/>
      <w:bookmarkEnd w:id="209"/>
      <w:bookmarkEnd w:id="210"/>
      <w:bookmarkEnd w:id="211"/>
    </w:p>
    <w:p>
      <w:pPr>
        <w:pStyle w:val="18"/>
        <w:ind w:firstLine="0"/>
        <w:jc w:val="center"/>
        <w:rPr>
          <w:rFonts w:cs="宋体" w:asciiTheme="minorEastAsia" w:hAnsiTheme="minorEastAsia" w:eastAsiaTheme="minorEastAsia"/>
          <w:bCs/>
          <w:color w:val="000000" w:themeColor="text1"/>
          <w:sz w:val="24"/>
          <w:highlight w:val="none"/>
          <w14:textFill>
            <w14:solidFill>
              <w14:schemeClr w14:val="tx1"/>
            </w14:solidFill>
          </w14:textFill>
        </w:rPr>
      </w:pPr>
      <w:r>
        <w:rPr>
          <w:rFonts w:hint="eastAsia" w:cs="宋体" w:asciiTheme="minorEastAsia" w:hAnsiTheme="minorEastAsia" w:eastAsiaTheme="minorEastAsia"/>
          <w:bCs/>
          <w:color w:val="000000" w:themeColor="text1"/>
          <w:sz w:val="24"/>
          <w:highlight w:val="none"/>
          <w14:textFill>
            <w14:solidFill>
              <w14:schemeClr w14:val="tx1"/>
            </w14:solidFill>
          </w14:textFill>
        </w:rPr>
        <w:t>（单位负责人不来投标的，此表不用）</w:t>
      </w:r>
    </w:p>
    <w:p>
      <w:pPr>
        <w:spacing w:line="48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p>
    <w:p>
      <w:pPr>
        <w:spacing w:line="48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投标人名称：</w:t>
      </w:r>
    </w:p>
    <w:p>
      <w:pPr>
        <w:spacing w:line="48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单位性质：</w:t>
      </w:r>
    </w:p>
    <w:p>
      <w:pPr>
        <w:spacing w:line="48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地址：</w:t>
      </w:r>
    </w:p>
    <w:p>
      <w:pPr>
        <w:spacing w:line="48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成立时间：</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年</w:t>
      </w:r>
      <w:r>
        <w:rPr>
          <w:rFonts w:hint="eastAsia" w:cs="宋体" w:asciiTheme="minorEastAsia" w:hAnsiTheme="minorEastAsia" w:eastAsiaTheme="minorEastAsia"/>
          <w:color w:val="000000" w:themeColor="text1"/>
          <w:highlight w:val="none"/>
          <w:u w:val="singl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月</w:t>
      </w:r>
      <w:r>
        <w:rPr>
          <w:rFonts w:hint="eastAsia" w:cs="宋体" w:asciiTheme="minorEastAsia" w:hAnsiTheme="minorEastAsia" w:eastAsiaTheme="minorEastAsia"/>
          <w:color w:val="000000" w:themeColor="text1"/>
          <w:highlight w:val="none"/>
          <w:u w:val="singl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日</w:t>
      </w:r>
    </w:p>
    <w:p>
      <w:pPr>
        <w:spacing w:line="48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经营期限：</w:t>
      </w:r>
    </w:p>
    <w:p>
      <w:pPr>
        <w:spacing w:line="480" w:lineRule="auto"/>
        <w:ind w:firstLine="420" w:firstLineChars="200"/>
        <w:rPr>
          <w:rFonts w:hint="default" w:cs="宋体" w:asciiTheme="minorEastAsia" w:hAnsiTheme="minorEastAsia" w:eastAsiaTheme="minorEastAsia"/>
          <w:color w:val="000000" w:themeColor="text1"/>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姓名：</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性别：</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年龄：</w:t>
      </w:r>
      <w:r>
        <w:rPr>
          <w:rFonts w:hint="eastAsia" w:cs="宋体" w:asciiTheme="minorEastAsia" w:hAnsiTheme="minorEastAsia" w:eastAsiaTheme="minorEastAsia"/>
          <w:color w:val="000000" w:themeColor="text1"/>
          <w:highlight w:val="none"/>
          <w:u w:val="single"/>
          <w14:textFill>
            <w14:solidFill>
              <w14:schemeClr w14:val="tx1"/>
            </w14:solidFill>
          </w14:textFill>
        </w:rPr>
        <w:t xml:space="preserve">    周岁  </w:t>
      </w:r>
      <w:r>
        <w:rPr>
          <w:rFonts w:hint="eastAsia" w:cs="宋体" w:asciiTheme="minorEastAsia" w:hAnsiTheme="minorEastAsia" w:eastAsiaTheme="minorEastAsia"/>
          <w:color w:val="000000" w:themeColor="text1"/>
          <w:highlight w:val="none"/>
          <w14:textFill>
            <w14:solidFill>
              <w14:schemeClr w14:val="tx1"/>
            </w14:solidFill>
          </w14:textFill>
        </w:rPr>
        <w:t>职务：</w:t>
      </w:r>
      <w:r>
        <w:rPr>
          <w:rFonts w:hint="eastAsia" w:cs="宋体" w:asciiTheme="minorEastAsia" w:hAnsiTheme="minorEastAsia" w:eastAsiaTheme="minorEastAsia"/>
          <w:color w:val="000000" w:themeColor="text1"/>
          <w:highlight w:val="none"/>
          <w:u w:val="single"/>
          <w:lang w:val="en-US" w:eastAsia="zh-CN"/>
          <w14:textFill>
            <w14:solidFill>
              <w14:schemeClr w14:val="tx1"/>
            </w14:solidFill>
          </w14:textFill>
        </w:rPr>
        <w:t xml:space="preserve">     </w:t>
      </w:r>
    </w:p>
    <w:p>
      <w:pPr>
        <w:spacing w:line="480" w:lineRule="auto"/>
        <w:ind w:firstLine="420" w:firstLineChars="200"/>
        <w:rPr>
          <w:rFonts w:cs="宋体" w:asciiTheme="minorEastAsia" w:hAnsiTheme="minorEastAsia" w:eastAsiaTheme="minorEastAsia"/>
          <w:color w:val="000000" w:themeColor="text1"/>
          <w:highlight w:val="none"/>
          <w:u w:val="singl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身份证号码：</w:t>
      </w:r>
    </w:p>
    <w:p>
      <w:pPr>
        <w:spacing w:line="48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系</w:t>
      </w:r>
      <w:r>
        <w:rPr>
          <w:rFonts w:hint="eastAsia" w:cs="宋体" w:asciiTheme="minorEastAsia" w:hAnsiTheme="minorEastAsia" w:eastAsiaTheme="minorEastAsia"/>
          <w:color w:val="000000" w:themeColor="text1"/>
          <w:highlight w:val="none"/>
          <w:u w:val="single"/>
          <w14:textFill>
            <w14:solidFill>
              <w14:schemeClr w14:val="tx1"/>
            </w14:solidFill>
          </w14:textFill>
        </w:rPr>
        <w:t>（投标人名称）</w:t>
      </w:r>
      <w:r>
        <w:rPr>
          <w:rFonts w:hint="eastAsia" w:cs="宋体" w:asciiTheme="minorEastAsia" w:hAnsiTheme="minorEastAsia" w:eastAsiaTheme="minorEastAsia"/>
          <w:color w:val="000000" w:themeColor="text1"/>
          <w:highlight w:val="none"/>
          <w14:textFill>
            <w14:solidFill>
              <w14:schemeClr w14:val="tx1"/>
            </w14:solidFill>
          </w14:textFill>
        </w:rPr>
        <w:t>的法定代表人（或单位负责人）。</w:t>
      </w:r>
    </w:p>
    <w:p>
      <w:pPr>
        <w:spacing w:line="480" w:lineRule="auto"/>
        <w:ind w:firstLine="840" w:firstLineChars="40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特此证明。</w:t>
      </w:r>
    </w:p>
    <w:p>
      <w:pPr>
        <w:spacing w:line="36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p>
    <w:p>
      <w:pPr>
        <w:spacing w:line="360" w:lineRule="auto"/>
        <w:ind w:firstLine="420" w:firstLineChars="200"/>
        <w:rPr>
          <w:rFonts w:cs="宋体" w:asciiTheme="minorEastAsia" w:hAnsiTheme="minorEastAsia" w:eastAsiaTheme="minorEastAsia"/>
          <w:color w:val="000000" w:themeColor="text1"/>
          <w:highlight w:val="none"/>
          <w14:textFill>
            <w14:solidFill>
              <w14:schemeClr w14:val="tx1"/>
            </w14:solidFill>
          </w14:textFill>
        </w:rPr>
      </w:pPr>
    </w:p>
    <w:p>
      <w:pPr>
        <w:wordWrap w:val="0"/>
        <w:spacing w:line="360" w:lineRule="auto"/>
        <w:jc w:val="right"/>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投标人：（盖单位公章）</w:t>
      </w:r>
    </w:p>
    <w:p>
      <w:pPr>
        <w:spacing w:line="360" w:lineRule="auto"/>
        <w:ind w:firstLine="4515" w:firstLineChars="2150"/>
        <w:rPr>
          <w:rFonts w:cs="宋体" w:asciiTheme="minorEastAsia" w:hAnsiTheme="minorEastAsia" w:eastAsiaTheme="minorEastAsia"/>
          <w:color w:val="000000" w:themeColor="text1"/>
          <w:highlight w:val="none"/>
          <w:u w:val="single"/>
          <w14:textFill>
            <w14:solidFill>
              <w14:schemeClr w14:val="tx1"/>
            </w14:solidFill>
          </w14:textFill>
        </w:rPr>
      </w:pPr>
    </w:p>
    <w:p>
      <w:pPr>
        <w:spacing w:line="360" w:lineRule="auto"/>
        <w:ind w:firstLine="6825" w:firstLineChars="3250"/>
        <w:rPr>
          <w:rFonts w:cs="宋体"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highlight w:val="none"/>
          <w14:textFill>
            <w14:solidFill>
              <w14:schemeClr w14:val="tx1"/>
            </w14:solidFill>
          </w14:textFill>
        </w:rPr>
        <w:t xml:space="preserve">年 </w:t>
      </w:r>
      <w:r>
        <w:rPr>
          <w:rFonts w:hint="eastAsia" w:cs="宋体" w:asciiTheme="minorEastAsia" w:hAnsiTheme="minorEastAsia" w:eastAsiaTheme="minorEastAsia"/>
          <w:color w:val="000000" w:themeColor="text1"/>
          <w:highlight w:val="non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highlight w:val="none"/>
          <w14:textFill>
            <w14:solidFill>
              <w14:schemeClr w14:val="tx1"/>
            </w14:solidFill>
          </w14:textFill>
        </w:rPr>
        <w:t xml:space="preserve"> 月   日</w:t>
      </w:r>
    </w:p>
    <w:p>
      <w:pPr>
        <w:spacing w:line="360" w:lineRule="auto"/>
        <w:rPr>
          <w:rFonts w:cs="宋体" w:asciiTheme="minorEastAsia" w:hAnsiTheme="minorEastAsia" w:eastAsiaTheme="minorEastAsia"/>
          <w:color w:val="000000" w:themeColor="text1"/>
          <w:sz w:val="24"/>
          <w:highlight w:val="none"/>
          <w14:textFill>
            <w14:solidFill>
              <w14:schemeClr w14:val="tx1"/>
            </w14:solidFill>
          </w14:textFill>
        </w:rPr>
      </w:pPr>
    </w:p>
    <w:p>
      <w:pPr>
        <w:spacing w:line="360" w:lineRule="auto"/>
        <w:rPr>
          <w:rFonts w:cs="宋体" w:asciiTheme="minorEastAsia" w:hAnsiTheme="minorEastAsia" w:eastAsiaTheme="minorEastAsia"/>
          <w:b/>
          <w:color w:val="000000" w:themeColor="text1"/>
          <w:highlight w:val="none"/>
          <w14:textFill>
            <w14:solidFill>
              <w14:schemeClr w14:val="tx1"/>
            </w14:solidFill>
          </w14:textFill>
        </w:rPr>
      </w:pPr>
    </w:p>
    <w:p>
      <w:pPr>
        <w:spacing w:line="360" w:lineRule="auto"/>
        <w:rPr>
          <w:rFonts w:cs="宋体" w:asciiTheme="minorEastAsia" w:hAnsiTheme="minorEastAsia" w:eastAsiaTheme="minorEastAsia"/>
          <w:b/>
          <w:color w:val="000000" w:themeColor="text1"/>
          <w:highlight w:val="none"/>
          <w14:textFill>
            <w14:solidFill>
              <w14:schemeClr w14:val="tx1"/>
            </w14:solidFill>
          </w14:textFill>
        </w:rPr>
      </w:pPr>
    </w:p>
    <w:p>
      <w:pPr>
        <w:spacing w:line="360" w:lineRule="auto"/>
        <w:rPr>
          <w:rFonts w:cs="宋体" w:asciiTheme="minorEastAsia" w:hAnsiTheme="minorEastAsia" w:eastAsiaTheme="minorEastAsia"/>
          <w:b/>
          <w:color w:val="000000" w:themeColor="text1"/>
          <w:highlight w:val="none"/>
          <w14:textFill>
            <w14:solidFill>
              <w14:schemeClr w14:val="tx1"/>
            </w14:solidFill>
          </w14:textFill>
        </w:rPr>
      </w:pPr>
      <w:r>
        <w:rPr>
          <w:rFonts w:hint="eastAsia" w:cs="宋体" w:asciiTheme="minorEastAsia" w:hAnsiTheme="minorEastAsia" w:eastAsiaTheme="minorEastAsia"/>
          <w:b/>
          <w:color w:val="000000" w:themeColor="text1"/>
          <w:highlight w:val="none"/>
          <w14:textFill>
            <w14:solidFill>
              <w14:schemeClr w14:val="tx1"/>
            </w14:solidFill>
          </w14:textFill>
        </w:rPr>
        <w:t>附法定代表人身份证复印件（正反面）：</w:t>
      </w:r>
    </w:p>
    <w:p>
      <w:pPr>
        <w:rPr>
          <w:rFonts w:cs="宋体" w:asciiTheme="minorEastAsia" w:hAnsiTheme="minorEastAsia" w:eastAsiaTheme="minorEastAsia"/>
          <w:color w:val="000000" w:themeColor="text1"/>
          <w:highlight w:val="none"/>
          <w14:textFill>
            <w14:solidFill>
              <w14:schemeClr w14:val="tx1"/>
            </w14:solidFill>
          </w14:textFill>
        </w:rPr>
      </w:pPr>
    </w:p>
    <w:p>
      <w:pPr>
        <w:rPr>
          <w:rFonts w:cs="宋体" w:asciiTheme="minorEastAsia" w:hAnsiTheme="minorEastAsia" w:eastAsiaTheme="minorEastAsia"/>
          <w:b/>
          <w:color w:val="000000" w:themeColor="text1"/>
          <w:sz w:val="32"/>
          <w:szCs w:val="32"/>
          <w:highlight w:val="none"/>
          <w14:textFill>
            <w14:solidFill>
              <w14:schemeClr w14:val="tx1"/>
            </w14:solidFill>
          </w14:textFill>
        </w:rPr>
      </w:pPr>
    </w:p>
    <w:p>
      <w:pPr>
        <w:rPr>
          <w:rFonts w:cs="宋体" w:asciiTheme="minorEastAsia" w:hAnsiTheme="minorEastAsia" w:eastAsiaTheme="minorEastAsia"/>
          <w:b/>
          <w:color w:val="000000" w:themeColor="text1"/>
          <w:sz w:val="32"/>
          <w:szCs w:val="32"/>
          <w:highlight w:val="none"/>
          <w14:textFill>
            <w14:solidFill>
              <w14:schemeClr w14:val="tx1"/>
            </w14:solidFill>
          </w14:textFill>
        </w:rPr>
      </w:pPr>
    </w:p>
    <w:p>
      <w:pPr>
        <w:ind w:firstLine="205" w:firstLineChars="98"/>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sectPr>
          <w:headerReference r:id="rId14" w:type="default"/>
          <w:pgSz w:w="11907" w:h="16840"/>
          <w:pgMar w:top="1304" w:right="1499" w:bottom="1418" w:left="1588" w:header="720" w:footer="720" w:gutter="0"/>
          <w:pgBorders>
            <w:top w:val="none" w:sz="0" w:space="0"/>
            <w:left w:val="none" w:sz="0" w:space="0"/>
            <w:bottom w:val="none" w:sz="0" w:space="0"/>
            <w:right w:val="none" w:sz="0" w:space="0"/>
          </w:pgBorders>
          <w:cols w:space="720" w:num="1"/>
          <w:docGrid w:linePitch="285" w:charSpace="0"/>
        </w:sectPr>
      </w:pPr>
    </w:p>
    <w:p>
      <w:pPr>
        <w:rPr>
          <w:rFonts w:asciiTheme="minorEastAsia" w:hAnsiTheme="minorEastAsia" w:eastAsiaTheme="minorEastAsia"/>
          <w:color w:val="000000" w:themeColor="text1"/>
          <w:highlight w:val="none"/>
          <w14:textFill>
            <w14:solidFill>
              <w14:schemeClr w14:val="tx1"/>
            </w14:solidFill>
          </w14:textFill>
        </w:rPr>
      </w:pPr>
    </w:p>
    <w:p>
      <w:pPr>
        <w:pStyle w:val="2"/>
        <w:spacing w:line="380" w:lineRule="exact"/>
        <w:rPr>
          <w:rFonts w:asciiTheme="minorEastAsia" w:hAnsiTheme="minorEastAsia" w:eastAsiaTheme="minorEastAsia"/>
          <w:bCs w:val="0"/>
          <w:color w:val="000000" w:themeColor="text1"/>
          <w:sz w:val="28"/>
          <w:szCs w:val="28"/>
          <w:highlight w:val="none"/>
          <w14:textFill>
            <w14:solidFill>
              <w14:schemeClr w14:val="tx1"/>
            </w14:solidFill>
          </w14:textFill>
        </w:rPr>
      </w:pPr>
      <w:bookmarkStart w:id="212" w:name="_Toc28994"/>
      <w:bookmarkStart w:id="213" w:name="_Toc14384"/>
      <w:bookmarkStart w:id="214" w:name="_Toc141797137"/>
      <w:bookmarkStart w:id="215" w:name="_Toc141797693"/>
      <w:r>
        <w:rPr>
          <w:rFonts w:hint="eastAsia" w:asciiTheme="minorEastAsia" w:hAnsiTheme="minorEastAsia" w:eastAsiaTheme="minorEastAsia"/>
          <w:bCs w:val="0"/>
          <w:color w:val="000000" w:themeColor="text1"/>
          <w:sz w:val="28"/>
          <w:szCs w:val="28"/>
          <w:highlight w:val="none"/>
          <w14:textFill>
            <w14:solidFill>
              <w14:schemeClr w14:val="tx1"/>
            </w14:solidFill>
          </w14:textFill>
        </w:rPr>
        <w:t>（二）投标人基本情况表</w:t>
      </w:r>
      <w:bookmarkEnd w:id="212"/>
      <w:bookmarkEnd w:id="213"/>
      <w:bookmarkEnd w:id="214"/>
      <w:bookmarkEnd w:id="215"/>
    </w:p>
    <w:tbl>
      <w:tblPr>
        <w:tblStyle w:val="38"/>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209"/>
        <w:gridCol w:w="1276"/>
        <w:gridCol w:w="1220"/>
        <w:gridCol w:w="892"/>
        <w:gridCol w:w="376"/>
        <w:gridCol w:w="794"/>
        <w:gridCol w:w="1017"/>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投标人名称</w:t>
            </w:r>
          </w:p>
        </w:tc>
        <w:tc>
          <w:tcPr>
            <w:tcW w:w="7755" w:type="dxa"/>
            <w:gridSpan w:val="8"/>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注册地址</w:t>
            </w:r>
          </w:p>
        </w:tc>
        <w:tc>
          <w:tcPr>
            <w:tcW w:w="3705" w:type="dxa"/>
            <w:gridSpan w:val="3"/>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68" w:type="dxa"/>
            <w:gridSpan w:val="2"/>
            <w:vAlign w:val="center"/>
          </w:tcPr>
          <w:p>
            <w:pPr>
              <w:pStyle w:val="130"/>
              <w:ind w:left="0" w:leftChars="0" w:firstLine="0" w:firstLineChars="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邮政编码</w:t>
            </w:r>
          </w:p>
        </w:tc>
        <w:tc>
          <w:tcPr>
            <w:tcW w:w="2782" w:type="dxa"/>
            <w:gridSpan w:val="3"/>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1703" w:type="dxa"/>
            <w:vMerge w:val="restart"/>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联系方式</w:t>
            </w:r>
          </w:p>
        </w:tc>
        <w:tc>
          <w:tcPr>
            <w:tcW w:w="1209"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联系人</w:t>
            </w:r>
          </w:p>
        </w:tc>
        <w:tc>
          <w:tcPr>
            <w:tcW w:w="2496" w:type="dxa"/>
            <w:gridSpan w:val="2"/>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68" w:type="dxa"/>
            <w:gridSpan w:val="2"/>
            <w:vAlign w:val="center"/>
          </w:tcPr>
          <w:p>
            <w:pPr>
              <w:pStyle w:val="130"/>
              <w:ind w:left="0" w:leftChars="0" w:firstLine="0" w:firstLineChars="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电话</w:t>
            </w:r>
          </w:p>
        </w:tc>
        <w:tc>
          <w:tcPr>
            <w:tcW w:w="2782" w:type="dxa"/>
            <w:gridSpan w:val="3"/>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703" w:type="dxa"/>
            <w:vMerge w:val="continue"/>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09"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传真</w:t>
            </w:r>
          </w:p>
        </w:tc>
        <w:tc>
          <w:tcPr>
            <w:tcW w:w="2496" w:type="dxa"/>
            <w:gridSpan w:val="2"/>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68" w:type="dxa"/>
            <w:gridSpan w:val="2"/>
            <w:vAlign w:val="center"/>
          </w:tcPr>
          <w:p>
            <w:pPr>
              <w:pStyle w:val="130"/>
              <w:ind w:left="0" w:leftChars="0" w:firstLine="0" w:firstLineChars="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电子邮址</w:t>
            </w:r>
          </w:p>
        </w:tc>
        <w:tc>
          <w:tcPr>
            <w:tcW w:w="2782" w:type="dxa"/>
            <w:gridSpan w:val="3"/>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法定代表人</w:t>
            </w:r>
          </w:p>
        </w:tc>
        <w:tc>
          <w:tcPr>
            <w:tcW w:w="1209"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姓名</w:t>
            </w:r>
          </w:p>
        </w:tc>
        <w:tc>
          <w:tcPr>
            <w:tcW w:w="1276" w:type="dxa"/>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20" w:type="dxa"/>
            <w:vAlign w:val="center"/>
          </w:tcPr>
          <w:p>
            <w:pPr>
              <w:pStyle w:val="130"/>
              <w:ind w:left="0" w:leftChars="0" w:firstLine="0" w:firstLineChars="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技术职称</w:t>
            </w:r>
          </w:p>
        </w:tc>
        <w:tc>
          <w:tcPr>
            <w:tcW w:w="1268" w:type="dxa"/>
            <w:gridSpan w:val="2"/>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794" w:type="dxa"/>
            <w:vAlign w:val="center"/>
          </w:tcPr>
          <w:p>
            <w:pPr>
              <w:pStyle w:val="130"/>
              <w:ind w:left="0" w:leftChars="0" w:firstLine="0" w:firstLineChars="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电话</w:t>
            </w:r>
          </w:p>
        </w:tc>
        <w:tc>
          <w:tcPr>
            <w:tcW w:w="1988" w:type="dxa"/>
            <w:gridSpan w:val="2"/>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技术负责人</w:t>
            </w:r>
          </w:p>
        </w:tc>
        <w:tc>
          <w:tcPr>
            <w:tcW w:w="1209"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姓名</w:t>
            </w:r>
          </w:p>
        </w:tc>
        <w:tc>
          <w:tcPr>
            <w:tcW w:w="1276" w:type="dxa"/>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1220" w:type="dxa"/>
            <w:vAlign w:val="center"/>
          </w:tcPr>
          <w:p>
            <w:pPr>
              <w:pStyle w:val="130"/>
              <w:ind w:left="0" w:leftChars="0" w:firstLine="0" w:firstLineChars="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技术职称</w:t>
            </w:r>
          </w:p>
        </w:tc>
        <w:tc>
          <w:tcPr>
            <w:tcW w:w="1268" w:type="dxa"/>
            <w:gridSpan w:val="2"/>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794" w:type="dxa"/>
            <w:vAlign w:val="center"/>
          </w:tcPr>
          <w:p>
            <w:pPr>
              <w:pStyle w:val="130"/>
              <w:ind w:left="0" w:leftChars="0" w:firstLine="0" w:firstLineChars="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电话</w:t>
            </w:r>
          </w:p>
        </w:tc>
        <w:tc>
          <w:tcPr>
            <w:tcW w:w="1988" w:type="dxa"/>
            <w:gridSpan w:val="2"/>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成立时间</w:t>
            </w:r>
          </w:p>
        </w:tc>
        <w:tc>
          <w:tcPr>
            <w:tcW w:w="3705" w:type="dxa"/>
            <w:gridSpan w:val="3"/>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4050" w:type="dxa"/>
            <w:gridSpan w:val="5"/>
            <w:vAlign w:val="center"/>
          </w:tcPr>
          <w:p>
            <w:pPr>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1703" w:type="dxa"/>
            <w:vMerge w:val="restart"/>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asciiTheme="minorEastAsia" w:hAnsiTheme="minorEastAsia" w:eastAsiaTheme="minorEastAsia"/>
                <w:color w:val="000000" w:themeColor="text1"/>
                <w:sz w:val="24"/>
                <w:szCs w:val="24"/>
                <w:highlight w:val="none"/>
                <w:lang w:val="en-US"/>
                <w14:textFill>
                  <w14:solidFill>
                    <w14:schemeClr w14:val="tx1"/>
                  </w14:solidFill>
                </w14:textFill>
              </w:rPr>
              <w:t>资质</w:t>
            </w: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资格与业务范围</w:t>
            </w:r>
          </w:p>
        </w:tc>
        <w:tc>
          <w:tcPr>
            <w:tcW w:w="3705" w:type="dxa"/>
            <w:gridSpan w:val="3"/>
            <w:vMerge w:val="restart"/>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892" w:type="dxa"/>
            <w:vMerge w:val="restart"/>
            <w:vAlign w:val="center"/>
          </w:tcPr>
          <w:p>
            <w:pPr>
              <w:pStyle w:val="130"/>
              <w:ind w:left="0" w:leftChars="0" w:firstLine="0" w:firstLineChars="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其中</w:t>
            </w:r>
          </w:p>
        </w:tc>
        <w:tc>
          <w:tcPr>
            <w:tcW w:w="2187" w:type="dxa"/>
            <w:gridSpan w:val="3"/>
            <w:vAlign w:val="center"/>
          </w:tcPr>
          <w:p>
            <w:pPr>
              <w:pStyle w:val="13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高级职称</w:t>
            </w:r>
          </w:p>
        </w:tc>
        <w:tc>
          <w:tcPr>
            <w:tcW w:w="971" w:type="dxa"/>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703" w:type="dxa"/>
            <w:vMerge w:val="continue"/>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3705" w:type="dxa"/>
            <w:gridSpan w:val="3"/>
            <w:vMerge w:val="continue"/>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892" w:type="dxa"/>
            <w:vMerge w:val="continue"/>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2187" w:type="dxa"/>
            <w:gridSpan w:val="3"/>
            <w:vAlign w:val="center"/>
          </w:tcPr>
          <w:p>
            <w:pPr>
              <w:pStyle w:val="130"/>
              <w:jc w:val="both"/>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中级职称</w:t>
            </w:r>
          </w:p>
        </w:tc>
        <w:tc>
          <w:tcPr>
            <w:tcW w:w="971" w:type="dxa"/>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营业执照号</w:t>
            </w:r>
          </w:p>
        </w:tc>
        <w:tc>
          <w:tcPr>
            <w:tcW w:w="3705" w:type="dxa"/>
            <w:gridSpan w:val="3"/>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892" w:type="dxa"/>
            <w:vMerge w:val="continue"/>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c>
          <w:tcPr>
            <w:tcW w:w="2187" w:type="dxa"/>
            <w:gridSpan w:val="3"/>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各类注册人员</w:t>
            </w:r>
          </w:p>
        </w:tc>
        <w:tc>
          <w:tcPr>
            <w:tcW w:w="971" w:type="dxa"/>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注册资金</w:t>
            </w:r>
          </w:p>
        </w:tc>
        <w:tc>
          <w:tcPr>
            <w:tcW w:w="7755" w:type="dxa"/>
            <w:gridSpan w:val="8"/>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基本账户开户银行</w:t>
            </w:r>
          </w:p>
        </w:tc>
        <w:tc>
          <w:tcPr>
            <w:tcW w:w="7755" w:type="dxa"/>
            <w:gridSpan w:val="8"/>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基本账户账号</w:t>
            </w:r>
          </w:p>
        </w:tc>
        <w:tc>
          <w:tcPr>
            <w:tcW w:w="7755" w:type="dxa"/>
            <w:gridSpan w:val="8"/>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703" w:type="dxa"/>
            <w:vAlign w:val="center"/>
          </w:tcPr>
          <w:p>
            <w:pPr>
              <w:pStyle w:val="130"/>
              <w:ind w:left="0" w:leftChars="0" w:firstLine="0" w:firstLineChars="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经营范围</w:t>
            </w:r>
          </w:p>
        </w:tc>
        <w:tc>
          <w:tcPr>
            <w:tcW w:w="7755" w:type="dxa"/>
            <w:gridSpan w:val="8"/>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03" w:type="dxa"/>
            <w:vAlign w:val="center"/>
          </w:tcPr>
          <w:p>
            <w:pPr>
              <w:pStyle w:val="130"/>
              <w:ind w:left="0" w:leftChars="0" w:firstLine="464" w:firstLineChars="20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olor w:val="000000" w:themeColor="text1"/>
                <w:sz w:val="24"/>
                <w:szCs w:val="24"/>
                <w:highlight w:val="none"/>
                <w:lang w:val="en-US"/>
                <w14:textFill>
                  <w14:solidFill>
                    <w14:schemeClr w14:val="tx1"/>
                  </w14:solidFill>
                </w14:textFill>
              </w:rPr>
              <w:t>备注</w:t>
            </w:r>
          </w:p>
        </w:tc>
        <w:tc>
          <w:tcPr>
            <w:tcW w:w="7755" w:type="dxa"/>
            <w:gridSpan w:val="8"/>
            <w:vAlign w:val="center"/>
          </w:tcPr>
          <w:p>
            <w:pPr>
              <w:pStyle w:val="130"/>
              <w:jc w:val="center"/>
              <w:rPr>
                <w:rFonts w:asciiTheme="minorEastAsia" w:hAnsiTheme="minorEastAsia" w:eastAsiaTheme="minorEastAsia"/>
                <w:color w:val="000000" w:themeColor="text1"/>
                <w:sz w:val="24"/>
                <w:szCs w:val="24"/>
                <w:highlight w:val="none"/>
                <w:lang w:val="en-US"/>
                <w14:textFill>
                  <w14:solidFill>
                    <w14:schemeClr w14:val="tx1"/>
                  </w14:solidFill>
                </w14:textFill>
              </w:rPr>
            </w:pPr>
          </w:p>
        </w:tc>
      </w:tr>
    </w:tbl>
    <w:p>
      <w:pPr>
        <w:spacing w:line="380" w:lineRule="exact"/>
        <w:rPr>
          <w:rFonts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投标人（公章）：</w:t>
      </w:r>
    </w:p>
    <w:p>
      <w:pPr>
        <w:spacing w:line="380" w:lineRule="exact"/>
        <w:rPr>
          <w:rFonts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投标人代表（签字或印章）：</w:t>
      </w:r>
    </w:p>
    <w:p>
      <w:pPr>
        <w:spacing w:line="380" w:lineRule="exact"/>
        <w:rPr>
          <w:rFonts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日期：</w:t>
      </w: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（若为联合体投标，联合体各方须单独提供并盖章）</w:t>
      </w:r>
    </w:p>
    <w:p>
      <w:pPr>
        <w:rPr>
          <w:rFonts w:ascii="宋体" w:hAnsi="宋体" w:cs="宋体"/>
          <w:b/>
          <w:color w:val="000000" w:themeColor="text1"/>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br w:type="page"/>
      </w:r>
    </w:p>
    <w:p>
      <w:pPr>
        <w:pStyle w:val="2"/>
        <w:spacing w:line="380" w:lineRule="exact"/>
        <w:rPr>
          <w:rFonts w:asciiTheme="minorEastAsia" w:hAnsiTheme="minorEastAsia" w:eastAsiaTheme="minorEastAsia"/>
          <w:bCs w:val="0"/>
          <w:color w:val="000000" w:themeColor="text1"/>
          <w:sz w:val="28"/>
          <w:szCs w:val="28"/>
          <w:highlight w:val="none"/>
          <w14:textFill>
            <w14:solidFill>
              <w14:schemeClr w14:val="tx1"/>
            </w14:solidFill>
          </w14:textFill>
        </w:rPr>
      </w:pPr>
      <w:bookmarkStart w:id="216" w:name="_Toc26114"/>
      <w:bookmarkStart w:id="217" w:name="_Toc1706"/>
      <w:bookmarkStart w:id="218" w:name="_Toc141797696"/>
      <w:bookmarkStart w:id="219" w:name="_Toc141797140"/>
      <w:r>
        <w:rPr>
          <w:rFonts w:hint="eastAsia" w:asciiTheme="minorEastAsia" w:hAnsiTheme="minorEastAsia" w:eastAsiaTheme="minorEastAsia"/>
          <w:bCs w:val="0"/>
          <w:color w:val="000000" w:themeColor="text1"/>
          <w:sz w:val="28"/>
          <w:szCs w:val="28"/>
          <w:highlight w:val="none"/>
          <w14:textFill>
            <w14:solidFill>
              <w14:schemeClr w14:val="tx1"/>
            </w14:solidFill>
          </w14:textFill>
        </w:rPr>
        <w:t>（三）技术条款偏离表</w:t>
      </w:r>
      <w:bookmarkEnd w:id="216"/>
      <w:bookmarkEnd w:id="217"/>
      <w:bookmarkEnd w:id="218"/>
      <w:bookmarkEnd w:id="219"/>
    </w:p>
    <w:p>
      <w:pPr>
        <w:spacing w:line="380" w:lineRule="exact"/>
        <w:rPr>
          <w:rFonts w:asciiTheme="minorEastAsia" w:hAnsiTheme="minorEastAsia" w:eastAsiaTheme="minorEastAsia"/>
          <w:color w:val="000000" w:themeColor="text1"/>
          <w:sz w:val="28"/>
          <w:szCs w:val="28"/>
          <w:highlight w:val="none"/>
          <w14:textFill>
            <w14:solidFill>
              <w14:schemeClr w14:val="tx1"/>
            </w14:solidFill>
          </w14:textFill>
        </w:rPr>
      </w:pPr>
    </w:p>
    <w:tbl>
      <w:tblPr>
        <w:tblStyle w:val="38"/>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360"/>
        <w:gridCol w:w="2908"/>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序号</w:t>
            </w:r>
          </w:p>
        </w:tc>
        <w:tc>
          <w:tcPr>
            <w:tcW w:w="3360"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招标文件技术要求</w:t>
            </w:r>
          </w:p>
        </w:tc>
        <w:tc>
          <w:tcPr>
            <w:tcW w:w="2908"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投标文件对应规格</w:t>
            </w:r>
          </w:p>
        </w:tc>
        <w:tc>
          <w:tcPr>
            <w:tcW w:w="1578"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3360"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2908"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1578"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3360"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2908"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1578"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794"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3360"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2908"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c>
          <w:tcPr>
            <w:tcW w:w="1578" w:type="dxa"/>
            <w:vAlign w:val="center"/>
          </w:tcPr>
          <w:p>
            <w:pPr>
              <w:spacing w:line="380" w:lineRule="exact"/>
              <w:jc w:val="center"/>
              <w:rPr>
                <w:rFonts w:asciiTheme="minorEastAsia" w:hAnsiTheme="minorEastAsia" w:eastAsiaTheme="minorEastAsia"/>
                <w:color w:val="000000" w:themeColor="text1"/>
                <w:highlight w:val="none"/>
                <w14:textFill>
                  <w14:solidFill>
                    <w14:schemeClr w14:val="tx1"/>
                  </w14:solidFill>
                </w14:textFill>
              </w:rPr>
            </w:pPr>
          </w:p>
        </w:tc>
      </w:tr>
    </w:tbl>
    <w:p>
      <w:pPr>
        <w:spacing w:line="360" w:lineRule="auto"/>
        <w:rPr>
          <w:rFonts w:hint="eastAsia" w:cs="Times New Roman" w:asciiTheme="minorEastAsia" w:hAnsiTheme="minorEastAsia" w:eastAsiaTheme="minorEastAsia"/>
          <w:b w:val="0"/>
          <w:bCs w:val="0"/>
          <w:color w:val="000000" w:themeColor="text1"/>
          <w:kern w:val="2"/>
          <w:sz w:val="21"/>
          <w:szCs w:val="21"/>
          <w:highlight w:val="none"/>
          <w:lang w:val="en-US" w:eastAsia="zh-CN" w:bidi="ar-SA"/>
          <w14:textFill>
            <w14:solidFill>
              <w14:schemeClr w14:val="tx1"/>
            </w14:solidFill>
          </w14:textFill>
        </w:rPr>
      </w:pPr>
      <w:bookmarkStart w:id="220" w:name="_Toc27840"/>
      <w:bookmarkStart w:id="221" w:name="_Toc20405"/>
      <w:r>
        <w:rPr>
          <w:rFonts w:hint="eastAsia" w:cs="Times New Roman" w:asciiTheme="minorEastAsia" w:hAnsiTheme="minorEastAsia" w:eastAsiaTheme="minorEastAsia"/>
          <w:b w:val="0"/>
          <w:bCs w:val="0"/>
          <w:color w:val="000000" w:themeColor="text1"/>
          <w:kern w:val="2"/>
          <w:sz w:val="21"/>
          <w:szCs w:val="21"/>
          <w:highlight w:val="none"/>
          <w:lang w:val="en-US" w:eastAsia="zh-CN" w:bidi="ar-SA"/>
          <w14:textFill>
            <w14:solidFill>
              <w14:schemeClr w14:val="tx1"/>
            </w14:solidFill>
          </w14:textFill>
        </w:rPr>
        <w:t>备注：</w:t>
      </w:r>
      <w:bookmarkStart w:id="222" w:name="OLE_LINK3"/>
      <w:r>
        <w:rPr>
          <w:rFonts w:hint="eastAsia" w:cs="Times New Roman" w:asciiTheme="minorEastAsia" w:hAnsiTheme="minorEastAsia" w:eastAsiaTheme="minorEastAsia"/>
          <w:b w:val="0"/>
          <w:bCs w:val="0"/>
          <w:color w:val="000000" w:themeColor="text1"/>
          <w:kern w:val="2"/>
          <w:sz w:val="21"/>
          <w:szCs w:val="21"/>
          <w:highlight w:val="none"/>
          <w:lang w:val="en-US" w:eastAsia="zh-CN" w:bidi="ar-SA"/>
          <w14:textFill>
            <w14:solidFill>
              <w14:schemeClr w14:val="tx1"/>
            </w14:solidFill>
          </w14:textFill>
        </w:rPr>
        <w:t>1、</w:t>
      </w:r>
      <w:bookmarkEnd w:id="220"/>
      <w:bookmarkEnd w:id="221"/>
      <w:r>
        <w:rPr>
          <w:rFonts w:hint="eastAsia" w:cs="Times New Roman" w:asciiTheme="minorEastAsia" w:hAnsiTheme="minorEastAsia" w:eastAsiaTheme="minorEastAsia"/>
          <w:b w:val="0"/>
          <w:bCs w:val="0"/>
          <w:color w:val="000000" w:themeColor="text1"/>
          <w:kern w:val="2"/>
          <w:sz w:val="21"/>
          <w:szCs w:val="21"/>
          <w:highlight w:val="none"/>
          <w:lang w:val="en-US" w:eastAsia="zh-CN" w:bidi="ar-SA"/>
          <w14:textFill>
            <w14:solidFill>
              <w14:schemeClr w14:val="tx1"/>
            </w14:solidFill>
          </w14:textFill>
        </w:rPr>
        <w:t>投标人应根据投标产品的性能指标对照招标文件“第二部分 招标项目需求” 中“</w:t>
      </w:r>
    </w:p>
    <w:p>
      <w:pPr>
        <w:spacing w:line="360" w:lineRule="auto"/>
        <w:rPr>
          <w:rFonts w:hint="eastAsia" w:cs="Times New Roman" w:asciiTheme="minorEastAsia" w:hAnsiTheme="minorEastAsia"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asciiTheme="minorEastAsia" w:hAnsiTheme="minorEastAsia" w:eastAsiaTheme="minorEastAsia"/>
          <w:b w:val="0"/>
          <w:bCs w:val="0"/>
          <w:color w:val="000000" w:themeColor="text1"/>
          <w:kern w:val="2"/>
          <w:sz w:val="21"/>
          <w:szCs w:val="21"/>
          <w:highlight w:val="none"/>
          <w:lang w:val="en-US" w:eastAsia="zh-CN" w:bidi="ar-SA"/>
          <w14:textFill>
            <w14:solidFill>
              <w14:schemeClr w14:val="tx1"/>
            </w14:solidFill>
          </w14:textFill>
        </w:rPr>
        <w:t xml:space="preserve"> 二、技术要求（除中心机房扩建改造品目清单） ”逐条填写，并在“偏离情况”栏注明“正偏离”、“负偏离”或“无偏离”。</w:t>
      </w:r>
    </w:p>
    <w:p>
      <w:pPr>
        <w:spacing w:line="360" w:lineRule="auto"/>
        <w:rPr>
          <w:rFonts w:asciiTheme="minorEastAsia" w:hAnsiTheme="minorEastAsia" w:eastAsiaTheme="minorEastAsia"/>
          <w:color w:val="000000" w:themeColor="text1"/>
          <w:highlight w:val="none"/>
          <w14:textFill>
            <w14:solidFill>
              <w14:schemeClr w14:val="tx1"/>
            </w14:solidFill>
          </w14:textFill>
        </w:rPr>
      </w:pPr>
      <w:r>
        <w:rPr>
          <w:rFonts w:hint="eastAsia" w:cs="Times New Roman" w:asciiTheme="minorEastAsia" w:hAnsiTheme="minorEastAsia" w:eastAsiaTheme="minorEastAsia"/>
          <w:b w:val="0"/>
          <w:bCs w:val="0"/>
          <w:color w:val="000000" w:themeColor="text1"/>
          <w:kern w:val="2"/>
          <w:sz w:val="21"/>
          <w:szCs w:val="21"/>
          <w:highlight w:val="none"/>
          <w:lang w:val="en-US" w:eastAsia="zh-CN" w:bidi="ar-SA"/>
          <w14:textFill>
            <w14:solidFill>
              <w14:schemeClr w14:val="tx1"/>
            </w14:solidFill>
          </w14:textFill>
        </w:rPr>
        <w:t>2、本表格供参考，投标人可根据项目实际情</w:t>
      </w:r>
      <w:r>
        <w:rPr>
          <w:rFonts w:hint="eastAsia" w:asciiTheme="minorEastAsia" w:hAnsiTheme="minorEastAsia" w:eastAsiaTheme="minorEastAsia"/>
          <w:color w:val="000000" w:themeColor="text1"/>
          <w:highlight w:val="none"/>
          <w14:textFill>
            <w14:solidFill>
              <w14:schemeClr w14:val="tx1"/>
            </w14:solidFill>
          </w14:textFill>
        </w:rPr>
        <w:t>况自拟（增减）表格。</w:t>
      </w:r>
      <w:bookmarkEnd w:id="222"/>
    </w:p>
    <w:p>
      <w:pPr>
        <w:spacing w:line="38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投标人（公章）：</w:t>
      </w:r>
    </w:p>
    <w:p>
      <w:pPr>
        <w:spacing w:line="380" w:lineRule="exact"/>
        <w:rPr>
          <w:rFonts w:asciiTheme="minorEastAsia" w:hAnsiTheme="minorEastAsia" w:eastAsiaTheme="minorEastAsia"/>
          <w:color w:val="000000" w:themeColor="text1"/>
          <w:highlight w:val="none"/>
          <w:u w:val="singl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投标人代表（签字或印章）：</w:t>
      </w:r>
    </w:p>
    <w:p>
      <w:pPr>
        <w:spacing w:line="380" w:lineRule="exact"/>
        <w:rPr>
          <w:rFonts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日期：</w:t>
      </w:r>
    </w:p>
    <w:p>
      <w:pPr>
        <w:spacing w:line="24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p>
    <w:p>
      <w:pPr>
        <w:pStyle w:val="2"/>
        <w:jc w:val="center"/>
        <w:rPr>
          <w:rFonts w:hint="default"/>
          <w:sz w:val="21"/>
          <w:szCs w:val="21"/>
          <w:lang w:val="en-US" w:eastAsia="zh-CN"/>
        </w:rPr>
      </w:pPr>
      <w:r>
        <w:rPr>
          <w:rFonts w:hint="eastAsia" w:asciiTheme="minorEastAsia" w:hAnsiTheme="minorEastAsia" w:eastAsiaTheme="minorEastAsia"/>
          <w:bCs w:val="0"/>
          <w:color w:val="000000" w:themeColor="text1"/>
          <w:sz w:val="28"/>
          <w:szCs w:val="28"/>
          <w:highlight w:val="none"/>
          <w14:textFill>
            <w14:solidFill>
              <w14:schemeClr w14:val="tx1"/>
            </w14:solidFill>
          </w14:textFill>
        </w:rPr>
        <w:t>（三）</w:t>
      </w:r>
      <w:r>
        <w:rPr>
          <w:rFonts w:hint="eastAsia" w:asciiTheme="minorEastAsia" w:hAnsiTheme="minorEastAsia" w:eastAsiaTheme="minorEastAsia"/>
          <w:bCs w:val="0"/>
          <w:color w:val="000000" w:themeColor="text1"/>
          <w:sz w:val="28"/>
          <w:szCs w:val="28"/>
          <w:highlight w:val="none"/>
          <w:lang w:val="en-US" w:eastAsia="zh-CN"/>
          <w14:textFill>
            <w14:solidFill>
              <w14:schemeClr w14:val="tx1"/>
            </w14:solidFill>
          </w14:textFill>
        </w:rPr>
        <w:t>-1中心机房扩建改造品目清单响应表</w:t>
      </w:r>
    </w:p>
    <w:tbl>
      <w:tblPr>
        <w:tblStyle w:val="38"/>
        <w:tblW w:w="8835"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62"/>
        <w:gridCol w:w="2289"/>
        <w:gridCol w:w="3065"/>
        <w:gridCol w:w="645"/>
        <w:gridCol w:w="987"/>
        <w:gridCol w:w="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序号</w:t>
            </w:r>
          </w:p>
        </w:tc>
        <w:tc>
          <w:tcPr>
            <w:tcW w:w="2289" w:type="dxa"/>
            <w:tcBorders>
              <w:tl2br w:val="nil"/>
              <w:tr2bl w:val="nil"/>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项目名称</w:t>
            </w:r>
          </w:p>
        </w:tc>
        <w:tc>
          <w:tcPr>
            <w:tcW w:w="3065" w:type="dxa"/>
            <w:tcBorders>
              <w:tl2br w:val="nil"/>
              <w:tr2bl w:val="nil"/>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项目特征</w:t>
            </w:r>
          </w:p>
        </w:tc>
        <w:tc>
          <w:tcPr>
            <w:tcW w:w="645" w:type="dxa"/>
            <w:tcBorders>
              <w:tl2br w:val="nil"/>
              <w:tr2bl w:val="nil"/>
            </w:tcBorders>
            <w:shd w:val="clear" w:color="auto" w:fill="auto"/>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计量单位</w:t>
            </w:r>
          </w:p>
        </w:tc>
        <w:tc>
          <w:tcPr>
            <w:tcW w:w="987" w:type="dxa"/>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工程量</w:t>
            </w:r>
          </w:p>
        </w:tc>
        <w:tc>
          <w:tcPr>
            <w:tcW w:w="987" w:type="dxa"/>
            <w:tcBorders>
              <w:tl2br w:val="nil"/>
              <w:tr2bl w:val="nil"/>
            </w:tcBorders>
            <w:shd w:val="clear" w:color="auto" w:fill="auto"/>
            <w:vAlign w:val="center"/>
          </w:tcPr>
          <w:p>
            <w:pPr>
              <w:jc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投标响应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一、装修系统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隔断隔墙拆除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轻钢龙骨+石膏板拆除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124.64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金属门窗拆除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天棚面龙骨及饰面拆除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原操作间 天棚拆除 龙骨及饰面拆除 金属龙骨石膏面</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天棚面龙骨及饰面拆除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备用机房 天棚拆除 龙骨及饰面拆除 金属龙骨金属面</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85.54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楼地面龙骨及饰面拆除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原操作间  复合木地板拆除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楼地面龙骨及饰面拆除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备用机房 </w:t>
            </w:r>
            <w:r>
              <w:rPr>
                <w:rFonts w:hint="eastAsia" w:ascii="宋体" w:hAnsi="宋体" w:cs="宋体"/>
                <w:i w:val="0"/>
                <w:iCs w:val="0"/>
                <w:color w:val="000000"/>
                <w:kern w:val="0"/>
                <w:sz w:val="21"/>
                <w:szCs w:val="21"/>
                <w:u w:val="none"/>
                <w:lang w:val="en-US" w:eastAsia="zh-CN" w:bidi="ar"/>
              </w:rPr>
              <w:t>防静电地</w:t>
            </w:r>
            <w:r>
              <w:rPr>
                <w:rFonts w:hint="eastAsia" w:ascii="宋体" w:hAnsi="宋体" w:eastAsia="宋体" w:cs="宋体"/>
                <w:i w:val="0"/>
                <w:iCs w:val="0"/>
                <w:color w:val="000000"/>
                <w:kern w:val="0"/>
                <w:sz w:val="21"/>
                <w:szCs w:val="21"/>
                <w:u w:val="none"/>
                <w:lang w:val="en-US" w:eastAsia="zh-CN" w:bidi="ar"/>
              </w:rPr>
              <w:t>板拆除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85.54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消防喷淋管拆除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备用机房 消防喷淋管拆除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砌块墙</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200mm厚B06-A3.5加气混凝土砌块墙</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16.27</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实心砖墙</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200mm厚MU10混凝土实心砖墙</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0.29</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聚氨脂（PU）发泡剂嵌缝</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砌块墙顶与梁板连接处采用聚氨脂（PU）发泡剂嵌缝，综合单价包含双面嵌缝费用</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构造柱</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C20构造柱</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0.79</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墙面一般抹灰</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1、20mm厚 DP M15.0水泥砂浆粉刷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2、贴玻纤网格布满铺</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86.76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保温隔热楼地面</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地面20mm厚橡塑保温棉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地面铺0.5mm厚镀锌板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地面铺0.5mm厚镀锌板</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防静电活动地板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600*600防静电架空地板(原防静电架空地板利旧，支架无法利旧)安装，含可调整支架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74.85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防静电活动地板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600*600防静电送风架空地板，含可调整支架等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防静电活动地板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600*600防静电可视架空地板，含可调整支架等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成品踢脚线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1、80mm高1.2厚不锈钢成品踢脚线，卡扣式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2、80mm高10mm厚阻燃板基层</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墙面装饰板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1、75系列轻钢龙骨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2、内填50mm厚岩棉板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3、12+0.6单面彩钢复合板，含白色压边条</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墙面装饰板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1、75系列轻钢龙骨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2、内填50mm厚岩棉板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3、12mm厚防火石膏板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4、板缝贴胶带、点锈</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墙面喷刷涂料</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1、防尘漆二遍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2、石膏板满刮腻子二遍</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吊顶天棚</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1、U38轻钢龙骨，Φ8圆钢吊杆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2、600*600微孔铝扣板吊顶，含白色压边条</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120.96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抹灰面油漆</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地面防尘漆二遍</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保温隔热天棚</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天棚20mm厚橡塑保温棉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钢质防火门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1500*2200甲级钢制防火门（门利旧）安装</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植筋</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植筋(钢筋直径6.5mm以内)</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现浇构件钢筋</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现浇构件圆钢筋HPB300 直径10mm以内</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0.052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预埋铁件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设备底座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预埋铁件及金属面防锈漆一遍</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1.247</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空调挡水围堰</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精密空调四周挡水围堰 100mm高，内刷防水涂料，每个挡水围堰内含1个DN32排水及1个DN40地漏及下层排水管路</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钢制踏步</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钢制踏步，现场定制，不锈钢收边，含四周镀锌角钢。</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钢制坡道</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钢制坡道，现场定制，不锈钢收边，含四周镀锌角钢。</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建筑垃圾外运及处置</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建筑垃圾外运及处置等综合费用</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其他措施费</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原地面及其他利旧部位成品保护，场地保洁，脚手架搭建等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构造柱</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构造柱木模</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二、配电系统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前端配电改造</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称：前端配电改造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2.市电配电柜AP3及UPS配电柜UP3配电改造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（市电前端取自老动力机房AP3柜（需做改造）引一路4*35+1*16电缆至新机房市电配电柜位置；UPS电前端取自老动力机房UPS 3柜（需做改造），引一路4*70+1*35电缆至机房UPS输出配电柜，UPS输出配电柜各引2路4*25+1*16电缆至三台精密列头柜）</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UPS输出配电柜</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1.名称：UPS输出配电柜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格：UPS输出配电柜，采用施耐德、ABB或西门子元器件，中文智能电量仪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3.安装方式：落地</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市电配电柜</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1.名称：市电配电柜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格：市电配电柜，采用施耐德、ABB或西门子元器件，中文智能电量仪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3.安装方式：落地</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列头配电柜</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1.名称：列头配电柜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格：精密配电柜，采用施耐德、ABB或西门子元器件，触控显示屏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3.安装方式：落地</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电源三级防雷器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1.名称：电源三级防雷器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格：最大放电电流20KA</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1、名称：铜芯电力电缆（UP3柜至新增UPS输出配电柜）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2、型号、规格：ZC-YJVR-4*70+1*35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1、名称：铜芯电力电缆（市电配电柜输入电缆）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2、型号、规格：ZC-YJVR-4*35+1*16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1、名称：铜芯电力电缆（精密列头柜输入电缆）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2、型号、规格：ZC-YJVR-4*25+1*16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1、名称：铜芯电力电缆（50KW制冷量精密空调输入电缆）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2、型号、规格：ZC-YJVR5*16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24.77</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1、名称：铜芯电力电缆（机柜电力电缆）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2、型号、规格：ZC-YJV3*6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1、名称：铜芯电力电缆（新风机输入电缆）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2、型号、规格：ZC-YJV3*4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电力电缆</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1、名称：铜芯电力电缆（灾后排风机输入电缆）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2、型号、规格：ZC-YJV5*2.5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3、敷设方式、部位：配管、桥架内敷设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4、含电缆头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称：绝缘导线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2.配线形式：管内穿线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3.配线型号：BV2.5</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289.78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称：绝缘导线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2.配线形式：管内穿线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3.配线型号：BVR2.5</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144.89</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称：钢制槽式桥架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格：300*100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3、含桥架支架制安和支架刷油</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称：钢制槽式桥架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格：200*100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3、含桥架支架制安和支架刷油</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30.75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配管</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1.名称：JDG20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2.配置形式：砖、混凝土结构暗配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3.含砖墙开槽、补槽</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141.89</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配管</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1.名称：JDG25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2.配置形式：砖、混凝土结构暗配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3.含砖墙开槽、补槽</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26.68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称：3+2五孔插座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3.规 格：10A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工业连接器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称：工业连接器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格：32A，220V</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新机房机柜PDU</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称：新机房机柜PDU</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格：输入：1路32A；输出：2路16A+22路10A</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老机房机柜PDU</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称：老机房机柜PDU</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格：与原PDU一致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照明开关</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称：双联单控开关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嵌入式平板灯</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1.荧光灯名称：嵌入式平板灯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2.荧光灯型号：LED  36W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3.规 格：600*600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4.含接线盒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(原有20套安装利旧）</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单向疏散指示灯</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1.装饰灯名称：单向疏散指示灯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2.装饰灯规格：消防3C认证产品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安全出口标志灯</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1.装饰灯名称：安全出口标志灯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2.装饰灯规格：安全出口指示灯,消防3C认证产品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消防应急照明灯</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1.装饰灯名称：消防应急照明灯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2.装饰灯规格：超长延时LED照明灯，消防3C认证产品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称：接地铜排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质：30*3mm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50.69</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接地母线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称：接地线缆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质：ZR-BVR16</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10.37</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接地铜箔</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称：接地铜箔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质：100*0.3铜箔</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接地母线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称：接地线缆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质：ZR-BVR6</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接地母线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称：接地线缆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质：ZR-BVR50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接地端子箱</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称：接地端子箱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 质：300*200*120mm（长*宽*厚），冷轧钢板1.2mm厚</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服务器机柜</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称：服务器机柜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2.技术参数：600mm(W)*1200mm(D)*2000mm(H)-42U</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老机房服务器机柜利旧</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称：老机房服务器机柜利旧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2.5个机柜安装前后门，2个机柜安装后门</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网络列头机柜</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称：网络列头机柜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2.技术参数：800mm(W)*1200mm(D)*2000mm(H)-42U</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轻载滑道</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称：轻载滑道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2.轻载滑道-承载50Kg-用于1200mm深机柜，需成对配置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固定托盘</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称：固定托盘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2.固定托盘-1U-承载100Kg-用于1200mm深机柜</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三、暖通系统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空调器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1.名 称：精密空调</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 格：XLQ=50KW L=13600m3/h N=24.4kW/380V 下送风型,含室外机</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制冷剂</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称：制冷剂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格：配套精密空调</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瓶</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铜管</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称：铜管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格：精密空调气液管配套</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称：RVV7*1.5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格：精密空调电源控制线</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空调外机支架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称：空调外机支架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进排水系统</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称：进排水系统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格：进水采用PPR20或25，排水采用不低于PPR25规格，含阀门等辅材、管路保温处理。</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新风机</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称：新风机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格：L=≥1500m3/h 余压:110Pa N=0.3kW/220V，含控制开关</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白铁皮风管</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称：白铁皮风管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格：风管接口,φ200，特级白铁皮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柔性软风管</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称：柔性软风管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格：铝箔保温安装 250*160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新风百叶风口</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称：新风百叶风口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格：铝合金百叶风口300*300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70°C防火阀</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称：70°C防火阀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格：250*160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轴流通风机</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1.名称：轴流通风机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2.型号：高功率电机，风量≥2500m3/h，N=0.25kW/380V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3.减振底座形式、数量：弹簧减震式底座</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70°C防火阀</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称：70°C防火阀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格：320*250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控制开关</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称：控制开关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格：排风控制开关</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柔性软风管</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称：柔性软风管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格：铝箔保温软管安装 公称直径(mm以内)400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灾后排风百叶风口</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 称：灾后排风百叶风口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2.规 格：铝合金百叶风口320*250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四、消防系统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气体灭火控制器/火灾报警控制器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1.名称:气体灭火控制器/火灾报警控制器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具有火灾探测报警和气体灭火控制双重功能，配接编码火灾探测器、手动报警按钮、紧急启/停按钮、声光整报器、气体喷酒指示灯、手自动转换开关以及输出模块，实现1/2/4个防火区的火灾报警和气体灭火控制，含外接电源箱，输入输出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（要求：机房火灾报警信号要求接入消控室）</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柜式七氟丙烷装置</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1.名称:柜式七氟丙烷装置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2.技术参数:120L，2.5MP</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药剂</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1.名称:药剂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2.技术参数:层高按3.8m计算，纯度 ＞99.6%，酸度(以HF计)(mg/Kg) ＜1，水含量(mg/Kg) ＜10，蒸发残留物 ＜0.01%，悬浮或沉淀物不可见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泄压口</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1.名称:泄压口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2.技术参数:300x300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放气指示灯</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1.名称:放气指示灯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2.技术参数:表面安装式，电压24V/DC</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紧急启停按钮</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1.名称:紧急启停按钮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2.技术参数:用于手动控制气体灭火系统紧急启动和紧急停止（止喷）</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消防警铃</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1.名称:消防警铃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2.技术参数:频率范围124Hz~6300Hz(+3dB)、额定功率3w</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感温探测器连底座</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1.名称:感温探测器连底座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2.技术参数:内置独立的微处理器对火警信息分析，辨别是否真正火警，带底座</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声光报警器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1.名称:声光报警器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2.技术参数:有源DC24V常开触点进行控制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1.名称:导线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2.技术参数:NH-RVS-2*1.5</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122.63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极早期移位调整</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1.名称:极早期移位调整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2.技术参数:原有极早期移位调整</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五、综合布线系统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5.1 新建机房</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6类网线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1.名称:六类双绞线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2.技术参数:符合ISO/IEC 11801:2000标准和ANSI/TIA/EIA568-C.2的标准；传输带宽高达250MHz以上；支持千兆以太网</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9617.7</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24口数据配线架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1.名称:24口数据配线架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2.技术参数:24口，1U；符合 ANSI/TIA/EIA-568-B.2-1, ISO/IEC 11801 2nd 版本 (2002)，带后部线缆管理支撑架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理线架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1.名称:理线架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2.技术参数:配套机柜</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光纤配线架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1.名称:光纤配线架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2.技术参数:符合TIA/EIA-568B.3标准，12口24芯lc口</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24芯多模光纤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1.名称:24芯多模光纤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2.技术参数:符合ANSI－FDDI、TIA/EIA568B.2、IEC/ISO IS11801(1995)和CENELEC　EN　50173标准；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光缆类型：多模芯数：24芯</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82.36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LC/LC双芯多模光跳线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1.名称:LC/LC双芯多模光跳线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2.技术参数:符合ITU-T G.652、IEC-60793-2-50标准；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插入损耗小于0.3dB，回波损耗大于50dB；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接头：LC；芯数：双芯；光纤类型：多模长度：2m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光纤尾纤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1.名称:光纤尾纤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2.技术参数:符合ITU-T G.652、IEC-60793-2-50标准；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插入损耗小于0.3dB，回波损耗大于50dB；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接头：LC；光纤类型：多模长度：1m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网络跳线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1.名称:网络跳线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2.技术参数:符合TIA/EIA568-C.2标准对六类软线的要求；水晶头簧片镀金50微英寸；超过250MHz带宽；插头接插次数≥750次；长度2m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光纤熔接</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1.名称:光纤熔接</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芯</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1.名称:弱电桥架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2.技术参数:主干弱电槽式桥架，国标，200*100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桥架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1.名称:弱电桥架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2.技术参数:弱电网格桥架，国标，300*100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5.2 老机房A列机柜</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6类网线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1.名称:六类双绞线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2.技术参数:符合ISO/IEC 11801:2000标准和ANSI/TIA/EIA568-C.2的标准；传输带宽高达250MHz以上；支持千兆以太网</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1981.6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24口数据配线架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1.名称:24口数据配线架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2.技术参数:24口，1U；符合 ANSI/TIA/EIA-568-B.2-1, ISO/IEC 11801 2nd 版本 (2002)，带后部线缆管理支撑架</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理线架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1.名称:理线架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2.技术参数:配套机柜</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光纤配线架</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1.名称:光纤配线架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2.技术参数:符合TIA/EIA-568B.3标准，12口24芯lc口</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24芯多模光纤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1.名称:24芯多模光纤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2.技术参数:符合ANSI－FDDI、TIA/EIA568B.2、IEC/ISO IS11801(1995)和CENELEC　EN　50173标准；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光缆类型：多模芯数：24芯</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LC/LC双芯多模光跳线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1.名称:LC/LC双芯多模光跳线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2.技术参数:符合ITU-T G.652、IEC-60793-2-50标准；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插入损耗小于0.3dB，回波损耗大于50dB；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接头：LC；芯数：双芯；光纤类型：多模长度：2m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光纤尾纤</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1.名称:光纤尾纤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2.技术参数:符合ITU-T G.652、IEC-60793-2-50标准；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插入损耗小于0.3dB，回波损耗大于50dB；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接头：LC；光纤类型：多模长度：1m</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光纤熔接</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1.名称:光纤熔接</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芯</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六、安防系统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6.1 视频监控系统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彩色半球摄像机</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1.名称:彩色半球摄像机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2.技术参数:400万像素CMOS传感器，红外补光距离不小于50米。最高1920x1080@30fps，支持H.264、H.265、MJPEG视频编码格式，具大于100dB宽动态，POE供电。</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硬盘录像机</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1.名称:硬盘录像机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2.技术参数:不小于16路网络硬盘录像机NVR，8盘位，2U，1个HDMI、1个VGA，HDMI1支持4K，VGA支持2K显示，视频解码格式H.265;Smart265;H.264;Smart264，2个RJ45 10M/100M/1000M自适应以太网口，2个USB 2.0，1个USB 3.0</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监控级硬盘</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1.名称:监控级硬盘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2.技术参数:6T</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24口接入层交换机</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1.名称:24口接入层交换机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2.技术参数:POE千兆以太网交换机，24个10/100/1000Base-T以太网端口，4个1000Base-X以太网端口</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六类双绞线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1.名称:六类双绞线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2.技术参数:符合ISO/IEC 11801:2000标准和ANSI/TIA/EIA568-C.2的标准；传输带宽高达250MHz以上；支持千兆以太网</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90.74</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配管</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1.名称：JDG20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2.配置形式：砖、混凝土结构暗配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3.含砖墙开槽、补槽</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6.2 门禁系统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门禁读卡器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1.名称:门禁读卡器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2.技术参数:配套原有门禁主机，含接线盒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门禁电源</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1.名称:门禁电源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2.技术参数:标准电压 12V，额定容量 7.0Ah</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开门按钮</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1.名称:开门按钮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2.技术参数:86型出门按钮，含接线盒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双门磁力锁</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1.名称:双门磁力锁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2.技术参数:DC12V，12V/450mA，功率3A，含接线盒</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六类双绞线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1.名称:六类双绞线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2.技术参数:符合ISO/IEC 11801:2000标准和ANSI/TIA/EIA568-C.2的标准；传输带宽高达250MHz以上；支持千兆以太网</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71.02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配管</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1.名称：JDG20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2.配置形式：砖、混凝土结构暗配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3.含砖墙开槽、补槽</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30.81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七、动力环控系统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7.1 供配电系统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电量仪通讯转换模块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1.名称:电量仪通讯转换模块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2.技术参数:实时采集电量仪相关数据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电量仪监控协议软件接口模块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1.名称:电量仪监控协议软件接口模块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2.技术参数:实时监测市电电量参数：相电压、相电流、有功功率、频率、功率因数、无功功率、视在功率、有功电度、无功电度等。图形化界面显示，反应报警状态和正常状态。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精密配电柜监控协议软件接口模块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1.名称:精密配电柜监控协议软件接口模块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2.技术参数:实时监测市电电量参数：相电压、相电流、有功功率、频率、功率因数、无功功率、视在功率、有功电度、无功电度等。图形化界面显示，反应报警状态和正常状态。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7.2 精密空调监测系统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精密空调通讯转换模块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1.名称:精密空调通讯转换模块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2.技术参数:实时采集精密空调相关数据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精密空调监控协议软件接口模块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1.名称:精密空调监控协议软件接口模块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2.技术参数:实时采集精密空调的回风温度湿度、设置温度湿度、压缩机、风机、制冷、制热、除湿、加湿等报警和状态。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7.3 漏水监测系统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泄漏检测控制器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1.名称:泄漏检测控制器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2.技术参数:1路检测线缆接口，接入2芯漏水检测线缆。 实时响应，响应时间&lt;3s。</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泄漏检测绳</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1.名称:泄漏检测控制器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2.技术参数:5米感应绳</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引出线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1.名称:引出线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2.技术参数:4米引出线</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漏水信号采集模块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1.名称:漏水信号采集模块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2.技术参数:漏水信号采集</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区域式泄漏检测软件接口模块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1.名称:区域式泄漏检测软件接口模块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2.技术参数:显示漏水报警情况和数据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7.4 温湿度监控系统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数字型温湿度传感器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1.名称:数字型温湿度传感器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2.技术参数:RS485接口，标准MODBUS协议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温湿度通讯转换模块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1.名称:温湿度通讯转换模块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2.技术参数:采集温湿度传感器数据</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温湿度监控协议软件接口模块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1.名称:温湿度监控协议软件接口模块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2.技术参数:显示温湿度具体地址及编号，温度及湿度实时数值，超限报警</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7.5 烟雾监测系统</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烟感探测器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1.名称:烟雾探测器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2.技术参数:光电探测方式,吸顶安装,低功耗CMOS微处理器,含底座</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开关量采集模块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1.名称:开关量采集模块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2.技术参数:8路采集模块</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烟感监测软件接口模块</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1.名称:烟感监测软件接口模块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2.技术参数:实时采集烟感探测器的报警状态</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7.6系统配置</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串口服务器</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1.名称:串口服务器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2.技术参数:标准19英寸，网口：10/100M模式自适应，8口，串口：RS-232/RS-422/485串口自由组合，TCP方式符合RFC2217标准，提供标准化编程接口</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集中监控采集箱</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1.名称:集中监控采集箱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2.技术参数:机架式信号采集箱</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工业电源</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1.名称:工业电源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2.技术参数:AC220V输入，DC12V3A输出</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管线</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1.名称:辅材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2.技术参数:动力环控包括但不限于管、线、接线盒等</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八、第三方检测费</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防雷接地检测</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1.名称:防雷接地检测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2.技术参数:提供测试报告</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消防检测</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1.名称:消防检测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2.技术参数:提供测试报告</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7848" w:type="dxa"/>
            <w:gridSpan w:val="5"/>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九、安装调试</w:t>
            </w:r>
          </w:p>
        </w:tc>
        <w:tc>
          <w:tcPr>
            <w:tcW w:w="987"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trPr>
        <w:tc>
          <w:tcPr>
            <w:tcW w:w="8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89"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安装调试</w:t>
            </w:r>
          </w:p>
        </w:tc>
        <w:tc>
          <w:tcPr>
            <w:tcW w:w="3065"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所有系统的安装调试</w:t>
            </w:r>
          </w:p>
        </w:tc>
        <w:tc>
          <w:tcPr>
            <w:tcW w:w="64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pPr>
        <w:spacing w:line="38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投标人（公章）：</w:t>
      </w:r>
    </w:p>
    <w:p>
      <w:pPr>
        <w:spacing w:line="380" w:lineRule="exact"/>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投标人代表（签字或印章）：</w:t>
      </w:r>
    </w:p>
    <w:p>
      <w:pPr>
        <w:spacing w:line="380" w:lineRule="exact"/>
        <w:rPr>
          <w:rFonts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日期：</w:t>
      </w:r>
    </w:p>
    <w:p>
      <w:pPr>
        <w:pStyle w:val="2"/>
        <w:rPr>
          <w:rFonts w:hint="eastAsia"/>
          <w:b w:val="0"/>
          <w:bCs w:val="0"/>
        </w:rPr>
        <w:sectPr>
          <w:headerReference r:id="rId15" w:type="default"/>
          <w:pgSz w:w="11907" w:h="16840"/>
          <w:pgMar w:top="1304" w:right="1588" w:bottom="1304" w:left="1588" w:header="720" w:footer="720" w:gutter="0"/>
          <w:pgBorders>
            <w:top w:val="none" w:sz="0" w:space="0"/>
            <w:left w:val="none" w:sz="0" w:space="0"/>
            <w:bottom w:val="none" w:sz="0" w:space="0"/>
            <w:right w:val="none" w:sz="0" w:space="0"/>
          </w:pgBorders>
          <w:cols w:space="720" w:num="1"/>
          <w:docGrid w:linePitch="285" w:charSpace="0"/>
        </w:sectPr>
      </w:pPr>
    </w:p>
    <w:p>
      <w:pPr>
        <w:pStyle w:val="2"/>
        <w:spacing w:line="380" w:lineRule="exact"/>
        <w:rPr>
          <w:rFonts w:asciiTheme="minorEastAsia" w:hAnsiTheme="minorEastAsia" w:eastAsiaTheme="minorEastAsia"/>
          <w:bCs w:val="0"/>
          <w:color w:val="000000" w:themeColor="text1"/>
          <w:sz w:val="28"/>
          <w:szCs w:val="28"/>
          <w:highlight w:val="none"/>
          <w14:textFill>
            <w14:solidFill>
              <w14:schemeClr w14:val="tx1"/>
            </w14:solidFill>
          </w14:textFill>
        </w:rPr>
      </w:pPr>
      <w:bookmarkStart w:id="223" w:name="_Toc141797697"/>
      <w:bookmarkStart w:id="224" w:name="_Toc141797141"/>
      <w:bookmarkStart w:id="225" w:name="_Toc29075"/>
      <w:bookmarkStart w:id="226" w:name="_Toc29303"/>
      <w:r>
        <w:rPr>
          <w:rFonts w:hint="eastAsia" w:asciiTheme="minorEastAsia" w:hAnsiTheme="minorEastAsia" w:eastAsiaTheme="minorEastAsia"/>
          <w:bCs w:val="0"/>
          <w:color w:val="000000" w:themeColor="text1"/>
          <w:sz w:val="28"/>
          <w:szCs w:val="28"/>
          <w:highlight w:val="none"/>
          <w14:textFill>
            <w14:solidFill>
              <w14:schemeClr w14:val="tx1"/>
            </w14:solidFill>
          </w14:textFill>
        </w:rPr>
        <w:t>（四）商务条款偏离表</w:t>
      </w:r>
      <w:bookmarkEnd w:id="223"/>
      <w:bookmarkEnd w:id="224"/>
      <w:bookmarkEnd w:id="225"/>
      <w:bookmarkEnd w:id="226"/>
    </w:p>
    <w:p>
      <w:pPr>
        <w:spacing w:line="380" w:lineRule="exact"/>
        <w:rPr>
          <w:rFonts w:asciiTheme="minorEastAsia" w:hAnsiTheme="minorEastAsia" w:eastAsiaTheme="minorEastAsia"/>
          <w:color w:val="000000" w:themeColor="text1"/>
          <w:sz w:val="24"/>
          <w:highlight w:val="none"/>
          <w14:textFill>
            <w14:solidFill>
              <w14:schemeClr w14:val="tx1"/>
            </w14:solidFill>
          </w14:textFill>
        </w:rPr>
      </w:pPr>
    </w:p>
    <w:tbl>
      <w:tblPr>
        <w:tblStyle w:val="38"/>
        <w:tblW w:w="87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418"/>
        <w:gridCol w:w="2891"/>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序号</w:t>
            </w:r>
          </w:p>
        </w:tc>
        <w:tc>
          <w:tcPr>
            <w:tcW w:w="3418"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招标文件的商务条款</w:t>
            </w:r>
          </w:p>
        </w:tc>
        <w:tc>
          <w:tcPr>
            <w:tcW w:w="2891"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投标文件的商务条款</w:t>
            </w:r>
          </w:p>
        </w:tc>
        <w:tc>
          <w:tcPr>
            <w:tcW w:w="1618"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r>
              <w:rPr>
                <w:rFonts w:hint="eastAsia" w:asciiTheme="minorEastAsia" w:hAnsiTheme="minorEastAsia" w:eastAsiaTheme="minorEastAsia"/>
                <w:color w:val="000000" w:themeColor="text1"/>
                <w:sz w:val="22"/>
                <w:szCs w:val="22"/>
                <w:highlight w:val="none"/>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3418"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2891"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1618"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3418"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2891"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1618"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35"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3418"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2891"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c>
          <w:tcPr>
            <w:tcW w:w="1618" w:type="dxa"/>
            <w:vAlign w:val="center"/>
          </w:tcPr>
          <w:p>
            <w:pPr>
              <w:spacing w:line="380" w:lineRule="exact"/>
              <w:jc w:val="center"/>
              <w:rPr>
                <w:rFonts w:asciiTheme="minorEastAsia" w:hAnsiTheme="minorEastAsia" w:eastAsiaTheme="minorEastAsia"/>
                <w:color w:val="000000" w:themeColor="text1"/>
                <w:sz w:val="22"/>
                <w:szCs w:val="22"/>
                <w:highlight w:val="none"/>
                <w14:textFill>
                  <w14:solidFill>
                    <w14:schemeClr w14:val="tx1"/>
                  </w14:solidFill>
                </w14:textFill>
              </w:rPr>
            </w:pPr>
          </w:p>
        </w:tc>
      </w:tr>
    </w:tbl>
    <w:p>
      <w:pPr>
        <w:spacing w:line="360" w:lineRule="auto"/>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备注：1、投标人应根据投标产品的性能指标对照招标文件“第二部分 招标项目需求” 中“</w:t>
      </w:r>
    </w:p>
    <w:p>
      <w:pPr>
        <w:spacing w:line="360" w:lineRule="auto"/>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 </w:t>
      </w:r>
      <w:r>
        <w:rPr>
          <w:rFonts w:hint="eastAsia" w:asciiTheme="minorEastAsia" w:hAnsiTheme="minorEastAsia" w:eastAsiaTheme="minorEastAsia"/>
          <w:color w:val="000000" w:themeColor="text1"/>
          <w:highlight w:val="none"/>
          <w:lang w:val="en-US" w:eastAsia="zh-CN"/>
          <w14:textFill>
            <w14:solidFill>
              <w14:schemeClr w14:val="tx1"/>
            </w14:solidFill>
          </w14:textFill>
        </w:rPr>
        <w:t>一</w:t>
      </w:r>
      <w:r>
        <w:rPr>
          <w:rFonts w:hint="eastAsia"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lang w:val="en-US" w:eastAsia="zh-CN"/>
          <w14:textFill>
            <w14:solidFill>
              <w14:schemeClr w14:val="tx1"/>
            </w14:solidFill>
          </w14:textFill>
        </w:rPr>
        <w:t>商务</w:t>
      </w:r>
      <w:r>
        <w:rPr>
          <w:rFonts w:hint="eastAsia" w:asciiTheme="minorEastAsia" w:hAnsiTheme="minorEastAsia" w:eastAsiaTheme="minorEastAsia"/>
          <w:color w:val="000000" w:themeColor="text1"/>
          <w:highlight w:val="none"/>
          <w14:textFill>
            <w14:solidFill>
              <w14:schemeClr w14:val="tx1"/>
            </w14:solidFill>
          </w14:textFill>
        </w:rPr>
        <w:t>要求”逐条填写，并在“偏离情况”栏注明“正偏离”、“负偏离”或“无偏离”。</w:t>
      </w:r>
    </w:p>
    <w:p>
      <w:pPr>
        <w:spacing w:line="360" w:lineRule="auto"/>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2、本表格供参考，投标人可根据项目实际情况自拟（增减）表格。</w:t>
      </w:r>
    </w:p>
    <w:p>
      <w:pPr>
        <w:spacing w:line="380" w:lineRule="exact"/>
        <w:rPr>
          <w:rFonts w:asciiTheme="minorEastAsia" w:hAnsiTheme="minorEastAsia" w:eastAsiaTheme="minorEastAsia"/>
          <w:color w:val="000000" w:themeColor="text1"/>
          <w:highlight w:val="none"/>
          <w14:textFill>
            <w14:solidFill>
              <w14:schemeClr w14:val="tx1"/>
            </w14:solidFill>
          </w14:textFill>
        </w:rPr>
      </w:pPr>
    </w:p>
    <w:p>
      <w:pPr>
        <w:spacing w:line="38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投标人（公章）：</w:t>
      </w:r>
    </w:p>
    <w:p>
      <w:pPr>
        <w:spacing w:line="380" w:lineRule="exact"/>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投标人代表（签字或印章）：</w:t>
      </w:r>
    </w:p>
    <w:p>
      <w:pPr>
        <w:spacing w:line="380" w:lineRule="exact"/>
        <w:rPr>
          <w:rFonts w:asciiTheme="minorEastAsia" w:hAnsiTheme="minorEastAsia" w:eastAsiaTheme="minorEastAsia"/>
          <w:color w:val="000000" w:themeColor="text1"/>
          <w:sz w:val="22"/>
          <w:szCs w:val="22"/>
          <w:highlight w:val="none"/>
          <w:u w:val="singl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日期：</w:t>
      </w:r>
    </w:p>
    <w:p>
      <w:pPr>
        <w:pStyle w:val="2"/>
        <w:rPr>
          <w:rFonts w:hint="eastAsia"/>
        </w:rPr>
        <w:sectPr>
          <w:headerReference r:id="rId16" w:type="default"/>
          <w:pgSz w:w="11907" w:h="16840"/>
          <w:pgMar w:top="1304" w:right="1588" w:bottom="1304" w:left="1588" w:header="720" w:footer="720" w:gutter="0"/>
          <w:pgBorders>
            <w:top w:val="none" w:sz="0" w:space="0"/>
            <w:left w:val="none" w:sz="0" w:space="0"/>
            <w:bottom w:val="none" w:sz="0" w:space="0"/>
            <w:right w:val="none" w:sz="0" w:space="0"/>
          </w:pgBorders>
          <w:cols w:space="720" w:num="1"/>
          <w:docGrid w:linePitch="285" w:charSpace="0"/>
        </w:sectPr>
      </w:pPr>
    </w:p>
    <w:p>
      <w:pPr>
        <w:pStyle w:val="2"/>
        <w:spacing w:line="380" w:lineRule="exact"/>
        <w:rPr>
          <w:rFonts w:ascii="宋体" w:hAnsi="宋体" w:cs="宋体"/>
          <w:color w:val="000000" w:themeColor="text1"/>
          <w:sz w:val="28"/>
          <w:szCs w:val="28"/>
          <w:highlight w:val="none"/>
          <w14:textFill>
            <w14:solidFill>
              <w14:schemeClr w14:val="tx1"/>
            </w14:solidFill>
          </w14:textFill>
        </w:rPr>
      </w:pPr>
    </w:p>
    <w:p>
      <w:pPr>
        <w:pStyle w:val="2"/>
        <w:spacing w:line="380" w:lineRule="exact"/>
        <w:rPr>
          <w:rFonts w:asciiTheme="minorEastAsia" w:hAnsiTheme="minorEastAsia" w:eastAsiaTheme="minorEastAsia"/>
          <w:color w:val="000000" w:themeColor="text1"/>
          <w:sz w:val="24"/>
          <w:szCs w:val="24"/>
          <w:highlight w:val="none"/>
          <w14:textFill>
            <w14:solidFill>
              <w14:schemeClr w14:val="tx1"/>
            </w14:solidFill>
          </w14:textFill>
        </w:rPr>
      </w:pPr>
      <w:bookmarkStart w:id="227" w:name="_Toc141797142"/>
      <w:bookmarkStart w:id="228" w:name="_Toc141797698"/>
      <w:bookmarkStart w:id="229" w:name="_Toc24781"/>
      <w:bookmarkStart w:id="230" w:name="_Toc20657"/>
      <w:r>
        <w:rPr>
          <w:rFonts w:hint="eastAsia" w:ascii="宋体" w:hAnsi="宋体" w:cs="宋体"/>
          <w:color w:val="000000" w:themeColor="text1"/>
          <w:sz w:val="28"/>
          <w:szCs w:val="28"/>
          <w:highlight w:val="none"/>
          <w14:textFill>
            <w14:solidFill>
              <w14:schemeClr w14:val="tx1"/>
            </w14:solidFill>
          </w14:textFill>
        </w:rPr>
        <w:t>（五）</w:t>
      </w:r>
      <w:bookmarkEnd w:id="227"/>
      <w:bookmarkEnd w:id="228"/>
      <w:r>
        <w:rPr>
          <w:rFonts w:hint="eastAsia" w:asciiTheme="minorEastAsia" w:hAnsiTheme="minorEastAsia" w:eastAsiaTheme="minorEastAsia"/>
          <w:color w:val="000000" w:themeColor="text1"/>
          <w:sz w:val="24"/>
          <w:szCs w:val="24"/>
          <w:highlight w:val="none"/>
          <w14:textFill>
            <w14:solidFill>
              <w14:schemeClr w14:val="tx1"/>
            </w14:solidFill>
          </w14:textFill>
        </w:rPr>
        <w:t>第六部分“评标办法”中“评分标准”要求提供的资料（如有需提供）</w:t>
      </w:r>
      <w:bookmarkEnd w:id="229"/>
      <w:bookmarkEnd w:id="230"/>
    </w:p>
    <w:p>
      <w:pPr>
        <w:jc w:val="center"/>
        <w:rPr>
          <w:rFonts w:asciiTheme="minorEastAsia" w:hAnsiTheme="minorEastAsia" w:eastAsiaTheme="minorEastAsia"/>
          <w:b/>
          <w:color w:val="000000" w:themeColor="text1"/>
          <w:sz w:val="24"/>
          <w:szCs w:val="24"/>
          <w:highlight w:val="none"/>
          <w14:textFill>
            <w14:solidFill>
              <w14:schemeClr w14:val="tx1"/>
            </w14:solidFill>
          </w14:textFill>
        </w:rPr>
      </w:pPr>
    </w:p>
    <w:p>
      <w:pPr>
        <w:jc w:val="center"/>
        <w:rPr>
          <w:rFonts w:ascii="宋体" w:hAnsi="宋体"/>
          <w:b/>
          <w:color w:val="auto"/>
          <w:sz w:val="24"/>
          <w:szCs w:val="24"/>
          <w:highlight w:val="none"/>
        </w:rPr>
      </w:pPr>
      <w:r>
        <w:rPr>
          <w:rFonts w:hint="eastAsia" w:ascii="宋体" w:hAnsi="宋体"/>
          <w:b/>
          <w:color w:val="auto"/>
          <w:sz w:val="24"/>
          <w:szCs w:val="24"/>
          <w:highlight w:val="none"/>
        </w:rPr>
        <w:t>1.1投标人自2021年1月1日以来</w:t>
      </w:r>
      <w:r>
        <w:rPr>
          <w:rFonts w:hint="eastAsia" w:ascii="宋体" w:hAnsi="宋体"/>
          <w:b/>
          <w:color w:val="auto"/>
          <w:sz w:val="24"/>
          <w:szCs w:val="24"/>
          <w:highlight w:val="none"/>
          <w:lang w:val="en-US" w:eastAsia="zh-CN"/>
        </w:rPr>
        <w:t>类似</w:t>
      </w:r>
      <w:r>
        <w:rPr>
          <w:rFonts w:hint="eastAsia" w:ascii="宋体" w:hAnsi="宋体"/>
          <w:b/>
          <w:color w:val="auto"/>
          <w:sz w:val="24"/>
          <w:szCs w:val="24"/>
          <w:highlight w:val="none"/>
        </w:rPr>
        <w:t>项目业绩汇总表</w:t>
      </w:r>
    </w:p>
    <w:tbl>
      <w:tblPr>
        <w:tblStyle w:val="3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268"/>
        <w:gridCol w:w="2268"/>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242" w:type="dxa"/>
            <w:vAlign w:val="center"/>
          </w:tcPr>
          <w:p>
            <w:pPr>
              <w:pStyle w:val="130"/>
              <w:jc w:val="center"/>
              <w:rPr>
                <w:bCs w:val="0"/>
                <w:color w:val="auto"/>
                <w:sz w:val="24"/>
                <w:szCs w:val="24"/>
                <w:highlight w:val="none"/>
                <w:lang w:val="en-US"/>
              </w:rPr>
            </w:pPr>
            <w:r>
              <w:rPr>
                <w:rFonts w:hint="eastAsia"/>
                <w:bCs w:val="0"/>
                <w:color w:val="auto"/>
                <w:sz w:val="24"/>
                <w:szCs w:val="24"/>
                <w:highlight w:val="none"/>
                <w:lang w:val="en-US"/>
              </w:rPr>
              <w:t>项目序号</w:t>
            </w:r>
          </w:p>
        </w:tc>
        <w:tc>
          <w:tcPr>
            <w:tcW w:w="2268" w:type="dxa"/>
            <w:vAlign w:val="center"/>
          </w:tcPr>
          <w:p>
            <w:pPr>
              <w:pStyle w:val="130"/>
              <w:jc w:val="center"/>
              <w:rPr>
                <w:bCs w:val="0"/>
                <w:color w:val="auto"/>
                <w:sz w:val="24"/>
                <w:szCs w:val="24"/>
                <w:highlight w:val="none"/>
                <w:lang w:val="en-US"/>
              </w:rPr>
            </w:pPr>
            <w:r>
              <w:rPr>
                <w:rFonts w:hint="eastAsia"/>
                <w:bCs w:val="0"/>
                <w:color w:val="auto"/>
                <w:sz w:val="24"/>
                <w:szCs w:val="24"/>
                <w:highlight w:val="none"/>
                <w:lang w:val="en-US"/>
              </w:rPr>
              <w:t>项目名称</w:t>
            </w:r>
          </w:p>
        </w:tc>
        <w:tc>
          <w:tcPr>
            <w:tcW w:w="2268" w:type="dxa"/>
            <w:vAlign w:val="center"/>
          </w:tcPr>
          <w:p>
            <w:pPr>
              <w:pStyle w:val="130"/>
              <w:jc w:val="center"/>
              <w:rPr>
                <w:bCs w:val="0"/>
                <w:color w:val="auto"/>
                <w:sz w:val="24"/>
                <w:szCs w:val="24"/>
                <w:highlight w:val="none"/>
                <w:lang w:val="en-US"/>
              </w:rPr>
            </w:pPr>
            <w:r>
              <w:rPr>
                <w:rFonts w:hint="eastAsia"/>
                <w:bCs w:val="0"/>
                <w:color w:val="auto"/>
                <w:sz w:val="24"/>
                <w:szCs w:val="24"/>
                <w:highlight w:val="none"/>
                <w:lang w:val="en-US"/>
              </w:rPr>
              <w:t>发包人名称</w:t>
            </w:r>
          </w:p>
        </w:tc>
        <w:tc>
          <w:tcPr>
            <w:tcW w:w="2977" w:type="dxa"/>
            <w:vAlign w:val="center"/>
          </w:tcPr>
          <w:p>
            <w:pPr>
              <w:pStyle w:val="130"/>
              <w:jc w:val="center"/>
              <w:rPr>
                <w:rFonts w:hint="default" w:eastAsia="宋体"/>
                <w:bCs w:val="0"/>
                <w:color w:val="auto"/>
                <w:sz w:val="24"/>
                <w:szCs w:val="24"/>
                <w:highlight w:val="none"/>
                <w:lang w:val="en-US" w:eastAsia="zh-CN"/>
              </w:rPr>
            </w:pPr>
            <w:r>
              <w:rPr>
                <w:rFonts w:hint="eastAsia"/>
                <w:bCs w:val="0"/>
                <w:color w:val="auto"/>
                <w:sz w:val="24"/>
                <w:szCs w:val="24"/>
                <w:highlight w:val="none"/>
                <w:lang w:val="en-US" w:eastAsia="zh-CN"/>
              </w:rPr>
              <w:t>合同签订时间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242"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268" w:type="dxa"/>
            <w:vAlign w:val="center"/>
          </w:tcPr>
          <w:p>
            <w:pPr>
              <w:pStyle w:val="130"/>
              <w:jc w:val="center"/>
              <w:rPr>
                <w:bCs w:val="0"/>
                <w:color w:val="auto"/>
                <w:sz w:val="24"/>
                <w:szCs w:val="24"/>
                <w:highlight w:val="none"/>
                <w:lang w:val="en-US"/>
              </w:rPr>
            </w:pPr>
          </w:p>
        </w:tc>
        <w:tc>
          <w:tcPr>
            <w:tcW w:w="2977" w:type="dxa"/>
            <w:vAlign w:val="center"/>
          </w:tcPr>
          <w:p>
            <w:pPr>
              <w:pStyle w:val="130"/>
              <w:jc w:val="center"/>
              <w:rPr>
                <w:bCs w:val="0"/>
                <w:color w:val="auto"/>
                <w:sz w:val="24"/>
                <w:szCs w:val="24"/>
                <w:highlight w:val="none"/>
                <w:lang w:val="en-US"/>
              </w:rPr>
            </w:pPr>
          </w:p>
        </w:tc>
      </w:tr>
    </w:tbl>
    <w:p>
      <w:pPr>
        <w:spacing w:line="380" w:lineRule="exact"/>
        <w:rPr>
          <w:rFonts w:ascii="宋体" w:hAnsi="宋体"/>
          <w:color w:val="auto"/>
          <w:sz w:val="22"/>
          <w:szCs w:val="22"/>
          <w:highlight w:val="none"/>
        </w:rPr>
      </w:pPr>
      <w:r>
        <w:rPr>
          <w:rFonts w:hint="eastAsia" w:ascii="宋体" w:hAnsi="宋体"/>
          <w:color w:val="auto"/>
          <w:sz w:val="22"/>
          <w:szCs w:val="22"/>
          <w:highlight w:val="none"/>
        </w:rPr>
        <w:t>投标人（公章）：</w:t>
      </w:r>
    </w:p>
    <w:p>
      <w:pPr>
        <w:spacing w:line="380" w:lineRule="exact"/>
        <w:rPr>
          <w:rFonts w:ascii="宋体" w:hAnsi="宋体"/>
          <w:color w:val="auto"/>
          <w:sz w:val="22"/>
          <w:szCs w:val="22"/>
          <w:highlight w:val="none"/>
          <w:u w:val="single"/>
        </w:rPr>
      </w:pPr>
      <w:r>
        <w:rPr>
          <w:rFonts w:hint="eastAsia" w:ascii="宋体" w:hAnsi="宋体"/>
          <w:color w:val="auto"/>
          <w:sz w:val="22"/>
          <w:szCs w:val="22"/>
          <w:highlight w:val="none"/>
        </w:rPr>
        <w:t>投标人代表（签字或印章）：</w:t>
      </w:r>
    </w:p>
    <w:p>
      <w:pPr>
        <w:spacing w:line="380" w:lineRule="exact"/>
        <w:rPr>
          <w:rFonts w:ascii="宋体" w:hAnsi="宋体"/>
          <w:color w:val="auto"/>
          <w:sz w:val="22"/>
          <w:szCs w:val="22"/>
          <w:highlight w:val="none"/>
          <w:u w:val="single"/>
        </w:rPr>
      </w:pPr>
      <w:r>
        <w:rPr>
          <w:rFonts w:hint="eastAsia" w:ascii="宋体"/>
          <w:color w:val="auto"/>
          <w:sz w:val="22"/>
          <w:szCs w:val="22"/>
          <w:highlight w:val="none"/>
        </w:rPr>
        <w:t>日期：</w:t>
      </w:r>
    </w:p>
    <w:p>
      <w:pPr>
        <w:spacing w:after="120" w:afterLines="50"/>
        <w:jc w:val="center"/>
        <w:rPr>
          <w:rFonts w:ascii="宋体"/>
          <w:b/>
          <w:color w:val="auto"/>
          <w:sz w:val="24"/>
          <w:szCs w:val="24"/>
          <w:highlight w:val="none"/>
        </w:rPr>
      </w:pPr>
      <w:r>
        <w:rPr>
          <w:rFonts w:ascii="宋体" w:hAnsi="宋体"/>
          <w:b/>
          <w:color w:val="auto"/>
          <w:sz w:val="24"/>
          <w:szCs w:val="24"/>
          <w:highlight w:val="none"/>
        </w:rPr>
        <w:br w:type="page"/>
      </w:r>
      <w:r>
        <w:rPr>
          <w:rFonts w:hint="eastAsia" w:ascii="宋体" w:hAnsi="宋体"/>
          <w:b/>
          <w:color w:val="auto"/>
          <w:sz w:val="24"/>
          <w:szCs w:val="24"/>
          <w:highlight w:val="none"/>
        </w:rPr>
        <w:t>1.2投标人自2021年1月1日以来</w:t>
      </w:r>
      <w:r>
        <w:rPr>
          <w:rFonts w:hint="eastAsia" w:ascii="宋体" w:hAnsi="宋体"/>
          <w:b/>
          <w:color w:val="auto"/>
          <w:sz w:val="24"/>
          <w:szCs w:val="24"/>
          <w:highlight w:val="none"/>
          <w:lang w:val="en-US" w:eastAsia="zh-CN"/>
        </w:rPr>
        <w:t>类似</w:t>
      </w:r>
      <w:r>
        <w:rPr>
          <w:rFonts w:hint="eastAsia" w:ascii="宋体" w:hAnsi="宋体"/>
          <w:b/>
          <w:color w:val="auto"/>
          <w:sz w:val="24"/>
          <w:szCs w:val="24"/>
          <w:highlight w:val="none"/>
        </w:rPr>
        <w:t>项目业绩详细情况表</w:t>
      </w:r>
    </w:p>
    <w:p>
      <w:pPr>
        <w:spacing w:after="120" w:afterLines="50"/>
        <w:jc w:val="left"/>
        <w:rPr>
          <w:rFonts w:hint="eastAsia" w:ascii="宋体" w:hAnsi="宋体"/>
          <w:b/>
          <w:color w:val="auto"/>
          <w:sz w:val="24"/>
          <w:szCs w:val="24"/>
          <w:highlight w:val="none"/>
        </w:rPr>
      </w:pPr>
    </w:p>
    <w:p>
      <w:pPr>
        <w:spacing w:after="120" w:afterLines="50"/>
        <w:jc w:val="left"/>
        <w:rPr>
          <w:rFonts w:ascii="宋体"/>
          <w:b/>
          <w:color w:val="auto"/>
          <w:sz w:val="24"/>
          <w:szCs w:val="24"/>
          <w:highlight w:val="none"/>
        </w:rPr>
      </w:pPr>
      <w:r>
        <w:rPr>
          <w:rFonts w:hint="eastAsia" w:ascii="宋体" w:hAnsi="宋体"/>
          <w:b/>
          <w:color w:val="auto"/>
          <w:sz w:val="24"/>
          <w:szCs w:val="24"/>
          <w:highlight w:val="none"/>
        </w:rPr>
        <w:t>项目序号：</w:t>
      </w:r>
    </w:p>
    <w:tbl>
      <w:tblPr>
        <w:tblStyle w:val="38"/>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6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项目名称</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项目所在地</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发包人名称</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发包人地址</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发包人电话</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主要</w:t>
            </w:r>
            <w:r>
              <w:rPr>
                <w:rFonts w:hint="eastAsia"/>
                <w:bCs w:val="0"/>
                <w:color w:val="auto"/>
                <w:sz w:val="24"/>
                <w:szCs w:val="24"/>
                <w:highlight w:val="none"/>
                <w:lang w:val="en-US" w:eastAsia="zh-CN"/>
              </w:rPr>
              <w:t>供货</w:t>
            </w:r>
            <w:r>
              <w:rPr>
                <w:rFonts w:hint="eastAsia"/>
                <w:bCs w:val="0"/>
                <w:color w:val="auto"/>
                <w:sz w:val="24"/>
                <w:szCs w:val="24"/>
                <w:highlight w:val="none"/>
                <w:lang w:val="en-US"/>
              </w:rPr>
              <w:t>内容</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项目金额</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项目负责人</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eastAsia="zh-CN"/>
              </w:rPr>
              <w:t>合同签订时间</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完成情况</w:t>
            </w:r>
          </w:p>
        </w:tc>
        <w:tc>
          <w:tcPr>
            <w:tcW w:w="6169" w:type="dxa"/>
          </w:tcPr>
          <w:p>
            <w:pPr>
              <w:pStyle w:val="130"/>
              <w:spacing w:line="380" w:lineRule="exact"/>
              <w:rPr>
                <w:bCs w:val="0"/>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2750" w:type="dxa"/>
            <w:vAlign w:val="center"/>
          </w:tcPr>
          <w:p>
            <w:pPr>
              <w:pStyle w:val="130"/>
              <w:spacing w:line="380" w:lineRule="exact"/>
              <w:rPr>
                <w:bCs w:val="0"/>
                <w:color w:val="auto"/>
                <w:sz w:val="24"/>
                <w:szCs w:val="24"/>
                <w:highlight w:val="none"/>
                <w:lang w:val="en-US"/>
              </w:rPr>
            </w:pPr>
            <w:r>
              <w:rPr>
                <w:rFonts w:hint="eastAsia"/>
                <w:bCs w:val="0"/>
                <w:color w:val="auto"/>
                <w:sz w:val="24"/>
                <w:szCs w:val="24"/>
                <w:highlight w:val="none"/>
                <w:lang w:val="en-US"/>
              </w:rPr>
              <w:t>备注</w:t>
            </w:r>
          </w:p>
        </w:tc>
        <w:tc>
          <w:tcPr>
            <w:tcW w:w="6169" w:type="dxa"/>
          </w:tcPr>
          <w:p>
            <w:pPr>
              <w:pStyle w:val="130"/>
              <w:spacing w:line="380" w:lineRule="exact"/>
              <w:rPr>
                <w:bCs w:val="0"/>
                <w:color w:val="auto"/>
                <w:sz w:val="24"/>
                <w:szCs w:val="24"/>
                <w:highlight w:val="none"/>
                <w:lang w:val="en-US"/>
              </w:rPr>
            </w:pPr>
          </w:p>
        </w:tc>
      </w:tr>
    </w:tbl>
    <w:p>
      <w:pPr>
        <w:pStyle w:val="132"/>
        <w:spacing w:line="240" w:lineRule="atLeast"/>
        <w:rPr>
          <w:color w:val="auto"/>
          <w:sz w:val="24"/>
          <w:szCs w:val="24"/>
          <w:highlight w:val="none"/>
        </w:rPr>
      </w:pPr>
      <w:r>
        <w:rPr>
          <w:rFonts w:hint="eastAsia"/>
          <w:color w:val="auto"/>
          <w:sz w:val="24"/>
          <w:szCs w:val="24"/>
          <w:highlight w:val="none"/>
        </w:rPr>
        <w:t>注：</w:t>
      </w:r>
      <w:r>
        <w:rPr>
          <w:rFonts w:hint="eastAsia"/>
          <w:color w:val="auto"/>
          <w:spacing w:val="0"/>
          <w:kern w:val="2"/>
          <w:sz w:val="24"/>
          <w:szCs w:val="24"/>
          <w:highlight w:val="none"/>
          <w:lang w:val="en-US"/>
        </w:rPr>
        <w:t>本表应与表1.1“</w:t>
      </w:r>
      <w:r>
        <w:rPr>
          <w:rFonts w:hint="eastAsia"/>
          <w:b/>
          <w:color w:val="auto"/>
          <w:sz w:val="24"/>
          <w:szCs w:val="24"/>
          <w:highlight w:val="none"/>
        </w:rPr>
        <w:t>投标人自20</w:t>
      </w:r>
      <w:r>
        <w:rPr>
          <w:rFonts w:hint="eastAsia"/>
          <w:b/>
          <w:color w:val="auto"/>
          <w:sz w:val="24"/>
          <w:szCs w:val="24"/>
          <w:highlight w:val="none"/>
          <w:lang w:val="en-US"/>
        </w:rPr>
        <w:t>21</w:t>
      </w:r>
      <w:r>
        <w:rPr>
          <w:rFonts w:hint="eastAsia"/>
          <w:b/>
          <w:color w:val="auto"/>
          <w:sz w:val="24"/>
          <w:szCs w:val="24"/>
          <w:highlight w:val="none"/>
        </w:rPr>
        <w:t>年1月1日以来</w:t>
      </w:r>
      <w:r>
        <w:rPr>
          <w:rFonts w:hint="eastAsia"/>
          <w:b/>
          <w:color w:val="auto"/>
          <w:sz w:val="24"/>
          <w:szCs w:val="24"/>
          <w:highlight w:val="none"/>
          <w:lang w:val="en-US" w:eastAsia="zh-CN"/>
        </w:rPr>
        <w:t>类似</w:t>
      </w:r>
      <w:r>
        <w:rPr>
          <w:rFonts w:hint="eastAsia"/>
          <w:b/>
          <w:color w:val="auto"/>
          <w:sz w:val="24"/>
          <w:szCs w:val="24"/>
          <w:highlight w:val="none"/>
        </w:rPr>
        <w:t>项目业绩汇总表</w:t>
      </w:r>
      <w:r>
        <w:rPr>
          <w:rFonts w:hint="eastAsia"/>
          <w:color w:val="auto"/>
          <w:spacing w:val="0"/>
          <w:kern w:val="2"/>
          <w:sz w:val="24"/>
          <w:szCs w:val="24"/>
          <w:highlight w:val="none"/>
          <w:lang w:val="en-US"/>
        </w:rPr>
        <w:t>”相对应，</w:t>
      </w:r>
      <w:r>
        <w:rPr>
          <w:rFonts w:hint="eastAsia"/>
          <w:color w:val="auto"/>
          <w:sz w:val="24"/>
          <w:szCs w:val="24"/>
          <w:highlight w:val="none"/>
        </w:rPr>
        <w:t>后应附</w:t>
      </w:r>
      <w:r>
        <w:rPr>
          <w:rFonts w:hint="eastAsia"/>
          <w:b/>
          <w:color w:val="auto"/>
          <w:sz w:val="24"/>
          <w:szCs w:val="24"/>
          <w:highlight w:val="none"/>
        </w:rPr>
        <w:t>合同的复印件</w:t>
      </w:r>
      <w:r>
        <w:rPr>
          <w:rFonts w:hint="eastAsia"/>
          <w:color w:val="auto"/>
          <w:sz w:val="24"/>
          <w:szCs w:val="24"/>
          <w:highlight w:val="none"/>
        </w:rPr>
        <w:t>。</w:t>
      </w:r>
    </w:p>
    <w:p>
      <w:pPr>
        <w:spacing w:line="380" w:lineRule="exact"/>
        <w:rPr>
          <w:rFonts w:ascii="宋体" w:hAnsi="宋体"/>
          <w:color w:val="auto"/>
          <w:sz w:val="22"/>
          <w:szCs w:val="22"/>
          <w:highlight w:val="none"/>
        </w:rPr>
      </w:pPr>
    </w:p>
    <w:p>
      <w:pPr>
        <w:spacing w:line="380" w:lineRule="exact"/>
        <w:rPr>
          <w:rFonts w:ascii="宋体" w:hAnsi="宋体"/>
          <w:color w:val="auto"/>
          <w:sz w:val="22"/>
          <w:szCs w:val="22"/>
          <w:highlight w:val="none"/>
        </w:rPr>
      </w:pPr>
    </w:p>
    <w:p>
      <w:pPr>
        <w:spacing w:line="380" w:lineRule="exact"/>
        <w:rPr>
          <w:rFonts w:ascii="宋体" w:hAnsi="宋体"/>
          <w:color w:val="auto"/>
          <w:sz w:val="22"/>
          <w:szCs w:val="22"/>
          <w:highlight w:val="none"/>
        </w:rPr>
      </w:pPr>
      <w:r>
        <w:rPr>
          <w:rFonts w:hint="eastAsia" w:ascii="宋体" w:hAnsi="宋体"/>
          <w:color w:val="auto"/>
          <w:sz w:val="22"/>
          <w:szCs w:val="22"/>
          <w:highlight w:val="none"/>
        </w:rPr>
        <w:t>投标人（公章）：</w:t>
      </w:r>
    </w:p>
    <w:p>
      <w:pPr>
        <w:spacing w:line="380" w:lineRule="exact"/>
        <w:rPr>
          <w:rFonts w:ascii="宋体" w:hAnsi="宋体"/>
          <w:color w:val="auto"/>
          <w:sz w:val="22"/>
          <w:szCs w:val="22"/>
          <w:highlight w:val="none"/>
          <w:u w:val="single"/>
        </w:rPr>
      </w:pPr>
      <w:r>
        <w:rPr>
          <w:rFonts w:hint="eastAsia" w:ascii="宋体" w:hAnsi="宋体"/>
          <w:color w:val="auto"/>
          <w:sz w:val="22"/>
          <w:szCs w:val="22"/>
          <w:highlight w:val="none"/>
        </w:rPr>
        <w:t>投标人代表（签字或印章）：</w:t>
      </w:r>
    </w:p>
    <w:p>
      <w:pPr>
        <w:spacing w:line="380" w:lineRule="exact"/>
        <w:rPr>
          <w:rFonts w:ascii="宋体" w:hAnsi="宋体"/>
          <w:color w:val="auto"/>
          <w:sz w:val="22"/>
          <w:szCs w:val="22"/>
          <w:highlight w:val="none"/>
          <w:u w:val="single"/>
        </w:rPr>
      </w:pPr>
      <w:r>
        <w:rPr>
          <w:rFonts w:hint="eastAsia" w:ascii="宋体"/>
          <w:color w:val="auto"/>
          <w:sz w:val="22"/>
          <w:szCs w:val="22"/>
          <w:highlight w:val="none"/>
        </w:rPr>
        <w:t>日期：</w:t>
      </w:r>
    </w:p>
    <w:p>
      <w:pPr>
        <w:rPr>
          <w:color w:val="auto"/>
          <w:highlight w:val="none"/>
        </w:rPr>
      </w:pPr>
    </w:p>
    <w:p>
      <w:pPr>
        <w:rPr>
          <w:color w:val="auto"/>
          <w:highlight w:val="none"/>
        </w:rPr>
      </w:pPr>
    </w:p>
    <w:p>
      <w:pPr>
        <w:jc w:val="center"/>
        <w:rPr>
          <w:color w:val="auto"/>
          <w:highlight w:val="none"/>
        </w:rPr>
      </w:pPr>
    </w:p>
    <w:p>
      <w:pPr>
        <w:jc w:val="center"/>
        <w:rPr>
          <w:color w:val="auto"/>
          <w:highlight w:val="none"/>
        </w:rPr>
      </w:pPr>
    </w:p>
    <w:p>
      <w:pPr>
        <w:jc w:val="center"/>
        <w:rPr>
          <w:rFonts w:asciiTheme="minorEastAsia" w:hAnsiTheme="minorEastAsia" w:eastAsiaTheme="minorEastAsia"/>
          <w:b/>
          <w:color w:val="auto"/>
          <w:sz w:val="24"/>
          <w:szCs w:val="24"/>
          <w:highlight w:val="none"/>
        </w:rPr>
      </w:pPr>
      <w:r>
        <w:rPr>
          <w:rFonts w:ascii="宋体" w:hAnsi="宋体"/>
          <w:b/>
          <w:color w:val="auto"/>
          <w:sz w:val="24"/>
          <w:szCs w:val="24"/>
          <w:highlight w:val="none"/>
        </w:rPr>
        <w:br w:type="page"/>
      </w:r>
    </w:p>
    <w:p>
      <w:pPr>
        <w:spacing w:after="120" w:afterLines="50"/>
        <w:jc w:val="center"/>
        <w:rPr>
          <w:rFonts w:asciiTheme="minorEastAsia" w:hAnsiTheme="minorEastAsia" w:eastAsiaTheme="minorEastAsia"/>
          <w:b/>
          <w:color w:val="auto"/>
          <w:sz w:val="24"/>
          <w:szCs w:val="24"/>
          <w:highlight w:val="none"/>
        </w:rPr>
      </w:pPr>
    </w:p>
    <w:p>
      <w:pPr>
        <w:spacing w:after="120" w:afterLines="50"/>
        <w:jc w:val="center"/>
        <w:rPr>
          <w:rFonts w:hint="eastAsia" w:ascii="宋体" w:hAnsi="Times New Roman" w:eastAsia="宋体" w:cs="宋体"/>
          <w:b/>
          <w:bCs/>
          <w:color w:val="auto"/>
          <w:kern w:val="58"/>
          <w:sz w:val="24"/>
          <w:szCs w:val="24"/>
          <w:highlight w:val="none"/>
          <w:lang w:val="en-US" w:eastAsia="zh-CN" w:bidi="ar-SA"/>
        </w:rPr>
      </w:pPr>
      <w:r>
        <w:rPr>
          <w:rFonts w:hint="eastAsia" w:ascii="宋体" w:hAnsi="Times New Roman" w:eastAsia="宋体" w:cs="宋体"/>
          <w:b/>
          <w:bCs/>
          <w:color w:val="auto"/>
          <w:kern w:val="58"/>
          <w:sz w:val="24"/>
          <w:szCs w:val="24"/>
          <w:highlight w:val="none"/>
          <w:lang w:val="en-US" w:eastAsia="zh-CN" w:bidi="ar-SA"/>
        </w:rPr>
        <w:t>2、评分标准资料</w:t>
      </w:r>
    </w:p>
    <w:p>
      <w:pPr>
        <w:pStyle w:val="129"/>
        <w:ind w:firstLine="0" w:firstLineChars="0"/>
        <w:rPr>
          <w:color w:val="auto"/>
          <w:highlight w:val="none"/>
        </w:rPr>
      </w:pPr>
      <w:r>
        <w:rPr>
          <w:rFonts w:hint="eastAsia"/>
          <w:color w:val="auto"/>
          <w:highlight w:val="none"/>
        </w:rPr>
        <w:t>主要内容包括，但不限于(</w:t>
      </w:r>
      <w:r>
        <w:rPr>
          <w:rFonts w:hint="eastAsia"/>
          <w:b/>
          <w:bCs/>
          <w:color w:val="auto"/>
          <w:highlight w:val="none"/>
        </w:rPr>
        <w:t>根据“评分标准”中商务技术部分评分内容提供相关资料</w:t>
      </w:r>
      <w:r>
        <w:rPr>
          <w:rFonts w:hint="eastAsia"/>
          <w:color w:val="auto"/>
          <w:highlight w:val="none"/>
        </w:rPr>
        <w:t>)：</w:t>
      </w:r>
    </w:p>
    <w:p>
      <w:pPr>
        <w:pStyle w:val="17"/>
        <w:rPr>
          <w:color w:val="000000" w:themeColor="text1"/>
          <w:highlight w:val="none"/>
          <w14:textFill>
            <w14:solidFill>
              <w14:schemeClr w14:val="tx1"/>
            </w14:solidFill>
          </w14:textFill>
        </w:rPr>
      </w:pPr>
    </w:p>
    <w:p>
      <w:pPr>
        <w:pStyle w:val="153"/>
        <w:rPr>
          <w:rFonts w:hint="eastAsia"/>
          <w:highlight w:val="none"/>
          <w:lang w:eastAsia="zh-CN"/>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b/>
      </w:r>
    </w:p>
    <w:p>
      <w:pPr>
        <w:spacing w:before="120" w:beforeLines="50" w:after="120" w:afterLines="50" w:line="360" w:lineRule="auto"/>
        <w:jc w:val="both"/>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sectPr>
          <w:pgSz w:w="11907" w:h="16840"/>
          <w:pgMar w:top="1304" w:right="1588" w:bottom="1304" w:left="1588" w:header="720" w:footer="720" w:gutter="0"/>
          <w:pgBorders>
            <w:top w:val="none" w:sz="0" w:space="0"/>
            <w:left w:val="none" w:sz="0" w:space="0"/>
            <w:bottom w:val="none" w:sz="0" w:space="0"/>
            <w:right w:val="none" w:sz="0" w:space="0"/>
          </w:pgBorders>
          <w:cols w:space="720" w:num="1"/>
          <w:docGrid w:linePitch="285" w:charSpace="0"/>
        </w:sectPr>
      </w:pPr>
    </w:p>
    <w:p>
      <w:pPr>
        <w:spacing w:before="120" w:beforeLines="50" w:after="120" w:afterLines="50" w:line="360" w:lineRule="auto"/>
        <w:jc w:val="center"/>
        <w:rPr>
          <w:rFonts w:hAnsi="宋体"/>
          <w:b/>
          <w:bCs/>
          <w:color w:val="000000" w:themeColor="text1"/>
          <w:kern w:val="0"/>
          <w:highlight w:val="none"/>
          <w14:textFill>
            <w14:solidFill>
              <w14:schemeClr w14:val="tx1"/>
            </w14:solidFill>
          </w14:textFill>
        </w:rPr>
      </w:pPr>
    </w:p>
    <w:p>
      <w:pPr>
        <w:widowControl/>
        <w:spacing w:line="360" w:lineRule="auto"/>
        <w:jc w:val="left"/>
        <w:rPr>
          <w:rFonts w:ascii="宋体"/>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highlight w:val="none"/>
          <w14:textFill>
            <w14:solidFill>
              <w14:schemeClr w14:val="tx1"/>
            </w14:solidFill>
          </w14:textFill>
        </w:rPr>
        <w:t>报价文件组成：</w:t>
      </w:r>
    </w:p>
    <w:p>
      <w:pPr>
        <w:tabs>
          <w:tab w:val="left" w:pos="1418"/>
        </w:tabs>
        <w:spacing w:line="360" w:lineRule="auto"/>
        <w:ind w:firstLine="420" w:firstLineChars="200"/>
        <w:contextualSpacing/>
        <w:rPr>
          <w:rFonts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（1）</w:t>
      </w:r>
      <w:r>
        <w:rPr>
          <w:rFonts w:hint="eastAsia" w:asciiTheme="minorEastAsia" w:hAnsiTheme="minorEastAsia" w:eastAsiaTheme="minorEastAsia"/>
          <w:color w:val="000000" w:themeColor="text1"/>
          <w:highlight w:val="none"/>
          <w14:textFill>
            <w14:solidFill>
              <w14:schemeClr w14:val="tx1"/>
            </w14:solidFill>
          </w14:textFill>
        </w:rPr>
        <w:t>投标函；</w:t>
      </w:r>
    </w:p>
    <w:p>
      <w:pPr>
        <w:tabs>
          <w:tab w:val="left" w:pos="1418"/>
        </w:tabs>
        <w:spacing w:line="360" w:lineRule="auto"/>
        <w:ind w:firstLine="420" w:firstLineChars="200"/>
        <w:contextualSpacing/>
        <w:rPr>
          <w:rFonts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（2）</w:t>
      </w:r>
      <w:r>
        <w:rPr>
          <w:rFonts w:hint="eastAsia" w:asciiTheme="minorEastAsia" w:hAnsiTheme="minorEastAsia" w:eastAsiaTheme="minorEastAsia"/>
          <w:color w:val="000000" w:themeColor="text1"/>
          <w:highlight w:val="none"/>
          <w14:textFill>
            <w14:solidFill>
              <w14:schemeClr w14:val="tx1"/>
            </w14:solidFill>
          </w14:textFill>
        </w:rPr>
        <w:t>开标一览表；</w:t>
      </w:r>
    </w:p>
    <w:p>
      <w:pPr>
        <w:tabs>
          <w:tab w:val="left" w:pos="1418"/>
        </w:tabs>
        <w:spacing w:line="360" w:lineRule="auto"/>
        <w:ind w:firstLine="420" w:firstLineChars="200"/>
        <w:contextualSpacing/>
        <w:rPr>
          <w:rFonts w:asciiTheme="minorEastAsia" w:hAnsiTheme="minorEastAsia" w:eastAsiaTheme="minorEastAsia"/>
          <w:color w:val="000000" w:themeColor="text1"/>
          <w:highlight w:val="none"/>
          <w14:textFill>
            <w14:solidFill>
              <w14:schemeClr w14:val="tx1"/>
            </w14:solidFill>
          </w14:textFill>
        </w:rPr>
      </w:pPr>
      <w:r>
        <w:rPr>
          <w:rFonts w:hint="eastAsia" w:cs="宋体" w:asciiTheme="minorEastAsia" w:hAnsiTheme="minorEastAsia" w:eastAsiaTheme="minorEastAsia"/>
          <w:color w:val="000000" w:themeColor="text1"/>
          <w:kern w:val="0"/>
          <w:highlight w:val="none"/>
          <w14:textFill>
            <w14:solidFill>
              <w14:schemeClr w14:val="tx1"/>
            </w14:solidFill>
          </w14:textFill>
        </w:rPr>
        <w:t>（3）</w:t>
      </w:r>
      <w:r>
        <w:rPr>
          <w:rFonts w:hint="eastAsia" w:asciiTheme="minorEastAsia" w:hAnsiTheme="minorEastAsia" w:eastAsiaTheme="minorEastAsia"/>
          <w:color w:val="000000" w:themeColor="text1"/>
          <w:highlight w:val="none"/>
          <w14:textFill>
            <w14:solidFill>
              <w14:schemeClr w14:val="tx1"/>
            </w14:solidFill>
          </w14:textFill>
        </w:rPr>
        <w:t>投标分项报价表；</w:t>
      </w:r>
    </w:p>
    <w:p>
      <w:pPr>
        <w:tabs>
          <w:tab w:val="left" w:pos="1418"/>
        </w:tabs>
        <w:spacing w:line="360" w:lineRule="auto"/>
        <w:ind w:firstLine="420" w:firstLineChars="200"/>
        <w:contextualSpacing/>
        <w:rPr>
          <w:rFonts w:cs="宋体" w:asciiTheme="minorEastAsia" w:hAnsiTheme="minorEastAsia" w:eastAsiaTheme="minorEastAsia"/>
          <w:color w:val="000000" w:themeColor="text1"/>
          <w:kern w:val="0"/>
          <w:highlight w:val="none"/>
          <w14:textFill>
            <w14:solidFill>
              <w14:schemeClr w14:val="tx1"/>
            </w14:solidFill>
          </w14:textFill>
        </w:rPr>
      </w:pPr>
    </w:p>
    <w:p>
      <w:pPr>
        <w:tabs>
          <w:tab w:val="left" w:pos="1418"/>
        </w:tabs>
        <w:spacing w:line="360" w:lineRule="auto"/>
        <w:ind w:firstLine="420" w:firstLineChars="200"/>
        <w:contextualSpacing/>
        <w:rPr>
          <w:rFonts w:asciiTheme="minorEastAsia" w:hAnsiTheme="minorEastAsia" w:eastAsiaTheme="minorEastAsia"/>
          <w:color w:val="000000" w:themeColor="text1"/>
          <w:highlight w:val="none"/>
          <w14:textFill>
            <w14:solidFill>
              <w14:schemeClr w14:val="tx1"/>
            </w14:solidFill>
          </w14:textFill>
        </w:rPr>
      </w:pPr>
    </w:p>
    <w:p>
      <w:pPr>
        <w:pStyle w:val="2"/>
        <w:spacing w:line="380" w:lineRule="exact"/>
        <w:rPr>
          <w:rFonts w:asciiTheme="minorEastAsia" w:hAnsiTheme="minorEastAsia" w:eastAsiaTheme="minorEastAsia"/>
          <w:bCs w:val="0"/>
          <w:color w:val="000000" w:themeColor="text1"/>
          <w:sz w:val="24"/>
          <w:szCs w:val="24"/>
          <w:highlight w:val="none"/>
          <w14:textFill>
            <w14:solidFill>
              <w14:schemeClr w14:val="tx1"/>
            </w14:solidFill>
          </w14:textFill>
        </w:rPr>
      </w:pPr>
    </w:p>
    <w:p>
      <w:pPr>
        <w:widowControl/>
        <w:jc w:val="left"/>
        <w:rPr>
          <w:rFonts w:asciiTheme="minorEastAsia" w:hAnsiTheme="minorEastAsia" w:eastAsiaTheme="minorEastAsia"/>
          <w:b/>
          <w:color w:val="000000" w:themeColor="text1"/>
          <w:sz w:val="24"/>
          <w:szCs w:val="24"/>
          <w:highlight w:val="none"/>
          <w14:textFill>
            <w14:solidFill>
              <w14:schemeClr w14:val="tx1"/>
            </w14:solidFill>
          </w14:textFill>
        </w:rPr>
      </w:pPr>
      <w:r>
        <w:rPr>
          <w:rFonts w:asciiTheme="minorEastAsia" w:hAnsiTheme="minorEastAsia" w:eastAsiaTheme="minorEastAsia"/>
          <w:bCs/>
          <w:color w:val="000000" w:themeColor="text1"/>
          <w:sz w:val="24"/>
          <w:szCs w:val="24"/>
          <w:highlight w:val="none"/>
          <w14:textFill>
            <w14:solidFill>
              <w14:schemeClr w14:val="tx1"/>
            </w14:solidFill>
          </w14:textFill>
        </w:rPr>
        <w:br w:type="page"/>
      </w:r>
    </w:p>
    <w:p>
      <w:pPr>
        <w:pStyle w:val="2"/>
        <w:spacing w:line="380" w:lineRule="exact"/>
        <w:rPr>
          <w:rFonts w:asciiTheme="minorEastAsia" w:hAnsiTheme="minorEastAsia" w:eastAsiaTheme="minorEastAsia"/>
          <w:b w:val="0"/>
          <w:color w:val="000000" w:themeColor="text1"/>
          <w:sz w:val="28"/>
          <w:szCs w:val="28"/>
          <w:highlight w:val="none"/>
          <w14:textFill>
            <w14:solidFill>
              <w14:schemeClr w14:val="tx1"/>
            </w14:solidFill>
          </w14:textFill>
        </w:rPr>
      </w:pPr>
      <w:bookmarkStart w:id="231" w:name="_Toc141797144"/>
      <w:bookmarkStart w:id="232" w:name="_Toc9564"/>
      <w:bookmarkStart w:id="233" w:name="_Toc141797700"/>
      <w:bookmarkStart w:id="234" w:name="_Toc9816"/>
      <w:r>
        <w:rPr>
          <w:rFonts w:hint="eastAsia" w:asciiTheme="minorEastAsia" w:hAnsiTheme="minorEastAsia" w:eastAsiaTheme="minorEastAsia"/>
          <w:bCs w:val="0"/>
          <w:color w:val="000000" w:themeColor="text1"/>
          <w:sz w:val="28"/>
          <w:szCs w:val="28"/>
          <w:highlight w:val="none"/>
          <w14:textFill>
            <w14:solidFill>
              <w14:schemeClr w14:val="tx1"/>
            </w14:solidFill>
          </w14:textFill>
        </w:rPr>
        <w:t>（一） 投 标 函</w:t>
      </w:r>
      <w:bookmarkEnd w:id="231"/>
      <w:bookmarkEnd w:id="232"/>
      <w:bookmarkEnd w:id="233"/>
      <w:bookmarkEnd w:id="234"/>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u w:val="single"/>
          <w14:textFill>
            <w14:solidFill>
              <w14:schemeClr w14:val="tx1"/>
            </w14:solidFill>
          </w14:textFill>
        </w:rPr>
        <w:t xml:space="preserve">   致</w:t>
      </w: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 xml:space="preserve">（采购人） </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18"/>
        <w:ind w:firstLine="0"/>
        <w:rPr>
          <w:rFonts w:asciiTheme="minorEastAsia" w:hAnsiTheme="minorEastAsia" w:eastAsia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 xml:space="preserve"> （投标人全称）</w:t>
      </w: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参加贵方组织的 </w:t>
      </w: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（招标编号、招标项目名称）</w:t>
      </w:r>
      <w:r>
        <w:rPr>
          <w:rFonts w:hint="eastAsia" w:asciiTheme="minorEastAsia" w:hAnsiTheme="minorEastAsia" w:eastAsiaTheme="minorEastAsia"/>
          <w:color w:val="000000" w:themeColor="text1"/>
          <w:sz w:val="21"/>
          <w:szCs w:val="21"/>
          <w:highlight w:val="none"/>
          <w14:textFill>
            <w14:solidFill>
              <w14:schemeClr w14:val="tx1"/>
            </w14:solidFill>
          </w14:textFill>
        </w:rPr>
        <w:t>招投标活动，代表本公司处理招投标活动中的一切事宜，现对</w:t>
      </w:r>
      <w:r>
        <w:rPr>
          <w:rFonts w:hint="eastAsia" w:asciiTheme="minorEastAsia" w:hAnsiTheme="minorEastAsia" w:eastAsiaTheme="minorEastAsia"/>
          <w:i/>
          <w:color w:val="000000" w:themeColor="text1"/>
          <w:sz w:val="21"/>
          <w:szCs w:val="21"/>
          <w:highlight w:val="none"/>
          <w:u w:val="single"/>
          <w14:textFill>
            <w14:solidFill>
              <w14:schemeClr w14:val="tx1"/>
            </w14:solidFill>
          </w14:textFill>
        </w:rPr>
        <w:t>（项目名称）</w:t>
      </w:r>
      <w:r>
        <w:rPr>
          <w:rFonts w:hint="eastAsia" w:asciiTheme="minorEastAsia" w:hAnsiTheme="minorEastAsia" w:eastAsiaTheme="minorEastAsia"/>
          <w:color w:val="000000" w:themeColor="text1"/>
          <w:sz w:val="21"/>
          <w:szCs w:val="21"/>
          <w:highlight w:val="none"/>
          <w14:textFill>
            <w14:solidFill>
              <w14:schemeClr w14:val="tx1"/>
            </w14:solidFill>
          </w14:textFill>
        </w:rPr>
        <w:t>进行投标，在此：</w:t>
      </w:r>
    </w:p>
    <w:p>
      <w:pPr>
        <w:pStyle w:val="18"/>
        <w:numPr>
          <w:ilvl w:val="0"/>
          <w:numId w:val="10"/>
        </w:numPr>
        <w:tabs>
          <w:tab w:val="left" w:pos="525"/>
        </w:tabs>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提供招标文件中“投标人须知”规定的全部投标文件。</w:t>
      </w:r>
    </w:p>
    <w:p>
      <w:pPr>
        <w:pStyle w:val="18"/>
        <w:tabs>
          <w:tab w:val="left" w:pos="525"/>
        </w:tabs>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2、据此函，签字代表宣布并承诺如下：</w:t>
      </w:r>
    </w:p>
    <w:p>
      <w:pPr>
        <w:pStyle w:val="18"/>
        <w:numPr>
          <w:ilvl w:val="0"/>
          <w:numId w:val="11"/>
        </w:numP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投标总价为（大写）：人民币</w:t>
      </w:r>
      <w:r>
        <w:rPr>
          <w:rFonts w:hint="eastAsia" w:asciiTheme="minorEastAsia" w:hAnsiTheme="minorEastAsia" w:eastAsia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1"/>
          <w:szCs w:val="21"/>
          <w:highlight w:val="none"/>
          <w14:textFill>
            <w14:solidFill>
              <w14:schemeClr w14:val="tx1"/>
            </w14:solidFill>
          </w14:textFill>
        </w:rPr>
        <w:t>元。</w:t>
      </w:r>
    </w:p>
    <w:p>
      <w:pPr>
        <w:pStyle w:val="18"/>
        <w:ind w:firstLine="420" w:firstLineChars="20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本报价已经包含了所供货物及服务应纳的税金及招标文件规定的报价方式应包含的其它费用。本报价在投标有效期内固定不变，并在合同有效期内不受利率波动的影响。</w:t>
      </w:r>
    </w:p>
    <w:p>
      <w:pPr>
        <w:pStyle w:val="18"/>
        <w:numPr>
          <w:ilvl w:val="0"/>
          <w:numId w:val="11"/>
        </w:numP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本投标自开标之日起90天内有效。</w:t>
      </w:r>
    </w:p>
    <w:p>
      <w:pPr>
        <w:pStyle w:val="18"/>
        <w:numPr>
          <w:ilvl w:val="0"/>
          <w:numId w:val="11"/>
        </w:numP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我们已详细审查全部招标文件及有关的澄清/修改文件(若有的话)，我们完全理解并同意放弃对这方面提出任何异议的权利，保证遵守招标文件有关条款规定。</w:t>
      </w:r>
    </w:p>
    <w:p>
      <w:pPr>
        <w:pStyle w:val="18"/>
        <w:numPr>
          <w:ilvl w:val="0"/>
          <w:numId w:val="11"/>
        </w:numP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保证遵守招标文件有关条款规定。</w:t>
      </w:r>
    </w:p>
    <w:p>
      <w:pPr>
        <w:pStyle w:val="18"/>
        <w:numPr>
          <w:ilvl w:val="0"/>
          <w:numId w:val="11"/>
        </w:numP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保证在中标后忠实地执行与采购人所签署的合同，并承担合同规定的责任义务。保证在中标后按照招标文件的规定支付中标服务费。</w:t>
      </w:r>
    </w:p>
    <w:p>
      <w:pPr>
        <w:pStyle w:val="18"/>
        <w:numPr>
          <w:ilvl w:val="0"/>
          <w:numId w:val="11"/>
        </w:numP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承诺应贵方要求提供任何与该项目投标有关的数据、情况和技术资料。</w:t>
      </w:r>
    </w:p>
    <w:p>
      <w:pPr>
        <w:pStyle w:val="18"/>
        <w:numPr>
          <w:ilvl w:val="0"/>
          <w:numId w:val="11"/>
        </w:numP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我们承诺，与为采购人采购本项目进行设计、编制规范和其他文件所委托的咨询公司或其附属机构无任何直接或间接的关联。</w:t>
      </w:r>
    </w:p>
    <w:p>
      <w:pPr>
        <w:pStyle w:val="18"/>
        <w:numPr>
          <w:ilvl w:val="0"/>
          <w:numId w:val="11"/>
        </w:numP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我们郑重声明：我公司符合政府采购法规定的参加采购活动应当具备的条件：具有独立承担民事责任的能力、具有良好的商业信誉和健全的财务会计制度、具有履行合同所必需的设备和专业技术能力、有依法缴纳税收和社会保障资金的良好记录、参加本次采购活动前的三年内，在经营活动中没有重大违法记录。</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1"/>
          <w:szCs w:val="21"/>
          <w:highlight w:val="none"/>
          <w14:textFill>
            <w14:solidFill>
              <w14:schemeClr w14:val="tx1"/>
            </w14:solidFill>
          </w14:textFill>
        </w:rPr>
        <w:t>、与本投标有关的一切往来通讯请寄：</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地址：</w:t>
      </w:r>
    </w:p>
    <w:p>
      <w:pPr>
        <w:pStyle w:val="18"/>
        <w:ind w:firstLine="0"/>
        <w:rPr>
          <w:rFonts w:asciiTheme="minorEastAsia" w:hAnsiTheme="minorEastAsia" w:eastAsia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邮编：</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 w:val="21"/>
          <w:szCs w:val="21"/>
          <w:highlight w:val="none"/>
          <w14:textFill>
            <w14:solidFill>
              <w14:schemeClr w14:val="tx1"/>
            </w14:solidFill>
          </w14:textFill>
        </w:rPr>
        <w:t>电话：</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 w:val="21"/>
          <w:szCs w:val="21"/>
          <w:highlight w:val="none"/>
          <w14:textFill>
            <w14:solidFill>
              <w14:schemeClr w14:val="tx1"/>
            </w14:solidFill>
          </w14:textFill>
        </w:rPr>
        <w:t>传真：</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投标人（公章）：                  投标人代表（签字或印章）：</w:t>
      </w:r>
    </w:p>
    <w:p>
      <w:pPr>
        <w:pStyle w:val="18"/>
        <w:tabs>
          <w:tab w:val="left" w:pos="4841"/>
        </w:tabs>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 xml:space="preserve">                                           日      期：     年   月   日</w:t>
      </w:r>
    </w:p>
    <w:p>
      <w:pPr>
        <w:pStyle w:val="18"/>
        <w:tabs>
          <w:tab w:val="left" w:pos="4841"/>
        </w:tabs>
        <w:ind w:firstLine="0"/>
        <w:rPr>
          <w:rFonts w:asciiTheme="minorEastAsia" w:hAnsiTheme="minorEastAsia" w:eastAsiaTheme="minorEastAsia"/>
          <w:color w:val="000000" w:themeColor="text1"/>
          <w:sz w:val="21"/>
          <w:szCs w:val="21"/>
          <w:highlight w:val="none"/>
          <w14:textFill>
            <w14:solidFill>
              <w14:schemeClr w14:val="tx1"/>
            </w14:solidFill>
          </w14:textFill>
        </w:rPr>
      </w:pPr>
    </w:p>
    <w:p>
      <w:pPr>
        <w:pStyle w:val="2"/>
        <w:spacing w:line="380" w:lineRule="exact"/>
        <w:rPr>
          <w:rFonts w:asciiTheme="minorEastAsia" w:hAnsiTheme="minorEastAsia" w:eastAsiaTheme="minorEastAsia"/>
          <w:bCs w:val="0"/>
          <w:color w:val="000000" w:themeColor="text1"/>
          <w:sz w:val="28"/>
          <w:szCs w:val="28"/>
          <w:highlight w:val="none"/>
          <w14:textFill>
            <w14:solidFill>
              <w14:schemeClr w14:val="tx1"/>
            </w14:solidFill>
          </w14:textFill>
        </w:rPr>
      </w:pPr>
      <w:r>
        <w:rPr>
          <w:rFonts w:asciiTheme="minorEastAsia" w:hAnsiTheme="minorEastAsia" w:eastAsiaTheme="minorEastAsia"/>
          <w:bCs w:val="0"/>
          <w:color w:val="000000" w:themeColor="text1"/>
          <w:sz w:val="24"/>
          <w:szCs w:val="24"/>
          <w:highlight w:val="none"/>
          <w14:textFill>
            <w14:solidFill>
              <w14:schemeClr w14:val="tx1"/>
            </w14:solidFill>
          </w14:textFill>
        </w:rPr>
        <w:br w:type="page"/>
      </w:r>
      <w:bookmarkStart w:id="235" w:name="_Toc9707"/>
      <w:bookmarkStart w:id="236" w:name="_Toc141797145"/>
      <w:bookmarkStart w:id="237" w:name="_Toc141797701"/>
      <w:bookmarkStart w:id="238" w:name="_Toc30738"/>
      <w:r>
        <w:rPr>
          <w:rFonts w:hint="eastAsia" w:asciiTheme="minorEastAsia" w:hAnsiTheme="minorEastAsia" w:eastAsiaTheme="minorEastAsia"/>
          <w:bCs w:val="0"/>
          <w:color w:val="000000" w:themeColor="text1"/>
          <w:sz w:val="28"/>
          <w:szCs w:val="28"/>
          <w:highlight w:val="none"/>
          <w14:textFill>
            <w14:solidFill>
              <w14:schemeClr w14:val="tx1"/>
            </w14:solidFill>
          </w14:textFill>
        </w:rPr>
        <w:t>（二）开标一览表</w:t>
      </w:r>
      <w:bookmarkEnd w:id="235"/>
      <w:bookmarkEnd w:id="236"/>
      <w:bookmarkEnd w:id="237"/>
      <w:bookmarkEnd w:id="238"/>
    </w:p>
    <w:p>
      <w:pPr>
        <w:spacing w:line="400" w:lineRule="exact"/>
        <w:ind w:left="525"/>
        <w:rPr>
          <w:rFonts w:asciiTheme="minorEastAsia" w:hAnsiTheme="minorEastAsia" w:eastAsiaTheme="minorEastAsia"/>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80" w:lineRule="exact"/>
        <w:ind w:firstLine="0" w:firstLineChars="0"/>
        <w:jc w:val="left"/>
        <w:textAlignment w:val="auto"/>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项目名称：</w:t>
      </w:r>
    </w:p>
    <w:p>
      <w:pPr>
        <w:keepNext w:val="0"/>
        <w:keepLines w:val="0"/>
        <w:pageBreakBefore w:val="0"/>
        <w:widowControl w:val="0"/>
        <w:kinsoku/>
        <w:wordWrap/>
        <w:overflowPunct/>
        <w:topLinePunct w:val="0"/>
        <w:autoSpaceDE/>
        <w:autoSpaceDN/>
        <w:bidi w:val="0"/>
        <w:adjustRightInd/>
        <w:snapToGrid/>
        <w:spacing w:line="380" w:lineRule="exact"/>
        <w:ind w:firstLine="0" w:firstLineChars="0"/>
        <w:jc w:val="left"/>
        <w:textAlignment w:val="auto"/>
        <w:rPr>
          <w:rFonts w:hint="eastAsia"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招标编号：</w:t>
      </w:r>
    </w:p>
    <w:tbl>
      <w:tblPr>
        <w:tblStyle w:val="38"/>
        <w:tblW w:w="91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791"/>
        <w:gridCol w:w="2831"/>
        <w:gridCol w:w="2582"/>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jc w:val="center"/>
              <w:rPr>
                <w:rFonts w:cs="宋体" w:asciiTheme="minorEastAsia" w:hAnsiTheme="minorEastAsia" w:eastAsiaTheme="minorEastAsia"/>
                <w:i/>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标项</w:t>
            </w:r>
          </w:p>
        </w:tc>
        <w:tc>
          <w:tcPr>
            <w:tcW w:w="1791"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jc w:val="center"/>
              <w:rPr>
                <w:rFonts w:cs="宋体" w:asciiTheme="minorEastAsia" w:hAnsiTheme="minorEastAsia" w:eastAsiaTheme="minorEastAsia"/>
                <w:color w:val="000000" w:themeColor="text1"/>
                <w:sz w:val="24"/>
                <w:highlight w:val="none"/>
                <w14:textFill>
                  <w14:solidFill>
                    <w14:schemeClr w14:val="tx1"/>
                  </w14:solidFill>
                </w14:textFill>
              </w:rPr>
            </w:pPr>
            <w:r>
              <w:rPr>
                <w:rFonts w:cs="宋体" w:asciiTheme="minorEastAsia" w:hAnsiTheme="minorEastAsia" w:eastAsiaTheme="minorEastAsia"/>
                <w:color w:val="000000" w:themeColor="text1"/>
                <w:sz w:val="24"/>
                <w:highlight w:val="none"/>
                <w14:textFill>
                  <w14:solidFill>
                    <w14:schemeClr w14:val="tx1"/>
                  </w14:solidFill>
                </w14:textFill>
              </w:rPr>
              <w:t>项目内容</w:t>
            </w:r>
          </w:p>
        </w:tc>
        <w:tc>
          <w:tcPr>
            <w:tcW w:w="2831"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jc w:val="center"/>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投标总价</w:t>
            </w:r>
            <w:r>
              <w:rPr>
                <w:rFonts w:cs="宋体" w:asciiTheme="minorEastAsia" w:hAnsiTheme="minorEastAsia" w:eastAsiaTheme="minorEastAsia"/>
                <w:color w:val="000000" w:themeColor="text1"/>
                <w:sz w:val="24"/>
                <w:highlight w:val="none"/>
                <w14:textFill>
                  <w14:solidFill>
                    <w14:schemeClr w14:val="tx1"/>
                  </w14:solidFill>
                </w14:textFill>
              </w:rPr>
              <w:t>（单位：元）</w:t>
            </w:r>
          </w:p>
        </w:tc>
        <w:tc>
          <w:tcPr>
            <w:tcW w:w="2582"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jc w:val="center"/>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合同履约期限</w:t>
            </w:r>
          </w:p>
        </w:tc>
        <w:tc>
          <w:tcPr>
            <w:tcW w:w="1275" w:type="dxa"/>
            <w:tcBorders>
              <w:top w:val="single" w:color="000000" w:sz="4" w:space="0"/>
              <w:left w:val="single" w:color="000000" w:sz="4" w:space="0"/>
              <w:bottom w:val="single" w:color="000000" w:sz="4" w:space="0"/>
              <w:right w:val="single" w:color="000000" w:sz="4" w:space="0"/>
            </w:tcBorders>
            <w:shd w:val="clear" w:color="auto" w:fill="EEECE1" w:themeFill="background2"/>
            <w:vAlign w:val="center"/>
          </w:tcPr>
          <w:p>
            <w:pPr>
              <w:jc w:val="center"/>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投标声明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jc w:val="center"/>
        </w:trPr>
        <w:tc>
          <w:tcPr>
            <w:tcW w:w="709" w:type="dxa"/>
            <w:tcBorders>
              <w:top w:val="single" w:color="000000" w:sz="4" w:space="0"/>
              <w:left w:val="single" w:color="000000" w:sz="4" w:space="0"/>
              <w:right w:val="single" w:color="000000" w:sz="4" w:space="0"/>
            </w:tcBorders>
            <w:vAlign w:val="center"/>
          </w:tcPr>
          <w:p>
            <w:pPr>
              <w:jc w:val="center"/>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1</w:t>
            </w:r>
          </w:p>
        </w:tc>
        <w:tc>
          <w:tcPr>
            <w:tcW w:w="1791" w:type="dxa"/>
            <w:tcBorders>
              <w:top w:val="single" w:color="000000" w:sz="4" w:space="0"/>
              <w:left w:val="single" w:color="000000" w:sz="4" w:space="0"/>
              <w:bottom w:val="single" w:color="000000" w:sz="4" w:space="0"/>
              <w:right w:val="single" w:color="000000" w:sz="4" w:space="0"/>
            </w:tcBorders>
            <w:vAlign w:val="center"/>
          </w:tcPr>
          <w:p>
            <w:pPr>
              <w:snapToGrid w:val="0"/>
              <w:spacing w:line="26" w:lineRule="atLeast"/>
              <w:jc w:val="center"/>
              <w:rPr>
                <w:rFonts w:cs="宋体" w:asciiTheme="minorEastAsia" w:hAnsiTheme="minorEastAsia" w:eastAsiaTheme="minorEastAsia"/>
                <w:color w:val="000000" w:themeColor="text1"/>
                <w:sz w:val="24"/>
                <w:highlight w:val="none"/>
                <w14:textFill>
                  <w14:solidFill>
                    <w14:schemeClr w14:val="tx1"/>
                  </w14:solidFill>
                </w14:textFill>
              </w:rPr>
            </w:pPr>
          </w:p>
        </w:tc>
        <w:tc>
          <w:tcPr>
            <w:tcW w:w="2831" w:type="dxa"/>
            <w:tcBorders>
              <w:top w:val="single" w:color="000000" w:sz="4" w:space="0"/>
              <w:left w:val="single" w:color="000000" w:sz="4" w:space="0"/>
              <w:bottom w:val="single" w:color="000000" w:sz="4" w:space="0"/>
              <w:right w:val="single" w:color="000000" w:sz="4" w:space="0"/>
            </w:tcBorders>
            <w:vAlign w:val="center"/>
          </w:tcPr>
          <w:p>
            <w:pPr>
              <w:snapToGrid w:val="0"/>
              <w:spacing w:line="26" w:lineRule="atLeas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大</w:t>
            </w:r>
            <w:r>
              <w:rPr>
                <w:rFonts w:asciiTheme="minorEastAsia" w:hAnsiTheme="minorEastAsia" w:eastAsiaTheme="minorEastAsia"/>
                <w:color w:val="000000" w:themeColor="text1"/>
                <w:highlight w:val="none"/>
                <w14:textFill>
                  <w14:solidFill>
                    <w14:schemeClr w14:val="tx1"/>
                  </w14:solidFill>
                </w14:textFill>
              </w:rPr>
              <w:t>写</w:t>
            </w:r>
            <w:r>
              <w:rPr>
                <w:rFonts w:hint="eastAsia" w:asciiTheme="minorEastAsia" w:hAnsiTheme="minorEastAsia" w:eastAsiaTheme="minorEastAsia"/>
                <w:color w:val="000000" w:themeColor="text1"/>
                <w:highlight w:val="none"/>
                <w14:textFill>
                  <w14:solidFill>
                    <w14:schemeClr w14:val="tx1"/>
                  </w14:solidFill>
                </w14:textFill>
              </w:rPr>
              <w:t>：</w:t>
            </w:r>
          </w:p>
          <w:p>
            <w:pPr>
              <w:snapToGrid w:val="0"/>
              <w:spacing w:line="26" w:lineRule="atLeast"/>
              <w:ind w:firstLine="210" w:firstLineChars="100"/>
              <w:rPr>
                <w:rFonts w:asciiTheme="minorEastAsia" w:hAnsiTheme="minorEastAsia" w:eastAsiaTheme="minorEastAsia"/>
                <w:color w:val="000000" w:themeColor="text1"/>
                <w:highlight w:val="none"/>
                <w14:textFill>
                  <w14:solidFill>
                    <w14:schemeClr w14:val="tx1"/>
                  </w14:solidFill>
                </w14:textFill>
              </w:rPr>
            </w:pPr>
          </w:p>
          <w:p>
            <w:pPr>
              <w:snapToGrid w:val="0"/>
              <w:spacing w:line="26" w:lineRule="atLeas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小写：¥</w:t>
            </w:r>
          </w:p>
        </w:tc>
        <w:tc>
          <w:tcPr>
            <w:tcW w:w="2582" w:type="dxa"/>
            <w:tcBorders>
              <w:top w:val="single" w:color="000000" w:sz="4" w:space="0"/>
              <w:left w:val="single" w:color="000000" w:sz="4" w:space="0"/>
              <w:right w:val="single" w:color="000000" w:sz="4" w:space="0"/>
            </w:tcBorders>
            <w:vAlign w:val="center"/>
          </w:tcPr>
          <w:p>
            <w:pPr>
              <w:snapToGrid w:val="0"/>
              <w:spacing w:line="26" w:lineRule="atLeast"/>
              <w:jc w:val="center"/>
              <w:rPr>
                <w:rFonts w:asciiTheme="minorEastAsia" w:hAnsiTheme="minorEastAsia" w:eastAsiaTheme="minorEastAsia"/>
                <w:color w:val="000000" w:themeColor="text1"/>
                <w:highlight w:val="none"/>
                <w14:textFill>
                  <w14:solidFill>
                    <w14:schemeClr w14:val="tx1"/>
                  </w14:solidFill>
                </w14:textFill>
              </w:rPr>
            </w:pPr>
          </w:p>
        </w:tc>
        <w:tc>
          <w:tcPr>
            <w:tcW w:w="1275" w:type="dxa"/>
            <w:tcBorders>
              <w:top w:val="single" w:color="000000" w:sz="4" w:space="0"/>
              <w:left w:val="single" w:color="000000" w:sz="4" w:space="0"/>
              <w:right w:val="single" w:color="000000" w:sz="4" w:space="0"/>
            </w:tcBorders>
            <w:vAlign w:val="center"/>
          </w:tcPr>
          <w:p>
            <w:pPr>
              <w:jc w:val="center"/>
              <w:rPr>
                <w:rFonts w:cs="宋体" w:asciiTheme="minorEastAsia" w:hAnsiTheme="minorEastAsia" w:eastAsiaTheme="minorEastAsia"/>
                <w:color w:val="000000" w:themeColor="text1"/>
                <w:sz w:val="24"/>
                <w:highlight w:val="none"/>
                <w14:textFill>
                  <w14:solidFill>
                    <w14:schemeClr w14:val="tx1"/>
                  </w14:solidFill>
                </w14:textFill>
              </w:rPr>
            </w:pPr>
          </w:p>
        </w:tc>
      </w:tr>
    </w:tbl>
    <w:p>
      <w:pPr>
        <w:spacing w:line="380" w:lineRule="exact"/>
        <w:rPr>
          <w:rFonts w:asciiTheme="minorEastAsia" w:hAnsiTheme="minorEastAsia" w:eastAsiaTheme="minorEastAsia"/>
          <w:color w:val="000000" w:themeColor="text1"/>
          <w:highlight w:val="none"/>
          <w:u w:val="single"/>
          <w14:textFill>
            <w14:solidFill>
              <w14:schemeClr w14:val="tx1"/>
            </w14:solidFill>
          </w14:textFill>
        </w:rPr>
      </w:pPr>
    </w:p>
    <w:p>
      <w:pPr>
        <w:spacing w:line="380" w:lineRule="exact"/>
        <w:rPr>
          <w:rFonts w:asciiTheme="minorEastAsia" w:hAnsiTheme="minorEastAsia" w:eastAsiaTheme="minorEastAsia"/>
          <w:color w:val="000000" w:themeColor="text1"/>
          <w:highlight w:val="none"/>
          <w14:textFill>
            <w14:solidFill>
              <w14:schemeClr w14:val="tx1"/>
            </w14:solidFill>
          </w14:textFill>
        </w:rPr>
      </w:pPr>
    </w:p>
    <w:p>
      <w:pPr>
        <w:spacing w:line="38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  标  人（公章）：</w:t>
      </w:r>
    </w:p>
    <w:p>
      <w:pPr>
        <w:spacing w:line="380" w:lineRule="exact"/>
        <w:rPr>
          <w:rFonts w:asciiTheme="minorEastAsia" w:hAnsiTheme="minorEastAsia" w:eastAsiaTheme="minorEastAsia"/>
          <w:color w:val="000000" w:themeColor="text1"/>
          <w:highlight w:val="none"/>
          <w14:textFill>
            <w14:solidFill>
              <w14:schemeClr w14:val="tx1"/>
            </w14:solidFill>
          </w14:textFill>
        </w:rPr>
      </w:pPr>
    </w:p>
    <w:p>
      <w:pPr>
        <w:spacing w:line="38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投标人代表（签字或印章）：</w:t>
      </w:r>
    </w:p>
    <w:p>
      <w:pPr>
        <w:spacing w:line="380" w:lineRule="exact"/>
        <w:rPr>
          <w:rFonts w:asciiTheme="minorEastAsia" w:hAnsiTheme="minorEastAsia" w:eastAsiaTheme="minorEastAsia"/>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sectPr>
          <w:pgSz w:w="11907" w:h="16840"/>
          <w:pgMar w:top="1304" w:right="1588" w:bottom="1304" w:left="1588" w:header="720" w:footer="720" w:gutter="0"/>
          <w:pgBorders>
            <w:top w:val="none" w:sz="0" w:space="0"/>
            <w:left w:val="none" w:sz="0" w:space="0"/>
            <w:bottom w:val="none" w:sz="0" w:space="0"/>
            <w:right w:val="none" w:sz="0" w:space="0"/>
          </w:pgBorders>
          <w:cols w:space="720" w:num="1"/>
          <w:docGrid w:linePitch="285" w:charSpace="0"/>
        </w:sectPr>
      </w:pPr>
      <w:r>
        <w:rPr>
          <w:rFonts w:hint="eastAsia" w:asciiTheme="minorEastAsia" w:hAnsiTheme="minorEastAsia" w:eastAsiaTheme="minorEastAsia"/>
          <w:color w:val="000000" w:themeColor="text1"/>
          <w:highlight w:val="none"/>
          <w14:textFill>
            <w14:solidFill>
              <w14:schemeClr w14:val="tx1"/>
            </w14:solidFill>
          </w14:textFill>
        </w:rPr>
        <w:t>日期：年   月   日</w:t>
      </w:r>
    </w:p>
    <w:p>
      <w:pPr>
        <w:jc w:val="center"/>
        <w:rPr>
          <w:rFonts w:hint="eastAsia" w:eastAsia="宋体"/>
          <w:b/>
          <w:color w:val="000000" w:themeColor="text1"/>
          <w:sz w:val="28"/>
          <w:szCs w:val="28"/>
          <w:highlight w:val="none"/>
          <w:lang w:eastAsia="zh-CN"/>
          <w14:textFill>
            <w14:solidFill>
              <w14:schemeClr w14:val="tx1"/>
            </w14:solidFill>
          </w14:textFill>
        </w:rPr>
      </w:pPr>
      <w:r>
        <w:rPr>
          <w:rFonts w:hint="eastAsia"/>
          <w:b/>
          <w:color w:val="000000" w:themeColor="text1"/>
          <w:sz w:val="28"/>
          <w:szCs w:val="28"/>
          <w:highlight w:val="none"/>
          <w14:textFill>
            <w14:solidFill>
              <w14:schemeClr w14:val="tx1"/>
            </w14:solidFill>
          </w14:textFill>
        </w:rPr>
        <w:t>（三）</w:t>
      </w:r>
      <w:r>
        <w:rPr>
          <w:rFonts w:hint="eastAsia"/>
          <w:b/>
          <w:color w:val="000000" w:themeColor="text1"/>
          <w:sz w:val="28"/>
          <w:szCs w:val="28"/>
          <w:highlight w:val="none"/>
          <w:lang w:val="en-US" w:eastAsia="zh-CN"/>
          <w14:textFill>
            <w14:solidFill>
              <w14:schemeClr w14:val="tx1"/>
            </w14:solidFill>
          </w14:textFill>
        </w:rPr>
        <w:t>-1</w:t>
      </w:r>
      <w:r>
        <w:rPr>
          <w:rFonts w:hint="eastAsia"/>
          <w:b/>
          <w:color w:val="000000" w:themeColor="text1"/>
          <w:sz w:val="28"/>
          <w:szCs w:val="28"/>
          <w:highlight w:val="none"/>
          <w14:textFill>
            <w14:solidFill>
              <w14:schemeClr w14:val="tx1"/>
            </w14:solidFill>
          </w14:textFill>
        </w:rPr>
        <w:t>投标分项报价表</w:t>
      </w:r>
      <w:r>
        <w:rPr>
          <w:rFonts w:hint="eastAsia"/>
          <w:b/>
          <w:color w:val="000000" w:themeColor="text1"/>
          <w:sz w:val="28"/>
          <w:szCs w:val="28"/>
          <w:highlight w:val="none"/>
          <w:lang w:eastAsia="zh-CN"/>
          <w14:textFill>
            <w14:solidFill>
              <w14:schemeClr w14:val="tx1"/>
            </w14:solidFill>
          </w14:textFill>
        </w:rPr>
        <w:t>（中心机房扩建</w:t>
      </w:r>
      <w:r>
        <w:rPr>
          <w:rFonts w:hint="eastAsia"/>
          <w:b/>
          <w:color w:val="000000" w:themeColor="text1"/>
          <w:sz w:val="28"/>
          <w:szCs w:val="28"/>
          <w:highlight w:val="none"/>
          <w:lang w:val="en-US" w:eastAsia="zh-CN"/>
          <w14:textFill>
            <w14:solidFill>
              <w14:schemeClr w14:val="tx1"/>
            </w14:solidFill>
          </w14:textFill>
        </w:rPr>
        <w:t>部分</w:t>
      </w:r>
      <w:r>
        <w:rPr>
          <w:rFonts w:hint="eastAsia"/>
          <w:b/>
          <w:color w:val="000000" w:themeColor="text1"/>
          <w:sz w:val="28"/>
          <w:szCs w:val="28"/>
          <w:highlight w:val="none"/>
          <w:lang w:eastAsia="zh-CN"/>
          <w14:textFill>
            <w14:solidFill>
              <w14:schemeClr w14:val="tx1"/>
            </w14:solidFill>
          </w14:textFill>
        </w:rPr>
        <w:t>）</w:t>
      </w:r>
    </w:p>
    <w:p>
      <w:pPr>
        <w:spacing w:line="380" w:lineRule="exact"/>
        <w:rPr>
          <w:rFonts w:asciiTheme="minorEastAsia" w:hAnsiTheme="minorEastAsia" w:eastAsiaTheme="minorEastAsia"/>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项目名称：                                 </w:t>
      </w:r>
      <w:r>
        <w:rPr>
          <w:rFonts w:hint="eastAsia" w:ascii="宋体" w:hAnsi="宋体"/>
          <w:color w:val="000000" w:themeColor="text1"/>
          <w:highlight w:val="none"/>
          <w:lang w:val="en-US" w:eastAsia="zh-CN"/>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招标编号：</w:t>
      </w:r>
    </w:p>
    <w:tbl>
      <w:tblPr>
        <w:tblStyle w:val="38"/>
        <w:tblW w:w="885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56"/>
        <w:gridCol w:w="1880"/>
        <w:gridCol w:w="2662"/>
        <w:gridCol w:w="1085"/>
        <w:gridCol w:w="757"/>
        <w:gridCol w:w="855"/>
        <w:gridCol w:w="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1" w:hRule="atLeast"/>
        </w:trPr>
        <w:tc>
          <w:tcPr>
            <w:tcW w:w="7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p>
        </w:tc>
        <w:tc>
          <w:tcPr>
            <w:tcW w:w="108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单价</w:t>
            </w: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1" w:hRule="atLeast"/>
        </w:trPr>
        <w:tc>
          <w:tcPr>
            <w:tcW w:w="7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8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6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8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1" w:hRule="atLeast"/>
        </w:trPr>
        <w:tc>
          <w:tcPr>
            <w:tcW w:w="7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8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6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8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1" w:hRule="atLeast"/>
        </w:trPr>
        <w:tc>
          <w:tcPr>
            <w:tcW w:w="7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8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6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8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1" w:hRule="atLeast"/>
        </w:trPr>
        <w:tc>
          <w:tcPr>
            <w:tcW w:w="7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8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6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8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tcPr>
            <w:tcW w:w="7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8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6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8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tcPr>
            <w:tcW w:w="7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8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6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8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1" w:hRule="atLeast"/>
        </w:trPr>
        <w:tc>
          <w:tcPr>
            <w:tcW w:w="7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8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6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8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5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8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trPr>
        <w:tc>
          <w:tcPr>
            <w:tcW w:w="5298"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szCs w:val="21"/>
              </w:rPr>
              <w:t>中心机房扩建</w:t>
            </w:r>
            <w:r>
              <w:rPr>
                <w:rFonts w:hint="eastAsia"/>
                <w:szCs w:val="21"/>
                <w:lang w:val="en-US" w:eastAsia="zh-CN"/>
              </w:rPr>
              <w:t>部分</w:t>
            </w:r>
            <w:r>
              <w:rPr>
                <w:szCs w:val="21"/>
              </w:rPr>
              <w:t>投标报价合计（大写）（人民币）</w:t>
            </w:r>
          </w:p>
        </w:tc>
        <w:tc>
          <w:tcPr>
            <w:tcW w:w="3552"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pPr>
        <w:widowControl/>
        <w:spacing w:line="360" w:lineRule="auto"/>
        <w:jc w:val="left"/>
        <w:rPr>
          <w:sz w:val="24"/>
        </w:rPr>
      </w:pPr>
    </w:p>
    <w:p>
      <w:pPr>
        <w:widowControl/>
        <w:spacing w:line="360" w:lineRule="auto"/>
        <w:jc w:val="left"/>
        <w:rPr>
          <w:sz w:val="24"/>
        </w:rPr>
      </w:pPr>
    </w:p>
    <w:p>
      <w:pPr>
        <w:widowControl/>
        <w:spacing w:line="360" w:lineRule="auto"/>
        <w:jc w:val="left"/>
        <w:rPr>
          <w:sz w:val="24"/>
        </w:rPr>
      </w:pPr>
      <w:r>
        <w:rPr>
          <w:sz w:val="24"/>
        </w:rPr>
        <w:t>投标人（盖章）：</w:t>
      </w:r>
    </w:p>
    <w:p>
      <w:pPr>
        <w:pStyle w:val="18"/>
        <w:snapToGrid w:val="0"/>
        <w:spacing w:line="360" w:lineRule="auto"/>
        <w:ind w:firstLine="0"/>
        <w:rPr>
          <w:rFonts w:ascii="Times New Roman"/>
          <w:spacing w:val="0"/>
          <w:sz w:val="24"/>
          <w:szCs w:val="24"/>
        </w:rPr>
      </w:pPr>
      <w:r>
        <w:rPr>
          <w:rFonts w:ascii="Times New Roman"/>
          <w:spacing w:val="0"/>
          <w:sz w:val="24"/>
          <w:szCs w:val="24"/>
        </w:rPr>
        <w:t>法定代表人或其授权代表（签字或盖章）：</w:t>
      </w:r>
    </w:p>
    <w:p>
      <w:pPr>
        <w:rPr>
          <w:szCs w:val="21"/>
        </w:rPr>
      </w:pPr>
      <w:r>
        <w:rPr>
          <w:sz w:val="24"/>
        </w:rPr>
        <w:t>日期：</w:t>
      </w:r>
    </w:p>
    <w:p>
      <w:pPr>
        <w:jc w:val="center"/>
        <w:rPr>
          <w:rFonts w:hint="eastAsia"/>
          <w:b/>
          <w:color w:val="000000" w:themeColor="text1"/>
          <w:sz w:val="28"/>
          <w:szCs w:val="28"/>
          <w:highlight w:val="none"/>
          <w14:textFill>
            <w14:solidFill>
              <w14:schemeClr w14:val="tx1"/>
            </w14:solidFill>
          </w14:textFill>
        </w:rPr>
        <w:sectPr>
          <w:pgSz w:w="11907" w:h="16840"/>
          <w:pgMar w:top="1304" w:right="1588" w:bottom="1304" w:left="1588" w:header="720" w:footer="720" w:gutter="0"/>
          <w:pgBorders>
            <w:top w:val="none" w:sz="0" w:space="0"/>
            <w:left w:val="none" w:sz="0" w:space="0"/>
            <w:bottom w:val="none" w:sz="0" w:space="0"/>
            <w:right w:val="none" w:sz="0" w:space="0"/>
          </w:pgBorders>
          <w:cols w:space="720" w:num="1"/>
          <w:docGrid w:linePitch="286" w:charSpace="0"/>
        </w:sectPr>
      </w:pPr>
    </w:p>
    <w:p>
      <w:pPr>
        <w:pStyle w:val="47"/>
        <w:rPr>
          <w:rFonts w:hint="eastAsia"/>
        </w:rPr>
      </w:pPr>
    </w:p>
    <w:p>
      <w:pPr>
        <w:numPr>
          <w:ilvl w:val="0"/>
          <w:numId w:val="3"/>
        </w:numPr>
        <w:ind w:firstLine="562" w:firstLineChars="200"/>
        <w:jc w:val="center"/>
        <w:rPr>
          <w:rFonts w:hint="eastAsia"/>
          <w:b/>
          <w:color w:val="000000" w:themeColor="text1"/>
          <w:sz w:val="28"/>
          <w:szCs w:val="28"/>
          <w:highlight w:val="none"/>
          <w:lang w:eastAsia="zh-CN"/>
          <w14:textFill>
            <w14:solidFill>
              <w14:schemeClr w14:val="tx1"/>
            </w14:solidFill>
          </w14:textFill>
        </w:rPr>
      </w:pPr>
      <w:r>
        <w:rPr>
          <w:rFonts w:hint="eastAsia"/>
          <w:b/>
          <w:color w:val="000000" w:themeColor="text1"/>
          <w:sz w:val="28"/>
          <w:szCs w:val="28"/>
          <w:highlight w:val="none"/>
          <w:lang w:val="en-US" w:eastAsia="zh-CN"/>
          <w14:textFill>
            <w14:solidFill>
              <w14:schemeClr w14:val="tx1"/>
            </w14:solidFill>
          </w14:textFill>
        </w:rPr>
        <w:t>-2</w:t>
      </w:r>
      <w:r>
        <w:rPr>
          <w:rFonts w:hint="eastAsia"/>
          <w:b/>
          <w:color w:val="000000" w:themeColor="text1"/>
          <w:sz w:val="28"/>
          <w:szCs w:val="28"/>
          <w:highlight w:val="none"/>
          <w14:textFill>
            <w14:solidFill>
              <w14:schemeClr w14:val="tx1"/>
            </w14:solidFill>
          </w14:textFill>
        </w:rPr>
        <w:t>投标分项报价表</w:t>
      </w:r>
      <w:r>
        <w:rPr>
          <w:rFonts w:hint="eastAsia"/>
          <w:b/>
          <w:color w:val="000000" w:themeColor="text1"/>
          <w:sz w:val="28"/>
          <w:szCs w:val="28"/>
          <w:highlight w:val="none"/>
          <w:lang w:eastAsia="zh-CN"/>
          <w14:textFill>
            <w14:solidFill>
              <w14:schemeClr w14:val="tx1"/>
            </w14:solidFill>
          </w14:textFill>
        </w:rPr>
        <w:t>（基础支撑体系集约化</w:t>
      </w:r>
      <w:r>
        <w:rPr>
          <w:rFonts w:hint="eastAsia"/>
          <w:b/>
          <w:color w:val="000000" w:themeColor="text1"/>
          <w:sz w:val="28"/>
          <w:szCs w:val="28"/>
          <w:highlight w:val="none"/>
          <w:lang w:val="en-US" w:eastAsia="zh-CN"/>
          <w14:textFill>
            <w14:solidFill>
              <w14:schemeClr w14:val="tx1"/>
            </w14:solidFill>
          </w14:textFill>
        </w:rPr>
        <w:t>部分</w:t>
      </w:r>
      <w:r>
        <w:rPr>
          <w:rFonts w:hint="eastAsia"/>
          <w:b/>
          <w:color w:val="000000" w:themeColor="text1"/>
          <w:sz w:val="28"/>
          <w:szCs w:val="28"/>
          <w:highlight w:val="none"/>
          <w:lang w:eastAsia="zh-CN"/>
          <w14:textFill>
            <w14:solidFill>
              <w14:schemeClr w14:val="tx1"/>
            </w14:solidFill>
          </w14:textFill>
        </w:rPr>
        <w:t>）</w:t>
      </w:r>
    </w:p>
    <w:p>
      <w:pPr>
        <w:spacing w:line="380" w:lineRule="exact"/>
        <w:rPr>
          <w:rFonts w:asciiTheme="minorEastAsia" w:hAnsiTheme="minorEastAsia" w:eastAsiaTheme="minorEastAsia"/>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项目名称：                                 </w:t>
      </w:r>
      <w:r>
        <w:rPr>
          <w:rFonts w:hint="eastAsia" w:ascii="宋体" w:hAnsi="宋体"/>
          <w:color w:val="000000" w:themeColor="text1"/>
          <w:highlight w:val="none"/>
          <w:lang w:val="en-US" w:eastAsia="zh-CN"/>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招标编号：</w:t>
      </w:r>
    </w:p>
    <w:p>
      <w:pPr>
        <w:pStyle w:val="47"/>
        <w:numPr>
          <w:ilvl w:val="-1"/>
          <w:numId w:val="0"/>
        </w:numPr>
        <w:ind w:firstLine="0" w:firstLineChars="0"/>
        <w:rPr>
          <w:rFonts w:hint="eastAsia"/>
          <w:lang w:eastAsia="zh-CN"/>
        </w:rPr>
      </w:pPr>
    </w:p>
    <w:tbl>
      <w:tblPr>
        <w:tblStyle w:val="38"/>
        <w:tblW w:w="1407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54"/>
        <w:gridCol w:w="1665"/>
        <w:gridCol w:w="1369"/>
        <w:gridCol w:w="1690"/>
        <w:gridCol w:w="1518"/>
        <w:gridCol w:w="1293"/>
        <w:gridCol w:w="1170"/>
        <w:gridCol w:w="1369"/>
        <w:gridCol w:w="1564"/>
        <w:gridCol w:w="14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pPr>
              <w:jc w:val="center"/>
              <w:rPr>
                <w:szCs w:val="21"/>
              </w:rPr>
            </w:pPr>
            <w:r>
              <w:rPr>
                <w:szCs w:val="21"/>
              </w:rPr>
              <w:t>序号</w:t>
            </w:r>
          </w:p>
        </w:tc>
        <w:tc>
          <w:tcPr>
            <w:tcW w:w="1665" w:type="dxa"/>
            <w:vAlign w:val="center"/>
          </w:tcPr>
          <w:p>
            <w:pPr>
              <w:jc w:val="center"/>
              <w:rPr>
                <w:szCs w:val="21"/>
              </w:rPr>
            </w:pPr>
            <w:r>
              <w:rPr>
                <w:szCs w:val="21"/>
              </w:rPr>
              <w:t>名称</w:t>
            </w:r>
          </w:p>
        </w:tc>
        <w:tc>
          <w:tcPr>
            <w:tcW w:w="1369" w:type="dxa"/>
            <w:vAlign w:val="center"/>
          </w:tcPr>
          <w:p>
            <w:pPr>
              <w:jc w:val="center"/>
              <w:rPr>
                <w:szCs w:val="21"/>
              </w:rPr>
            </w:pPr>
            <w:r>
              <w:rPr>
                <w:szCs w:val="21"/>
              </w:rPr>
              <w:t>品牌</w:t>
            </w:r>
          </w:p>
        </w:tc>
        <w:tc>
          <w:tcPr>
            <w:tcW w:w="1690" w:type="dxa"/>
            <w:vAlign w:val="center"/>
          </w:tcPr>
          <w:p>
            <w:pPr>
              <w:jc w:val="center"/>
              <w:rPr>
                <w:szCs w:val="21"/>
              </w:rPr>
            </w:pPr>
            <w:r>
              <w:rPr>
                <w:szCs w:val="21"/>
              </w:rPr>
              <w:t>规格/型号</w:t>
            </w:r>
          </w:p>
        </w:tc>
        <w:tc>
          <w:tcPr>
            <w:tcW w:w="1518" w:type="dxa"/>
            <w:vAlign w:val="center"/>
          </w:tcPr>
          <w:p>
            <w:pPr>
              <w:jc w:val="center"/>
              <w:rPr>
                <w:szCs w:val="21"/>
              </w:rPr>
            </w:pPr>
            <w:r>
              <w:rPr>
                <w:szCs w:val="21"/>
              </w:rPr>
              <w:t>数量单位</w:t>
            </w:r>
          </w:p>
        </w:tc>
        <w:tc>
          <w:tcPr>
            <w:tcW w:w="1293" w:type="dxa"/>
            <w:vAlign w:val="center"/>
          </w:tcPr>
          <w:p>
            <w:pPr>
              <w:jc w:val="center"/>
              <w:rPr>
                <w:szCs w:val="21"/>
              </w:rPr>
            </w:pPr>
            <w:r>
              <w:rPr>
                <w:szCs w:val="21"/>
              </w:rPr>
              <w:t>数量</w:t>
            </w:r>
          </w:p>
        </w:tc>
        <w:tc>
          <w:tcPr>
            <w:tcW w:w="1170" w:type="dxa"/>
            <w:vAlign w:val="center"/>
          </w:tcPr>
          <w:p>
            <w:pPr>
              <w:jc w:val="center"/>
              <w:rPr>
                <w:szCs w:val="21"/>
              </w:rPr>
            </w:pPr>
            <w:r>
              <w:rPr>
                <w:szCs w:val="21"/>
              </w:rPr>
              <w:t>单价</w:t>
            </w:r>
          </w:p>
        </w:tc>
        <w:tc>
          <w:tcPr>
            <w:tcW w:w="1369" w:type="dxa"/>
            <w:vAlign w:val="center"/>
          </w:tcPr>
          <w:p>
            <w:pPr>
              <w:jc w:val="center"/>
              <w:rPr>
                <w:szCs w:val="21"/>
              </w:rPr>
            </w:pPr>
            <w:r>
              <w:rPr>
                <w:szCs w:val="21"/>
              </w:rPr>
              <w:t>总价</w:t>
            </w:r>
          </w:p>
        </w:tc>
        <w:tc>
          <w:tcPr>
            <w:tcW w:w="1564" w:type="dxa"/>
            <w:vAlign w:val="center"/>
          </w:tcPr>
          <w:p>
            <w:pPr>
              <w:jc w:val="center"/>
              <w:rPr>
                <w:szCs w:val="21"/>
              </w:rPr>
            </w:pPr>
            <w:r>
              <w:rPr>
                <w:szCs w:val="21"/>
              </w:rPr>
              <w:t>交货日期</w:t>
            </w:r>
          </w:p>
        </w:tc>
        <w:tc>
          <w:tcPr>
            <w:tcW w:w="1483" w:type="dxa"/>
            <w:vAlign w:val="center"/>
          </w:tcPr>
          <w:p>
            <w:pPr>
              <w:jc w:val="center"/>
              <w:rPr>
                <w:szCs w:val="21"/>
              </w:rPr>
            </w:pPr>
            <w:r>
              <w:rPr>
                <w:szCs w:val="21"/>
              </w:rPr>
              <w:t>交货地点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tc>
        <w:tc>
          <w:tcPr>
            <w:tcW w:w="1665" w:type="dxa"/>
            <w:vAlign w:val="center"/>
          </w:tcPr>
          <w:p>
            <w:pPr>
              <w:jc w:val="center"/>
              <w:textAlignment w:val="center"/>
              <w:rPr>
                <w:sz w:val="20"/>
                <w:szCs w:val="20"/>
              </w:rPr>
            </w:pPr>
          </w:p>
        </w:tc>
        <w:tc>
          <w:tcPr>
            <w:tcW w:w="1369" w:type="dxa"/>
            <w:vAlign w:val="center"/>
          </w:tcPr>
          <w:p/>
        </w:tc>
        <w:tc>
          <w:tcPr>
            <w:tcW w:w="1690" w:type="dxa"/>
            <w:vAlign w:val="center"/>
          </w:tcPr>
          <w:p/>
        </w:tc>
        <w:tc>
          <w:tcPr>
            <w:tcW w:w="1518" w:type="dxa"/>
            <w:vAlign w:val="center"/>
          </w:tcPr>
          <w:p/>
        </w:tc>
        <w:tc>
          <w:tcPr>
            <w:tcW w:w="1293" w:type="dxa"/>
            <w:vAlign w:val="center"/>
          </w:tc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tc>
        <w:tc>
          <w:tcPr>
            <w:tcW w:w="1665" w:type="dxa"/>
            <w:vAlign w:val="center"/>
          </w:tcPr>
          <w:p>
            <w:pPr>
              <w:jc w:val="center"/>
              <w:textAlignment w:val="center"/>
              <w:rPr>
                <w:sz w:val="20"/>
                <w:szCs w:val="20"/>
              </w:rPr>
            </w:pPr>
          </w:p>
        </w:tc>
        <w:tc>
          <w:tcPr>
            <w:tcW w:w="1369" w:type="dxa"/>
            <w:vAlign w:val="center"/>
          </w:tcPr>
          <w:p/>
        </w:tc>
        <w:tc>
          <w:tcPr>
            <w:tcW w:w="1690" w:type="dxa"/>
            <w:vAlign w:val="center"/>
          </w:tcPr>
          <w:p/>
        </w:tc>
        <w:tc>
          <w:tcPr>
            <w:tcW w:w="1518" w:type="dxa"/>
            <w:vAlign w:val="center"/>
          </w:tcPr>
          <w:p/>
        </w:tc>
        <w:tc>
          <w:tcPr>
            <w:tcW w:w="1293" w:type="dxa"/>
            <w:vAlign w:val="center"/>
          </w:tc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tc>
        <w:tc>
          <w:tcPr>
            <w:tcW w:w="1665" w:type="dxa"/>
            <w:vAlign w:val="center"/>
          </w:tcPr>
          <w:p>
            <w:pPr>
              <w:jc w:val="center"/>
              <w:textAlignment w:val="center"/>
              <w:rPr>
                <w:sz w:val="20"/>
                <w:szCs w:val="20"/>
              </w:rPr>
            </w:pPr>
          </w:p>
        </w:tc>
        <w:tc>
          <w:tcPr>
            <w:tcW w:w="1369" w:type="dxa"/>
            <w:vAlign w:val="center"/>
          </w:tcPr>
          <w:p/>
        </w:tc>
        <w:tc>
          <w:tcPr>
            <w:tcW w:w="1690" w:type="dxa"/>
            <w:vAlign w:val="center"/>
          </w:tcPr>
          <w:p/>
        </w:tc>
        <w:tc>
          <w:tcPr>
            <w:tcW w:w="1518" w:type="dxa"/>
            <w:vAlign w:val="center"/>
          </w:tcPr>
          <w:p/>
        </w:tc>
        <w:tc>
          <w:tcPr>
            <w:tcW w:w="1293" w:type="dxa"/>
            <w:vAlign w:val="center"/>
          </w:tc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tc>
        <w:tc>
          <w:tcPr>
            <w:tcW w:w="1665" w:type="dxa"/>
            <w:vAlign w:val="center"/>
          </w:tcPr>
          <w:p>
            <w:pPr>
              <w:jc w:val="center"/>
              <w:textAlignment w:val="center"/>
              <w:rPr>
                <w:sz w:val="20"/>
                <w:szCs w:val="20"/>
              </w:rPr>
            </w:pPr>
          </w:p>
        </w:tc>
        <w:tc>
          <w:tcPr>
            <w:tcW w:w="1369" w:type="dxa"/>
            <w:vAlign w:val="center"/>
          </w:tcPr>
          <w:p/>
        </w:tc>
        <w:tc>
          <w:tcPr>
            <w:tcW w:w="1690" w:type="dxa"/>
            <w:vAlign w:val="center"/>
          </w:tcPr>
          <w:p/>
        </w:tc>
        <w:tc>
          <w:tcPr>
            <w:tcW w:w="1518" w:type="dxa"/>
            <w:vAlign w:val="center"/>
          </w:tcPr>
          <w:p/>
        </w:tc>
        <w:tc>
          <w:tcPr>
            <w:tcW w:w="1293" w:type="dxa"/>
            <w:vAlign w:val="center"/>
          </w:tc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tc>
        <w:tc>
          <w:tcPr>
            <w:tcW w:w="1665" w:type="dxa"/>
            <w:vAlign w:val="center"/>
          </w:tcPr>
          <w:p>
            <w:pPr>
              <w:jc w:val="center"/>
              <w:textAlignment w:val="center"/>
              <w:rPr>
                <w:sz w:val="20"/>
                <w:szCs w:val="20"/>
              </w:rPr>
            </w:pPr>
          </w:p>
        </w:tc>
        <w:tc>
          <w:tcPr>
            <w:tcW w:w="1369" w:type="dxa"/>
            <w:vAlign w:val="center"/>
          </w:tcPr>
          <w:p/>
        </w:tc>
        <w:tc>
          <w:tcPr>
            <w:tcW w:w="1690" w:type="dxa"/>
            <w:vAlign w:val="center"/>
          </w:tcPr>
          <w:p/>
        </w:tc>
        <w:tc>
          <w:tcPr>
            <w:tcW w:w="1518" w:type="dxa"/>
            <w:vAlign w:val="center"/>
          </w:tcPr>
          <w:p/>
        </w:tc>
        <w:tc>
          <w:tcPr>
            <w:tcW w:w="1293" w:type="dxa"/>
            <w:vAlign w:val="center"/>
          </w:tc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tc>
        <w:tc>
          <w:tcPr>
            <w:tcW w:w="1665" w:type="dxa"/>
            <w:vAlign w:val="center"/>
          </w:tcPr>
          <w:p>
            <w:pPr>
              <w:jc w:val="center"/>
              <w:textAlignment w:val="center"/>
              <w:rPr>
                <w:sz w:val="20"/>
                <w:szCs w:val="20"/>
              </w:rPr>
            </w:pPr>
          </w:p>
        </w:tc>
        <w:tc>
          <w:tcPr>
            <w:tcW w:w="1369" w:type="dxa"/>
            <w:vAlign w:val="center"/>
          </w:tcPr>
          <w:p/>
        </w:tc>
        <w:tc>
          <w:tcPr>
            <w:tcW w:w="1690" w:type="dxa"/>
            <w:vAlign w:val="center"/>
          </w:tcPr>
          <w:p/>
        </w:tc>
        <w:tc>
          <w:tcPr>
            <w:tcW w:w="1518" w:type="dxa"/>
            <w:vAlign w:val="center"/>
          </w:tcPr>
          <w:p/>
        </w:tc>
        <w:tc>
          <w:tcPr>
            <w:tcW w:w="1293" w:type="dxa"/>
            <w:vAlign w:val="center"/>
          </w:tc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tc>
        <w:tc>
          <w:tcPr>
            <w:tcW w:w="1665" w:type="dxa"/>
            <w:vAlign w:val="center"/>
          </w:tcPr>
          <w:p>
            <w:pPr>
              <w:jc w:val="center"/>
              <w:textAlignment w:val="center"/>
              <w:rPr>
                <w:sz w:val="20"/>
                <w:szCs w:val="20"/>
              </w:rPr>
            </w:pPr>
          </w:p>
        </w:tc>
        <w:tc>
          <w:tcPr>
            <w:tcW w:w="1369" w:type="dxa"/>
            <w:vAlign w:val="center"/>
          </w:tcPr>
          <w:p/>
        </w:tc>
        <w:tc>
          <w:tcPr>
            <w:tcW w:w="1690" w:type="dxa"/>
            <w:vAlign w:val="center"/>
          </w:tcPr>
          <w:p/>
        </w:tc>
        <w:tc>
          <w:tcPr>
            <w:tcW w:w="1518" w:type="dxa"/>
            <w:vAlign w:val="center"/>
          </w:tcPr>
          <w:p/>
        </w:tc>
        <w:tc>
          <w:tcPr>
            <w:tcW w:w="1293" w:type="dxa"/>
            <w:vAlign w:val="center"/>
          </w:tc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tc>
        <w:tc>
          <w:tcPr>
            <w:tcW w:w="1665" w:type="dxa"/>
            <w:vAlign w:val="center"/>
          </w:tcPr>
          <w:p>
            <w:pPr>
              <w:widowControl/>
              <w:jc w:val="center"/>
              <w:textAlignment w:val="center"/>
              <w:rPr>
                <w:sz w:val="20"/>
                <w:szCs w:val="20"/>
              </w:rPr>
            </w:pPr>
          </w:p>
        </w:tc>
        <w:tc>
          <w:tcPr>
            <w:tcW w:w="1369" w:type="dxa"/>
            <w:vAlign w:val="center"/>
          </w:tcPr>
          <w:p/>
        </w:tc>
        <w:tc>
          <w:tcPr>
            <w:tcW w:w="1690" w:type="dxa"/>
            <w:vAlign w:val="center"/>
          </w:tcPr>
          <w:p/>
        </w:tc>
        <w:tc>
          <w:tcPr>
            <w:tcW w:w="1518" w:type="dxa"/>
            <w:vAlign w:val="center"/>
          </w:tcPr>
          <w:p/>
        </w:tc>
        <w:tc>
          <w:tcPr>
            <w:tcW w:w="1293" w:type="dxa"/>
            <w:vAlign w:val="center"/>
          </w:tc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3" w:hRule="atLeast"/>
          <w:jc w:val="center"/>
        </w:trPr>
        <w:tc>
          <w:tcPr>
            <w:tcW w:w="954" w:type="dxa"/>
            <w:vAlign w:val="center"/>
          </w:tcPr>
          <w:p>
            <w:pPr>
              <w:rPr>
                <w:szCs w:val="21"/>
              </w:rPr>
            </w:pPr>
          </w:p>
        </w:tc>
        <w:tc>
          <w:tcPr>
            <w:tcW w:w="1665" w:type="dxa"/>
            <w:vAlign w:val="center"/>
          </w:tcPr>
          <w:p>
            <w:pPr>
              <w:rPr>
                <w:szCs w:val="21"/>
              </w:rPr>
            </w:pPr>
          </w:p>
        </w:tc>
        <w:tc>
          <w:tcPr>
            <w:tcW w:w="1369" w:type="dxa"/>
            <w:vAlign w:val="center"/>
          </w:tcPr>
          <w:p>
            <w:pPr>
              <w:rPr>
                <w:szCs w:val="21"/>
              </w:rPr>
            </w:pPr>
          </w:p>
        </w:tc>
        <w:tc>
          <w:tcPr>
            <w:tcW w:w="1690" w:type="dxa"/>
            <w:vAlign w:val="center"/>
          </w:tcPr>
          <w:p>
            <w:pPr>
              <w:rPr>
                <w:szCs w:val="21"/>
              </w:rPr>
            </w:pPr>
          </w:p>
        </w:tc>
        <w:tc>
          <w:tcPr>
            <w:tcW w:w="1518" w:type="dxa"/>
            <w:vAlign w:val="center"/>
          </w:tcPr>
          <w:p>
            <w:pPr>
              <w:rPr>
                <w:szCs w:val="21"/>
              </w:rPr>
            </w:pPr>
          </w:p>
        </w:tc>
        <w:tc>
          <w:tcPr>
            <w:tcW w:w="1293" w:type="dxa"/>
            <w:vAlign w:val="center"/>
          </w:tcPr>
          <w:p>
            <w:pPr>
              <w:rPr>
                <w:szCs w:val="21"/>
              </w:rPr>
            </w:pPr>
          </w:p>
        </w:tc>
        <w:tc>
          <w:tcPr>
            <w:tcW w:w="1170" w:type="dxa"/>
            <w:vAlign w:val="center"/>
          </w:tcPr>
          <w:p>
            <w:pPr>
              <w:rPr>
                <w:szCs w:val="21"/>
              </w:rPr>
            </w:pPr>
          </w:p>
        </w:tc>
        <w:tc>
          <w:tcPr>
            <w:tcW w:w="1369" w:type="dxa"/>
            <w:vAlign w:val="center"/>
          </w:tcPr>
          <w:p>
            <w:pPr>
              <w:rPr>
                <w:szCs w:val="21"/>
              </w:rPr>
            </w:pPr>
          </w:p>
        </w:tc>
        <w:tc>
          <w:tcPr>
            <w:tcW w:w="1564" w:type="dxa"/>
            <w:vAlign w:val="center"/>
          </w:tcPr>
          <w:p>
            <w:pPr>
              <w:rPr>
                <w:szCs w:val="21"/>
              </w:rPr>
            </w:pPr>
          </w:p>
        </w:tc>
        <w:tc>
          <w:tcPr>
            <w:tcW w:w="1483" w:type="dxa"/>
            <w:vAlign w:val="center"/>
          </w:tcPr>
          <w:p>
            <w:pP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22" w:hRule="atLeast"/>
          <w:jc w:val="center"/>
        </w:trPr>
        <w:tc>
          <w:tcPr>
            <w:tcW w:w="14075" w:type="dxa"/>
            <w:gridSpan w:val="10"/>
            <w:vAlign w:val="center"/>
          </w:tcPr>
          <w:p>
            <w:pPr>
              <w:rPr>
                <w:szCs w:val="21"/>
              </w:rPr>
            </w:pPr>
            <w:r>
              <w:rPr>
                <w:rFonts w:hint="default"/>
                <w:b w:val="0"/>
                <w:sz w:val="21"/>
                <w:szCs w:val="21"/>
                <w:lang w:eastAsia="zh-CN"/>
              </w:rPr>
              <w:t>基础支撑体系集约化</w:t>
            </w:r>
            <w:r>
              <w:rPr>
                <w:rFonts w:hint="eastAsia"/>
                <w:b w:val="0"/>
                <w:sz w:val="21"/>
                <w:szCs w:val="21"/>
                <w:lang w:val="en-US" w:eastAsia="zh-CN"/>
              </w:rPr>
              <w:t>部分</w:t>
            </w:r>
            <w:r>
              <w:rPr>
                <w:szCs w:val="21"/>
              </w:rPr>
              <w:t>投标报价合计（大写）（人民币）：</w:t>
            </w:r>
          </w:p>
        </w:tc>
      </w:tr>
    </w:tbl>
    <w:p>
      <w:pPr>
        <w:widowControl/>
        <w:spacing w:line="360" w:lineRule="auto"/>
        <w:jc w:val="left"/>
        <w:rPr>
          <w:sz w:val="24"/>
        </w:rPr>
      </w:pPr>
    </w:p>
    <w:p>
      <w:pPr>
        <w:widowControl/>
        <w:spacing w:line="360" w:lineRule="auto"/>
        <w:jc w:val="left"/>
        <w:rPr>
          <w:sz w:val="24"/>
        </w:rPr>
      </w:pPr>
    </w:p>
    <w:p>
      <w:pPr>
        <w:widowControl/>
        <w:spacing w:line="360" w:lineRule="auto"/>
        <w:jc w:val="left"/>
        <w:rPr>
          <w:sz w:val="24"/>
        </w:rPr>
      </w:pPr>
      <w:r>
        <w:rPr>
          <w:sz w:val="24"/>
        </w:rPr>
        <w:t>投标人（盖章）：</w:t>
      </w:r>
    </w:p>
    <w:p>
      <w:pPr>
        <w:pStyle w:val="18"/>
        <w:snapToGrid w:val="0"/>
        <w:spacing w:line="360" w:lineRule="auto"/>
        <w:ind w:firstLine="0"/>
        <w:rPr>
          <w:rFonts w:ascii="Times New Roman"/>
          <w:spacing w:val="0"/>
          <w:sz w:val="24"/>
          <w:szCs w:val="24"/>
        </w:rPr>
      </w:pPr>
      <w:r>
        <w:rPr>
          <w:rFonts w:ascii="Times New Roman"/>
          <w:spacing w:val="0"/>
          <w:sz w:val="24"/>
          <w:szCs w:val="24"/>
        </w:rPr>
        <w:t>法定代表人或其授权代表（签字或盖章）：</w:t>
      </w:r>
    </w:p>
    <w:p>
      <w:pPr>
        <w:rPr>
          <w:szCs w:val="21"/>
        </w:rPr>
      </w:pPr>
      <w:r>
        <w:rPr>
          <w:sz w:val="24"/>
        </w:rPr>
        <w:t>日期：</w:t>
      </w:r>
    </w:p>
    <w:p>
      <w:pPr>
        <w:pStyle w:val="18"/>
        <w:ind w:firstLine="0"/>
        <w:rPr>
          <w:rFonts w:hint="eastAsia" w:asciiTheme="minorEastAsia" w:hAnsiTheme="minorEastAsia" w:eastAsiaTheme="minorEastAsia"/>
          <w:color w:val="000000" w:themeColor="text1"/>
          <w:sz w:val="21"/>
          <w:szCs w:val="21"/>
          <w:highlight w:val="none"/>
          <w14:textFill>
            <w14:solidFill>
              <w14:schemeClr w14:val="tx1"/>
            </w14:solidFill>
          </w14:textFill>
        </w:rPr>
        <w:sectPr>
          <w:headerReference r:id="rId17" w:type="default"/>
          <w:pgSz w:w="16840" w:h="11907" w:orient="landscape"/>
          <w:pgMar w:top="1587" w:right="1304" w:bottom="1587" w:left="1304" w:header="720" w:footer="720" w:gutter="0"/>
          <w:pgBorders>
            <w:top w:val="none" w:sz="0" w:space="0"/>
            <w:left w:val="none" w:sz="0" w:space="0"/>
            <w:bottom w:val="none" w:sz="0" w:space="0"/>
            <w:right w:val="none" w:sz="0" w:space="0"/>
          </w:pgBorders>
          <w:cols w:space="0" w:num="1"/>
          <w:rtlGutter w:val="0"/>
          <w:docGrid w:linePitch="286" w:charSpace="0"/>
        </w:sectPr>
      </w:pPr>
    </w:p>
    <w:p>
      <w:pPr>
        <w:numPr>
          <w:ilvl w:val="-1"/>
          <w:numId w:val="0"/>
        </w:numPr>
        <w:ind w:firstLine="0" w:firstLineChars="0"/>
        <w:jc w:val="center"/>
        <w:rPr>
          <w:rFonts w:hint="eastAsia"/>
          <w:b/>
          <w:color w:val="000000" w:themeColor="text1"/>
          <w:sz w:val="28"/>
          <w:szCs w:val="28"/>
          <w:highlight w:val="none"/>
          <w:lang w:eastAsia="zh-CN"/>
          <w14:textFill>
            <w14:solidFill>
              <w14:schemeClr w14:val="tx1"/>
            </w14:solidFill>
          </w14:textFill>
        </w:rPr>
      </w:pPr>
      <w:r>
        <w:rPr>
          <w:rFonts w:hint="eastAsia"/>
          <w:b/>
          <w:color w:val="000000" w:themeColor="text1"/>
          <w:sz w:val="28"/>
          <w:szCs w:val="28"/>
          <w:highlight w:val="none"/>
          <w:lang w:eastAsia="zh-CN"/>
          <w14:textFill>
            <w14:solidFill>
              <w14:schemeClr w14:val="tx1"/>
            </w14:solidFill>
          </w14:textFill>
        </w:rPr>
        <w:t>（</w:t>
      </w:r>
      <w:r>
        <w:rPr>
          <w:rFonts w:hint="eastAsia"/>
          <w:b/>
          <w:color w:val="000000" w:themeColor="text1"/>
          <w:sz w:val="28"/>
          <w:szCs w:val="28"/>
          <w:highlight w:val="none"/>
          <w:lang w:val="en-US" w:eastAsia="zh-CN"/>
          <w14:textFill>
            <w14:solidFill>
              <w14:schemeClr w14:val="tx1"/>
            </w14:solidFill>
          </w14:textFill>
        </w:rPr>
        <w:t>四</w:t>
      </w:r>
      <w:r>
        <w:rPr>
          <w:rFonts w:hint="eastAsia"/>
          <w:b/>
          <w:color w:val="000000" w:themeColor="text1"/>
          <w:sz w:val="28"/>
          <w:szCs w:val="28"/>
          <w:highlight w:val="none"/>
          <w:lang w:eastAsia="zh-CN"/>
          <w14:textFill>
            <w14:solidFill>
              <w14:schemeClr w14:val="tx1"/>
            </w14:solidFill>
          </w14:textFill>
        </w:rPr>
        <w:t>）</w:t>
      </w:r>
      <w:r>
        <w:rPr>
          <w:rFonts w:hint="eastAsia"/>
          <w:b/>
          <w:color w:val="000000" w:themeColor="text1"/>
          <w:sz w:val="28"/>
          <w:szCs w:val="28"/>
          <w:highlight w:val="none"/>
          <w14:textFill>
            <w14:solidFill>
              <w14:schemeClr w14:val="tx1"/>
            </w14:solidFill>
          </w14:textFill>
        </w:rPr>
        <w:t>投标分项报价表</w:t>
      </w:r>
      <w:r>
        <w:rPr>
          <w:rFonts w:hint="eastAsia"/>
          <w:b/>
          <w:color w:val="000000" w:themeColor="text1"/>
          <w:sz w:val="28"/>
          <w:szCs w:val="28"/>
          <w:highlight w:val="none"/>
          <w:lang w:eastAsia="zh-CN"/>
          <w14:textFill>
            <w14:solidFill>
              <w14:schemeClr w14:val="tx1"/>
            </w14:solidFill>
          </w14:textFill>
        </w:rPr>
        <w:t>（</w:t>
      </w:r>
      <w:r>
        <w:rPr>
          <w:rFonts w:hint="eastAsia"/>
          <w:b/>
          <w:color w:val="000000" w:themeColor="text1"/>
          <w:sz w:val="28"/>
          <w:szCs w:val="28"/>
          <w:highlight w:val="none"/>
          <w:lang w:val="en-US" w:eastAsia="zh-CN"/>
          <w14:textFill>
            <w14:solidFill>
              <w14:schemeClr w14:val="tx1"/>
            </w14:solidFill>
          </w14:textFill>
        </w:rPr>
        <w:t>汇总表</w:t>
      </w:r>
      <w:r>
        <w:rPr>
          <w:rFonts w:hint="eastAsia"/>
          <w:b/>
          <w:color w:val="000000" w:themeColor="text1"/>
          <w:sz w:val="28"/>
          <w:szCs w:val="28"/>
          <w:highlight w:val="none"/>
          <w:lang w:eastAsia="zh-CN"/>
          <w14:textFill>
            <w14:solidFill>
              <w14:schemeClr w14:val="tx1"/>
            </w14:solidFill>
          </w14:textFill>
        </w:rPr>
        <w:t>）</w:t>
      </w:r>
    </w:p>
    <w:p>
      <w:pPr>
        <w:spacing w:line="380" w:lineRule="exact"/>
        <w:rPr>
          <w:rFonts w:hint="eastAsia" w:ascii="宋体" w:hAnsi="宋体"/>
          <w:color w:val="000000" w:themeColor="text1"/>
          <w:highlight w:val="none"/>
          <w14:textFill>
            <w14:solidFill>
              <w14:schemeClr w14:val="tx1"/>
            </w14:solidFill>
          </w14:textFill>
        </w:rPr>
      </w:pPr>
    </w:p>
    <w:p>
      <w:pPr>
        <w:spacing w:line="380" w:lineRule="exact"/>
        <w:rPr>
          <w:rFonts w:asciiTheme="minorEastAsia" w:hAnsiTheme="minorEastAsia" w:eastAsiaTheme="minorEastAsia"/>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项目名称：            </w:t>
      </w:r>
      <w:r>
        <w:rPr>
          <w:rFonts w:hint="eastAsia" w:ascii="宋体" w:hAnsi="宋体"/>
          <w:color w:val="000000" w:themeColor="text1"/>
          <w:highlight w:val="none"/>
          <w:lang w:val="en-US" w:eastAsia="zh-CN"/>
          <w14:textFill>
            <w14:solidFill>
              <w14:schemeClr w14:val="tx1"/>
            </w14:solidFill>
          </w14:textFill>
        </w:rPr>
        <w:t xml:space="preserve">                                       </w:t>
      </w:r>
      <w:r>
        <w:rPr>
          <w:rFonts w:hint="eastAsia" w:asciiTheme="minorEastAsia" w:hAnsiTheme="minorEastAsia" w:eastAsiaTheme="minorEastAsia"/>
          <w:color w:val="000000" w:themeColor="text1"/>
          <w:highlight w:val="none"/>
          <w14:textFill>
            <w14:solidFill>
              <w14:schemeClr w14:val="tx1"/>
            </w14:solidFill>
          </w14:textFill>
        </w:rPr>
        <w:t>招标编号：</w:t>
      </w:r>
    </w:p>
    <w:tbl>
      <w:tblPr>
        <w:tblStyle w:val="38"/>
        <w:tblW w:w="8318"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801"/>
        <w:gridCol w:w="4480"/>
        <w:gridCol w:w="2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9" w:hRule="atLeast"/>
        </w:trPr>
        <w:tc>
          <w:tcPr>
            <w:tcW w:w="18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4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20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投标报价（元）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trPr>
        <w:tc>
          <w:tcPr>
            <w:tcW w:w="18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44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color w:val="000000"/>
                <w:kern w:val="0"/>
                <w:sz w:val="21"/>
                <w:szCs w:val="21"/>
                <w:u w:val="none"/>
                <w:lang w:eastAsia="zh-CN" w:bidi="ar"/>
              </w:rPr>
              <w:t>中心机房扩建</w:t>
            </w:r>
            <w:r>
              <w:rPr>
                <w:rFonts w:hint="eastAsia" w:ascii="宋体" w:hAnsi="宋体" w:cs="宋体"/>
                <w:b w:val="0"/>
                <w:color w:val="000000"/>
                <w:kern w:val="0"/>
                <w:sz w:val="21"/>
                <w:szCs w:val="21"/>
                <w:u w:val="none"/>
                <w:lang w:val="en-US" w:eastAsia="zh-CN" w:bidi="ar"/>
              </w:rPr>
              <w:t>部分</w:t>
            </w:r>
          </w:p>
        </w:tc>
        <w:tc>
          <w:tcPr>
            <w:tcW w:w="2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8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p>
        </w:tc>
        <w:tc>
          <w:tcPr>
            <w:tcW w:w="448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val="0"/>
                <w:color w:val="000000"/>
                <w:kern w:val="0"/>
                <w:sz w:val="21"/>
                <w:szCs w:val="21"/>
                <w:u w:val="none"/>
                <w:lang w:eastAsia="zh-CN" w:bidi="ar"/>
              </w:rPr>
              <w:t>基础支撑体系集约化</w:t>
            </w:r>
            <w:r>
              <w:rPr>
                <w:rFonts w:hint="eastAsia" w:ascii="宋体" w:hAnsi="宋体" w:cs="宋体"/>
                <w:b w:val="0"/>
                <w:color w:val="000000"/>
                <w:kern w:val="0"/>
                <w:sz w:val="21"/>
                <w:szCs w:val="21"/>
                <w:u w:val="none"/>
                <w:lang w:val="en-US" w:eastAsia="zh-CN" w:bidi="ar"/>
              </w:rPr>
              <w:t>部分</w:t>
            </w:r>
            <w:r>
              <w:rPr>
                <w:rFonts w:hint="eastAsia" w:ascii="宋体" w:hAnsi="宋体" w:cs="宋体"/>
                <w:b w:val="0"/>
                <w:color w:val="000000"/>
                <w:kern w:val="0"/>
                <w:sz w:val="21"/>
                <w:szCs w:val="21"/>
                <w:u w:val="none"/>
                <w:lang w:eastAsia="zh-CN" w:bidi="ar"/>
              </w:rPr>
              <w:t>造</w:t>
            </w:r>
          </w:p>
        </w:tc>
        <w:tc>
          <w:tcPr>
            <w:tcW w:w="2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18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p>
        </w:tc>
        <w:tc>
          <w:tcPr>
            <w:tcW w:w="44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合计（元）</w:t>
            </w:r>
          </w:p>
        </w:tc>
        <w:tc>
          <w:tcPr>
            <w:tcW w:w="2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pPr>
        <w:pStyle w:val="47"/>
        <w:ind w:firstLine="0" w:firstLineChars="0"/>
        <w:rPr>
          <w:rFonts w:hint="eastAsia"/>
        </w:rPr>
      </w:pP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注：1、本表中的“合计”应与“ （一）投标函”及“ （二）投标一览表”中的“投标总价”一致；</w:t>
      </w:r>
    </w:p>
    <w:p>
      <w:pPr>
        <w:pStyle w:val="18"/>
        <w:ind w:firstLine="0"/>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2、表格可自行扩展。</w:t>
      </w:r>
    </w:p>
    <w:p>
      <w:pPr>
        <w:pStyle w:val="18"/>
        <w:ind w:left="440"/>
        <w:rPr>
          <w:rFonts w:asciiTheme="minorEastAsia" w:hAnsiTheme="minorEastAsia" w:eastAsiaTheme="minorEastAsia"/>
          <w:color w:val="000000" w:themeColor="text1"/>
          <w:szCs w:val="24"/>
          <w:highlight w:val="none"/>
          <w14:textFill>
            <w14:solidFill>
              <w14:schemeClr w14:val="tx1"/>
            </w14:solidFill>
          </w14:textFill>
        </w:rPr>
      </w:pPr>
    </w:p>
    <w:p>
      <w:pPr>
        <w:spacing w:line="38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  标  人（公章）：</w:t>
      </w:r>
    </w:p>
    <w:p>
      <w:pPr>
        <w:spacing w:line="380" w:lineRule="exact"/>
        <w:rPr>
          <w:rFonts w:asciiTheme="minorEastAsia" w:hAnsiTheme="minorEastAsia" w:eastAsiaTheme="minorEastAsia"/>
          <w:color w:val="000000" w:themeColor="text1"/>
          <w:highlight w:val="none"/>
          <w14:textFill>
            <w14:solidFill>
              <w14:schemeClr w14:val="tx1"/>
            </w14:solidFill>
          </w14:textFill>
        </w:rPr>
      </w:pPr>
    </w:p>
    <w:p>
      <w:pPr>
        <w:spacing w:line="38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投标人代表（签字或印章）：</w:t>
      </w:r>
    </w:p>
    <w:p>
      <w:pPr>
        <w:spacing w:line="380" w:lineRule="exact"/>
        <w:rPr>
          <w:rFonts w:asciiTheme="minorEastAsia" w:hAnsiTheme="minorEastAsia" w:eastAsiaTheme="minorEastAsia"/>
          <w:color w:val="000000" w:themeColor="text1"/>
          <w:highlight w:val="none"/>
          <w14:textFill>
            <w14:solidFill>
              <w14:schemeClr w14:val="tx1"/>
            </w14:solidFill>
          </w14:textFill>
        </w:rPr>
      </w:pPr>
    </w:p>
    <w:p>
      <w:pPr>
        <w:spacing w:line="400" w:lineRule="exact"/>
        <w:jc w:val="left"/>
        <w:rPr>
          <w:rFonts w:asciiTheme="minorEastAsia" w:hAnsiTheme="minorEastAsia" w:eastAsiaTheme="minorEastAsia"/>
          <w:color w:val="000000" w:themeColor="text1"/>
          <w:highlight w:val="none"/>
          <w14:textFill>
            <w14:solidFill>
              <w14:schemeClr w14:val="tx1"/>
            </w14:solidFill>
          </w14:textFill>
        </w:rPr>
        <w:sectPr>
          <w:headerReference r:id="rId18" w:type="default"/>
          <w:pgSz w:w="11907" w:h="16840"/>
          <w:pgMar w:top="1304" w:right="1587" w:bottom="1304" w:left="1587" w:header="720" w:footer="720" w:gutter="0"/>
          <w:pgBorders>
            <w:top w:val="none" w:sz="0" w:space="0"/>
            <w:left w:val="none" w:sz="0" w:space="0"/>
            <w:bottom w:val="none" w:sz="0" w:space="0"/>
            <w:right w:val="none" w:sz="0" w:space="0"/>
          </w:pgBorders>
          <w:cols w:space="0" w:num="1"/>
          <w:rtlGutter w:val="0"/>
          <w:docGrid w:linePitch="286" w:charSpace="0"/>
        </w:sectPr>
      </w:pPr>
      <w:r>
        <w:rPr>
          <w:rFonts w:hint="eastAsia" w:asciiTheme="minorEastAsia" w:hAnsiTheme="minorEastAsia" w:eastAsiaTheme="minorEastAsia"/>
          <w:color w:val="000000" w:themeColor="text1"/>
          <w:highlight w:val="none"/>
          <w14:textFill>
            <w14:solidFill>
              <w14:schemeClr w14:val="tx1"/>
            </w14:solidFill>
          </w14:textFill>
        </w:rPr>
        <w:t>日期：</w:t>
      </w:r>
    </w:p>
    <w:p>
      <w:pPr>
        <w:rPr>
          <w:color w:val="000000" w:themeColor="text1"/>
          <w:highlight w:val="none"/>
          <w14:textFill>
            <w14:solidFill>
              <w14:schemeClr w14:val="tx1"/>
            </w14:solidFill>
          </w14:textFill>
        </w:rPr>
      </w:pPr>
    </w:p>
    <w:p>
      <w:pPr>
        <w:pStyle w:val="2"/>
        <w:spacing w:line="380" w:lineRule="exact"/>
        <w:rPr>
          <w:rFonts w:asciiTheme="minorEastAsia" w:hAnsiTheme="minorEastAsia" w:eastAsiaTheme="minorEastAsia"/>
          <w:color w:val="000000" w:themeColor="text1"/>
          <w:sz w:val="28"/>
          <w:szCs w:val="28"/>
          <w:highlight w:val="none"/>
          <w14:textFill>
            <w14:solidFill>
              <w14:schemeClr w14:val="tx1"/>
            </w14:solidFill>
          </w14:textFill>
        </w:rPr>
      </w:pPr>
      <w:bookmarkStart w:id="239" w:name="_Toc24515"/>
      <w:bookmarkStart w:id="240" w:name="_Toc141797153"/>
      <w:bookmarkStart w:id="241" w:name="_Toc141797709"/>
      <w:bookmarkStart w:id="242" w:name="_Toc27325"/>
      <w:r>
        <w:rPr>
          <w:rFonts w:hint="eastAsia" w:asciiTheme="minorEastAsia" w:hAnsiTheme="minorEastAsia" w:eastAsiaTheme="minorEastAsia"/>
          <w:color w:val="000000" w:themeColor="text1"/>
          <w:sz w:val="28"/>
          <w:szCs w:val="28"/>
          <w:highlight w:val="none"/>
          <w14:textFill>
            <w14:solidFill>
              <w14:schemeClr w14:val="tx1"/>
            </w14:solidFill>
          </w14:textFill>
        </w:rPr>
        <w:t>附  件</w:t>
      </w:r>
      <w:bookmarkEnd w:id="239"/>
      <w:bookmarkEnd w:id="240"/>
      <w:bookmarkEnd w:id="241"/>
      <w:bookmarkEnd w:id="242"/>
    </w:p>
    <w:p>
      <w:pPr>
        <w:pStyle w:val="2"/>
        <w:spacing w:line="380" w:lineRule="exact"/>
        <w:rPr>
          <w:rFonts w:asciiTheme="minorEastAsia" w:hAnsiTheme="minorEastAsia" w:eastAsiaTheme="minorEastAsia"/>
          <w:color w:val="000000" w:themeColor="text1"/>
          <w:sz w:val="24"/>
          <w:szCs w:val="24"/>
          <w:highlight w:val="none"/>
          <w14:textFill>
            <w14:solidFill>
              <w14:schemeClr w14:val="tx1"/>
            </w14:solidFill>
          </w14:textFill>
        </w:rPr>
      </w:pPr>
    </w:p>
    <w:p>
      <w:pPr>
        <w:pStyle w:val="2"/>
        <w:spacing w:line="380" w:lineRule="exact"/>
        <w:jc w:val="both"/>
        <w:rPr>
          <w:rFonts w:asciiTheme="minorEastAsia" w:hAnsiTheme="minorEastAsia" w:eastAsiaTheme="minorEastAsia"/>
          <w:color w:val="000000" w:themeColor="text1"/>
          <w:sz w:val="24"/>
          <w:szCs w:val="24"/>
          <w:highlight w:val="none"/>
          <w14:textFill>
            <w14:solidFill>
              <w14:schemeClr w14:val="tx1"/>
            </w14:solidFill>
          </w14:textFill>
        </w:rPr>
      </w:pPr>
      <w:bookmarkStart w:id="243" w:name="_Toc141797710"/>
      <w:bookmarkStart w:id="244" w:name="_Toc141797154"/>
      <w:bookmarkStart w:id="245" w:name="_Toc21315"/>
      <w:bookmarkStart w:id="246" w:name="_Toc30007"/>
      <w:r>
        <w:rPr>
          <w:rFonts w:hint="eastAsia" w:asciiTheme="minorEastAsia" w:hAnsiTheme="minorEastAsia" w:eastAsiaTheme="minorEastAsia"/>
          <w:color w:val="000000" w:themeColor="text1"/>
          <w:sz w:val="24"/>
          <w:szCs w:val="24"/>
          <w:highlight w:val="none"/>
          <w14:textFill>
            <w14:solidFill>
              <w14:schemeClr w14:val="tx1"/>
            </w14:solidFill>
          </w14:textFill>
        </w:rPr>
        <w:t>附件1                        中小企业声明函</w:t>
      </w:r>
      <w:bookmarkEnd w:id="243"/>
      <w:bookmarkEnd w:id="244"/>
      <w:bookmarkEnd w:id="245"/>
      <w:bookmarkEnd w:id="246"/>
    </w:p>
    <w:p>
      <w:pPr>
        <w:spacing w:line="360" w:lineRule="auto"/>
        <w:ind w:firstLine="444" w:firstLineChars="200"/>
        <w:rPr>
          <w:rFonts w:asciiTheme="minorEastAsia" w:hAnsiTheme="minorEastAsia" w:eastAsiaTheme="minorEastAsia"/>
          <w:color w:val="000000" w:themeColor="text1"/>
          <w:spacing w:val="6"/>
          <w:highlight w:val="none"/>
          <w14:textFill>
            <w14:solidFill>
              <w14:schemeClr w14:val="tx1"/>
            </w14:solidFill>
          </w14:textFill>
        </w:rPr>
      </w:pPr>
    </w:p>
    <w:p>
      <w:pPr>
        <w:pStyle w:val="26"/>
        <w:rPr>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snapToGrid/>
        <w:spacing w:line="360" w:lineRule="auto"/>
        <w:ind w:firstLine="420" w:firstLineChars="200"/>
        <w:rPr>
          <w:rFonts w:hint="eastAsia" w:ascii="宋体" w:hAnsi="宋体" w:eastAsia="宋体" w:cs="宋体"/>
          <w:color w:val="auto"/>
          <w:spacing w:val="6"/>
          <w:highlight w:val="none"/>
        </w:rPr>
      </w:pPr>
      <w:r>
        <w:rPr>
          <w:rFonts w:hint="eastAsia" w:ascii="宋体" w:hAnsi="宋体" w:eastAsia="宋体" w:cs="宋体"/>
          <w:color w:val="000000" w:themeColor="text1"/>
          <w:highlight w:val="none"/>
          <w14:textFill>
            <w14:solidFill>
              <w14:schemeClr w14:val="tx1"/>
            </w14:solidFill>
          </w14:textFill>
        </w:rPr>
        <w:t>本公司（联合体）郑重声明，根据《政府采购促进中小企业发展管理办法》（财库〔2020） 46号）的规定，本公司 （联合体）参加</w:t>
      </w:r>
      <w:r>
        <w:rPr>
          <w:rFonts w:hint="eastAsia" w:ascii="宋体" w:hAnsi="宋体" w:eastAsia="宋体" w:cs="宋体"/>
          <w:color w:val="000000" w:themeColor="text1"/>
          <w:highlight w:val="none"/>
          <w:u w:val="single"/>
          <w14:textFill>
            <w14:solidFill>
              <w14:schemeClr w14:val="tx1"/>
            </w14:solidFill>
          </w14:textFill>
        </w:rPr>
        <w:t>（单位名称）</w:t>
      </w:r>
      <w:r>
        <w:rPr>
          <w:rFonts w:hint="eastAsia" w:ascii="宋体" w:hAnsi="宋体" w:eastAsia="宋体" w:cs="宋体"/>
          <w:color w:val="000000" w:themeColor="text1"/>
          <w:highlight w:val="none"/>
          <w14:textFill>
            <w14:solidFill>
              <w14:schemeClr w14:val="tx1"/>
            </w14:solidFill>
          </w14:textFill>
        </w:rPr>
        <w:t>的</w:t>
      </w:r>
      <w:r>
        <w:rPr>
          <w:rFonts w:hint="eastAsia" w:ascii="宋体" w:hAnsi="宋体" w:eastAsia="宋体" w:cs="宋体"/>
          <w:color w:val="000000" w:themeColor="text1"/>
          <w:highlight w:val="none"/>
          <w:u w:val="single"/>
          <w14:textFill>
            <w14:solidFill>
              <w14:schemeClr w14:val="tx1"/>
            </w14:solidFill>
          </w14:textFill>
        </w:rPr>
        <w:t>（项目名称）</w:t>
      </w:r>
      <w:r>
        <w:rPr>
          <w:rFonts w:hint="eastAsia" w:ascii="宋体" w:hAnsi="宋体" w:eastAsia="宋体" w:cs="宋体"/>
          <w:color w:val="000000" w:themeColor="text1"/>
          <w:highlight w:val="none"/>
          <w14:textFill>
            <w14:solidFill>
              <w14:schemeClr w14:val="tx1"/>
            </w14:solidFill>
          </w14:textFill>
        </w:rPr>
        <w:t>采购活动,提供的货物全</w:t>
      </w:r>
      <w:r>
        <w:rPr>
          <w:rFonts w:hint="eastAsia" w:ascii="宋体" w:hAnsi="宋体" w:eastAsia="宋体" w:cs="宋体"/>
          <w:color w:val="auto"/>
          <w:highlight w:val="none"/>
        </w:rPr>
        <w:t>部由符合政策要求的中小企业制造。相关企业 （含联合体中的中小企业、签订分包意向协议的中小企业） 的具体情况如下</w:t>
      </w:r>
      <w:r>
        <w:rPr>
          <w:rFonts w:hint="eastAsia" w:ascii="宋体" w:hAnsi="宋体" w:eastAsia="宋体" w:cs="宋体"/>
          <w:color w:val="auto"/>
          <w:spacing w:val="6"/>
          <w:highlight w:val="none"/>
        </w:rPr>
        <w:t>：</w:t>
      </w:r>
    </w:p>
    <w:p>
      <w:pPr>
        <w:keepNext w:val="0"/>
        <w:keepLines w:val="0"/>
        <w:pageBreakBefore w:val="0"/>
        <w:widowControl w:val="0"/>
        <w:numPr>
          <w:ilvl w:val="0"/>
          <w:numId w:val="12"/>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auto"/>
          <w:spacing w:val="6"/>
          <w:kern w:val="0"/>
          <w:highlight w:val="none"/>
          <w:u w:val="single"/>
        </w:rPr>
      </w:pPr>
      <w:r>
        <w:rPr>
          <w:rFonts w:hint="eastAsia" w:ascii="宋体" w:hAnsi="宋体" w:eastAsia="宋体" w:cs="宋体"/>
          <w:color w:val="auto"/>
          <w:spacing w:val="6"/>
          <w:kern w:val="0"/>
          <w:highlight w:val="none"/>
          <w:u w:val="single"/>
        </w:rPr>
        <w:t>核心汇聚交换机</w:t>
      </w:r>
      <w:r>
        <w:rPr>
          <w:rFonts w:hint="eastAsia" w:ascii="宋体" w:hAnsi="宋体" w:eastAsia="宋体" w:cs="宋体"/>
          <w:color w:val="auto"/>
          <w:spacing w:val="6"/>
          <w:kern w:val="0"/>
          <w:highlight w:val="none"/>
        </w:rPr>
        <w:t>，属于</w:t>
      </w:r>
      <w:r>
        <w:rPr>
          <w:rFonts w:hint="eastAsia" w:ascii="宋体" w:hAnsi="宋体" w:eastAsia="宋体" w:cs="宋体"/>
          <w:b/>
          <w:bCs/>
          <w:color w:val="auto"/>
          <w:spacing w:val="6"/>
          <w:kern w:val="0"/>
          <w:highlight w:val="none"/>
          <w:u w:val="single"/>
        </w:rPr>
        <w:t>工业行业</w:t>
      </w:r>
      <w:r>
        <w:rPr>
          <w:rFonts w:hint="eastAsia" w:ascii="宋体" w:hAnsi="宋体" w:eastAsia="宋体" w:cs="宋体"/>
          <w:color w:val="auto"/>
          <w:spacing w:val="6"/>
          <w:kern w:val="0"/>
          <w:highlight w:val="none"/>
        </w:rPr>
        <w:t>；制造商企业为</w:t>
      </w:r>
      <w:r>
        <w:rPr>
          <w:rFonts w:hint="eastAsia" w:ascii="宋体" w:hAnsi="宋体" w:eastAsia="宋体" w:cs="宋体"/>
          <w:i/>
          <w:color w:val="auto"/>
          <w:spacing w:val="6"/>
          <w:kern w:val="0"/>
          <w:highlight w:val="none"/>
          <w:u w:val="single"/>
        </w:rPr>
        <w:t>（企业名称）</w:t>
      </w:r>
      <w:r>
        <w:rPr>
          <w:rFonts w:hint="eastAsia" w:ascii="宋体" w:hAnsi="宋体" w:eastAsia="宋体" w:cs="宋体"/>
          <w:color w:val="auto"/>
          <w:spacing w:val="6"/>
          <w:kern w:val="0"/>
          <w:highlight w:val="none"/>
        </w:rPr>
        <w:t>，从业人员</w:t>
      </w:r>
      <w:r>
        <w:rPr>
          <w:rFonts w:hint="eastAsia" w:ascii="宋体" w:hAnsi="宋体" w:eastAsia="宋体" w:cs="宋体"/>
          <w:color w:val="auto"/>
          <w:spacing w:val="6"/>
          <w:kern w:val="0"/>
          <w:highlight w:val="none"/>
          <w:u w:val="single"/>
        </w:rPr>
        <w:t xml:space="preserve">    </w:t>
      </w:r>
      <w:r>
        <w:rPr>
          <w:rFonts w:hint="eastAsia" w:ascii="宋体" w:hAnsi="宋体" w:eastAsia="宋体" w:cs="宋体"/>
          <w:color w:val="auto"/>
          <w:spacing w:val="6"/>
          <w:kern w:val="0"/>
          <w:highlight w:val="none"/>
        </w:rPr>
        <w:t>人，营业收入为</w:t>
      </w:r>
      <w:r>
        <w:rPr>
          <w:rFonts w:hint="eastAsia" w:ascii="宋体" w:hAnsi="宋体" w:eastAsia="宋体" w:cs="宋体"/>
          <w:color w:val="auto"/>
          <w:spacing w:val="6"/>
          <w:kern w:val="0"/>
          <w:highlight w:val="none"/>
          <w:u w:val="single"/>
        </w:rPr>
        <w:t xml:space="preserve">     </w:t>
      </w:r>
      <w:r>
        <w:rPr>
          <w:rFonts w:hint="eastAsia" w:ascii="宋体" w:hAnsi="宋体" w:eastAsia="宋体" w:cs="宋体"/>
          <w:color w:val="auto"/>
          <w:spacing w:val="6"/>
          <w:kern w:val="0"/>
          <w:highlight w:val="none"/>
        </w:rPr>
        <w:t>万元，资产总额为</w:t>
      </w:r>
      <w:r>
        <w:rPr>
          <w:rFonts w:hint="eastAsia" w:ascii="宋体" w:hAnsi="宋体" w:eastAsia="宋体" w:cs="宋体"/>
          <w:color w:val="auto"/>
          <w:spacing w:val="6"/>
          <w:kern w:val="0"/>
          <w:highlight w:val="none"/>
          <w:u w:val="single"/>
        </w:rPr>
        <w:t xml:space="preserve">     </w:t>
      </w:r>
      <w:r>
        <w:rPr>
          <w:rFonts w:hint="eastAsia" w:ascii="宋体" w:hAnsi="宋体" w:eastAsia="宋体" w:cs="宋体"/>
          <w:color w:val="auto"/>
          <w:spacing w:val="6"/>
          <w:kern w:val="0"/>
          <w:highlight w:val="none"/>
        </w:rPr>
        <w:t>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pPr>
        <w:keepNext w:val="0"/>
        <w:keepLines w:val="0"/>
        <w:pageBreakBefore w:val="0"/>
        <w:widowControl w:val="0"/>
        <w:numPr>
          <w:ilvl w:val="0"/>
          <w:numId w:val="12"/>
        </w:numPr>
        <w:kinsoku/>
        <w:wordWrap/>
        <w:overflowPunct/>
        <w:topLinePunct w:val="0"/>
        <w:autoSpaceDE/>
        <w:autoSpaceDN/>
        <w:bidi w:val="0"/>
        <w:adjustRightInd w:val="0"/>
        <w:snapToGrid/>
        <w:spacing w:line="360" w:lineRule="auto"/>
        <w:ind w:firstLine="444" w:firstLineChars="200"/>
        <w:jc w:val="left"/>
        <w:textAlignment w:val="baseline"/>
        <w:rPr>
          <w:rFonts w:hint="eastAsia" w:ascii="宋体" w:hAnsi="宋体" w:eastAsia="宋体" w:cs="宋体"/>
          <w:color w:val="000000" w:themeColor="text1"/>
          <w:spacing w:val="6"/>
          <w:kern w:val="0"/>
          <w:highlight w:val="none"/>
          <w:u w:val="single"/>
          <w14:textFill>
            <w14:solidFill>
              <w14:schemeClr w14:val="tx1"/>
            </w14:solidFill>
          </w14:textFill>
        </w:rPr>
      </w:pPr>
      <w:r>
        <w:rPr>
          <w:rFonts w:hint="eastAsia" w:ascii="宋体" w:hAnsi="宋体" w:eastAsia="宋体" w:cs="宋体"/>
          <w:color w:val="000000" w:themeColor="text1"/>
          <w:spacing w:val="6"/>
          <w:kern w:val="0"/>
          <w:highlight w:val="none"/>
          <w:u w:val="single"/>
          <w14:textFill>
            <w14:solidFill>
              <w14:schemeClr w14:val="tx1"/>
            </w14:solidFill>
          </w14:textFill>
        </w:rPr>
        <w:t>集约化服务器</w:t>
      </w:r>
      <w:r>
        <w:rPr>
          <w:rFonts w:hint="eastAsia" w:ascii="宋体" w:hAnsi="宋体" w:eastAsia="宋体" w:cs="宋体"/>
          <w:color w:val="000000" w:themeColor="text1"/>
          <w:spacing w:val="6"/>
          <w:kern w:val="0"/>
          <w:highlight w:val="none"/>
          <w14:textFill>
            <w14:solidFill>
              <w14:schemeClr w14:val="tx1"/>
            </w14:solidFill>
          </w14:textFill>
        </w:rPr>
        <w:t>，属于</w:t>
      </w:r>
      <w:r>
        <w:rPr>
          <w:rFonts w:hint="eastAsia" w:ascii="宋体" w:hAnsi="宋体" w:eastAsia="宋体" w:cs="宋体"/>
          <w:b/>
          <w:bCs/>
          <w:color w:val="000000" w:themeColor="text1"/>
          <w:spacing w:val="6"/>
          <w:kern w:val="0"/>
          <w:highlight w:val="none"/>
          <w:u w:val="single"/>
          <w14:textFill>
            <w14:solidFill>
              <w14:schemeClr w14:val="tx1"/>
            </w14:solidFill>
          </w14:textFill>
        </w:rPr>
        <w:t>工业行业</w:t>
      </w:r>
      <w:r>
        <w:rPr>
          <w:rFonts w:hint="eastAsia" w:ascii="宋体" w:hAnsi="宋体" w:eastAsia="宋体" w:cs="宋体"/>
          <w:color w:val="000000" w:themeColor="text1"/>
          <w:spacing w:val="6"/>
          <w:kern w:val="0"/>
          <w:highlight w:val="none"/>
          <w14:textFill>
            <w14:solidFill>
              <w14:schemeClr w14:val="tx1"/>
            </w14:solidFill>
          </w14:textFill>
        </w:rPr>
        <w:t>；制造商企业为</w:t>
      </w:r>
      <w:r>
        <w:rPr>
          <w:rFonts w:hint="eastAsia" w:ascii="宋体" w:hAnsi="宋体" w:eastAsia="宋体" w:cs="宋体"/>
          <w:i/>
          <w:color w:val="000000" w:themeColor="text1"/>
          <w:spacing w:val="6"/>
          <w:kern w:val="0"/>
          <w:highlight w:val="none"/>
          <w:u w:val="single"/>
          <w14:textFill>
            <w14:solidFill>
              <w14:schemeClr w14:val="tx1"/>
            </w14:solidFill>
          </w14:textFill>
        </w:rPr>
        <w:t>（企业名称）</w:t>
      </w:r>
      <w:r>
        <w:rPr>
          <w:rFonts w:hint="eastAsia" w:ascii="宋体" w:hAnsi="宋体" w:eastAsia="宋体" w:cs="宋体"/>
          <w:color w:val="000000" w:themeColor="text1"/>
          <w:spacing w:val="6"/>
          <w:kern w:val="0"/>
          <w:highlight w:val="none"/>
          <w14:textFill>
            <w14:solidFill>
              <w14:schemeClr w14:val="tx1"/>
            </w14:solidFill>
          </w14:textFill>
        </w:rPr>
        <w:t>，从业人员</w:t>
      </w:r>
      <w:r>
        <w:rPr>
          <w:rFonts w:hint="eastAsia" w:ascii="宋体" w:hAnsi="宋体" w:eastAsia="宋体" w:cs="宋体"/>
          <w:color w:val="000000" w:themeColor="text1"/>
          <w:spacing w:val="6"/>
          <w:kern w:val="0"/>
          <w:highlight w:val="none"/>
          <w:u w:val="single"/>
          <w14:textFill>
            <w14:solidFill>
              <w14:schemeClr w14:val="tx1"/>
            </w14:solidFill>
          </w14:textFill>
        </w:rPr>
        <w:t xml:space="preserve">    </w:t>
      </w:r>
      <w:r>
        <w:rPr>
          <w:rFonts w:hint="eastAsia" w:ascii="宋体" w:hAnsi="宋体" w:eastAsia="宋体" w:cs="宋体"/>
          <w:color w:val="000000" w:themeColor="text1"/>
          <w:spacing w:val="6"/>
          <w:kern w:val="0"/>
          <w:highlight w:val="none"/>
          <w14:textFill>
            <w14:solidFill>
              <w14:schemeClr w14:val="tx1"/>
            </w14:solidFill>
          </w14:textFill>
        </w:rPr>
        <w:t>人，营业收入为</w:t>
      </w:r>
      <w:r>
        <w:rPr>
          <w:rFonts w:hint="eastAsia" w:ascii="宋体" w:hAnsi="宋体" w:eastAsia="宋体" w:cs="宋体"/>
          <w:color w:val="000000" w:themeColor="text1"/>
          <w:spacing w:val="6"/>
          <w:kern w:val="0"/>
          <w:highlight w:val="none"/>
          <w:u w:val="single"/>
          <w14:textFill>
            <w14:solidFill>
              <w14:schemeClr w14:val="tx1"/>
            </w14:solidFill>
          </w14:textFill>
        </w:rPr>
        <w:t xml:space="preserve">     </w:t>
      </w:r>
      <w:r>
        <w:rPr>
          <w:rFonts w:hint="eastAsia" w:ascii="宋体" w:hAnsi="宋体" w:eastAsia="宋体" w:cs="宋体"/>
          <w:color w:val="000000" w:themeColor="text1"/>
          <w:spacing w:val="6"/>
          <w:kern w:val="0"/>
          <w:highlight w:val="none"/>
          <w14:textFill>
            <w14:solidFill>
              <w14:schemeClr w14:val="tx1"/>
            </w14:solidFill>
          </w14:textFill>
        </w:rPr>
        <w:t>万元，资产总额为</w:t>
      </w:r>
      <w:r>
        <w:rPr>
          <w:rFonts w:hint="eastAsia" w:ascii="宋体" w:hAnsi="宋体" w:eastAsia="宋体" w:cs="宋体"/>
          <w:color w:val="000000" w:themeColor="text1"/>
          <w:spacing w:val="6"/>
          <w:kern w:val="0"/>
          <w:highlight w:val="none"/>
          <w:u w:val="single"/>
          <w14:textFill>
            <w14:solidFill>
              <w14:schemeClr w14:val="tx1"/>
            </w14:solidFill>
          </w14:textFill>
        </w:rPr>
        <w:t xml:space="preserve">     </w:t>
      </w:r>
      <w:r>
        <w:rPr>
          <w:rFonts w:hint="eastAsia" w:ascii="宋体" w:hAnsi="宋体" w:eastAsia="宋体" w:cs="宋体"/>
          <w:color w:val="000000" w:themeColor="text1"/>
          <w:spacing w:val="6"/>
          <w:kern w:val="0"/>
          <w:highlight w:val="none"/>
          <w14:textFill>
            <w14:solidFill>
              <w14:schemeClr w14:val="tx1"/>
            </w14:solidFill>
          </w14:textFill>
        </w:rPr>
        <w:t>万元，属于</w:t>
      </w:r>
      <w:r>
        <w:rPr>
          <w:rFonts w:hint="eastAsia" w:ascii="宋体" w:hAnsi="宋体" w:eastAsia="宋体" w:cs="宋体"/>
          <w:i/>
          <w:color w:val="000000" w:themeColor="text1"/>
          <w:spacing w:val="6"/>
          <w:kern w:val="0"/>
          <w:highlight w:val="none"/>
          <w:u w:val="single"/>
          <w14:textFill>
            <w14:solidFill>
              <w14:schemeClr w14:val="tx1"/>
            </w14:solidFill>
          </w14:textFill>
        </w:rPr>
        <w:t>（中型企业、小型企业、微型企业）</w:t>
      </w:r>
      <w:r>
        <w:rPr>
          <w:rFonts w:hint="eastAsia" w:ascii="宋体" w:hAnsi="宋体" w:eastAsia="宋体" w:cs="宋体"/>
          <w:color w:val="000000" w:themeColor="text1"/>
          <w:spacing w:val="6"/>
          <w:kern w:val="0"/>
          <w:highlight w:val="none"/>
          <w14:textFill>
            <w14:solidFill>
              <w14:schemeClr w14:val="tx1"/>
            </w14:solidFill>
          </w14:textFill>
        </w:rPr>
        <w:t>；</w:t>
      </w:r>
    </w:p>
    <w:p>
      <w:pPr>
        <w:numPr>
          <w:ilvl w:val="0"/>
          <w:numId w:val="12"/>
        </w:numPr>
        <w:adjustRightInd w:val="0"/>
        <w:spacing w:line="360" w:lineRule="auto"/>
        <w:ind w:firstLine="444" w:firstLineChars="200"/>
        <w:jc w:val="left"/>
        <w:textAlignment w:val="baseline"/>
        <w:rPr>
          <w:rFonts w:ascii="宋体" w:hAnsi="宋体" w:cs="宋体"/>
          <w:color w:val="000000" w:themeColor="text1"/>
          <w:spacing w:val="6"/>
          <w:kern w:val="0"/>
          <w:highlight w:val="none"/>
          <w14:textFill>
            <w14:solidFill>
              <w14:schemeClr w14:val="tx1"/>
            </w14:solidFill>
          </w14:textFill>
        </w:rPr>
      </w:pPr>
      <w:r>
        <w:rPr>
          <w:rFonts w:hint="eastAsia" w:ascii="宋体" w:hAnsi="宋体" w:eastAsia="宋体" w:cs="宋体"/>
          <w:color w:val="000000" w:themeColor="text1"/>
          <w:spacing w:val="6"/>
          <w:kern w:val="0"/>
          <w:highlight w:val="none"/>
          <w:u w:val="single"/>
          <w14:textFill>
            <w14:solidFill>
              <w14:schemeClr w14:val="tx1"/>
            </w14:solidFill>
          </w14:textFill>
        </w:rPr>
        <w:t>服务器区万兆交换机</w:t>
      </w:r>
      <w:r>
        <w:rPr>
          <w:rFonts w:hint="eastAsia" w:ascii="宋体" w:hAnsi="宋体" w:eastAsia="宋体" w:cs="宋体"/>
          <w:color w:val="000000" w:themeColor="text1"/>
          <w:spacing w:val="6"/>
          <w:kern w:val="0"/>
          <w:highlight w:val="none"/>
          <w14:textFill>
            <w14:solidFill>
              <w14:schemeClr w14:val="tx1"/>
            </w14:solidFill>
          </w14:textFill>
        </w:rPr>
        <w:t>，属于</w:t>
      </w:r>
      <w:r>
        <w:rPr>
          <w:rFonts w:hint="eastAsia" w:ascii="宋体" w:hAnsi="宋体" w:eastAsia="宋体" w:cs="宋体"/>
          <w:b/>
          <w:bCs/>
          <w:color w:val="000000" w:themeColor="text1"/>
          <w:spacing w:val="6"/>
          <w:kern w:val="0"/>
          <w:highlight w:val="none"/>
          <w:u w:val="single"/>
          <w14:textFill>
            <w14:solidFill>
              <w14:schemeClr w14:val="tx1"/>
            </w14:solidFill>
          </w14:textFill>
        </w:rPr>
        <w:t>工业行业</w:t>
      </w:r>
      <w:r>
        <w:rPr>
          <w:rFonts w:hint="eastAsia" w:ascii="宋体" w:hAnsi="宋体" w:eastAsia="宋体" w:cs="宋体"/>
          <w:color w:val="000000" w:themeColor="text1"/>
          <w:spacing w:val="6"/>
          <w:kern w:val="0"/>
          <w:highlight w:val="none"/>
          <w14:textFill>
            <w14:solidFill>
              <w14:schemeClr w14:val="tx1"/>
            </w14:solidFill>
          </w14:textFill>
        </w:rPr>
        <w:t>；制造商企业为</w:t>
      </w:r>
      <w:r>
        <w:rPr>
          <w:rFonts w:hint="eastAsia" w:ascii="宋体" w:hAnsi="宋体" w:eastAsia="宋体" w:cs="宋体"/>
          <w:i/>
          <w:color w:val="000000" w:themeColor="text1"/>
          <w:spacing w:val="6"/>
          <w:kern w:val="0"/>
          <w:highlight w:val="none"/>
          <w:u w:val="single"/>
          <w14:textFill>
            <w14:solidFill>
              <w14:schemeClr w14:val="tx1"/>
            </w14:solidFill>
          </w14:textFill>
        </w:rPr>
        <w:t>（企业名称）</w:t>
      </w:r>
      <w:r>
        <w:rPr>
          <w:rFonts w:hint="eastAsia" w:ascii="宋体" w:hAnsi="宋体" w:eastAsia="宋体" w:cs="宋体"/>
          <w:color w:val="000000" w:themeColor="text1"/>
          <w:spacing w:val="6"/>
          <w:kern w:val="0"/>
          <w:highlight w:val="none"/>
          <w14:textFill>
            <w14:solidFill>
              <w14:schemeClr w14:val="tx1"/>
            </w14:solidFill>
          </w14:textFill>
        </w:rPr>
        <w:t>，从业人员</w:t>
      </w:r>
      <w:r>
        <w:rPr>
          <w:rFonts w:hint="eastAsia" w:ascii="宋体" w:hAnsi="宋体" w:eastAsia="宋体" w:cs="宋体"/>
          <w:color w:val="000000" w:themeColor="text1"/>
          <w:spacing w:val="6"/>
          <w:kern w:val="0"/>
          <w:highlight w:val="none"/>
          <w:u w:val="single"/>
          <w14:textFill>
            <w14:solidFill>
              <w14:schemeClr w14:val="tx1"/>
            </w14:solidFill>
          </w14:textFill>
        </w:rPr>
        <w:t xml:space="preserve">    </w:t>
      </w:r>
      <w:r>
        <w:rPr>
          <w:rFonts w:hint="eastAsia" w:ascii="宋体" w:hAnsi="宋体" w:eastAsia="宋体" w:cs="宋体"/>
          <w:color w:val="000000" w:themeColor="text1"/>
          <w:spacing w:val="6"/>
          <w:kern w:val="0"/>
          <w:highlight w:val="none"/>
          <w14:textFill>
            <w14:solidFill>
              <w14:schemeClr w14:val="tx1"/>
            </w14:solidFill>
          </w14:textFill>
        </w:rPr>
        <w:t>人，营业收入为</w:t>
      </w:r>
      <w:r>
        <w:rPr>
          <w:rFonts w:hint="eastAsia" w:ascii="宋体" w:hAnsi="宋体" w:eastAsia="宋体" w:cs="宋体"/>
          <w:color w:val="000000" w:themeColor="text1"/>
          <w:spacing w:val="6"/>
          <w:kern w:val="0"/>
          <w:highlight w:val="none"/>
          <w:u w:val="single"/>
          <w14:textFill>
            <w14:solidFill>
              <w14:schemeClr w14:val="tx1"/>
            </w14:solidFill>
          </w14:textFill>
        </w:rPr>
        <w:t xml:space="preserve">     </w:t>
      </w:r>
      <w:r>
        <w:rPr>
          <w:rFonts w:hint="eastAsia" w:ascii="宋体" w:hAnsi="宋体" w:eastAsia="宋体" w:cs="宋体"/>
          <w:color w:val="000000" w:themeColor="text1"/>
          <w:spacing w:val="6"/>
          <w:kern w:val="0"/>
          <w:highlight w:val="none"/>
          <w14:textFill>
            <w14:solidFill>
              <w14:schemeClr w14:val="tx1"/>
            </w14:solidFill>
          </w14:textFill>
        </w:rPr>
        <w:t>万元，资产总额为</w:t>
      </w:r>
      <w:r>
        <w:rPr>
          <w:rFonts w:hint="eastAsia" w:ascii="宋体" w:hAnsi="宋体" w:eastAsia="宋体" w:cs="宋体"/>
          <w:color w:val="000000" w:themeColor="text1"/>
          <w:spacing w:val="6"/>
          <w:kern w:val="0"/>
          <w:highlight w:val="none"/>
          <w:u w:val="single"/>
          <w14:textFill>
            <w14:solidFill>
              <w14:schemeClr w14:val="tx1"/>
            </w14:solidFill>
          </w14:textFill>
        </w:rPr>
        <w:t xml:space="preserve">     </w:t>
      </w:r>
      <w:r>
        <w:rPr>
          <w:rFonts w:hint="eastAsia" w:ascii="宋体" w:hAnsi="宋体" w:eastAsia="宋体" w:cs="宋体"/>
          <w:color w:val="000000" w:themeColor="text1"/>
          <w:spacing w:val="6"/>
          <w:kern w:val="0"/>
          <w:highlight w:val="none"/>
          <w14:textFill>
            <w14:solidFill>
              <w14:schemeClr w14:val="tx1"/>
            </w14:solidFill>
          </w14:textFill>
        </w:rPr>
        <w:t>万元，属于</w:t>
      </w:r>
      <w:r>
        <w:rPr>
          <w:rFonts w:hint="eastAsia" w:ascii="宋体" w:hAnsi="宋体" w:eastAsia="宋体" w:cs="宋体"/>
          <w:i/>
          <w:color w:val="000000" w:themeColor="text1"/>
          <w:spacing w:val="6"/>
          <w:kern w:val="0"/>
          <w:highlight w:val="none"/>
          <w:u w:val="single"/>
          <w14:textFill>
            <w14:solidFill>
              <w14:schemeClr w14:val="tx1"/>
            </w14:solidFill>
          </w14:textFill>
        </w:rPr>
        <w:t>（中型企业、小型企业、微型企业）</w:t>
      </w:r>
      <w:r>
        <w:rPr>
          <w:rFonts w:hint="eastAsia" w:ascii="宋体" w:hAnsi="宋体" w:eastAsia="宋体" w:cs="宋体"/>
          <w:color w:val="000000" w:themeColor="text1"/>
          <w:spacing w:val="6"/>
          <w:kern w:val="0"/>
          <w:highlight w:val="none"/>
          <w14:textFill>
            <w14:solidFill>
              <w14:schemeClr w14:val="tx1"/>
            </w14:solidFill>
          </w14:textFill>
        </w:rPr>
        <w:t>；</w:t>
      </w:r>
    </w:p>
    <w:p>
      <w:pPr>
        <w:numPr>
          <w:ilvl w:val="0"/>
          <w:numId w:val="12"/>
        </w:numPr>
        <w:adjustRightInd w:val="0"/>
        <w:spacing w:line="360" w:lineRule="auto"/>
        <w:ind w:firstLine="444" w:firstLineChars="200"/>
        <w:jc w:val="left"/>
        <w:textAlignment w:val="baseline"/>
        <w:rPr>
          <w:rFonts w:ascii="宋体" w:hAnsi="宋体" w:cs="宋体"/>
          <w:color w:val="0000FF"/>
          <w:spacing w:val="6"/>
          <w:kern w:val="0"/>
          <w:highlight w:val="none"/>
        </w:rPr>
      </w:pPr>
      <w:r>
        <w:rPr>
          <w:rFonts w:hint="eastAsia" w:ascii="宋体" w:hAnsi="宋体" w:eastAsia="宋体" w:cs="宋体"/>
          <w:color w:val="000000" w:themeColor="text1"/>
          <w:spacing w:val="6"/>
          <w:kern w:val="0"/>
          <w:highlight w:val="none"/>
          <w:u w:val="single"/>
          <w14:textFill>
            <w14:solidFill>
              <w14:schemeClr w14:val="tx1"/>
            </w14:solidFill>
          </w14:textFill>
        </w:rPr>
        <w:t>服务器集约管理平台软件</w:t>
      </w:r>
      <w:r>
        <w:rPr>
          <w:rFonts w:hint="eastAsia" w:ascii="宋体" w:hAnsi="宋体" w:eastAsia="宋体" w:cs="宋体"/>
          <w:color w:val="000000" w:themeColor="text1"/>
          <w:spacing w:val="6"/>
          <w:kern w:val="0"/>
          <w:highlight w:val="none"/>
          <w14:textFill>
            <w14:solidFill>
              <w14:schemeClr w14:val="tx1"/>
            </w14:solidFill>
          </w14:textFill>
        </w:rPr>
        <w:t>，属于</w:t>
      </w:r>
      <w:r>
        <w:rPr>
          <w:rFonts w:hint="eastAsia" w:ascii="宋体" w:hAnsi="宋体" w:eastAsia="宋体" w:cs="宋体"/>
          <w:b/>
          <w:bCs/>
          <w:color w:val="000000" w:themeColor="text1"/>
          <w:spacing w:val="6"/>
          <w:kern w:val="0"/>
          <w:highlight w:val="none"/>
          <w:u w:val="single"/>
          <w14:textFill>
            <w14:solidFill>
              <w14:schemeClr w14:val="tx1"/>
            </w14:solidFill>
          </w14:textFill>
        </w:rPr>
        <w:t>工业行业</w:t>
      </w:r>
      <w:r>
        <w:rPr>
          <w:rFonts w:hint="eastAsia" w:ascii="宋体" w:hAnsi="宋体" w:eastAsia="宋体" w:cs="宋体"/>
          <w:color w:val="000000" w:themeColor="text1"/>
          <w:spacing w:val="6"/>
          <w:kern w:val="0"/>
          <w:highlight w:val="none"/>
          <w14:textFill>
            <w14:solidFill>
              <w14:schemeClr w14:val="tx1"/>
            </w14:solidFill>
          </w14:textFill>
        </w:rPr>
        <w:t>；制造商企业为</w:t>
      </w:r>
      <w:r>
        <w:rPr>
          <w:rFonts w:hint="eastAsia" w:ascii="宋体" w:hAnsi="宋体" w:eastAsia="宋体" w:cs="宋体"/>
          <w:i/>
          <w:color w:val="000000" w:themeColor="text1"/>
          <w:spacing w:val="6"/>
          <w:kern w:val="0"/>
          <w:highlight w:val="none"/>
          <w:u w:val="single"/>
          <w14:textFill>
            <w14:solidFill>
              <w14:schemeClr w14:val="tx1"/>
            </w14:solidFill>
          </w14:textFill>
        </w:rPr>
        <w:t>（企业名称）</w:t>
      </w:r>
      <w:r>
        <w:rPr>
          <w:rFonts w:hint="eastAsia" w:ascii="宋体" w:hAnsi="宋体" w:eastAsia="宋体" w:cs="宋体"/>
          <w:color w:val="000000" w:themeColor="text1"/>
          <w:spacing w:val="6"/>
          <w:kern w:val="0"/>
          <w:highlight w:val="none"/>
          <w14:textFill>
            <w14:solidFill>
              <w14:schemeClr w14:val="tx1"/>
            </w14:solidFill>
          </w14:textFill>
        </w:rPr>
        <w:t>，从业人员</w:t>
      </w:r>
      <w:r>
        <w:rPr>
          <w:rFonts w:hint="eastAsia" w:ascii="宋体" w:hAnsi="宋体" w:eastAsia="宋体" w:cs="宋体"/>
          <w:color w:val="000000" w:themeColor="text1"/>
          <w:spacing w:val="6"/>
          <w:kern w:val="0"/>
          <w:highlight w:val="none"/>
          <w:u w:val="single"/>
          <w14:textFill>
            <w14:solidFill>
              <w14:schemeClr w14:val="tx1"/>
            </w14:solidFill>
          </w14:textFill>
        </w:rPr>
        <w:t xml:space="preserve">    </w:t>
      </w:r>
      <w:r>
        <w:rPr>
          <w:rFonts w:hint="eastAsia" w:ascii="宋体" w:hAnsi="宋体" w:eastAsia="宋体" w:cs="宋体"/>
          <w:color w:val="000000" w:themeColor="text1"/>
          <w:spacing w:val="6"/>
          <w:kern w:val="0"/>
          <w:highlight w:val="none"/>
          <w14:textFill>
            <w14:solidFill>
              <w14:schemeClr w14:val="tx1"/>
            </w14:solidFill>
          </w14:textFill>
        </w:rPr>
        <w:t>人，营业收入</w:t>
      </w:r>
      <w:r>
        <w:rPr>
          <w:rFonts w:hint="eastAsia" w:ascii="宋体" w:hAnsi="宋体" w:eastAsia="宋体" w:cs="宋体"/>
          <w:color w:val="auto"/>
          <w:spacing w:val="6"/>
          <w:kern w:val="0"/>
          <w:highlight w:val="none"/>
        </w:rPr>
        <w:t>为</w:t>
      </w:r>
      <w:r>
        <w:rPr>
          <w:rFonts w:hint="eastAsia" w:ascii="宋体" w:hAnsi="宋体" w:eastAsia="宋体" w:cs="宋体"/>
          <w:color w:val="auto"/>
          <w:spacing w:val="6"/>
          <w:kern w:val="0"/>
          <w:highlight w:val="none"/>
          <w:u w:val="single"/>
        </w:rPr>
        <w:t xml:space="preserve">     </w:t>
      </w:r>
      <w:r>
        <w:rPr>
          <w:rFonts w:hint="eastAsia" w:ascii="宋体" w:hAnsi="宋体" w:eastAsia="宋体" w:cs="宋体"/>
          <w:color w:val="auto"/>
          <w:spacing w:val="6"/>
          <w:kern w:val="0"/>
          <w:highlight w:val="none"/>
        </w:rPr>
        <w:t>万元，资产总额为</w:t>
      </w:r>
      <w:r>
        <w:rPr>
          <w:rFonts w:hint="eastAsia" w:ascii="宋体" w:hAnsi="宋体" w:eastAsia="宋体" w:cs="宋体"/>
          <w:color w:val="auto"/>
          <w:spacing w:val="6"/>
          <w:kern w:val="0"/>
          <w:highlight w:val="none"/>
          <w:u w:val="single"/>
        </w:rPr>
        <w:t xml:space="preserve">     </w:t>
      </w:r>
      <w:r>
        <w:rPr>
          <w:rFonts w:hint="eastAsia" w:ascii="宋体" w:hAnsi="宋体" w:eastAsia="宋体" w:cs="宋体"/>
          <w:color w:val="auto"/>
          <w:spacing w:val="6"/>
          <w:kern w:val="0"/>
          <w:highlight w:val="none"/>
        </w:rPr>
        <w:t>万元，属于</w:t>
      </w:r>
      <w:r>
        <w:rPr>
          <w:rFonts w:hint="eastAsia" w:ascii="宋体" w:hAnsi="宋体" w:eastAsia="宋体" w:cs="宋体"/>
          <w:i/>
          <w:color w:val="auto"/>
          <w:spacing w:val="6"/>
          <w:kern w:val="0"/>
          <w:highlight w:val="none"/>
          <w:u w:val="single"/>
        </w:rPr>
        <w:t>（中型企业、小型企业、微型企业）</w:t>
      </w:r>
      <w:r>
        <w:rPr>
          <w:rFonts w:hint="eastAsia" w:ascii="宋体" w:hAnsi="宋体" w:eastAsia="宋体" w:cs="宋体"/>
          <w:color w:val="auto"/>
          <w:spacing w:val="6"/>
          <w:kern w:val="0"/>
          <w:highlight w:val="none"/>
        </w:rPr>
        <w:t>；</w:t>
      </w:r>
    </w:p>
    <w:p>
      <w:pPr>
        <w:numPr>
          <w:ilvl w:val="-1"/>
          <w:numId w:val="0"/>
        </w:numPr>
        <w:adjustRightInd w:val="0"/>
        <w:spacing w:line="360" w:lineRule="auto"/>
        <w:ind w:firstLine="0" w:firstLineChars="0"/>
        <w:jc w:val="left"/>
        <w:textAlignment w:val="baseline"/>
        <w:rPr>
          <w:rFonts w:ascii="宋体" w:hAnsi="宋体" w:cs="宋体"/>
          <w:color w:val="0000FF"/>
          <w:spacing w:val="6"/>
          <w:kern w:val="0"/>
          <w:highlight w:val="none"/>
        </w:rPr>
      </w:pPr>
    </w:p>
    <w:p>
      <w:pPr>
        <w:spacing w:line="360" w:lineRule="auto"/>
        <w:ind w:firstLine="444" w:firstLineChars="200"/>
        <w:rPr>
          <w:rFonts w:ascii="宋体" w:hAnsi="宋体" w:cs="宋体"/>
          <w:color w:val="000000" w:themeColor="text1"/>
          <w:spacing w:val="6"/>
          <w:highlight w:val="none"/>
          <w14:textFill>
            <w14:solidFill>
              <w14:schemeClr w14:val="tx1"/>
            </w14:solidFill>
          </w14:textFill>
        </w:rPr>
      </w:pPr>
      <w:r>
        <w:rPr>
          <w:rFonts w:hint="eastAsia" w:ascii="宋体" w:hAnsi="宋体" w:cs="宋体"/>
          <w:color w:val="000000" w:themeColor="text1"/>
          <w:spacing w:val="6"/>
          <w:highlight w:val="none"/>
          <w14:textFill>
            <w14:solidFill>
              <w14:schemeClr w14:val="tx1"/>
            </w14:solidFill>
          </w14:textFill>
        </w:rPr>
        <w:t>……</w:t>
      </w:r>
    </w:p>
    <w:p>
      <w:pPr>
        <w:spacing w:line="360" w:lineRule="auto"/>
        <w:ind w:firstLine="444" w:firstLineChars="200"/>
        <w:rPr>
          <w:rFonts w:asciiTheme="minorEastAsia" w:hAnsiTheme="minorEastAsia" w:eastAsiaTheme="minorEastAsia"/>
          <w:color w:val="000000" w:themeColor="text1"/>
          <w:spacing w:val="6"/>
          <w:highlight w:val="none"/>
          <w14:textFill>
            <w14:solidFill>
              <w14:schemeClr w14:val="tx1"/>
            </w14:solidFill>
          </w14:textFill>
        </w:rPr>
      </w:pPr>
      <w:r>
        <w:rPr>
          <w:rFonts w:hint="eastAsia" w:asciiTheme="minorEastAsia" w:hAnsiTheme="minorEastAsia" w:eastAsiaTheme="minorEastAsia"/>
          <w:color w:val="000000" w:themeColor="text1"/>
          <w:spacing w:val="6"/>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44" w:firstLineChars="200"/>
        <w:rPr>
          <w:rFonts w:asciiTheme="minorEastAsia" w:hAnsiTheme="minorEastAsia" w:eastAsiaTheme="minorEastAsia"/>
          <w:color w:val="000000" w:themeColor="text1"/>
          <w:spacing w:val="6"/>
          <w:highlight w:val="none"/>
          <w14:textFill>
            <w14:solidFill>
              <w14:schemeClr w14:val="tx1"/>
            </w14:solidFill>
          </w14:textFill>
        </w:rPr>
      </w:pPr>
      <w:r>
        <w:rPr>
          <w:rFonts w:hint="eastAsia" w:asciiTheme="minorEastAsia" w:hAnsiTheme="minorEastAsia" w:eastAsiaTheme="minorEastAsia"/>
          <w:color w:val="000000" w:themeColor="text1"/>
          <w:spacing w:val="6"/>
          <w:highlight w:val="none"/>
          <w14:textFill>
            <w14:solidFill>
              <w14:schemeClr w14:val="tx1"/>
            </w14:solidFill>
          </w14:textFill>
        </w:rPr>
        <w:t>本企业对上述声明内容的真实性负责。如有虚假，将依法承担相应责任。</w:t>
      </w:r>
    </w:p>
    <w:p>
      <w:pPr>
        <w:tabs>
          <w:tab w:val="left" w:pos="4860"/>
        </w:tabs>
        <w:spacing w:line="360" w:lineRule="auto"/>
        <w:ind w:right="-58" w:firstLine="999" w:firstLineChars="450"/>
        <w:rPr>
          <w:rFonts w:asciiTheme="minorEastAsia" w:hAnsiTheme="minorEastAsia" w:eastAsiaTheme="minorEastAsia"/>
          <w:color w:val="000000" w:themeColor="text1"/>
          <w:spacing w:val="6"/>
          <w:highlight w:val="none"/>
          <w14:textFill>
            <w14:solidFill>
              <w14:schemeClr w14:val="tx1"/>
            </w14:solidFill>
          </w14:textFill>
        </w:rPr>
      </w:pPr>
    </w:p>
    <w:p>
      <w:pPr>
        <w:tabs>
          <w:tab w:val="left" w:pos="4860"/>
        </w:tabs>
        <w:spacing w:line="360" w:lineRule="auto"/>
        <w:ind w:right="-58" w:firstLine="4773" w:firstLineChars="2150"/>
        <w:rPr>
          <w:rFonts w:asciiTheme="minorEastAsia" w:hAnsiTheme="minorEastAsia" w:eastAsiaTheme="minorEastAsia"/>
          <w:color w:val="000000" w:themeColor="text1"/>
          <w:spacing w:val="6"/>
          <w:highlight w:val="none"/>
          <w14:textFill>
            <w14:solidFill>
              <w14:schemeClr w14:val="tx1"/>
            </w14:solidFill>
          </w14:textFill>
        </w:rPr>
      </w:pPr>
      <w:r>
        <w:rPr>
          <w:rFonts w:hint="eastAsia" w:asciiTheme="minorEastAsia" w:hAnsiTheme="minorEastAsia" w:eastAsiaTheme="minorEastAsia"/>
          <w:color w:val="000000" w:themeColor="text1"/>
          <w:spacing w:val="6"/>
          <w:highlight w:val="none"/>
          <w14:textFill>
            <w14:solidFill>
              <w14:schemeClr w14:val="tx1"/>
            </w14:solidFill>
          </w14:textFill>
        </w:rPr>
        <w:t xml:space="preserve">企业名称（公章）：                </w:t>
      </w:r>
    </w:p>
    <w:p>
      <w:pPr>
        <w:tabs>
          <w:tab w:val="left" w:pos="4860"/>
        </w:tabs>
        <w:spacing w:line="360" w:lineRule="auto"/>
        <w:ind w:right="-58" w:firstLine="4773" w:firstLineChars="2150"/>
        <w:rPr>
          <w:rFonts w:asciiTheme="minorEastAsia" w:hAnsiTheme="minorEastAsia" w:eastAsiaTheme="minorEastAsia"/>
          <w:color w:val="000000" w:themeColor="text1"/>
          <w:spacing w:val="6"/>
          <w:highlight w:val="none"/>
          <w14:textFill>
            <w14:solidFill>
              <w14:schemeClr w14:val="tx1"/>
            </w14:solidFill>
          </w14:textFill>
        </w:rPr>
      </w:pPr>
      <w:r>
        <w:rPr>
          <w:rFonts w:hint="eastAsia" w:asciiTheme="minorEastAsia" w:hAnsiTheme="minorEastAsia" w:eastAsiaTheme="minorEastAsia"/>
          <w:color w:val="000000" w:themeColor="text1"/>
          <w:spacing w:val="6"/>
          <w:highlight w:val="none"/>
          <w14:textFill>
            <w14:solidFill>
              <w14:schemeClr w14:val="tx1"/>
            </w14:solidFill>
          </w14:textFill>
        </w:rPr>
        <w:t xml:space="preserve">日期：  </w:t>
      </w:r>
    </w:p>
    <w:p>
      <w:pPr>
        <w:spacing w:line="360" w:lineRule="auto"/>
        <w:ind w:right="420" w:firstLine="444" w:firstLineChars="200"/>
        <w:rPr>
          <w:rFonts w:asciiTheme="minorEastAsia" w:hAnsiTheme="minorEastAsia" w:eastAsiaTheme="minorEastAsia"/>
          <w:color w:val="000000" w:themeColor="text1"/>
          <w:spacing w:val="6"/>
          <w:highlight w:val="none"/>
          <w14:textFill>
            <w14:solidFill>
              <w14:schemeClr w14:val="tx1"/>
            </w14:solidFill>
          </w14:textFill>
        </w:rPr>
      </w:pPr>
      <w:r>
        <w:rPr>
          <w:rFonts w:hint="eastAsia" w:asciiTheme="minorEastAsia" w:hAnsiTheme="minorEastAsia" w:eastAsiaTheme="minorEastAsia"/>
          <w:color w:val="000000" w:themeColor="text1"/>
          <w:spacing w:val="6"/>
          <w:highlight w:val="none"/>
          <w14:textFill>
            <w14:solidFill>
              <w14:schemeClr w14:val="tx1"/>
            </w14:solidFill>
          </w14:textFill>
        </w:rPr>
        <w:t>注：1、填写要求：①“标的名称”、“招标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r>
        <w:rPr>
          <w:rFonts w:hint="eastAsia" w:asciiTheme="minorEastAsia" w:hAnsiTheme="minorEastAsia" w:eastAsiaTheme="minorEastAsia"/>
          <w:b/>
          <w:bCs/>
          <w:color w:val="000000" w:themeColor="text1"/>
          <w:spacing w:val="6"/>
          <w:highlight w:val="none"/>
          <w:u w:val="double"/>
          <w14:textFill>
            <w14:solidFill>
              <w14:schemeClr w14:val="tx1"/>
            </w14:solidFill>
          </w14:textFill>
        </w:rPr>
        <w:t>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44" w:firstLineChars="200"/>
        <w:rPr>
          <w:rFonts w:cs="仿宋_GB2312" w:asciiTheme="minorEastAsia" w:hAnsiTheme="minorEastAsia" w:eastAsiaTheme="minorEastAsia"/>
          <w:color w:val="000000" w:themeColor="text1"/>
          <w:highlight w:val="none"/>
          <w14:textFill>
            <w14:solidFill>
              <w14:schemeClr w14:val="tx1"/>
            </w14:solidFill>
          </w14:textFill>
        </w:rPr>
        <w:sectPr>
          <w:headerReference r:id="rId19" w:type="default"/>
          <w:pgSz w:w="11907" w:h="16840"/>
          <w:pgMar w:top="1304" w:right="1587" w:bottom="1304" w:left="1587" w:header="720" w:footer="720" w:gutter="0"/>
          <w:pgBorders>
            <w:top w:val="none" w:sz="0" w:space="0"/>
            <w:left w:val="none" w:sz="0" w:space="0"/>
            <w:bottom w:val="none" w:sz="0" w:space="0"/>
            <w:right w:val="none" w:sz="0" w:space="0"/>
          </w:pgBorders>
          <w:cols w:space="0" w:num="1"/>
          <w:rtlGutter w:val="0"/>
          <w:docGrid w:linePitch="285" w:charSpace="0"/>
        </w:sectPr>
      </w:pPr>
      <w:r>
        <w:rPr>
          <w:rFonts w:hint="eastAsia" w:asciiTheme="minorEastAsia" w:hAnsiTheme="minorEastAsia" w:eastAsiaTheme="minorEastAsia"/>
          <w:color w:val="000000" w:themeColor="text1"/>
          <w:spacing w:val="6"/>
          <w:highlight w:val="none"/>
          <w14:textFill>
            <w14:solidFill>
              <w14:schemeClr w14:val="tx1"/>
            </w14:solidFill>
          </w14:textFill>
        </w:rPr>
        <w:t>2、符合《关于促进残疾人就业政府采购政策的通知》（财库〔2017〕141号）规定的条件并提供《残疾人福利性单位声明函》（附件2）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r>
        <w:rPr>
          <w:rFonts w:cs="仿宋_GB2312" w:asciiTheme="minorEastAsia" w:hAnsiTheme="minorEastAsia" w:eastAsiaTheme="minorEastAsia"/>
          <w:color w:val="000000" w:themeColor="text1"/>
          <w:highlight w:val="none"/>
          <w14:textFill>
            <w14:solidFill>
              <w14:schemeClr w14:val="tx1"/>
            </w14:solidFill>
          </w14:textFill>
        </w:rPr>
        <w:t>。</w:t>
      </w:r>
    </w:p>
    <w:p>
      <w:pPr>
        <w:jc w:val="center"/>
        <w:rPr>
          <w:rStyle w:val="139"/>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28"/>
          <w:szCs w:val="28"/>
          <w:highlight w:val="none"/>
          <w14:textFill>
            <w14:solidFill>
              <w14:schemeClr w14:val="tx1"/>
            </w14:solidFill>
          </w14:textFill>
        </w:rPr>
        <w:t>中小微行业划型标准规定</w:t>
      </w:r>
      <w:r>
        <w:rPr>
          <w:rStyle w:val="139"/>
          <w:rFonts w:asciiTheme="minorEastAsia" w:hAnsiTheme="minorEastAsia" w:eastAsiaTheme="minorEastAsia"/>
          <w:color w:val="000000" w:themeColor="text1"/>
          <w:sz w:val="28"/>
          <w:szCs w:val="28"/>
          <w:highlight w:val="none"/>
          <w14:textFill>
            <w14:solidFill>
              <w14:schemeClr w14:val="tx1"/>
            </w14:solidFill>
          </w14:textFill>
        </w:rPr>
        <w:t>（根据工信部联企业〔2011〕300号制定）</w:t>
      </w:r>
    </w:p>
    <w:tbl>
      <w:tblPr>
        <w:tblStyle w:val="38"/>
        <w:tblW w:w="15008" w:type="dxa"/>
        <w:tblInd w:w="0" w:type="dxa"/>
        <w:tblLayout w:type="fixed"/>
        <w:tblCellMar>
          <w:top w:w="15" w:type="dxa"/>
          <w:left w:w="15" w:type="dxa"/>
          <w:bottom w:w="15" w:type="dxa"/>
          <w:right w:w="15" w:type="dxa"/>
        </w:tblCellMar>
      </w:tblPr>
      <w:tblGrid>
        <w:gridCol w:w="2153"/>
        <w:gridCol w:w="1320"/>
        <w:gridCol w:w="1560"/>
        <w:gridCol w:w="1500"/>
        <w:gridCol w:w="1320"/>
        <w:gridCol w:w="1500"/>
        <w:gridCol w:w="1406"/>
        <w:gridCol w:w="1264"/>
        <w:gridCol w:w="1470"/>
        <w:gridCol w:w="1515"/>
      </w:tblGrid>
      <w:tr>
        <w:tblPrEx>
          <w:tblCellMar>
            <w:top w:w="15" w:type="dxa"/>
            <w:left w:w="15" w:type="dxa"/>
            <w:bottom w:w="15" w:type="dxa"/>
            <w:right w:w="15" w:type="dxa"/>
          </w:tblCellMar>
        </w:tblPrEx>
        <w:trPr>
          <w:trHeight w:val="90" w:hRule="atLeast"/>
        </w:trPr>
        <w:tc>
          <w:tcPr>
            <w:tcW w:w="2153" w:type="dxa"/>
            <w:vMerge w:val="restart"/>
            <w:tcBorders>
              <w:top w:val="single" w:color="000000" w:sz="12" w:space="0"/>
              <w:left w:val="single" w:color="000000" w:sz="12" w:space="0"/>
              <w:bottom w:val="single" w:color="000000" w:sz="4" w:space="0"/>
              <w:right w:val="single" w:color="000000" w:sz="12" w:space="0"/>
            </w:tcBorders>
            <w:vAlign w:val="center"/>
          </w:tcPr>
          <w:p>
            <w:pPr>
              <w:widowControl/>
              <w:jc w:val="center"/>
              <w:textAlignment w:val="center"/>
              <w:rPr>
                <w:rFonts w:cs="宋体" w:asciiTheme="minorEastAsia" w:hAnsiTheme="minorEastAsia" w:eastAsiaTheme="minorEastAsia"/>
                <w:b/>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18"/>
                <w:szCs w:val="18"/>
                <w:highlight w:val="none"/>
                <w14:textFill>
                  <w14:solidFill>
                    <w14:schemeClr w14:val="tx1"/>
                  </w14:solidFill>
                </w14:textFill>
              </w:rPr>
              <w:t>行业</w:t>
            </w:r>
          </w:p>
        </w:tc>
        <w:tc>
          <w:tcPr>
            <w:tcW w:w="4380" w:type="dxa"/>
            <w:gridSpan w:val="3"/>
            <w:tcBorders>
              <w:top w:val="single" w:color="000000" w:sz="12" w:space="0"/>
              <w:left w:val="single" w:color="000000" w:sz="12" w:space="0"/>
              <w:bottom w:val="single" w:color="000000" w:sz="4" w:space="0"/>
              <w:right w:val="single" w:color="000000" w:sz="12" w:space="0"/>
            </w:tcBorders>
            <w:vAlign w:val="bottom"/>
          </w:tcPr>
          <w:p>
            <w:pPr>
              <w:widowControl/>
              <w:jc w:val="center"/>
              <w:textAlignment w:val="bottom"/>
              <w:rPr>
                <w:rFonts w:cs="宋体" w:asciiTheme="minorEastAsia" w:hAnsiTheme="minorEastAsia" w:eastAsiaTheme="minorEastAsia"/>
                <w:b/>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18"/>
                <w:szCs w:val="18"/>
                <w:highlight w:val="none"/>
                <w14:textFill>
                  <w14:solidFill>
                    <w14:schemeClr w14:val="tx1"/>
                  </w14:solidFill>
                </w14:textFill>
              </w:rPr>
              <w:t>中型企业</w:t>
            </w:r>
          </w:p>
        </w:tc>
        <w:tc>
          <w:tcPr>
            <w:tcW w:w="4226" w:type="dxa"/>
            <w:gridSpan w:val="3"/>
            <w:tcBorders>
              <w:top w:val="single" w:color="000000" w:sz="12" w:space="0"/>
              <w:left w:val="single" w:color="000000" w:sz="12" w:space="0"/>
              <w:bottom w:val="single" w:color="000000" w:sz="4" w:space="0"/>
              <w:right w:val="single" w:color="000000" w:sz="12" w:space="0"/>
            </w:tcBorders>
            <w:vAlign w:val="bottom"/>
          </w:tcPr>
          <w:p>
            <w:pPr>
              <w:widowControl/>
              <w:jc w:val="center"/>
              <w:textAlignment w:val="bottom"/>
              <w:rPr>
                <w:rFonts w:cs="宋体" w:asciiTheme="minorEastAsia" w:hAnsiTheme="minorEastAsia" w:eastAsiaTheme="minorEastAsia"/>
                <w:b/>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18"/>
                <w:szCs w:val="18"/>
                <w:highlight w:val="none"/>
                <w14:textFill>
                  <w14:solidFill>
                    <w14:schemeClr w14:val="tx1"/>
                  </w14:solidFill>
                </w14:textFill>
              </w:rPr>
              <w:t>小型企业</w:t>
            </w:r>
          </w:p>
        </w:tc>
        <w:tc>
          <w:tcPr>
            <w:tcW w:w="4249" w:type="dxa"/>
            <w:gridSpan w:val="3"/>
            <w:tcBorders>
              <w:top w:val="single" w:color="000000" w:sz="12" w:space="0"/>
              <w:left w:val="single" w:color="000000" w:sz="12" w:space="0"/>
              <w:bottom w:val="single" w:color="000000" w:sz="4" w:space="0"/>
              <w:right w:val="single" w:color="000000" w:sz="12" w:space="0"/>
            </w:tcBorders>
            <w:vAlign w:val="bottom"/>
          </w:tcPr>
          <w:p>
            <w:pPr>
              <w:widowControl/>
              <w:jc w:val="center"/>
              <w:textAlignment w:val="bottom"/>
              <w:rPr>
                <w:rFonts w:cs="宋体" w:asciiTheme="minorEastAsia" w:hAnsiTheme="minorEastAsia" w:eastAsiaTheme="minorEastAsia"/>
                <w:b/>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18"/>
                <w:szCs w:val="18"/>
                <w:highlight w:val="none"/>
                <w14:textFill>
                  <w14:solidFill>
                    <w14:schemeClr w14:val="tx1"/>
                  </w14:solidFill>
                </w14:textFill>
              </w:rPr>
              <w:t>微型企业</w:t>
            </w:r>
          </w:p>
        </w:tc>
      </w:tr>
      <w:tr>
        <w:tblPrEx>
          <w:tblCellMar>
            <w:top w:w="15" w:type="dxa"/>
            <w:left w:w="15" w:type="dxa"/>
            <w:bottom w:w="15" w:type="dxa"/>
            <w:right w:w="15" w:type="dxa"/>
          </w:tblCellMar>
        </w:tblPrEx>
        <w:trPr>
          <w:trHeight w:val="374" w:hRule="atLeast"/>
        </w:trPr>
        <w:tc>
          <w:tcPr>
            <w:tcW w:w="2153" w:type="dxa"/>
            <w:vMerge w:val="continue"/>
            <w:tcBorders>
              <w:top w:val="single" w:color="000000" w:sz="12" w:space="0"/>
              <w:left w:val="single" w:color="000000" w:sz="12" w:space="0"/>
              <w:bottom w:val="single" w:color="000000" w:sz="4" w:space="0"/>
              <w:right w:val="single" w:color="000000" w:sz="12" w:space="0"/>
            </w:tcBorders>
            <w:vAlign w:val="center"/>
          </w:tcPr>
          <w:p>
            <w:pPr>
              <w:jc w:val="center"/>
              <w:rPr>
                <w:rFonts w:cs="宋体" w:asciiTheme="minorEastAsia" w:hAnsiTheme="minorEastAsia" w:eastAsiaTheme="minorEastAsia"/>
                <w:b/>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从业人员X（人）</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营业收入 Y（万元）</w:t>
            </w:r>
          </w:p>
        </w:tc>
        <w:tc>
          <w:tcPr>
            <w:tcW w:w="1500"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资产总额 Z（万元）</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从业人员X（人）</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营业收入Y（万元）</w:t>
            </w:r>
          </w:p>
        </w:tc>
        <w:tc>
          <w:tcPr>
            <w:tcW w:w="1406"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资产总额Z（万元）</w:t>
            </w: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从业人员X（人）</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营业收入Y（万元）</w:t>
            </w:r>
          </w:p>
        </w:tc>
        <w:tc>
          <w:tcPr>
            <w:tcW w:w="1515"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资产总额Z（万元）</w:t>
            </w: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1、农林牧渔业</w:t>
            </w:r>
          </w:p>
        </w:tc>
        <w:tc>
          <w:tcPr>
            <w:tcW w:w="1320"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500≤Y＜20000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50≤Y＜500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Y＜50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2、工业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2000≤Y＜40000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300≤Y＜2000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Y＜300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3、建筑业</w:t>
            </w:r>
          </w:p>
        </w:tc>
        <w:tc>
          <w:tcPr>
            <w:tcW w:w="1320"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6000≤Y＜80000</w:t>
            </w:r>
          </w:p>
        </w:tc>
        <w:tc>
          <w:tcPr>
            <w:tcW w:w="1500"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5000≤Z＜80000</w:t>
            </w:r>
          </w:p>
        </w:tc>
        <w:tc>
          <w:tcPr>
            <w:tcW w:w="1320"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300≤Y＜6000</w:t>
            </w:r>
          </w:p>
        </w:tc>
        <w:tc>
          <w:tcPr>
            <w:tcW w:w="1406"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300≤Z＜5000</w:t>
            </w:r>
          </w:p>
        </w:tc>
        <w:tc>
          <w:tcPr>
            <w:tcW w:w="1264"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Y＜300</w:t>
            </w:r>
          </w:p>
        </w:tc>
        <w:tc>
          <w:tcPr>
            <w:tcW w:w="1515"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Z＜300</w:t>
            </w: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4、批发业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20≤X＜200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5000≤Y＜40000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5≤X＜20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1000≤Y＜5000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X＜5</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5、零售业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50≤X＜300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500≤Y＜20000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10≤X＜50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100≤Y＜500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6、交通运输业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3000≤Y＜30000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200≤Y＜3000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V＜200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7、仓储业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100≤X＜200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1000≤Y＜30000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20≤X＜100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8、邮政业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2000≤Y＜30000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20≤X＜300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X＜20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9、住宿业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2000≤Y＜10000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10、餐饮业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2000≤Y＜10000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100≤Y＜2000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V＜100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11、信息传输业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100≤X＜2000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1000≤Y＜100000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12、软件和信息技术服务业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1000≤Y＜10000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50≤Y＜1000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Y＜50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13、房地产开发经营</w:t>
            </w:r>
          </w:p>
        </w:tc>
        <w:tc>
          <w:tcPr>
            <w:tcW w:w="1320"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1000≤Y＜200000</w:t>
            </w:r>
          </w:p>
        </w:tc>
        <w:tc>
          <w:tcPr>
            <w:tcW w:w="1500"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5000≤Z＜10000</w:t>
            </w:r>
          </w:p>
        </w:tc>
        <w:tc>
          <w:tcPr>
            <w:tcW w:w="1320"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100≤Y＜1000</w:t>
            </w:r>
          </w:p>
        </w:tc>
        <w:tc>
          <w:tcPr>
            <w:tcW w:w="1406"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2000≤Z＜5000</w:t>
            </w:r>
          </w:p>
        </w:tc>
        <w:tc>
          <w:tcPr>
            <w:tcW w:w="1264" w:type="dxa"/>
            <w:tcBorders>
              <w:top w:val="single" w:color="000000" w:sz="4" w:space="0"/>
              <w:left w:val="single" w:color="000000" w:sz="12"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Y＜100</w:t>
            </w:r>
          </w:p>
        </w:tc>
        <w:tc>
          <w:tcPr>
            <w:tcW w:w="1515"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Z＜2000</w:t>
            </w: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14、物业管理</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300≤X＜1000</w:t>
            </w:r>
          </w:p>
        </w:tc>
        <w:tc>
          <w:tcPr>
            <w:tcW w:w="156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1000≤Y＜5000</w:t>
            </w:r>
          </w:p>
        </w:tc>
        <w:tc>
          <w:tcPr>
            <w:tcW w:w="1500"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0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500≤Y＜1000</w:t>
            </w:r>
          </w:p>
        </w:tc>
        <w:tc>
          <w:tcPr>
            <w:tcW w:w="1406"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X＜100</w:t>
            </w:r>
          </w:p>
        </w:tc>
        <w:tc>
          <w:tcPr>
            <w:tcW w:w="1470" w:type="dxa"/>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Y＜500</w:t>
            </w:r>
          </w:p>
        </w:tc>
        <w:tc>
          <w:tcPr>
            <w:tcW w:w="1515" w:type="dxa"/>
            <w:tcBorders>
              <w:top w:val="single" w:color="000000" w:sz="4" w:space="0"/>
              <w:left w:val="single" w:color="000000" w:sz="4" w:space="0"/>
              <w:bottom w:val="single" w:color="000000" w:sz="4"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15、租赁和商务服务业</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8000≤Z＜120000</w:t>
            </w:r>
          </w:p>
        </w:tc>
        <w:tc>
          <w:tcPr>
            <w:tcW w:w="1320"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406"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 xml:space="preserve"> 100≤Z＜8000</w:t>
            </w:r>
          </w:p>
        </w:tc>
        <w:tc>
          <w:tcPr>
            <w:tcW w:w="1264" w:type="dxa"/>
            <w:tcBorders>
              <w:top w:val="single" w:color="000000" w:sz="4" w:space="0"/>
              <w:left w:val="single" w:color="000000" w:sz="12" w:space="0"/>
              <w:bottom w:val="single" w:color="000000" w:sz="4"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4"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15" w:type="dxa"/>
            <w:tcBorders>
              <w:top w:val="single" w:color="000000" w:sz="4" w:space="0"/>
              <w:left w:val="single" w:color="000000" w:sz="4" w:space="0"/>
              <w:bottom w:val="single" w:color="000000" w:sz="4"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Z＜100</w:t>
            </w:r>
          </w:p>
        </w:tc>
      </w:tr>
      <w:tr>
        <w:tblPrEx>
          <w:tblCellMar>
            <w:top w:w="15" w:type="dxa"/>
            <w:left w:w="15" w:type="dxa"/>
            <w:bottom w:w="15" w:type="dxa"/>
            <w:right w:w="15" w:type="dxa"/>
          </w:tblCellMar>
        </w:tblPrEx>
        <w:trPr>
          <w:trHeight w:val="306" w:hRule="atLeast"/>
        </w:trPr>
        <w:tc>
          <w:tcPr>
            <w:tcW w:w="2153" w:type="dxa"/>
            <w:tcBorders>
              <w:top w:val="single" w:color="000000" w:sz="4" w:space="0"/>
              <w:left w:val="single" w:color="000000" w:sz="12" w:space="0"/>
              <w:bottom w:val="single" w:color="000000" w:sz="12" w:space="0"/>
              <w:right w:val="single" w:color="000000" w:sz="12"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16、其他未列明行业</w:t>
            </w:r>
          </w:p>
        </w:tc>
        <w:tc>
          <w:tcPr>
            <w:tcW w:w="1320" w:type="dxa"/>
            <w:tcBorders>
              <w:top w:val="single" w:color="000000" w:sz="4" w:space="0"/>
              <w:left w:val="single" w:color="000000" w:sz="12" w:space="0"/>
              <w:bottom w:val="single" w:color="000000" w:sz="12"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100≤X＜300</w:t>
            </w:r>
          </w:p>
        </w:tc>
        <w:tc>
          <w:tcPr>
            <w:tcW w:w="1560" w:type="dxa"/>
            <w:tcBorders>
              <w:top w:val="single" w:color="000000" w:sz="4" w:space="0"/>
              <w:left w:val="single" w:color="000000" w:sz="4" w:space="0"/>
              <w:bottom w:val="single" w:color="000000" w:sz="12"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00" w:type="dxa"/>
            <w:tcBorders>
              <w:top w:val="single" w:color="000000" w:sz="4" w:space="0"/>
              <w:left w:val="single" w:color="000000" w:sz="4" w:space="0"/>
              <w:bottom w:val="single" w:color="000000" w:sz="12"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320" w:type="dxa"/>
            <w:tcBorders>
              <w:top w:val="single" w:color="000000" w:sz="4" w:space="0"/>
              <w:left w:val="single" w:color="000000" w:sz="12" w:space="0"/>
              <w:bottom w:val="single" w:color="000000" w:sz="12"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10≤X＜100</w:t>
            </w:r>
          </w:p>
        </w:tc>
        <w:tc>
          <w:tcPr>
            <w:tcW w:w="1500" w:type="dxa"/>
            <w:tcBorders>
              <w:top w:val="single" w:color="000000" w:sz="4" w:space="0"/>
              <w:left w:val="single" w:color="000000" w:sz="4" w:space="0"/>
              <w:bottom w:val="single" w:color="000000" w:sz="12"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406" w:type="dxa"/>
            <w:tcBorders>
              <w:top w:val="single" w:color="000000" w:sz="4" w:space="0"/>
              <w:left w:val="single" w:color="000000" w:sz="4" w:space="0"/>
              <w:bottom w:val="single" w:color="000000" w:sz="12"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264" w:type="dxa"/>
            <w:tcBorders>
              <w:top w:val="single" w:color="000000" w:sz="4" w:space="0"/>
              <w:left w:val="single" w:color="000000" w:sz="12" w:space="0"/>
              <w:bottom w:val="single" w:color="000000" w:sz="12" w:space="0"/>
              <w:right w:val="single" w:color="000000" w:sz="4" w:space="0"/>
            </w:tcBorders>
            <w:vAlign w:val="bottom"/>
          </w:tcPr>
          <w:p>
            <w:pPr>
              <w:widowControl/>
              <w:jc w:val="left"/>
              <w:textAlignment w:val="bottom"/>
              <w:rPr>
                <w:rFonts w:cs="宋体" w:asciiTheme="minorEastAsia" w:hAnsiTheme="minorEastAsia" w:eastAsiaTheme="minorEastAsia"/>
                <w:color w:val="000000" w:themeColor="text1"/>
                <w:sz w:val="18"/>
                <w:szCs w:val="1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X＜10</w:t>
            </w:r>
          </w:p>
        </w:tc>
        <w:tc>
          <w:tcPr>
            <w:tcW w:w="1470" w:type="dxa"/>
            <w:tcBorders>
              <w:top w:val="single" w:color="000000" w:sz="4" w:space="0"/>
              <w:left w:val="single" w:color="000000" w:sz="4" w:space="0"/>
              <w:bottom w:val="single" w:color="000000" w:sz="12" w:space="0"/>
              <w:right w:val="single" w:color="000000" w:sz="4"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c>
          <w:tcPr>
            <w:tcW w:w="1515" w:type="dxa"/>
            <w:tcBorders>
              <w:top w:val="single" w:color="000000" w:sz="4" w:space="0"/>
              <w:left w:val="single" w:color="000000" w:sz="4" w:space="0"/>
              <w:bottom w:val="single" w:color="000000" w:sz="12" w:space="0"/>
              <w:right w:val="single" w:color="000000" w:sz="12" w:space="0"/>
            </w:tcBorders>
            <w:vAlign w:val="bottom"/>
          </w:tcPr>
          <w:p>
            <w:pPr>
              <w:rPr>
                <w:rFonts w:cs="宋体" w:asciiTheme="minorEastAsia" w:hAnsiTheme="minorEastAsia" w:eastAsiaTheme="minorEastAsia"/>
                <w:color w:val="000000" w:themeColor="text1"/>
                <w:sz w:val="18"/>
                <w:szCs w:val="18"/>
                <w:highlight w:val="none"/>
                <w14:textFill>
                  <w14:solidFill>
                    <w14:schemeClr w14:val="tx1"/>
                  </w14:solidFill>
                </w14:textFill>
              </w:rPr>
            </w:pPr>
          </w:p>
        </w:tc>
      </w:tr>
    </w:tbl>
    <w:p>
      <w:pPr>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kern w:val="0"/>
          <w:sz w:val="18"/>
          <w:szCs w:val="18"/>
          <w:highlight w:val="none"/>
          <w14:textFill>
            <w14:solidFill>
              <w14:schemeClr w14:val="tx1"/>
            </w14:solidFill>
          </w14:textFill>
        </w:rPr>
        <w:t>说明　1、企业类型的划分以统计部门的统计数据为依据。2、个体工商户和本规定以外的行业，参照本规定进行划型。3、本规定的中型企业标准上限即为大型企业标准的下限。</w:t>
      </w:r>
    </w:p>
    <w:p>
      <w:pPr>
        <w:pStyle w:val="4"/>
        <w:spacing w:line="380" w:lineRule="exact"/>
        <w:rPr>
          <w:rFonts w:asciiTheme="minorEastAsia" w:hAnsiTheme="minorEastAsia" w:eastAsiaTheme="minorEastAsia"/>
          <w:color w:val="000000" w:themeColor="text1"/>
          <w:sz w:val="28"/>
          <w:szCs w:val="28"/>
          <w:highlight w:val="none"/>
          <w14:textFill>
            <w14:solidFill>
              <w14:schemeClr w14:val="tx1"/>
            </w14:solidFill>
          </w14:textFill>
        </w:rPr>
        <w:sectPr>
          <w:headerReference r:id="rId20" w:type="default"/>
          <w:pgSz w:w="16840" w:h="11907" w:orient="landscape"/>
          <w:pgMar w:top="1587" w:right="1304" w:bottom="1587" w:left="1304" w:header="720" w:footer="720" w:gutter="0"/>
          <w:pgBorders>
            <w:top w:val="none" w:sz="0" w:space="0"/>
            <w:left w:val="none" w:sz="0" w:space="0"/>
            <w:bottom w:val="none" w:sz="0" w:space="0"/>
            <w:right w:val="none" w:sz="0" w:space="0"/>
          </w:pgBorders>
          <w:cols w:space="0" w:num="1"/>
          <w:rtlGutter w:val="0"/>
          <w:docGrid w:linePitch="285" w:charSpace="0"/>
        </w:sectPr>
      </w:pPr>
    </w:p>
    <w:p>
      <w:pPr>
        <w:pStyle w:val="2"/>
        <w:spacing w:line="380" w:lineRule="exact"/>
        <w:jc w:val="both"/>
        <w:rPr>
          <w:rFonts w:asciiTheme="minorEastAsia" w:hAnsiTheme="minorEastAsia" w:eastAsiaTheme="minorEastAsia"/>
          <w:color w:val="000000" w:themeColor="text1"/>
          <w:sz w:val="24"/>
          <w:szCs w:val="24"/>
          <w:highlight w:val="none"/>
          <w14:textFill>
            <w14:solidFill>
              <w14:schemeClr w14:val="tx1"/>
            </w14:solidFill>
          </w14:textFill>
        </w:rPr>
      </w:pPr>
      <w:bookmarkStart w:id="247" w:name="_Toc141797712"/>
      <w:bookmarkStart w:id="248" w:name="_Toc1452"/>
      <w:bookmarkStart w:id="249" w:name="_Toc141797156"/>
      <w:bookmarkStart w:id="250" w:name="_Toc30071"/>
      <w:r>
        <w:rPr>
          <w:rFonts w:hint="eastAsia" w:asciiTheme="minorEastAsia" w:hAnsiTheme="minorEastAsia" w:eastAsiaTheme="minorEastAsia"/>
          <w:color w:val="000000" w:themeColor="text1"/>
          <w:sz w:val="24"/>
          <w:szCs w:val="24"/>
          <w:highlight w:val="none"/>
          <w14:textFill>
            <w14:solidFill>
              <w14:schemeClr w14:val="tx1"/>
            </w14:solidFill>
          </w14:textFill>
        </w:rPr>
        <w:t>附件2</w:t>
      </w:r>
      <w:bookmarkEnd w:id="247"/>
      <w:bookmarkEnd w:id="248"/>
      <w:bookmarkEnd w:id="249"/>
      <w:bookmarkEnd w:id="250"/>
    </w:p>
    <w:p>
      <w:pPr>
        <w:pStyle w:val="2"/>
        <w:spacing w:line="380" w:lineRule="exact"/>
        <w:rPr>
          <w:rFonts w:asciiTheme="minorEastAsia" w:hAnsiTheme="minorEastAsia" w:eastAsiaTheme="minorEastAsia"/>
          <w:color w:val="000000" w:themeColor="text1"/>
          <w:sz w:val="24"/>
          <w:szCs w:val="24"/>
          <w:highlight w:val="none"/>
          <w14:textFill>
            <w14:solidFill>
              <w14:schemeClr w14:val="tx1"/>
            </w14:solidFill>
          </w14:textFill>
        </w:rPr>
      </w:pPr>
      <w:bookmarkStart w:id="251" w:name="_Toc21649"/>
      <w:bookmarkStart w:id="252" w:name="_Toc25460"/>
      <w:bookmarkStart w:id="253" w:name="_Toc141797713"/>
      <w:bookmarkStart w:id="254" w:name="_Toc141797157"/>
      <w:r>
        <w:rPr>
          <w:rFonts w:hint="eastAsia" w:asciiTheme="minorEastAsia" w:hAnsiTheme="minorEastAsia" w:eastAsiaTheme="minorEastAsia"/>
          <w:color w:val="000000" w:themeColor="text1"/>
          <w:sz w:val="24"/>
          <w:szCs w:val="24"/>
          <w:highlight w:val="none"/>
          <w14:textFill>
            <w14:solidFill>
              <w14:schemeClr w14:val="tx1"/>
            </w14:solidFill>
          </w14:textFill>
        </w:rPr>
        <w:t>残疾人福利性单位声明函（如有需提供）</w:t>
      </w:r>
      <w:bookmarkEnd w:id="251"/>
      <w:bookmarkEnd w:id="252"/>
      <w:bookmarkEnd w:id="253"/>
      <w:bookmarkEnd w:id="254"/>
    </w:p>
    <w:p>
      <w:pPr>
        <w:ind w:firstLine="420" w:firstLineChars="200"/>
        <w:rPr>
          <w:rFonts w:asciiTheme="minorEastAsia" w:hAnsiTheme="minorEastAsia" w:eastAsiaTheme="minorEastAsia"/>
          <w:color w:val="000000" w:themeColor="text1"/>
          <w:highlight w:val="none"/>
          <w14:textFill>
            <w14:solidFill>
              <w14:schemeClr w14:val="tx1"/>
            </w14:solidFill>
          </w14:textFill>
        </w:rPr>
      </w:pPr>
    </w:p>
    <w:p>
      <w:pPr>
        <w:spacing w:line="588" w:lineRule="exact"/>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20" w:firstLineChars="2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本单位对上述声明的真实性负责。如有虚假，将依法承担相应责任。</w:t>
      </w:r>
    </w:p>
    <w:p>
      <w:pPr>
        <w:tabs>
          <w:tab w:val="left" w:pos="4860"/>
        </w:tabs>
        <w:spacing w:line="588" w:lineRule="exact"/>
        <w:ind w:right="1560" w:firstLine="420" w:firstLineChars="200"/>
        <w:jc w:val="center"/>
        <w:rPr>
          <w:rFonts w:asciiTheme="minorEastAsia" w:hAnsiTheme="minorEastAsia" w:eastAsiaTheme="minorEastAsia"/>
          <w:color w:val="000000" w:themeColor="text1"/>
          <w:highlight w:val="none"/>
          <w14:textFill>
            <w14:solidFill>
              <w14:schemeClr w14:val="tx1"/>
            </w14:solidFill>
          </w14:textFill>
        </w:rPr>
      </w:pPr>
    </w:p>
    <w:p>
      <w:pPr>
        <w:tabs>
          <w:tab w:val="left" w:pos="4860"/>
        </w:tabs>
        <w:spacing w:line="588" w:lineRule="exact"/>
        <w:ind w:right="1560" w:firstLine="420" w:firstLineChars="200"/>
        <w:jc w:val="cente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               单位名称（公章）：</w:t>
      </w:r>
    </w:p>
    <w:p>
      <w:pPr>
        <w:spacing w:line="38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 xml:space="preserve">                                   日  期：</w:t>
      </w:r>
    </w:p>
    <w:p>
      <w:pPr>
        <w:spacing w:line="400" w:lineRule="exact"/>
        <w:ind w:firstLine="422" w:firstLineChars="200"/>
        <w:rPr>
          <w:rFonts w:asciiTheme="minorEastAsia" w:hAnsiTheme="minorEastAsia" w:eastAsiaTheme="minorEastAsia"/>
          <w:b/>
          <w:color w:val="000000" w:themeColor="text1"/>
          <w:highlight w:val="none"/>
          <w14:textFill>
            <w14:solidFill>
              <w14:schemeClr w14:val="tx1"/>
            </w14:solidFill>
          </w14:textFill>
        </w:rPr>
      </w:pPr>
    </w:p>
    <w:p>
      <w:pPr>
        <w:spacing w:line="400" w:lineRule="exact"/>
        <w:ind w:firstLine="422" w:firstLineChars="200"/>
        <w:rPr>
          <w:rFonts w:asciiTheme="minorEastAsia" w:hAnsiTheme="minorEastAsia" w:eastAsiaTheme="minorEastAsia"/>
          <w:b/>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注：</w:t>
      </w:r>
    </w:p>
    <w:p>
      <w:pPr>
        <w:spacing w:line="400" w:lineRule="exact"/>
        <w:ind w:firstLine="422" w:firstLineChars="200"/>
        <w:rPr>
          <w:rFonts w:asciiTheme="minorEastAsia" w:hAnsiTheme="minorEastAsia" w:eastAsiaTheme="minorEastAsia"/>
          <w:b/>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享受政府采购支持政策的残疾人福利性单位应当同时满足以下条件：</w:t>
      </w:r>
    </w:p>
    <w:p>
      <w:pPr>
        <w:spacing w:line="400" w:lineRule="exact"/>
        <w:ind w:firstLine="422" w:firstLineChars="200"/>
        <w:rPr>
          <w:rFonts w:asciiTheme="minorEastAsia" w:hAnsiTheme="minorEastAsia" w:eastAsiaTheme="minorEastAsia"/>
          <w:b/>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（一）安置的残疾人占本单位在职职工人数的比例不低于</w:t>
      </w:r>
      <w:r>
        <w:rPr>
          <w:rFonts w:asciiTheme="minorEastAsia" w:hAnsiTheme="minorEastAsia" w:eastAsiaTheme="minorEastAsia"/>
          <w:b/>
          <w:color w:val="000000" w:themeColor="text1"/>
          <w:highlight w:val="none"/>
          <w14:textFill>
            <w14:solidFill>
              <w14:schemeClr w14:val="tx1"/>
            </w14:solidFill>
          </w14:textFill>
        </w:rPr>
        <w:t>25%</w:t>
      </w:r>
      <w:r>
        <w:rPr>
          <w:rFonts w:hint="eastAsia" w:asciiTheme="minorEastAsia" w:hAnsiTheme="minorEastAsia" w:eastAsiaTheme="minorEastAsia"/>
          <w:b/>
          <w:color w:val="000000" w:themeColor="text1"/>
          <w:highlight w:val="none"/>
          <w14:textFill>
            <w14:solidFill>
              <w14:schemeClr w14:val="tx1"/>
            </w14:solidFill>
          </w14:textFill>
        </w:rPr>
        <w:t>（含</w:t>
      </w:r>
      <w:r>
        <w:rPr>
          <w:rFonts w:asciiTheme="minorEastAsia" w:hAnsiTheme="minorEastAsia" w:eastAsiaTheme="minorEastAsia"/>
          <w:b/>
          <w:color w:val="000000" w:themeColor="text1"/>
          <w:highlight w:val="none"/>
          <w14:textFill>
            <w14:solidFill>
              <w14:schemeClr w14:val="tx1"/>
            </w14:solidFill>
          </w14:textFill>
        </w:rPr>
        <w:t>25%</w:t>
      </w:r>
      <w:r>
        <w:rPr>
          <w:rFonts w:hint="eastAsia" w:asciiTheme="minorEastAsia" w:hAnsiTheme="minorEastAsia" w:eastAsiaTheme="minorEastAsia"/>
          <w:b/>
          <w:color w:val="000000" w:themeColor="text1"/>
          <w:highlight w:val="none"/>
          <w14:textFill>
            <w14:solidFill>
              <w14:schemeClr w14:val="tx1"/>
            </w14:solidFill>
          </w14:textFill>
        </w:rPr>
        <w:t>），并且安置的残疾人人数不少于</w:t>
      </w:r>
      <w:r>
        <w:rPr>
          <w:rFonts w:asciiTheme="minorEastAsia" w:hAnsiTheme="minorEastAsia" w:eastAsiaTheme="minorEastAsia"/>
          <w:b/>
          <w:color w:val="000000" w:themeColor="text1"/>
          <w:highlight w:val="none"/>
          <w14:textFill>
            <w14:solidFill>
              <w14:schemeClr w14:val="tx1"/>
            </w14:solidFill>
          </w14:textFill>
        </w:rPr>
        <w:t>10</w:t>
      </w:r>
      <w:r>
        <w:rPr>
          <w:rFonts w:hint="eastAsia" w:asciiTheme="minorEastAsia" w:hAnsiTheme="minorEastAsia" w:eastAsiaTheme="minorEastAsia"/>
          <w:b/>
          <w:color w:val="000000" w:themeColor="text1"/>
          <w:highlight w:val="none"/>
          <w14:textFill>
            <w14:solidFill>
              <w14:schemeClr w14:val="tx1"/>
            </w14:solidFill>
          </w14:textFill>
        </w:rPr>
        <w:t>人（含</w:t>
      </w:r>
      <w:r>
        <w:rPr>
          <w:rFonts w:asciiTheme="minorEastAsia" w:hAnsiTheme="minorEastAsia" w:eastAsiaTheme="minorEastAsia"/>
          <w:b/>
          <w:color w:val="000000" w:themeColor="text1"/>
          <w:highlight w:val="none"/>
          <w14:textFill>
            <w14:solidFill>
              <w14:schemeClr w14:val="tx1"/>
            </w14:solidFill>
          </w14:textFill>
        </w:rPr>
        <w:t>10</w:t>
      </w:r>
      <w:r>
        <w:rPr>
          <w:rFonts w:hint="eastAsia" w:asciiTheme="minorEastAsia" w:hAnsiTheme="minorEastAsia" w:eastAsiaTheme="minorEastAsia"/>
          <w:b/>
          <w:color w:val="000000" w:themeColor="text1"/>
          <w:highlight w:val="none"/>
          <w14:textFill>
            <w14:solidFill>
              <w14:schemeClr w14:val="tx1"/>
            </w14:solidFill>
          </w14:textFill>
        </w:rPr>
        <w:t>人）；</w:t>
      </w:r>
    </w:p>
    <w:p>
      <w:pPr>
        <w:spacing w:line="400" w:lineRule="exact"/>
        <w:ind w:firstLine="422" w:firstLineChars="200"/>
        <w:rPr>
          <w:rFonts w:asciiTheme="minorEastAsia" w:hAnsiTheme="minorEastAsia" w:eastAsiaTheme="minorEastAsia"/>
          <w:b/>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（二）依法与安置的每位残疾人签订了一年以上（含一年）的劳动合同或服务协议；</w:t>
      </w:r>
    </w:p>
    <w:p>
      <w:pPr>
        <w:spacing w:line="400" w:lineRule="exact"/>
        <w:ind w:firstLine="422" w:firstLineChars="200"/>
        <w:rPr>
          <w:rFonts w:asciiTheme="minorEastAsia" w:hAnsiTheme="minorEastAsia" w:eastAsiaTheme="minorEastAsia"/>
          <w:b/>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（三）为安置的每位残疾人按月足额缴纳了基本养老保险、基本医疗保险、失业保险、工伤保险和生育保险等社会保险费；</w:t>
      </w:r>
    </w:p>
    <w:p>
      <w:pPr>
        <w:spacing w:line="400" w:lineRule="exact"/>
        <w:ind w:firstLine="422" w:firstLineChars="200"/>
        <w:rPr>
          <w:rFonts w:asciiTheme="minorEastAsia" w:hAnsiTheme="minorEastAsia" w:eastAsiaTheme="minorEastAsia"/>
          <w:b/>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（四）通过银行等金融机构向安置的每位残疾人，按月支付了不低于单位所在区县适用的经省级人民政府批准的月最低工资标准的工资；</w:t>
      </w:r>
    </w:p>
    <w:p>
      <w:pPr>
        <w:spacing w:line="400" w:lineRule="exact"/>
        <w:ind w:firstLine="422" w:firstLineChars="200"/>
        <w:rPr>
          <w:rFonts w:asciiTheme="minorEastAsia" w:hAnsiTheme="minorEastAsia" w:eastAsiaTheme="minorEastAsia"/>
          <w:b/>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（五）提供本单位制造的货物、承担的工程或者服务（以下简称产品），或者提供其他残疾人福利性单位制造的货物（不包括使用非残疾人福利性单位注册商标的货物）。</w:t>
      </w:r>
    </w:p>
    <w:p>
      <w:pPr>
        <w:spacing w:line="380" w:lineRule="exact"/>
        <w:rPr>
          <w:rFonts w:cs="宋体" w:asciiTheme="minorEastAsia" w:hAnsiTheme="minorEastAsia" w:eastAsiaTheme="minorEastAsia"/>
          <w:color w:val="000000" w:themeColor="text1"/>
          <w:kern w:val="0"/>
          <w:highlight w:val="none"/>
          <w14:textFill>
            <w14:solidFill>
              <w14:schemeClr w14:val="tx1"/>
            </w14:solidFill>
          </w14:textFill>
        </w:rPr>
      </w:pPr>
      <w:r>
        <w:rPr>
          <w:rFonts w:hint="eastAsia" w:asciiTheme="minorEastAsia" w:hAnsiTheme="minorEastAsia" w:eastAsiaTheme="minorEastAsia"/>
          <w:b/>
          <w:color w:val="000000" w:themeColor="text1"/>
          <w:highlight w:val="none"/>
          <w14:textFill>
            <w14:solidFill>
              <w14:schemeClr w14:val="tx1"/>
            </w14:solidFill>
          </w14:textFill>
        </w:rPr>
        <w:t>前款所称残疾人是指法定劳动年龄内，持有《中华人民共和国残疾人证》或者《中华人民共和国残疾军人证（</w:t>
      </w:r>
      <w:r>
        <w:rPr>
          <w:rFonts w:asciiTheme="minorEastAsia" w:hAnsiTheme="minorEastAsia" w:eastAsiaTheme="minorEastAsia"/>
          <w:b/>
          <w:color w:val="000000" w:themeColor="text1"/>
          <w:highlight w:val="none"/>
          <w14:textFill>
            <w14:solidFill>
              <w14:schemeClr w14:val="tx1"/>
            </w14:solidFill>
          </w14:textFill>
        </w:rPr>
        <w:t>1</w:t>
      </w:r>
      <w:r>
        <w:rPr>
          <w:rFonts w:hint="eastAsia" w:asciiTheme="minorEastAsia" w:hAnsiTheme="minorEastAsia" w:eastAsiaTheme="minorEastAsia"/>
          <w:b/>
          <w:color w:val="000000" w:themeColor="text1"/>
          <w:highlight w:val="none"/>
          <w14:textFill>
            <w14:solidFill>
              <w14:schemeClr w14:val="tx1"/>
            </w14:solidFill>
          </w14:textFill>
        </w:rPr>
        <w:t>至</w:t>
      </w:r>
      <w:r>
        <w:rPr>
          <w:rFonts w:asciiTheme="minorEastAsia" w:hAnsiTheme="minorEastAsia" w:eastAsiaTheme="minorEastAsia"/>
          <w:b/>
          <w:color w:val="000000" w:themeColor="text1"/>
          <w:highlight w:val="none"/>
          <w14:textFill>
            <w14:solidFill>
              <w14:schemeClr w14:val="tx1"/>
            </w14:solidFill>
          </w14:textFill>
        </w:rPr>
        <w:t>8</w:t>
      </w:r>
      <w:r>
        <w:rPr>
          <w:rFonts w:hint="eastAsia" w:asciiTheme="minorEastAsia" w:hAnsiTheme="minorEastAsia" w:eastAsiaTheme="minorEastAsia"/>
          <w:b/>
          <w:color w:val="000000" w:themeColor="text1"/>
          <w:highlight w:val="none"/>
          <w14:textFill>
            <w14:solidFill>
              <w14:schemeClr w14:val="tx1"/>
            </w14:solidFill>
          </w14:textFill>
        </w:rPr>
        <w:t>级）》的自然人，包括具有劳动条件和劳动意愿的精神残疾人。在职职工人数是指与残疾人福利性单位建立劳动关系并依法签订劳动合同或者服务协议的雇员人数。</w:t>
      </w:r>
    </w:p>
    <w:p>
      <w:pPr>
        <w:pStyle w:val="3"/>
        <w:spacing w:before="240" w:after="24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3"/>
        <w:spacing w:before="240" w:after="240"/>
        <w:rPr>
          <w:color w:val="000000" w:themeColor="text1"/>
          <w:highlight w:val="none"/>
          <w14:textFill>
            <w14:solidFill>
              <w14:schemeClr w14:val="tx1"/>
            </w14:solidFill>
          </w14:textFill>
        </w:rPr>
      </w:pPr>
    </w:p>
    <w:p>
      <w:pPr>
        <w:pStyle w:val="2"/>
        <w:spacing w:line="380" w:lineRule="exact"/>
        <w:rPr>
          <w:rFonts w:cs="Times New Roman"/>
          <w:color w:val="000000" w:themeColor="text1"/>
          <w:sz w:val="24"/>
          <w:szCs w:val="24"/>
          <w:highlight w:val="none"/>
          <w14:textFill>
            <w14:solidFill>
              <w14:schemeClr w14:val="tx1"/>
            </w14:solidFill>
          </w14:textFill>
        </w:rPr>
      </w:pPr>
    </w:p>
    <w:sectPr>
      <w:headerReference r:id="rId21" w:type="default"/>
      <w:pgSz w:w="11907" w:h="16840"/>
      <w:pgMar w:top="1304" w:right="1587" w:bottom="1304" w:left="1587" w:header="720" w:footer="720" w:gutter="0"/>
      <w:pgBorders>
        <w:top w:val="none" w:sz="0" w:space="0"/>
        <w:left w:val="none" w:sz="0" w:space="0"/>
        <w:bottom w:val="none" w:sz="0" w:space="0"/>
        <w:right w:val="none" w:sz="0" w:space="0"/>
      </w:pgBorders>
      <w:cols w:space="0" w:num="1"/>
      <w:rtlGutter w:val="0"/>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CESI仿宋-GB2312">
    <w:altName w:val="仿宋"/>
    <w:panose1 w:val="02000500000000000000"/>
    <w:charset w:val="86"/>
    <w:family w:val="auto"/>
    <w:pitch w:val="default"/>
    <w:sig w:usb0="00000000" w:usb1="00000000" w:usb2="00000010" w:usb3="00000000" w:csb0="0004000F" w:csb1="00000000"/>
  </w:font>
  <w:font w:name="方正黑体简体">
    <w:altName w:val="SimSun-ExtB"/>
    <w:panose1 w:val="00000000000000000000"/>
    <w:charset w:val="86"/>
    <w:family w:val="auto"/>
    <w:pitch w:val="default"/>
    <w:sig w:usb0="00000000" w:usb1="00000000" w:usb2="00000010" w:usb3="00000000" w:csb0="00040000"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9987782"/>
    </w:sdtPr>
    <w:sdtContent>
      <w:p>
        <w:pPr>
          <w:pStyle w:val="26"/>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1940111"/>
    </w:sdtPr>
    <w:sdtContent>
      <w:p>
        <w:pPr>
          <w:pStyle w:val="26"/>
          <w:jc w:val="center"/>
        </w:pPr>
        <w:r>
          <w:fldChar w:fldCharType="begin"/>
        </w:r>
        <w:r>
          <w:instrText xml:space="preserve"> PAGE   \* MERGEFORMAT </w:instrText>
        </w:r>
        <w:r>
          <w:fldChar w:fldCharType="separate"/>
        </w:r>
        <w:r>
          <w:rPr>
            <w:lang w:val="zh-CN"/>
          </w:rPr>
          <w:t>10</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ordWrap w:val="0"/>
      <w:ind w:left="7350" w:hanging="7350" w:hangingChars="3500"/>
      <w:jc w:val="both"/>
      <w:rPr>
        <w:sz w:val="21"/>
        <w:szCs w:val="21"/>
      </w:rPr>
    </w:pPr>
    <w:r>
      <w:rPr>
        <w:rFonts w:hint="eastAsia"/>
        <w:sz w:val="21"/>
        <w:szCs w:val="21"/>
      </w:rPr>
      <w:t xml:space="preserve">政府采购公开招标招标文件                                          </w:t>
    </w:r>
    <w:r>
      <w:rPr>
        <w:rFonts w:hint="eastAsia"/>
        <w:sz w:val="21"/>
        <w:szCs w:val="21"/>
        <w:lang w:val="en-US" w:eastAsia="zh-CN"/>
      </w:rPr>
      <w:t xml:space="preserve">                </w:t>
    </w:r>
    <w:r>
      <w:rPr>
        <w:rFonts w:hint="eastAsia"/>
        <w:sz w:val="21"/>
        <w:szCs w:val="21"/>
      </w:rPr>
      <w:t>投标文件格式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ordWrap w:val="0"/>
      <w:ind w:left="7350" w:hanging="7350" w:hangingChars="3500"/>
      <w:jc w:val="both"/>
      <w:rPr>
        <w:sz w:val="21"/>
        <w:szCs w:val="21"/>
      </w:rPr>
    </w:pPr>
    <w:r>
      <w:rPr>
        <w:rFonts w:hint="eastAsia"/>
        <w:sz w:val="21"/>
        <w:szCs w:val="21"/>
      </w:rPr>
      <w:t xml:space="preserve">政府采购公开招标招标文件                                          </w:t>
    </w:r>
    <w:r>
      <w:rPr>
        <w:rFonts w:hint="eastAsia"/>
        <w:sz w:val="21"/>
        <w:szCs w:val="21"/>
        <w:lang w:val="en-US" w:eastAsia="zh-CN"/>
      </w:rPr>
      <w:t xml:space="preserve">                </w:t>
    </w:r>
    <w:r>
      <w:rPr>
        <w:rFonts w:hint="eastAsia"/>
        <w:sz w:val="21"/>
        <w:szCs w:val="21"/>
      </w:rPr>
      <w:t>投标文件格式</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ordWrap w:val="0"/>
      <w:ind w:left="7350" w:hanging="7350" w:hangingChars="3500"/>
      <w:jc w:val="both"/>
      <w:rPr>
        <w:sz w:val="21"/>
        <w:szCs w:val="21"/>
      </w:rPr>
    </w:pPr>
    <w:r>
      <w:rPr>
        <w:rFonts w:hint="eastAsia"/>
        <w:sz w:val="21"/>
        <w:szCs w:val="21"/>
      </w:rPr>
      <w:t xml:space="preserve">政府采购公开招标招标文件                                          </w:t>
    </w:r>
    <w:r>
      <w:rPr>
        <w:rFonts w:hint="eastAsia"/>
        <w:sz w:val="21"/>
        <w:szCs w:val="21"/>
        <w:lang w:val="en-US" w:eastAsia="zh-CN"/>
      </w:rPr>
      <w:t xml:space="preserve">                                                       </w:t>
    </w:r>
    <w:r>
      <w:rPr>
        <w:rFonts w:hint="eastAsia"/>
        <w:sz w:val="21"/>
        <w:szCs w:val="21"/>
      </w:rPr>
      <w:t>投标文件格式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ordWrap w:val="0"/>
      <w:ind w:left="7350" w:hanging="7350" w:hangingChars="3500"/>
      <w:jc w:val="both"/>
      <w:rPr>
        <w:sz w:val="21"/>
        <w:szCs w:val="21"/>
      </w:rPr>
    </w:pPr>
    <w:r>
      <w:rPr>
        <w:rFonts w:hint="eastAsia"/>
        <w:sz w:val="21"/>
        <w:szCs w:val="21"/>
      </w:rPr>
      <w:t xml:space="preserve">政府采购公开招标招标文件                                          </w:t>
    </w:r>
    <w:r>
      <w:rPr>
        <w:rFonts w:hint="eastAsia"/>
        <w:sz w:val="21"/>
        <w:szCs w:val="21"/>
        <w:lang w:val="en-US" w:eastAsia="zh-CN"/>
      </w:rPr>
      <w:t xml:space="preserve">    </w:t>
    </w:r>
    <w:r>
      <w:rPr>
        <w:rFonts w:hint="eastAsia"/>
        <w:sz w:val="21"/>
        <w:szCs w:val="21"/>
      </w:rPr>
      <w:t>投标文件格式</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ind w:left="7770" w:hanging="7770" w:hangingChars="3700"/>
      <w:jc w:val="both"/>
      <w:rPr>
        <w:u w:val="single"/>
      </w:rPr>
    </w:pPr>
    <w:r>
      <w:rPr>
        <w:rFonts w:hint="eastAsia"/>
        <w:u w:val="single"/>
      </w:rPr>
      <w:t xml:space="preserve">政府采购公开招标招标文件                                     </w:t>
    </w:r>
    <w:r>
      <w:rPr>
        <w:rFonts w:hint="eastAsia"/>
        <w:u w:val="single"/>
        <w:lang w:val="en-US" w:eastAsia="zh-CN"/>
      </w:rPr>
      <w:t xml:space="preserve">          </w:t>
    </w:r>
    <w:r>
      <w:rPr>
        <w:rFonts w:hint="eastAsia"/>
        <w:u w:val="single"/>
      </w:rPr>
      <w:t>投标文件格式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ind w:left="7770" w:hanging="7770" w:hangingChars="3700"/>
      <w:jc w:val="both"/>
      <w:rPr>
        <w:u w:val="single"/>
      </w:rPr>
    </w:pPr>
    <w:r>
      <w:rPr>
        <w:rFonts w:hint="eastAsia"/>
        <w:u w:val="single"/>
      </w:rPr>
      <w:t xml:space="preserve">政府采购公开招标招标文件                                   </w:t>
    </w:r>
    <w:r>
      <w:rPr>
        <w:rFonts w:hint="eastAsia"/>
        <w:u w:val="single"/>
        <w:lang w:val="en-US" w:eastAsia="zh-CN"/>
      </w:rPr>
      <w:t xml:space="preserve">                                                               </w:t>
    </w:r>
    <w:r>
      <w:rPr>
        <w:rFonts w:hint="eastAsia"/>
        <w:u w:val="single"/>
      </w:rPr>
      <w:t>投标文件格式</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ind w:left="7770" w:hanging="7770" w:hangingChars="3700"/>
      <w:jc w:val="both"/>
      <w:rPr>
        <w:u w:val="single"/>
      </w:rPr>
    </w:pPr>
    <w:r>
      <w:rPr>
        <w:rFonts w:hint="eastAsia"/>
        <w:u w:val="single"/>
      </w:rPr>
      <w:t xml:space="preserve">政府采购公开招标招标文件                                   </w:t>
    </w:r>
    <w:r>
      <w:rPr>
        <w:rFonts w:hint="eastAsia"/>
        <w:u w:val="single"/>
        <w:lang w:val="en-US" w:eastAsia="zh-CN"/>
      </w:rPr>
      <w:t xml:space="preserve">            </w:t>
    </w:r>
    <w:r>
      <w:rPr>
        <w:rFonts w:hint="eastAsia"/>
        <w:u w:val="single"/>
      </w:rPr>
      <w:t>投标文件格式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sz w:val="21"/>
        <w:szCs w:val="21"/>
      </w:rPr>
    </w:pPr>
    <w:r>
      <w:rPr>
        <w:rFonts w:hint="eastAsia" w:cs="宋体"/>
        <w:sz w:val="21"/>
        <w:szCs w:val="21"/>
        <w:u w:val="single"/>
      </w:rPr>
      <w:t xml:space="preserve">政府采购公开招标采购文件                                           </w:t>
    </w:r>
    <w:r>
      <w:rPr>
        <w:rFonts w:hint="eastAsia" w:cs="宋体"/>
        <w:sz w:val="21"/>
        <w:szCs w:val="21"/>
        <w:u w:val="single"/>
        <w:lang w:val="en-US" w:eastAsia="zh-CN"/>
      </w:rPr>
      <w:t xml:space="preserve">    </w:t>
    </w:r>
    <w:r>
      <w:rPr>
        <w:rFonts w:hint="eastAsia" w:cs="宋体"/>
        <w:sz w:val="21"/>
        <w:szCs w:val="21"/>
        <w:u w:val="single"/>
      </w:rPr>
      <w:t xml:space="preserve"> 采购公告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eastAsia="宋体"/>
        <w:u w:val="single"/>
        <w:lang w:val="en-US" w:eastAsia="zh-CN"/>
      </w:rPr>
    </w:pPr>
    <w:r>
      <w:rPr>
        <w:rFonts w:hint="eastAsia" w:cs="宋体"/>
        <w:u w:val="single"/>
      </w:rPr>
      <w:t xml:space="preserve">政府采购公开招标采购文件                                          </w:t>
    </w:r>
    <w:r>
      <w:rPr>
        <w:rFonts w:hint="eastAsia" w:cs="宋体"/>
        <w:u w:val="single"/>
        <w:lang w:val="en-US" w:eastAsia="zh-CN"/>
      </w:rPr>
      <w:t xml:space="preserve">  </w:t>
    </w:r>
    <w:r>
      <w:rPr>
        <w:rFonts w:hint="eastAsia" w:cs="宋体"/>
        <w:u w:val="single"/>
      </w:rPr>
      <w:t xml:space="preserve">  </w:t>
    </w:r>
    <w:r>
      <w:rPr>
        <w:rFonts w:hint="eastAsia" w:cs="宋体"/>
        <w:u w:val="single"/>
        <w:lang w:val="en-US" w:eastAsia="zh-CN"/>
      </w:rPr>
      <w:t>招标需求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eastAsia="宋体"/>
        <w:u w:val="single"/>
        <w:lang w:val="en-US" w:eastAsia="zh-CN"/>
      </w:rPr>
    </w:pPr>
    <w:r>
      <w:rPr>
        <w:rFonts w:hint="eastAsia" w:cs="宋体"/>
        <w:u w:val="single"/>
      </w:rPr>
      <w:t xml:space="preserve">政府采购公开招标采购文件                                          </w:t>
    </w:r>
    <w:r>
      <w:rPr>
        <w:rFonts w:hint="eastAsia" w:cs="宋体"/>
        <w:u w:val="single"/>
        <w:lang w:val="en-US" w:eastAsia="zh-CN"/>
      </w:rPr>
      <w:t xml:space="preserve">  </w:t>
    </w:r>
    <w:r>
      <w:rPr>
        <w:rFonts w:hint="eastAsia" w:cs="宋体"/>
        <w:u w:val="single"/>
      </w:rPr>
      <w:t xml:space="preserve"> </w:t>
    </w:r>
    <w:r>
      <w:rPr>
        <w:rFonts w:hint="eastAsia" w:cs="宋体"/>
        <w:u w:val="single"/>
        <w:lang w:val="en-US" w:eastAsia="zh-CN"/>
      </w:rPr>
      <w:t xml:space="preserve"> 投标资料表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u w:val="single"/>
      </w:rPr>
    </w:pPr>
    <w:r>
      <w:rPr>
        <w:rFonts w:hint="eastAsia" w:cs="宋体"/>
        <w:u w:val="single"/>
      </w:rPr>
      <w:t xml:space="preserve">政府采购公开招标采购文件                                           </w:t>
    </w:r>
    <w:r>
      <w:rPr>
        <w:rFonts w:hint="eastAsia" w:cs="宋体"/>
        <w:u w:val="single"/>
        <w:lang w:val="en-US" w:eastAsia="zh-CN"/>
      </w:rPr>
      <w:t xml:space="preserve">  </w:t>
    </w:r>
    <w:r>
      <w:rPr>
        <w:rFonts w:hint="eastAsia" w:cs="宋体"/>
        <w:u w:val="single"/>
      </w:rPr>
      <w:t xml:space="preserve"> 投标人须知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eastAsia="宋体"/>
        <w:u w:val="single"/>
        <w:lang w:val="en-US" w:eastAsia="zh-CN"/>
      </w:rPr>
    </w:pPr>
    <w:r>
      <w:rPr>
        <w:rFonts w:hint="eastAsia" w:cs="宋体"/>
        <w:u w:val="single"/>
      </w:rPr>
      <w:t xml:space="preserve">政府采购公开招标采购文件                                                  </w:t>
    </w:r>
    <w:r>
      <w:rPr>
        <w:rFonts w:hint="eastAsia" w:cs="宋体"/>
        <w:u w:val="single"/>
        <w:lang w:val="en-US" w:eastAsia="zh-CN"/>
      </w:rPr>
      <w:t>合同格式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eastAsia="宋体"/>
        <w:u w:val="single"/>
        <w:lang w:val="en-US" w:eastAsia="zh-CN"/>
      </w:rPr>
    </w:pPr>
    <w:r>
      <w:rPr>
        <w:rFonts w:hint="eastAsia" w:cs="宋体"/>
        <w:u w:val="single"/>
      </w:rPr>
      <w:t xml:space="preserve">政府采购公开招标采购文件                                                  </w:t>
    </w:r>
    <w:r>
      <w:rPr>
        <w:rFonts w:hint="eastAsia" w:cs="宋体"/>
        <w:u w:val="single"/>
        <w:lang w:val="en-US" w:eastAsia="zh-CN"/>
      </w:rPr>
      <w:t>评标办法</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eastAsia="宋体"/>
        <w:u w:val="single"/>
        <w:lang w:val="en-US" w:eastAsia="zh-CN"/>
      </w:rPr>
    </w:pPr>
    <w:r>
      <w:rPr>
        <w:rFonts w:hint="eastAsia" w:cs="宋体"/>
        <w:u w:val="single"/>
      </w:rPr>
      <w:t xml:space="preserve">政府采购公开招标采购文件                                                  </w:t>
    </w:r>
    <w:r>
      <w:rPr>
        <w:rFonts w:hint="eastAsia" w:cs="宋体"/>
        <w:u w:val="single"/>
        <w:lang w:val="en-US" w:eastAsia="zh-CN"/>
      </w:rPr>
      <w:t>评标办法</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eastAsia="宋体"/>
        <w:u w:val="single"/>
        <w:lang w:val="en-US" w:eastAsia="zh-CN"/>
      </w:rPr>
    </w:pPr>
    <w:r>
      <w:rPr>
        <w:rFonts w:hint="eastAsia"/>
        <w:u w:val="single"/>
      </w:rPr>
      <w:t xml:space="preserve">政府采购公开招标招标文件                                              </w:t>
    </w:r>
    <w:r>
      <w:rPr>
        <w:rFonts w:hint="eastAsia"/>
        <w:u w:val="single"/>
        <w:lang w:val="en-US" w:eastAsia="zh-CN"/>
      </w:rPr>
      <w:t>投标文件格式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EBE54A"/>
    <w:multiLevelType w:val="singleLevel"/>
    <w:tmpl w:val="87EBE54A"/>
    <w:lvl w:ilvl="0" w:tentative="0">
      <w:start w:val="1"/>
      <w:numFmt w:val="chineseCounting"/>
      <w:suff w:val="nothing"/>
      <w:lvlText w:val="（%1）"/>
      <w:lvlJc w:val="left"/>
      <w:rPr>
        <w:rFonts w:hint="eastAsia"/>
      </w:rPr>
    </w:lvl>
  </w:abstractNum>
  <w:abstractNum w:abstractNumId="1">
    <w:nsid w:val="D2A5D118"/>
    <w:multiLevelType w:val="singleLevel"/>
    <w:tmpl w:val="D2A5D118"/>
    <w:lvl w:ilvl="0" w:tentative="0">
      <w:start w:val="2"/>
      <w:numFmt w:val="decimal"/>
      <w:suff w:val="nothing"/>
      <w:lvlText w:val="%1．"/>
      <w:lvlJc w:val="left"/>
    </w:lvl>
  </w:abstractNum>
  <w:abstractNum w:abstractNumId="2">
    <w:nsid w:val="D73DDF08"/>
    <w:multiLevelType w:val="singleLevel"/>
    <w:tmpl w:val="D73DDF08"/>
    <w:lvl w:ilvl="0" w:tentative="0">
      <w:start w:val="5"/>
      <w:numFmt w:val="chineseCounting"/>
      <w:suff w:val="space"/>
      <w:lvlText w:val="第%1部分"/>
      <w:lvlJc w:val="left"/>
      <w:rPr>
        <w:rFonts w:hint="eastAsia"/>
      </w:rPr>
    </w:lvl>
  </w:abstractNum>
  <w:abstractNum w:abstractNumId="3">
    <w:nsid w:val="DB02A339"/>
    <w:multiLevelType w:val="singleLevel"/>
    <w:tmpl w:val="DB02A339"/>
    <w:lvl w:ilvl="0" w:tentative="0">
      <w:start w:val="2"/>
      <w:numFmt w:val="decimal"/>
      <w:suff w:val="nothing"/>
      <w:lvlText w:val="（%1）"/>
      <w:lvlJc w:val="left"/>
      <w:rPr>
        <w:b w:val="0"/>
        <w:color w:val="auto"/>
      </w:rPr>
    </w:lvl>
  </w:abstractNum>
  <w:abstractNum w:abstractNumId="4">
    <w:nsid w:val="00000004"/>
    <w:multiLevelType w:val="singleLevel"/>
    <w:tmpl w:val="00000004"/>
    <w:lvl w:ilvl="0" w:tentative="0">
      <w:start w:val="1"/>
      <w:numFmt w:val="bullet"/>
      <w:pStyle w:val="155"/>
      <w:lvlText w:val=""/>
      <w:lvlJc w:val="left"/>
      <w:pPr>
        <w:tabs>
          <w:tab w:val="left" w:pos="425"/>
        </w:tabs>
        <w:ind w:left="425" w:hanging="425"/>
      </w:pPr>
      <w:rPr>
        <w:rFonts w:hint="default" w:ascii="Wingdings" w:hAnsi="Wingdings"/>
      </w:rPr>
    </w:lvl>
  </w:abstractNum>
  <w:abstractNum w:abstractNumId="5">
    <w:nsid w:val="0000000A"/>
    <w:multiLevelType w:val="singleLevel"/>
    <w:tmpl w:val="0000000A"/>
    <w:lvl w:ilvl="0" w:tentative="0">
      <w:start w:val="1"/>
      <w:numFmt w:val="bullet"/>
      <w:pStyle w:val="156"/>
      <w:lvlText w:val=""/>
      <w:lvlJc w:val="left"/>
      <w:pPr>
        <w:tabs>
          <w:tab w:val="left" w:pos="425"/>
        </w:tabs>
        <w:ind w:left="425" w:hanging="425"/>
      </w:pPr>
      <w:rPr>
        <w:rFonts w:hint="default" w:ascii="Wingdings" w:hAnsi="Wingdings"/>
      </w:rPr>
    </w:lvl>
  </w:abstractNum>
  <w:abstractNum w:abstractNumId="6">
    <w:nsid w:val="13305CFE"/>
    <w:multiLevelType w:val="multilevel"/>
    <w:tmpl w:val="13305CF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A4FFD45"/>
    <w:multiLevelType w:val="singleLevel"/>
    <w:tmpl w:val="3A4FFD45"/>
    <w:lvl w:ilvl="0" w:tentative="0">
      <w:start w:val="7"/>
      <w:numFmt w:val="chineseCounting"/>
      <w:suff w:val="nothing"/>
      <w:lvlText w:val="%1、"/>
      <w:lvlJc w:val="left"/>
      <w:rPr>
        <w:rFonts w:hint="eastAsia"/>
      </w:rPr>
    </w:lvl>
  </w:abstractNum>
  <w:abstractNum w:abstractNumId="8">
    <w:nsid w:val="3B5F78C6"/>
    <w:multiLevelType w:val="multilevel"/>
    <w:tmpl w:val="3B5F78C6"/>
    <w:lvl w:ilvl="0" w:tentative="0">
      <w:start w:val="1"/>
      <w:numFmt w:val="decimal"/>
      <w:lvlText w:val="（%1）"/>
      <w:lvlJc w:val="left"/>
      <w:pPr>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DF04B1C"/>
    <w:multiLevelType w:val="singleLevel"/>
    <w:tmpl w:val="4DF04B1C"/>
    <w:lvl w:ilvl="0" w:tentative="0">
      <w:start w:val="1"/>
      <w:numFmt w:val="decimal"/>
      <w:suff w:val="space"/>
      <w:lvlText w:val="%1."/>
      <w:lvlJc w:val="left"/>
    </w:lvl>
  </w:abstractNum>
  <w:abstractNum w:abstractNumId="10">
    <w:nsid w:val="653F87E5"/>
    <w:multiLevelType w:val="singleLevel"/>
    <w:tmpl w:val="653F87E5"/>
    <w:lvl w:ilvl="0" w:tentative="0">
      <w:start w:val="1"/>
      <w:numFmt w:val="decimal"/>
      <w:suff w:val="nothing"/>
      <w:lvlText w:val="%1、"/>
      <w:lvlJc w:val="left"/>
    </w:lvl>
  </w:abstractNum>
  <w:abstractNum w:abstractNumId="11">
    <w:nsid w:val="7A68BAFA"/>
    <w:multiLevelType w:val="singleLevel"/>
    <w:tmpl w:val="7A68BAFA"/>
    <w:lvl w:ilvl="0" w:tentative="0">
      <w:start w:val="1"/>
      <w:numFmt w:val="chineseCounting"/>
      <w:suff w:val="nothing"/>
      <w:lvlText w:val="%1、"/>
      <w:lvlJc w:val="left"/>
      <w:rPr>
        <w:rFonts w:hint="eastAsia"/>
      </w:rPr>
    </w:lvl>
  </w:abstractNum>
  <w:num w:numId="1">
    <w:abstractNumId w:val="4"/>
  </w:num>
  <w:num w:numId="2">
    <w:abstractNumId w:val="5"/>
  </w:num>
  <w:num w:numId="3">
    <w:abstractNumId w:val="0"/>
  </w:num>
  <w:num w:numId="4">
    <w:abstractNumId w:val="3"/>
  </w:num>
  <w:num w:numId="5">
    <w:abstractNumId w:val="2"/>
  </w:num>
  <w:num w:numId="6">
    <w:abstractNumId w:val="1"/>
  </w:num>
  <w:num w:numId="7">
    <w:abstractNumId w:val="7"/>
  </w:num>
  <w:num w:numId="8">
    <w:abstractNumId w:val="11"/>
  </w:num>
  <w:num w:numId="9">
    <w:abstractNumId w:val="10"/>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hideSpellingErrors/>
  <w:documentProtection w:enforcement="0"/>
  <w:defaultTabStop w:val="420"/>
  <w:doNotHyphenateCaps/>
  <w:drawingGridHorizontalSpacing w:val="105"/>
  <w:drawingGridVerticalSpacing w:val="14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zNzg5YTVhNTAwNjg3MTRmYTk3ZmQxZmJlMGVjM2QifQ=="/>
    <w:docVar w:name="KSO_WPS_MARK_KEY" w:val="e1aa1770-5b0f-4758-99a2-ea95ebccf77e"/>
  </w:docVars>
  <w:rsids>
    <w:rsidRoot w:val="00172A27"/>
    <w:rsid w:val="0000154C"/>
    <w:rsid w:val="00001DA5"/>
    <w:rsid w:val="000026B7"/>
    <w:rsid w:val="000033D9"/>
    <w:rsid w:val="000038FC"/>
    <w:rsid w:val="000044DF"/>
    <w:rsid w:val="000059B7"/>
    <w:rsid w:val="0000638F"/>
    <w:rsid w:val="00006955"/>
    <w:rsid w:val="00007C72"/>
    <w:rsid w:val="00007EB7"/>
    <w:rsid w:val="0001295F"/>
    <w:rsid w:val="00013FBC"/>
    <w:rsid w:val="00014CB0"/>
    <w:rsid w:val="00014F3E"/>
    <w:rsid w:val="0001514B"/>
    <w:rsid w:val="00015180"/>
    <w:rsid w:val="0001534C"/>
    <w:rsid w:val="0001578F"/>
    <w:rsid w:val="00016B63"/>
    <w:rsid w:val="00016FB3"/>
    <w:rsid w:val="00017C9C"/>
    <w:rsid w:val="00020537"/>
    <w:rsid w:val="000207EE"/>
    <w:rsid w:val="00020F9A"/>
    <w:rsid w:val="0002130B"/>
    <w:rsid w:val="00022DBD"/>
    <w:rsid w:val="0002342D"/>
    <w:rsid w:val="0002496A"/>
    <w:rsid w:val="00025826"/>
    <w:rsid w:val="000270E0"/>
    <w:rsid w:val="0003127A"/>
    <w:rsid w:val="0003280D"/>
    <w:rsid w:val="00032AB1"/>
    <w:rsid w:val="000364B5"/>
    <w:rsid w:val="00037B77"/>
    <w:rsid w:val="00040575"/>
    <w:rsid w:val="00043133"/>
    <w:rsid w:val="000435FF"/>
    <w:rsid w:val="000439E8"/>
    <w:rsid w:val="00043F35"/>
    <w:rsid w:val="00045BF5"/>
    <w:rsid w:val="0004642D"/>
    <w:rsid w:val="0004663F"/>
    <w:rsid w:val="000516E1"/>
    <w:rsid w:val="00051830"/>
    <w:rsid w:val="000533FA"/>
    <w:rsid w:val="0005540C"/>
    <w:rsid w:val="00057C77"/>
    <w:rsid w:val="00060096"/>
    <w:rsid w:val="00060ABC"/>
    <w:rsid w:val="00061107"/>
    <w:rsid w:val="00062360"/>
    <w:rsid w:val="00062718"/>
    <w:rsid w:val="00062DAC"/>
    <w:rsid w:val="00063B83"/>
    <w:rsid w:val="000667E6"/>
    <w:rsid w:val="00067049"/>
    <w:rsid w:val="00067545"/>
    <w:rsid w:val="00067BEE"/>
    <w:rsid w:val="00067DC2"/>
    <w:rsid w:val="00071A90"/>
    <w:rsid w:val="000729D5"/>
    <w:rsid w:val="00080353"/>
    <w:rsid w:val="000806C0"/>
    <w:rsid w:val="00080713"/>
    <w:rsid w:val="00080A0F"/>
    <w:rsid w:val="000811E6"/>
    <w:rsid w:val="0008169B"/>
    <w:rsid w:val="0008191D"/>
    <w:rsid w:val="00082A4E"/>
    <w:rsid w:val="00082CDD"/>
    <w:rsid w:val="00083803"/>
    <w:rsid w:val="00083FC6"/>
    <w:rsid w:val="00084B92"/>
    <w:rsid w:val="00084EE6"/>
    <w:rsid w:val="000859F9"/>
    <w:rsid w:val="00087328"/>
    <w:rsid w:val="00090A64"/>
    <w:rsid w:val="00091070"/>
    <w:rsid w:val="00091E8C"/>
    <w:rsid w:val="00093976"/>
    <w:rsid w:val="00094113"/>
    <w:rsid w:val="00094AD7"/>
    <w:rsid w:val="00096B3E"/>
    <w:rsid w:val="000971F0"/>
    <w:rsid w:val="0009789A"/>
    <w:rsid w:val="00097A22"/>
    <w:rsid w:val="00097D71"/>
    <w:rsid w:val="000A07DC"/>
    <w:rsid w:val="000A0861"/>
    <w:rsid w:val="000A0CAD"/>
    <w:rsid w:val="000A1C2F"/>
    <w:rsid w:val="000A386A"/>
    <w:rsid w:val="000A4F52"/>
    <w:rsid w:val="000A51AC"/>
    <w:rsid w:val="000A678C"/>
    <w:rsid w:val="000A778E"/>
    <w:rsid w:val="000B14F7"/>
    <w:rsid w:val="000B20FA"/>
    <w:rsid w:val="000B2452"/>
    <w:rsid w:val="000B2CD2"/>
    <w:rsid w:val="000B37C5"/>
    <w:rsid w:val="000B380B"/>
    <w:rsid w:val="000B3FB2"/>
    <w:rsid w:val="000B4340"/>
    <w:rsid w:val="000B6CB5"/>
    <w:rsid w:val="000B7137"/>
    <w:rsid w:val="000C02D0"/>
    <w:rsid w:val="000C189C"/>
    <w:rsid w:val="000C1AFB"/>
    <w:rsid w:val="000C5C2C"/>
    <w:rsid w:val="000C5D8A"/>
    <w:rsid w:val="000C6B2B"/>
    <w:rsid w:val="000C7390"/>
    <w:rsid w:val="000D1A53"/>
    <w:rsid w:val="000D1E32"/>
    <w:rsid w:val="000D26A3"/>
    <w:rsid w:val="000D68F1"/>
    <w:rsid w:val="000D6D10"/>
    <w:rsid w:val="000E0158"/>
    <w:rsid w:val="000E0D05"/>
    <w:rsid w:val="000E1023"/>
    <w:rsid w:val="000E1097"/>
    <w:rsid w:val="000E269D"/>
    <w:rsid w:val="000E325D"/>
    <w:rsid w:val="000E449E"/>
    <w:rsid w:val="000E5C6B"/>
    <w:rsid w:val="000E6C56"/>
    <w:rsid w:val="000E7057"/>
    <w:rsid w:val="000F0DA1"/>
    <w:rsid w:val="000F0F6F"/>
    <w:rsid w:val="000F1B10"/>
    <w:rsid w:val="000F3AA2"/>
    <w:rsid w:val="000F4B6E"/>
    <w:rsid w:val="000F4C08"/>
    <w:rsid w:val="000F4F74"/>
    <w:rsid w:val="000F5518"/>
    <w:rsid w:val="000F57BD"/>
    <w:rsid w:val="000F5E42"/>
    <w:rsid w:val="000F5E86"/>
    <w:rsid w:val="000F69BB"/>
    <w:rsid w:val="0010043B"/>
    <w:rsid w:val="0010075F"/>
    <w:rsid w:val="00100AEF"/>
    <w:rsid w:val="00100B95"/>
    <w:rsid w:val="00100F5A"/>
    <w:rsid w:val="00102E82"/>
    <w:rsid w:val="00103906"/>
    <w:rsid w:val="00103FA5"/>
    <w:rsid w:val="00104008"/>
    <w:rsid w:val="001046A8"/>
    <w:rsid w:val="0010481C"/>
    <w:rsid w:val="00106ABC"/>
    <w:rsid w:val="001101A3"/>
    <w:rsid w:val="001103AA"/>
    <w:rsid w:val="001103BB"/>
    <w:rsid w:val="00110AF2"/>
    <w:rsid w:val="00110BB3"/>
    <w:rsid w:val="00112359"/>
    <w:rsid w:val="0011290C"/>
    <w:rsid w:val="00112BFF"/>
    <w:rsid w:val="00115B8D"/>
    <w:rsid w:val="001163EC"/>
    <w:rsid w:val="00116F3B"/>
    <w:rsid w:val="00117216"/>
    <w:rsid w:val="0012010C"/>
    <w:rsid w:val="00123FDE"/>
    <w:rsid w:val="00124963"/>
    <w:rsid w:val="00124B80"/>
    <w:rsid w:val="001254F0"/>
    <w:rsid w:val="0012584B"/>
    <w:rsid w:val="001258B9"/>
    <w:rsid w:val="001265C7"/>
    <w:rsid w:val="00126BC6"/>
    <w:rsid w:val="001279F2"/>
    <w:rsid w:val="0013137E"/>
    <w:rsid w:val="001316A9"/>
    <w:rsid w:val="00133163"/>
    <w:rsid w:val="001331FC"/>
    <w:rsid w:val="00133D9E"/>
    <w:rsid w:val="0013425B"/>
    <w:rsid w:val="0013607E"/>
    <w:rsid w:val="00137625"/>
    <w:rsid w:val="001378ED"/>
    <w:rsid w:val="00141804"/>
    <w:rsid w:val="00141D2C"/>
    <w:rsid w:val="00143B92"/>
    <w:rsid w:val="0014483F"/>
    <w:rsid w:val="00145BE2"/>
    <w:rsid w:val="00146872"/>
    <w:rsid w:val="001469BF"/>
    <w:rsid w:val="00147025"/>
    <w:rsid w:val="00147092"/>
    <w:rsid w:val="0014750F"/>
    <w:rsid w:val="00147996"/>
    <w:rsid w:val="00147CC9"/>
    <w:rsid w:val="001510C0"/>
    <w:rsid w:val="0015204A"/>
    <w:rsid w:val="00153030"/>
    <w:rsid w:val="00154BF5"/>
    <w:rsid w:val="00155D71"/>
    <w:rsid w:val="00157A8C"/>
    <w:rsid w:val="0016016A"/>
    <w:rsid w:val="001610B9"/>
    <w:rsid w:val="00162AB6"/>
    <w:rsid w:val="00162DD6"/>
    <w:rsid w:val="00163690"/>
    <w:rsid w:val="00164B24"/>
    <w:rsid w:val="001654A4"/>
    <w:rsid w:val="00166232"/>
    <w:rsid w:val="00170473"/>
    <w:rsid w:val="00170D8C"/>
    <w:rsid w:val="00172A27"/>
    <w:rsid w:val="001734C2"/>
    <w:rsid w:val="00174335"/>
    <w:rsid w:val="001755E5"/>
    <w:rsid w:val="00175773"/>
    <w:rsid w:val="0017650C"/>
    <w:rsid w:val="001765A8"/>
    <w:rsid w:val="001777A0"/>
    <w:rsid w:val="00177910"/>
    <w:rsid w:val="00177E35"/>
    <w:rsid w:val="001818DE"/>
    <w:rsid w:val="00182175"/>
    <w:rsid w:val="00186B37"/>
    <w:rsid w:val="00187B16"/>
    <w:rsid w:val="0019037E"/>
    <w:rsid w:val="001905A5"/>
    <w:rsid w:val="001908B3"/>
    <w:rsid w:val="00190CE6"/>
    <w:rsid w:val="00191B44"/>
    <w:rsid w:val="00191D4B"/>
    <w:rsid w:val="00191D5E"/>
    <w:rsid w:val="00191F43"/>
    <w:rsid w:val="00194A4F"/>
    <w:rsid w:val="00194E39"/>
    <w:rsid w:val="001955A9"/>
    <w:rsid w:val="001974DD"/>
    <w:rsid w:val="00197899"/>
    <w:rsid w:val="001A03A1"/>
    <w:rsid w:val="001A06CA"/>
    <w:rsid w:val="001A542C"/>
    <w:rsid w:val="001A555F"/>
    <w:rsid w:val="001A6893"/>
    <w:rsid w:val="001B034F"/>
    <w:rsid w:val="001B049D"/>
    <w:rsid w:val="001B3014"/>
    <w:rsid w:val="001B3F1F"/>
    <w:rsid w:val="001B3F78"/>
    <w:rsid w:val="001B46E4"/>
    <w:rsid w:val="001B55CF"/>
    <w:rsid w:val="001B5801"/>
    <w:rsid w:val="001B60F7"/>
    <w:rsid w:val="001B7CAC"/>
    <w:rsid w:val="001B7D86"/>
    <w:rsid w:val="001C0D22"/>
    <w:rsid w:val="001C1A4F"/>
    <w:rsid w:val="001C22FD"/>
    <w:rsid w:val="001C23EA"/>
    <w:rsid w:val="001C2A36"/>
    <w:rsid w:val="001C3540"/>
    <w:rsid w:val="001C4873"/>
    <w:rsid w:val="001C4C30"/>
    <w:rsid w:val="001C54AF"/>
    <w:rsid w:val="001C67C2"/>
    <w:rsid w:val="001C67DF"/>
    <w:rsid w:val="001C6F6D"/>
    <w:rsid w:val="001C7961"/>
    <w:rsid w:val="001D1258"/>
    <w:rsid w:val="001D28C3"/>
    <w:rsid w:val="001D36A1"/>
    <w:rsid w:val="001D480F"/>
    <w:rsid w:val="001D52CE"/>
    <w:rsid w:val="001D5590"/>
    <w:rsid w:val="001D56E3"/>
    <w:rsid w:val="001D5805"/>
    <w:rsid w:val="001D6C14"/>
    <w:rsid w:val="001D7F60"/>
    <w:rsid w:val="001E0C96"/>
    <w:rsid w:val="001E315A"/>
    <w:rsid w:val="001E3FCB"/>
    <w:rsid w:val="001E4B99"/>
    <w:rsid w:val="001E58AC"/>
    <w:rsid w:val="001F005A"/>
    <w:rsid w:val="001F2107"/>
    <w:rsid w:val="001F284E"/>
    <w:rsid w:val="001F74FF"/>
    <w:rsid w:val="00200012"/>
    <w:rsid w:val="002030EE"/>
    <w:rsid w:val="00203783"/>
    <w:rsid w:val="002039E0"/>
    <w:rsid w:val="002043F2"/>
    <w:rsid w:val="0020447D"/>
    <w:rsid w:val="00204B2F"/>
    <w:rsid w:val="0020535A"/>
    <w:rsid w:val="00205CE3"/>
    <w:rsid w:val="00206FF9"/>
    <w:rsid w:val="0021030F"/>
    <w:rsid w:val="00211534"/>
    <w:rsid w:val="00211C78"/>
    <w:rsid w:val="00213338"/>
    <w:rsid w:val="00213575"/>
    <w:rsid w:val="00213C57"/>
    <w:rsid w:val="002147D6"/>
    <w:rsid w:val="00214BE7"/>
    <w:rsid w:val="002154C8"/>
    <w:rsid w:val="002166F2"/>
    <w:rsid w:val="00216A4A"/>
    <w:rsid w:val="00220A5A"/>
    <w:rsid w:val="0022197F"/>
    <w:rsid w:val="00222445"/>
    <w:rsid w:val="00222CB3"/>
    <w:rsid w:val="00222D78"/>
    <w:rsid w:val="002243C9"/>
    <w:rsid w:val="00224D60"/>
    <w:rsid w:val="00224E40"/>
    <w:rsid w:val="00225102"/>
    <w:rsid w:val="002253D7"/>
    <w:rsid w:val="00226F52"/>
    <w:rsid w:val="002274CA"/>
    <w:rsid w:val="002301D6"/>
    <w:rsid w:val="00230926"/>
    <w:rsid w:val="002309AD"/>
    <w:rsid w:val="00231355"/>
    <w:rsid w:val="002315E6"/>
    <w:rsid w:val="0023247E"/>
    <w:rsid w:val="00234C1F"/>
    <w:rsid w:val="00234CF2"/>
    <w:rsid w:val="00235EC4"/>
    <w:rsid w:val="002365C9"/>
    <w:rsid w:val="00236613"/>
    <w:rsid w:val="00236D7D"/>
    <w:rsid w:val="002379A9"/>
    <w:rsid w:val="00241EFB"/>
    <w:rsid w:val="00241FFA"/>
    <w:rsid w:val="0024255D"/>
    <w:rsid w:val="002452A0"/>
    <w:rsid w:val="0024622B"/>
    <w:rsid w:val="002473A8"/>
    <w:rsid w:val="00247AC1"/>
    <w:rsid w:val="00250248"/>
    <w:rsid w:val="0025338C"/>
    <w:rsid w:val="00253C90"/>
    <w:rsid w:val="00254A09"/>
    <w:rsid w:val="00256488"/>
    <w:rsid w:val="002565D0"/>
    <w:rsid w:val="0025674E"/>
    <w:rsid w:val="002567F3"/>
    <w:rsid w:val="00257C4D"/>
    <w:rsid w:val="00260ED7"/>
    <w:rsid w:val="00261512"/>
    <w:rsid w:val="0026157B"/>
    <w:rsid w:val="00261B83"/>
    <w:rsid w:val="00262066"/>
    <w:rsid w:val="002645ED"/>
    <w:rsid w:val="00266D88"/>
    <w:rsid w:val="002673A8"/>
    <w:rsid w:val="00267A9A"/>
    <w:rsid w:val="002705C7"/>
    <w:rsid w:val="00272634"/>
    <w:rsid w:val="002731CA"/>
    <w:rsid w:val="00273E30"/>
    <w:rsid w:val="00274684"/>
    <w:rsid w:val="002747F2"/>
    <w:rsid w:val="00274FD3"/>
    <w:rsid w:val="002758DB"/>
    <w:rsid w:val="00276348"/>
    <w:rsid w:val="002771BE"/>
    <w:rsid w:val="00277A6F"/>
    <w:rsid w:val="00280A32"/>
    <w:rsid w:val="002813D9"/>
    <w:rsid w:val="00282ACA"/>
    <w:rsid w:val="00283328"/>
    <w:rsid w:val="00283964"/>
    <w:rsid w:val="00285424"/>
    <w:rsid w:val="00287021"/>
    <w:rsid w:val="002871A8"/>
    <w:rsid w:val="002871E6"/>
    <w:rsid w:val="0028735B"/>
    <w:rsid w:val="00287ED8"/>
    <w:rsid w:val="002911DC"/>
    <w:rsid w:val="002921BA"/>
    <w:rsid w:val="0029294B"/>
    <w:rsid w:val="00294ED9"/>
    <w:rsid w:val="0029797D"/>
    <w:rsid w:val="00297D02"/>
    <w:rsid w:val="00297EA6"/>
    <w:rsid w:val="002A05CD"/>
    <w:rsid w:val="002A0692"/>
    <w:rsid w:val="002A18C2"/>
    <w:rsid w:val="002A1AD4"/>
    <w:rsid w:val="002A214D"/>
    <w:rsid w:val="002A31F5"/>
    <w:rsid w:val="002A450E"/>
    <w:rsid w:val="002A4578"/>
    <w:rsid w:val="002A47C9"/>
    <w:rsid w:val="002A5039"/>
    <w:rsid w:val="002A5556"/>
    <w:rsid w:val="002A55B9"/>
    <w:rsid w:val="002A6321"/>
    <w:rsid w:val="002A73E0"/>
    <w:rsid w:val="002B0F0C"/>
    <w:rsid w:val="002B1C78"/>
    <w:rsid w:val="002B218C"/>
    <w:rsid w:val="002B2698"/>
    <w:rsid w:val="002B28C1"/>
    <w:rsid w:val="002B2FB6"/>
    <w:rsid w:val="002B3848"/>
    <w:rsid w:val="002B41D3"/>
    <w:rsid w:val="002B4B77"/>
    <w:rsid w:val="002B4F37"/>
    <w:rsid w:val="002B5E02"/>
    <w:rsid w:val="002B5F48"/>
    <w:rsid w:val="002B6155"/>
    <w:rsid w:val="002C0018"/>
    <w:rsid w:val="002C1206"/>
    <w:rsid w:val="002C16C5"/>
    <w:rsid w:val="002C1717"/>
    <w:rsid w:val="002C1851"/>
    <w:rsid w:val="002C480C"/>
    <w:rsid w:val="002C6A74"/>
    <w:rsid w:val="002C6E34"/>
    <w:rsid w:val="002C739C"/>
    <w:rsid w:val="002C7668"/>
    <w:rsid w:val="002D06AA"/>
    <w:rsid w:val="002D2085"/>
    <w:rsid w:val="002D21E0"/>
    <w:rsid w:val="002D2837"/>
    <w:rsid w:val="002D2D29"/>
    <w:rsid w:val="002D4C2E"/>
    <w:rsid w:val="002D6702"/>
    <w:rsid w:val="002E0449"/>
    <w:rsid w:val="002E0762"/>
    <w:rsid w:val="002E0FBD"/>
    <w:rsid w:val="002E1369"/>
    <w:rsid w:val="002E1885"/>
    <w:rsid w:val="002E18E4"/>
    <w:rsid w:val="002E2392"/>
    <w:rsid w:val="002E3C3A"/>
    <w:rsid w:val="002E6EFD"/>
    <w:rsid w:val="002E791C"/>
    <w:rsid w:val="002F0D78"/>
    <w:rsid w:val="002F142F"/>
    <w:rsid w:val="002F1744"/>
    <w:rsid w:val="002F266C"/>
    <w:rsid w:val="002F2DCB"/>
    <w:rsid w:val="002F45E3"/>
    <w:rsid w:val="002F4669"/>
    <w:rsid w:val="002F5BBE"/>
    <w:rsid w:val="002F6B39"/>
    <w:rsid w:val="00301559"/>
    <w:rsid w:val="003029E0"/>
    <w:rsid w:val="00302FEE"/>
    <w:rsid w:val="00303D51"/>
    <w:rsid w:val="00304904"/>
    <w:rsid w:val="00306613"/>
    <w:rsid w:val="00307048"/>
    <w:rsid w:val="00307A9E"/>
    <w:rsid w:val="003108FE"/>
    <w:rsid w:val="00311237"/>
    <w:rsid w:val="00311A45"/>
    <w:rsid w:val="00311E68"/>
    <w:rsid w:val="00314C48"/>
    <w:rsid w:val="00315C0A"/>
    <w:rsid w:val="00316296"/>
    <w:rsid w:val="00316405"/>
    <w:rsid w:val="00316DA2"/>
    <w:rsid w:val="0032019A"/>
    <w:rsid w:val="00320426"/>
    <w:rsid w:val="00322736"/>
    <w:rsid w:val="003228A0"/>
    <w:rsid w:val="00323576"/>
    <w:rsid w:val="00323DE8"/>
    <w:rsid w:val="00326B6F"/>
    <w:rsid w:val="00326D49"/>
    <w:rsid w:val="00326E5D"/>
    <w:rsid w:val="003277E7"/>
    <w:rsid w:val="00331A5E"/>
    <w:rsid w:val="00333053"/>
    <w:rsid w:val="00334939"/>
    <w:rsid w:val="00335A2F"/>
    <w:rsid w:val="0033668D"/>
    <w:rsid w:val="00337064"/>
    <w:rsid w:val="0033707D"/>
    <w:rsid w:val="00340785"/>
    <w:rsid w:val="00342F88"/>
    <w:rsid w:val="0034545E"/>
    <w:rsid w:val="00345599"/>
    <w:rsid w:val="00346CEB"/>
    <w:rsid w:val="00347004"/>
    <w:rsid w:val="003470CC"/>
    <w:rsid w:val="00351B5E"/>
    <w:rsid w:val="00353D47"/>
    <w:rsid w:val="00354107"/>
    <w:rsid w:val="00354F62"/>
    <w:rsid w:val="00356065"/>
    <w:rsid w:val="00356520"/>
    <w:rsid w:val="003568EB"/>
    <w:rsid w:val="00356E5B"/>
    <w:rsid w:val="003579D7"/>
    <w:rsid w:val="00360235"/>
    <w:rsid w:val="00361975"/>
    <w:rsid w:val="0036695F"/>
    <w:rsid w:val="00367900"/>
    <w:rsid w:val="003679DE"/>
    <w:rsid w:val="00367C0F"/>
    <w:rsid w:val="00371059"/>
    <w:rsid w:val="003718D6"/>
    <w:rsid w:val="00373150"/>
    <w:rsid w:val="0037411C"/>
    <w:rsid w:val="00374D32"/>
    <w:rsid w:val="003769F5"/>
    <w:rsid w:val="00376DE4"/>
    <w:rsid w:val="00380518"/>
    <w:rsid w:val="003810D6"/>
    <w:rsid w:val="0038191C"/>
    <w:rsid w:val="00382C86"/>
    <w:rsid w:val="0038359E"/>
    <w:rsid w:val="003837A1"/>
    <w:rsid w:val="00383D36"/>
    <w:rsid w:val="00383F37"/>
    <w:rsid w:val="0038453E"/>
    <w:rsid w:val="00385556"/>
    <w:rsid w:val="0038559C"/>
    <w:rsid w:val="00385943"/>
    <w:rsid w:val="00386B55"/>
    <w:rsid w:val="00386CCD"/>
    <w:rsid w:val="00386FA8"/>
    <w:rsid w:val="00390577"/>
    <w:rsid w:val="0039091B"/>
    <w:rsid w:val="00390FD8"/>
    <w:rsid w:val="00393C08"/>
    <w:rsid w:val="0039408A"/>
    <w:rsid w:val="003947A7"/>
    <w:rsid w:val="0039603F"/>
    <w:rsid w:val="003965A6"/>
    <w:rsid w:val="00396A76"/>
    <w:rsid w:val="00397B7D"/>
    <w:rsid w:val="003A03AF"/>
    <w:rsid w:val="003A11D1"/>
    <w:rsid w:val="003A20FC"/>
    <w:rsid w:val="003A2585"/>
    <w:rsid w:val="003A2590"/>
    <w:rsid w:val="003A3754"/>
    <w:rsid w:val="003A47F3"/>
    <w:rsid w:val="003A7C7B"/>
    <w:rsid w:val="003B005C"/>
    <w:rsid w:val="003B0066"/>
    <w:rsid w:val="003B090A"/>
    <w:rsid w:val="003B12BC"/>
    <w:rsid w:val="003B1560"/>
    <w:rsid w:val="003B200B"/>
    <w:rsid w:val="003B343F"/>
    <w:rsid w:val="003B4257"/>
    <w:rsid w:val="003B475D"/>
    <w:rsid w:val="003B6046"/>
    <w:rsid w:val="003B65B7"/>
    <w:rsid w:val="003B735A"/>
    <w:rsid w:val="003C01C1"/>
    <w:rsid w:val="003C1E32"/>
    <w:rsid w:val="003C2376"/>
    <w:rsid w:val="003C3117"/>
    <w:rsid w:val="003C35AB"/>
    <w:rsid w:val="003C3E08"/>
    <w:rsid w:val="003C44B8"/>
    <w:rsid w:val="003C59BA"/>
    <w:rsid w:val="003C6ABC"/>
    <w:rsid w:val="003D3665"/>
    <w:rsid w:val="003D554F"/>
    <w:rsid w:val="003D7C83"/>
    <w:rsid w:val="003D7EE0"/>
    <w:rsid w:val="003E00B3"/>
    <w:rsid w:val="003E0549"/>
    <w:rsid w:val="003E0C54"/>
    <w:rsid w:val="003E18DA"/>
    <w:rsid w:val="003E22FE"/>
    <w:rsid w:val="003E4836"/>
    <w:rsid w:val="003E4DC9"/>
    <w:rsid w:val="003E5225"/>
    <w:rsid w:val="003E5457"/>
    <w:rsid w:val="003E6D60"/>
    <w:rsid w:val="003E73CA"/>
    <w:rsid w:val="003F010F"/>
    <w:rsid w:val="003F1A0C"/>
    <w:rsid w:val="003F24AA"/>
    <w:rsid w:val="003F4FC0"/>
    <w:rsid w:val="003F69A8"/>
    <w:rsid w:val="003F72BB"/>
    <w:rsid w:val="003F7435"/>
    <w:rsid w:val="003F7BAC"/>
    <w:rsid w:val="0040072B"/>
    <w:rsid w:val="00400C4B"/>
    <w:rsid w:val="00400D97"/>
    <w:rsid w:val="0040100B"/>
    <w:rsid w:val="0040127E"/>
    <w:rsid w:val="004015B3"/>
    <w:rsid w:val="00401EA7"/>
    <w:rsid w:val="00402D31"/>
    <w:rsid w:val="0040363E"/>
    <w:rsid w:val="00403CCC"/>
    <w:rsid w:val="004049A7"/>
    <w:rsid w:val="00404CE6"/>
    <w:rsid w:val="0040506C"/>
    <w:rsid w:val="00406261"/>
    <w:rsid w:val="00406290"/>
    <w:rsid w:val="0040751C"/>
    <w:rsid w:val="0040768D"/>
    <w:rsid w:val="00411238"/>
    <w:rsid w:val="00411686"/>
    <w:rsid w:val="0041238D"/>
    <w:rsid w:val="004132F6"/>
    <w:rsid w:val="00414D0F"/>
    <w:rsid w:val="0041593F"/>
    <w:rsid w:val="00417031"/>
    <w:rsid w:val="00417D26"/>
    <w:rsid w:val="00417EA0"/>
    <w:rsid w:val="0042074C"/>
    <w:rsid w:val="00420B33"/>
    <w:rsid w:val="0042247B"/>
    <w:rsid w:val="00422537"/>
    <w:rsid w:val="0042377D"/>
    <w:rsid w:val="00423C85"/>
    <w:rsid w:val="004243AA"/>
    <w:rsid w:val="00425EAC"/>
    <w:rsid w:val="00427A37"/>
    <w:rsid w:val="004313B2"/>
    <w:rsid w:val="004315E2"/>
    <w:rsid w:val="00432704"/>
    <w:rsid w:val="004332D5"/>
    <w:rsid w:val="00434B05"/>
    <w:rsid w:val="004359BB"/>
    <w:rsid w:val="00435AEC"/>
    <w:rsid w:val="00435D35"/>
    <w:rsid w:val="00436156"/>
    <w:rsid w:val="004370B8"/>
    <w:rsid w:val="00437A37"/>
    <w:rsid w:val="00437EFD"/>
    <w:rsid w:val="0044001F"/>
    <w:rsid w:val="0044055E"/>
    <w:rsid w:val="00440635"/>
    <w:rsid w:val="00440CF6"/>
    <w:rsid w:val="004417F1"/>
    <w:rsid w:val="00442A8B"/>
    <w:rsid w:val="0044367E"/>
    <w:rsid w:val="00445007"/>
    <w:rsid w:val="00446014"/>
    <w:rsid w:val="0044688C"/>
    <w:rsid w:val="0044693E"/>
    <w:rsid w:val="00447100"/>
    <w:rsid w:val="0045255B"/>
    <w:rsid w:val="004531AC"/>
    <w:rsid w:val="00453717"/>
    <w:rsid w:val="00455231"/>
    <w:rsid w:val="00460013"/>
    <w:rsid w:val="0046050E"/>
    <w:rsid w:val="00460775"/>
    <w:rsid w:val="00460F16"/>
    <w:rsid w:val="00461860"/>
    <w:rsid w:val="00461A9E"/>
    <w:rsid w:val="00462031"/>
    <w:rsid w:val="0046225E"/>
    <w:rsid w:val="00462919"/>
    <w:rsid w:val="00463333"/>
    <w:rsid w:val="0046475C"/>
    <w:rsid w:val="0046735F"/>
    <w:rsid w:val="004679CB"/>
    <w:rsid w:val="004700C0"/>
    <w:rsid w:val="00471CCA"/>
    <w:rsid w:val="00472873"/>
    <w:rsid w:val="00472908"/>
    <w:rsid w:val="00472D35"/>
    <w:rsid w:val="0047411C"/>
    <w:rsid w:val="00474B5D"/>
    <w:rsid w:val="004751B9"/>
    <w:rsid w:val="00475537"/>
    <w:rsid w:val="00475FA8"/>
    <w:rsid w:val="00475FAA"/>
    <w:rsid w:val="00476928"/>
    <w:rsid w:val="00476AE1"/>
    <w:rsid w:val="00476BD7"/>
    <w:rsid w:val="00477F2F"/>
    <w:rsid w:val="00483A74"/>
    <w:rsid w:val="00485548"/>
    <w:rsid w:val="004858E1"/>
    <w:rsid w:val="00487106"/>
    <w:rsid w:val="00487A5A"/>
    <w:rsid w:val="0049110F"/>
    <w:rsid w:val="00491B36"/>
    <w:rsid w:val="00491C7D"/>
    <w:rsid w:val="00491ED6"/>
    <w:rsid w:val="00491F94"/>
    <w:rsid w:val="004929D6"/>
    <w:rsid w:val="00493267"/>
    <w:rsid w:val="0049399A"/>
    <w:rsid w:val="00493AF8"/>
    <w:rsid w:val="004942E7"/>
    <w:rsid w:val="00494B98"/>
    <w:rsid w:val="00495022"/>
    <w:rsid w:val="00495F07"/>
    <w:rsid w:val="004A1E50"/>
    <w:rsid w:val="004A2F5F"/>
    <w:rsid w:val="004A4403"/>
    <w:rsid w:val="004A4D80"/>
    <w:rsid w:val="004A4DBA"/>
    <w:rsid w:val="004A5C59"/>
    <w:rsid w:val="004A6A20"/>
    <w:rsid w:val="004B1826"/>
    <w:rsid w:val="004B1E38"/>
    <w:rsid w:val="004B272D"/>
    <w:rsid w:val="004B38A0"/>
    <w:rsid w:val="004B4534"/>
    <w:rsid w:val="004B5670"/>
    <w:rsid w:val="004B568B"/>
    <w:rsid w:val="004B71D1"/>
    <w:rsid w:val="004B7CF3"/>
    <w:rsid w:val="004B7DEF"/>
    <w:rsid w:val="004C09B8"/>
    <w:rsid w:val="004C0B5E"/>
    <w:rsid w:val="004C2765"/>
    <w:rsid w:val="004C5FA6"/>
    <w:rsid w:val="004D1473"/>
    <w:rsid w:val="004D1DCF"/>
    <w:rsid w:val="004D3DD9"/>
    <w:rsid w:val="004D5044"/>
    <w:rsid w:val="004D5D22"/>
    <w:rsid w:val="004D6595"/>
    <w:rsid w:val="004D6C37"/>
    <w:rsid w:val="004D7372"/>
    <w:rsid w:val="004E04FE"/>
    <w:rsid w:val="004E1B5B"/>
    <w:rsid w:val="004E2AB2"/>
    <w:rsid w:val="004E3AB3"/>
    <w:rsid w:val="004E5211"/>
    <w:rsid w:val="004E72A2"/>
    <w:rsid w:val="004E7D00"/>
    <w:rsid w:val="004E7EEE"/>
    <w:rsid w:val="004F0449"/>
    <w:rsid w:val="004F07D7"/>
    <w:rsid w:val="004F25CE"/>
    <w:rsid w:val="004F2A41"/>
    <w:rsid w:val="004F2DE5"/>
    <w:rsid w:val="004F5631"/>
    <w:rsid w:val="004F68E9"/>
    <w:rsid w:val="00500CCB"/>
    <w:rsid w:val="00501FF0"/>
    <w:rsid w:val="005020D4"/>
    <w:rsid w:val="005025C0"/>
    <w:rsid w:val="0050269E"/>
    <w:rsid w:val="005028D9"/>
    <w:rsid w:val="00503236"/>
    <w:rsid w:val="005045CC"/>
    <w:rsid w:val="0050588B"/>
    <w:rsid w:val="00506401"/>
    <w:rsid w:val="00506C3B"/>
    <w:rsid w:val="005070CE"/>
    <w:rsid w:val="005072B6"/>
    <w:rsid w:val="00510051"/>
    <w:rsid w:val="00511BF0"/>
    <w:rsid w:val="00512404"/>
    <w:rsid w:val="00512A62"/>
    <w:rsid w:val="00512BF6"/>
    <w:rsid w:val="00513488"/>
    <w:rsid w:val="00514204"/>
    <w:rsid w:val="0051620E"/>
    <w:rsid w:val="00516654"/>
    <w:rsid w:val="00517C6E"/>
    <w:rsid w:val="00520EB1"/>
    <w:rsid w:val="00521209"/>
    <w:rsid w:val="0052206B"/>
    <w:rsid w:val="0052404B"/>
    <w:rsid w:val="005260F4"/>
    <w:rsid w:val="00527AF1"/>
    <w:rsid w:val="00532143"/>
    <w:rsid w:val="00532761"/>
    <w:rsid w:val="00533D84"/>
    <w:rsid w:val="00535D63"/>
    <w:rsid w:val="005410B8"/>
    <w:rsid w:val="00542741"/>
    <w:rsid w:val="005441D8"/>
    <w:rsid w:val="0054479C"/>
    <w:rsid w:val="00544857"/>
    <w:rsid w:val="00551363"/>
    <w:rsid w:val="00552003"/>
    <w:rsid w:val="00552206"/>
    <w:rsid w:val="00552424"/>
    <w:rsid w:val="00552FE0"/>
    <w:rsid w:val="00553913"/>
    <w:rsid w:val="00553CB2"/>
    <w:rsid w:val="00554BC7"/>
    <w:rsid w:val="00554DBE"/>
    <w:rsid w:val="00554F7F"/>
    <w:rsid w:val="005551AE"/>
    <w:rsid w:val="00556899"/>
    <w:rsid w:val="00556E8C"/>
    <w:rsid w:val="005602B7"/>
    <w:rsid w:val="00560819"/>
    <w:rsid w:val="00560F09"/>
    <w:rsid w:val="00561C00"/>
    <w:rsid w:val="005625A4"/>
    <w:rsid w:val="00563660"/>
    <w:rsid w:val="00563BE9"/>
    <w:rsid w:val="00564300"/>
    <w:rsid w:val="00564D6F"/>
    <w:rsid w:val="00571539"/>
    <w:rsid w:val="00572312"/>
    <w:rsid w:val="00574906"/>
    <w:rsid w:val="00575252"/>
    <w:rsid w:val="00575265"/>
    <w:rsid w:val="00575481"/>
    <w:rsid w:val="005764C6"/>
    <w:rsid w:val="0057653C"/>
    <w:rsid w:val="00577261"/>
    <w:rsid w:val="0058031B"/>
    <w:rsid w:val="00580B75"/>
    <w:rsid w:val="005810D4"/>
    <w:rsid w:val="00586E2C"/>
    <w:rsid w:val="00591D2F"/>
    <w:rsid w:val="00592438"/>
    <w:rsid w:val="005924CD"/>
    <w:rsid w:val="0059370E"/>
    <w:rsid w:val="00594206"/>
    <w:rsid w:val="0059503A"/>
    <w:rsid w:val="00595A49"/>
    <w:rsid w:val="00596855"/>
    <w:rsid w:val="005976C5"/>
    <w:rsid w:val="005A0238"/>
    <w:rsid w:val="005A16D2"/>
    <w:rsid w:val="005A2FE6"/>
    <w:rsid w:val="005A4177"/>
    <w:rsid w:val="005A4984"/>
    <w:rsid w:val="005A698E"/>
    <w:rsid w:val="005A74D3"/>
    <w:rsid w:val="005A7752"/>
    <w:rsid w:val="005A7765"/>
    <w:rsid w:val="005B0BF1"/>
    <w:rsid w:val="005B1008"/>
    <w:rsid w:val="005B13B1"/>
    <w:rsid w:val="005B25AA"/>
    <w:rsid w:val="005B49BF"/>
    <w:rsid w:val="005B5542"/>
    <w:rsid w:val="005B60D5"/>
    <w:rsid w:val="005B677C"/>
    <w:rsid w:val="005B6B37"/>
    <w:rsid w:val="005B7158"/>
    <w:rsid w:val="005B7F15"/>
    <w:rsid w:val="005C0FCD"/>
    <w:rsid w:val="005C11DE"/>
    <w:rsid w:val="005C30B1"/>
    <w:rsid w:val="005C3209"/>
    <w:rsid w:val="005C5488"/>
    <w:rsid w:val="005C5B21"/>
    <w:rsid w:val="005C5B2A"/>
    <w:rsid w:val="005C639B"/>
    <w:rsid w:val="005C661B"/>
    <w:rsid w:val="005C66FB"/>
    <w:rsid w:val="005C6EC5"/>
    <w:rsid w:val="005C7721"/>
    <w:rsid w:val="005C77E1"/>
    <w:rsid w:val="005D01B5"/>
    <w:rsid w:val="005D10B0"/>
    <w:rsid w:val="005D134A"/>
    <w:rsid w:val="005D1FB9"/>
    <w:rsid w:val="005D50F8"/>
    <w:rsid w:val="005D5AAB"/>
    <w:rsid w:val="005D686E"/>
    <w:rsid w:val="005D6A9A"/>
    <w:rsid w:val="005E4372"/>
    <w:rsid w:val="005E4898"/>
    <w:rsid w:val="005E4FF0"/>
    <w:rsid w:val="005E6270"/>
    <w:rsid w:val="005F08D0"/>
    <w:rsid w:val="005F6BD6"/>
    <w:rsid w:val="005F75DA"/>
    <w:rsid w:val="00602999"/>
    <w:rsid w:val="006035CB"/>
    <w:rsid w:val="00603D9A"/>
    <w:rsid w:val="00603DE3"/>
    <w:rsid w:val="006047AE"/>
    <w:rsid w:val="00610250"/>
    <w:rsid w:val="00610A58"/>
    <w:rsid w:val="00610A74"/>
    <w:rsid w:val="00610F87"/>
    <w:rsid w:val="00611851"/>
    <w:rsid w:val="0061350B"/>
    <w:rsid w:val="006135F6"/>
    <w:rsid w:val="0061420F"/>
    <w:rsid w:val="00616E0A"/>
    <w:rsid w:val="006170FF"/>
    <w:rsid w:val="00617584"/>
    <w:rsid w:val="00617D85"/>
    <w:rsid w:val="00617FB5"/>
    <w:rsid w:val="006214CD"/>
    <w:rsid w:val="006216A3"/>
    <w:rsid w:val="00621C19"/>
    <w:rsid w:val="00623128"/>
    <w:rsid w:val="00623BCA"/>
    <w:rsid w:val="006242BE"/>
    <w:rsid w:val="00624370"/>
    <w:rsid w:val="00625A4F"/>
    <w:rsid w:val="0063084B"/>
    <w:rsid w:val="00632EA1"/>
    <w:rsid w:val="006350F3"/>
    <w:rsid w:val="006355A0"/>
    <w:rsid w:val="006363C2"/>
    <w:rsid w:val="00636792"/>
    <w:rsid w:val="006368E3"/>
    <w:rsid w:val="00637127"/>
    <w:rsid w:val="0064032F"/>
    <w:rsid w:val="00641F89"/>
    <w:rsid w:val="006423DF"/>
    <w:rsid w:val="006435A1"/>
    <w:rsid w:val="00643E72"/>
    <w:rsid w:val="00644037"/>
    <w:rsid w:val="00644114"/>
    <w:rsid w:val="0064584A"/>
    <w:rsid w:val="00650182"/>
    <w:rsid w:val="00651AF0"/>
    <w:rsid w:val="00653ACF"/>
    <w:rsid w:val="00653BD3"/>
    <w:rsid w:val="00653DC2"/>
    <w:rsid w:val="00653F21"/>
    <w:rsid w:val="00654069"/>
    <w:rsid w:val="00654617"/>
    <w:rsid w:val="00654EC8"/>
    <w:rsid w:val="00656AC3"/>
    <w:rsid w:val="00657472"/>
    <w:rsid w:val="00661D38"/>
    <w:rsid w:val="00662DB8"/>
    <w:rsid w:val="00664317"/>
    <w:rsid w:val="006651A1"/>
    <w:rsid w:val="00666216"/>
    <w:rsid w:val="00666B53"/>
    <w:rsid w:val="00670C9C"/>
    <w:rsid w:val="00670D25"/>
    <w:rsid w:val="00671008"/>
    <w:rsid w:val="0067142E"/>
    <w:rsid w:val="00672A61"/>
    <w:rsid w:val="00676109"/>
    <w:rsid w:val="006762CC"/>
    <w:rsid w:val="006769C1"/>
    <w:rsid w:val="00677710"/>
    <w:rsid w:val="00681C2F"/>
    <w:rsid w:val="00682023"/>
    <w:rsid w:val="006829EB"/>
    <w:rsid w:val="00682D8B"/>
    <w:rsid w:val="00682F97"/>
    <w:rsid w:val="0069017C"/>
    <w:rsid w:val="006920CC"/>
    <w:rsid w:val="00692412"/>
    <w:rsid w:val="00693A99"/>
    <w:rsid w:val="00697022"/>
    <w:rsid w:val="006A18CB"/>
    <w:rsid w:val="006A3918"/>
    <w:rsid w:val="006A3FFF"/>
    <w:rsid w:val="006A41B6"/>
    <w:rsid w:val="006A4C46"/>
    <w:rsid w:val="006A64D0"/>
    <w:rsid w:val="006A767B"/>
    <w:rsid w:val="006A77FC"/>
    <w:rsid w:val="006B06A8"/>
    <w:rsid w:val="006B07B1"/>
    <w:rsid w:val="006B0B38"/>
    <w:rsid w:val="006B1C57"/>
    <w:rsid w:val="006B4345"/>
    <w:rsid w:val="006B49D1"/>
    <w:rsid w:val="006B4DB8"/>
    <w:rsid w:val="006B57C3"/>
    <w:rsid w:val="006B5A5D"/>
    <w:rsid w:val="006C061F"/>
    <w:rsid w:val="006C0F6D"/>
    <w:rsid w:val="006C15EA"/>
    <w:rsid w:val="006C3AD0"/>
    <w:rsid w:val="006C5AE4"/>
    <w:rsid w:val="006C7220"/>
    <w:rsid w:val="006D0700"/>
    <w:rsid w:val="006D1B1D"/>
    <w:rsid w:val="006D2919"/>
    <w:rsid w:val="006D2BD1"/>
    <w:rsid w:val="006D38FD"/>
    <w:rsid w:val="006D46EC"/>
    <w:rsid w:val="006D4B0D"/>
    <w:rsid w:val="006D5F4B"/>
    <w:rsid w:val="006D7068"/>
    <w:rsid w:val="006D7378"/>
    <w:rsid w:val="006D7827"/>
    <w:rsid w:val="006E1A78"/>
    <w:rsid w:val="006E1D8A"/>
    <w:rsid w:val="006E2193"/>
    <w:rsid w:val="006E2658"/>
    <w:rsid w:val="006E2D74"/>
    <w:rsid w:val="006E3475"/>
    <w:rsid w:val="006E36CE"/>
    <w:rsid w:val="006E4D9E"/>
    <w:rsid w:val="006E5456"/>
    <w:rsid w:val="006E59AF"/>
    <w:rsid w:val="006E5CE2"/>
    <w:rsid w:val="006E6EF9"/>
    <w:rsid w:val="006E703E"/>
    <w:rsid w:val="006F0430"/>
    <w:rsid w:val="006F2811"/>
    <w:rsid w:val="006F47FD"/>
    <w:rsid w:val="006F530B"/>
    <w:rsid w:val="006F60A2"/>
    <w:rsid w:val="006F6BC1"/>
    <w:rsid w:val="006F6BFE"/>
    <w:rsid w:val="00700313"/>
    <w:rsid w:val="00700552"/>
    <w:rsid w:val="00700F66"/>
    <w:rsid w:val="00705B01"/>
    <w:rsid w:val="00706A50"/>
    <w:rsid w:val="00706DB7"/>
    <w:rsid w:val="00710941"/>
    <w:rsid w:val="00713B34"/>
    <w:rsid w:val="00713D98"/>
    <w:rsid w:val="007155D3"/>
    <w:rsid w:val="00716598"/>
    <w:rsid w:val="0071741F"/>
    <w:rsid w:val="007177F8"/>
    <w:rsid w:val="00720433"/>
    <w:rsid w:val="00721182"/>
    <w:rsid w:val="00721D8E"/>
    <w:rsid w:val="007226AB"/>
    <w:rsid w:val="00722AB7"/>
    <w:rsid w:val="00726280"/>
    <w:rsid w:val="007278AC"/>
    <w:rsid w:val="00732339"/>
    <w:rsid w:val="007329FB"/>
    <w:rsid w:val="00732D07"/>
    <w:rsid w:val="00734B1F"/>
    <w:rsid w:val="0073556F"/>
    <w:rsid w:val="007358AE"/>
    <w:rsid w:val="007358EB"/>
    <w:rsid w:val="0073631B"/>
    <w:rsid w:val="0073715E"/>
    <w:rsid w:val="00737961"/>
    <w:rsid w:val="00740176"/>
    <w:rsid w:val="007415B4"/>
    <w:rsid w:val="00741FD3"/>
    <w:rsid w:val="0074268E"/>
    <w:rsid w:val="00744DF7"/>
    <w:rsid w:val="00744FF0"/>
    <w:rsid w:val="00745383"/>
    <w:rsid w:val="007461B6"/>
    <w:rsid w:val="0075076F"/>
    <w:rsid w:val="00750B65"/>
    <w:rsid w:val="00750B8D"/>
    <w:rsid w:val="0075195E"/>
    <w:rsid w:val="00753771"/>
    <w:rsid w:val="0075432E"/>
    <w:rsid w:val="007560E8"/>
    <w:rsid w:val="007571D6"/>
    <w:rsid w:val="007574D6"/>
    <w:rsid w:val="00757735"/>
    <w:rsid w:val="007626DF"/>
    <w:rsid w:val="00767DE3"/>
    <w:rsid w:val="0077231A"/>
    <w:rsid w:val="00772B6D"/>
    <w:rsid w:val="0077451B"/>
    <w:rsid w:val="007749BC"/>
    <w:rsid w:val="00775330"/>
    <w:rsid w:val="00776EE8"/>
    <w:rsid w:val="007803AE"/>
    <w:rsid w:val="00781DFF"/>
    <w:rsid w:val="00783C9C"/>
    <w:rsid w:val="0078450E"/>
    <w:rsid w:val="00784829"/>
    <w:rsid w:val="00784E42"/>
    <w:rsid w:val="00784E47"/>
    <w:rsid w:val="007870F3"/>
    <w:rsid w:val="007902D5"/>
    <w:rsid w:val="007903A7"/>
    <w:rsid w:val="007909DA"/>
    <w:rsid w:val="007916FA"/>
    <w:rsid w:val="00791AB3"/>
    <w:rsid w:val="00792EFF"/>
    <w:rsid w:val="007944CA"/>
    <w:rsid w:val="007946E6"/>
    <w:rsid w:val="00796185"/>
    <w:rsid w:val="00796AE0"/>
    <w:rsid w:val="007A23BC"/>
    <w:rsid w:val="007A2BD7"/>
    <w:rsid w:val="007A3BFE"/>
    <w:rsid w:val="007A64A6"/>
    <w:rsid w:val="007A6A3B"/>
    <w:rsid w:val="007A730E"/>
    <w:rsid w:val="007B00A8"/>
    <w:rsid w:val="007B0859"/>
    <w:rsid w:val="007B0CD6"/>
    <w:rsid w:val="007B0EB2"/>
    <w:rsid w:val="007B2148"/>
    <w:rsid w:val="007B2B0D"/>
    <w:rsid w:val="007B30F1"/>
    <w:rsid w:val="007B34BB"/>
    <w:rsid w:val="007B4AA4"/>
    <w:rsid w:val="007B51F7"/>
    <w:rsid w:val="007B63F5"/>
    <w:rsid w:val="007C15C2"/>
    <w:rsid w:val="007C1BAA"/>
    <w:rsid w:val="007C2078"/>
    <w:rsid w:val="007C21F4"/>
    <w:rsid w:val="007C3663"/>
    <w:rsid w:val="007C3D0E"/>
    <w:rsid w:val="007C5257"/>
    <w:rsid w:val="007C58D8"/>
    <w:rsid w:val="007C68EA"/>
    <w:rsid w:val="007D1B95"/>
    <w:rsid w:val="007D1F3B"/>
    <w:rsid w:val="007D200D"/>
    <w:rsid w:val="007D5191"/>
    <w:rsid w:val="007D56AC"/>
    <w:rsid w:val="007D60E8"/>
    <w:rsid w:val="007D644C"/>
    <w:rsid w:val="007D6CC5"/>
    <w:rsid w:val="007D774C"/>
    <w:rsid w:val="007E0C4F"/>
    <w:rsid w:val="007E12C3"/>
    <w:rsid w:val="007E1310"/>
    <w:rsid w:val="007E337C"/>
    <w:rsid w:val="007E3AF8"/>
    <w:rsid w:val="007E3C6C"/>
    <w:rsid w:val="007E3DEE"/>
    <w:rsid w:val="007E5254"/>
    <w:rsid w:val="007E666B"/>
    <w:rsid w:val="007E7112"/>
    <w:rsid w:val="007E7253"/>
    <w:rsid w:val="007E7474"/>
    <w:rsid w:val="007F0CEF"/>
    <w:rsid w:val="007F1667"/>
    <w:rsid w:val="007F1818"/>
    <w:rsid w:val="007F2DEF"/>
    <w:rsid w:val="007F3D1C"/>
    <w:rsid w:val="007F7118"/>
    <w:rsid w:val="008008F4"/>
    <w:rsid w:val="00800E58"/>
    <w:rsid w:val="00801FEC"/>
    <w:rsid w:val="008021DE"/>
    <w:rsid w:val="00802481"/>
    <w:rsid w:val="00802C83"/>
    <w:rsid w:val="008036EB"/>
    <w:rsid w:val="00805286"/>
    <w:rsid w:val="00805384"/>
    <w:rsid w:val="00807499"/>
    <w:rsid w:val="00807A46"/>
    <w:rsid w:val="00807DD7"/>
    <w:rsid w:val="008100EA"/>
    <w:rsid w:val="00810679"/>
    <w:rsid w:val="00810971"/>
    <w:rsid w:val="00810B14"/>
    <w:rsid w:val="0081115D"/>
    <w:rsid w:val="00812BDA"/>
    <w:rsid w:val="00812DCF"/>
    <w:rsid w:val="0081314D"/>
    <w:rsid w:val="0081413F"/>
    <w:rsid w:val="008142E9"/>
    <w:rsid w:val="00815557"/>
    <w:rsid w:val="008167C4"/>
    <w:rsid w:val="00822731"/>
    <w:rsid w:val="00830738"/>
    <w:rsid w:val="00830C9C"/>
    <w:rsid w:val="0083116E"/>
    <w:rsid w:val="0083163A"/>
    <w:rsid w:val="00831851"/>
    <w:rsid w:val="00832A4F"/>
    <w:rsid w:val="00832AC7"/>
    <w:rsid w:val="00833B7E"/>
    <w:rsid w:val="00834789"/>
    <w:rsid w:val="00835AA3"/>
    <w:rsid w:val="008367C4"/>
    <w:rsid w:val="008375E0"/>
    <w:rsid w:val="00837FF0"/>
    <w:rsid w:val="00840126"/>
    <w:rsid w:val="00842FAC"/>
    <w:rsid w:val="0084659B"/>
    <w:rsid w:val="008465B2"/>
    <w:rsid w:val="0084671E"/>
    <w:rsid w:val="00847057"/>
    <w:rsid w:val="00847606"/>
    <w:rsid w:val="00847E5C"/>
    <w:rsid w:val="00851A85"/>
    <w:rsid w:val="008540E9"/>
    <w:rsid w:val="0085457B"/>
    <w:rsid w:val="00854D86"/>
    <w:rsid w:val="00855011"/>
    <w:rsid w:val="00856167"/>
    <w:rsid w:val="00856D32"/>
    <w:rsid w:val="0085760B"/>
    <w:rsid w:val="008577E5"/>
    <w:rsid w:val="00860040"/>
    <w:rsid w:val="00860A13"/>
    <w:rsid w:val="008614BF"/>
    <w:rsid w:val="008614E0"/>
    <w:rsid w:val="00863AF4"/>
    <w:rsid w:val="00863BEB"/>
    <w:rsid w:val="00864269"/>
    <w:rsid w:val="00864D90"/>
    <w:rsid w:val="00864F2B"/>
    <w:rsid w:val="00865290"/>
    <w:rsid w:val="00865E09"/>
    <w:rsid w:val="0086603B"/>
    <w:rsid w:val="0086634A"/>
    <w:rsid w:val="008668D7"/>
    <w:rsid w:val="00866A0C"/>
    <w:rsid w:val="00867715"/>
    <w:rsid w:val="00867954"/>
    <w:rsid w:val="00870A83"/>
    <w:rsid w:val="00870AE7"/>
    <w:rsid w:val="00870FB6"/>
    <w:rsid w:val="00871565"/>
    <w:rsid w:val="00871C70"/>
    <w:rsid w:val="008723AC"/>
    <w:rsid w:val="0087295C"/>
    <w:rsid w:val="00872C2A"/>
    <w:rsid w:val="0087353F"/>
    <w:rsid w:val="008738C8"/>
    <w:rsid w:val="0087492A"/>
    <w:rsid w:val="00875A5D"/>
    <w:rsid w:val="0087640A"/>
    <w:rsid w:val="008801A3"/>
    <w:rsid w:val="00880280"/>
    <w:rsid w:val="0088047C"/>
    <w:rsid w:val="0088053F"/>
    <w:rsid w:val="00881868"/>
    <w:rsid w:val="00882581"/>
    <w:rsid w:val="00882B19"/>
    <w:rsid w:val="00883687"/>
    <w:rsid w:val="00883E95"/>
    <w:rsid w:val="008841C6"/>
    <w:rsid w:val="0088429B"/>
    <w:rsid w:val="00884625"/>
    <w:rsid w:val="00885C8C"/>
    <w:rsid w:val="00885E14"/>
    <w:rsid w:val="00887545"/>
    <w:rsid w:val="00887FB0"/>
    <w:rsid w:val="00890385"/>
    <w:rsid w:val="008914C2"/>
    <w:rsid w:val="0089165B"/>
    <w:rsid w:val="008921C5"/>
    <w:rsid w:val="00892373"/>
    <w:rsid w:val="00892744"/>
    <w:rsid w:val="00892849"/>
    <w:rsid w:val="008937C0"/>
    <w:rsid w:val="00894D9D"/>
    <w:rsid w:val="00895104"/>
    <w:rsid w:val="00895778"/>
    <w:rsid w:val="00895E96"/>
    <w:rsid w:val="00897004"/>
    <w:rsid w:val="00897059"/>
    <w:rsid w:val="0089727F"/>
    <w:rsid w:val="00897BCB"/>
    <w:rsid w:val="008A052C"/>
    <w:rsid w:val="008A06DB"/>
    <w:rsid w:val="008A0808"/>
    <w:rsid w:val="008A2D30"/>
    <w:rsid w:val="008A30BF"/>
    <w:rsid w:val="008A412F"/>
    <w:rsid w:val="008A480C"/>
    <w:rsid w:val="008A4911"/>
    <w:rsid w:val="008A54A8"/>
    <w:rsid w:val="008A54AC"/>
    <w:rsid w:val="008A61B6"/>
    <w:rsid w:val="008A666D"/>
    <w:rsid w:val="008A6C64"/>
    <w:rsid w:val="008B0DC5"/>
    <w:rsid w:val="008B1504"/>
    <w:rsid w:val="008B2AD7"/>
    <w:rsid w:val="008B2B28"/>
    <w:rsid w:val="008B3D7A"/>
    <w:rsid w:val="008B4572"/>
    <w:rsid w:val="008B55EE"/>
    <w:rsid w:val="008B5E3F"/>
    <w:rsid w:val="008B7634"/>
    <w:rsid w:val="008B7FD7"/>
    <w:rsid w:val="008C0274"/>
    <w:rsid w:val="008C0FA4"/>
    <w:rsid w:val="008C3FB3"/>
    <w:rsid w:val="008C4539"/>
    <w:rsid w:val="008C549D"/>
    <w:rsid w:val="008C6366"/>
    <w:rsid w:val="008C7C1F"/>
    <w:rsid w:val="008D171D"/>
    <w:rsid w:val="008D24B0"/>
    <w:rsid w:val="008D2CD9"/>
    <w:rsid w:val="008D2F60"/>
    <w:rsid w:val="008D48B0"/>
    <w:rsid w:val="008D51BB"/>
    <w:rsid w:val="008D6193"/>
    <w:rsid w:val="008D635E"/>
    <w:rsid w:val="008D7216"/>
    <w:rsid w:val="008E075B"/>
    <w:rsid w:val="008E0A23"/>
    <w:rsid w:val="008E1ADE"/>
    <w:rsid w:val="008E1D7D"/>
    <w:rsid w:val="008E2E80"/>
    <w:rsid w:val="008E38E1"/>
    <w:rsid w:val="008E3B78"/>
    <w:rsid w:val="008E477D"/>
    <w:rsid w:val="008E4DCB"/>
    <w:rsid w:val="008E582D"/>
    <w:rsid w:val="008E5AFB"/>
    <w:rsid w:val="008E678D"/>
    <w:rsid w:val="008E68EC"/>
    <w:rsid w:val="008E696D"/>
    <w:rsid w:val="008E7EE0"/>
    <w:rsid w:val="008F10AC"/>
    <w:rsid w:val="008F2338"/>
    <w:rsid w:val="008F2668"/>
    <w:rsid w:val="008F267D"/>
    <w:rsid w:val="008F346A"/>
    <w:rsid w:val="008F3B4B"/>
    <w:rsid w:val="008F4FC0"/>
    <w:rsid w:val="008F55EE"/>
    <w:rsid w:val="008F7645"/>
    <w:rsid w:val="0090009C"/>
    <w:rsid w:val="0090065D"/>
    <w:rsid w:val="0090089C"/>
    <w:rsid w:val="0090115E"/>
    <w:rsid w:val="00902346"/>
    <w:rsid w:val="0090295A"/>
    <w:rsid w:val="009029FC"/>
    <w:rsid w:val="00902FEF"/>
    <w:rsid w:val="00905687"/>
    <w:rsid w:val="00906533"/>
    <w:rsid w:val="00906935"/>
    <w:rsid w:val="00907B73"/>
    <w:rsid w:val="0091040F"/>
    <w:rsid w:val="00910B9A"/>
    <w:rsid w:val="0091176C"/>
    <w:rsid w:val="00912C86"/>
    <w:rsid w:val="00913563"/>
    <w:rsid w:val="00914058"/>
    <w:rsid w:val="00915B4B"/>
    <w:rsid w:val="00920426"/>
    <w:rsid w:val="00921012"/>
    <w:rsid w:val="00923FE8"/>
    <w:rsid w:val="00924194"/>
    <w:rsid w:val="00924297"/>
    <w:rsid w:val="009265D0"/>
    <w:rsid w:val="009276E3"/>
    <w:rsid w:val="00927764"/>
    <w:rsid w:val="00931A50"/>
    <w:rsid w:val="00932395"/>
    <w:rsid w:val="009358FF"/>
    <w:rsid w:val="00935BA2"/>
    <w:rsid w:val="009417C9"/>
    <w:rsid w:val="0094187B"/>
    <w:rsid w:val="00941DE8"/>
    <w:rsid w:val="00942217"/>
    <w:rsid w:val="00942F1E"/>
    <w:rsid w:val="009437B6"/>
    <w:rsid w:val="00943F85"/>
    <w:rsid w:val="00944088"/>
    <w:rsid w:val="00944980"/>
    <w:rsid w:val="00944EA6"/>
    <w:rsid w:val="009450FE"/>
    <w:rsid w:val="00945911"/>
    <w:rsid w:val="00950928"/>
    <w:rsid w:val="00950C9A"/>
    <w:rsid w:val="00951847"/>
    <w:rsid w:val="00952306"/>
    <w:rsid w:val="00953B6B"/>
    <w:rsid w:val="00953B89"/>
    <w:rsid w:val="00957043"/>
    <w:rsid w:val="009570E7"/>
    <w:rsid w:val="009578AD"/>
    <w:rsid w:val="00960C0D"/>
    <w:rsid w:val="00961521"/>
    <w:rsid w:val="00963014"/>
    <w:rsid w:val="00963413"/>
    <w:rsid w:val="009634A1"/>
    <w:rsid w:val="00963660"/>
    <w:rsid w:val="00963BE8"/>
    <w:rsid w:val="00964FFB"/>
    <w:rsid w:val="00965FA3"/>
    <w:rsid w:val="009662A6"/>
    <w:rsid w:val="009670AA"/>
    <w:rsid w:val="009678CF"/>
    <w:rsid w:val="00970117"/>
    <w:rsid w:val="00971CBF"/>
    <w:rsid w:val="00972AA9"/>
    <w:rsid w:val="00972AF8"/>
    <w:rsid w:val="0097386D"/>
    <w:rsid w:val="00973FCA"/>
    <w:rsid w:val="00974218"/>
    <w:rsid w:val="009771E0"/>
    <w:rsid w:val="00977861"/>
    <w:rsid w:val="009811AB"/>
    <w:rsid w:val="00981F0A"/>
    <w:rsid w:val="00981FD8"/>
    <w:rsid w:val="0098298D"/>
    <w:rsid w:val="00982AC0"/>
    <w:rsid w:val="00983158"/>
    <w:rsid w:val="009839F7"/>
    <w:rsid w:val="00984682"/>
    <w:rsid w:val="00985C8B"/>
    <w:rsid w:val="00986BFD"/>
    <w:rsid w:val="009871A0"/>
    <w:rsid w:val="00987720"/>
    <w:rsid w:val="009904BB"/>
    <w:rsid w:val="00990F5F"/>
    <w:rsid w:val="009917BB"/>
    <w:rsid w:val="0099183D"/>
    <w:rsid w:val="00992127"/>
    <w:rsid w:val="00992958"/>
    <w:rsid w:val="0099326A"/>
    <w:rsid w:val="00993EA6"/>
    <w:rsid w:val="009947F4"/>
    <w:rsid w:val="009962FA"/>
    <w:rsid w:val="00996ED8"/>
    <w:rsid w:val="009A0433"/>
    <w:rsid w:val="009A3808"/>
    <w:rsid w:val="009A52AB"/>
    <w:rsid w:val="009A77E3"/>
    <w:rsid w:val="009B04A3"/>
    <w:rsid w:val="009B0DAB"/>
    <w:rsid w:val="009B19E4"/>
    <w:rsid w:val="009B2A99"/>
    <w:rsid w:val="009B31E8"/>
    <w:rsid w:val="009B4BB3"/>
    <w:rsid w:val="009B4C5B"/>
    <w:rsid w:val="009B57D8"/>
    <w:rsid w:val="009B660A"/>
    <w:rsid w:val="009B6C3D"/>
    <w:rsid w:val="009B6D2F"/>
    <w:rsid w:val="009B6DCB"/>
    <w:rsid w:val="009B7D91"/>
    <w:rsid w:val="009C3391"/>
    <w:rsid w:val="009C4A44"/>
    <w:rsid w:val="009C4E53"/>
    <w:rsid w:val="009C5432"/>
    <w:rsid w:val="009C6933"/>
    <w:rsid w:val="009C71BB"/>
    <w:rsid w:val="009C776F"/>
    <w:rsid w:val="009C7D43"/>
    <w:rsid w:val="009D11FE"/>
    <w:rsid w:val="009D122F"/>
    <w:rsid w:val="009D2DB0"/>
    <w:rsid w:val="009D3978"/>
    <w:rsid w:val="009D499A"/>
    <w:rsid w:val="009D4BDC"/>
    <w:rsid w:val="009D52BE"/>
    <w:rsid w:val="009D5AE4"/>
    <w:rsid w:val="009D5DA7"/>
    <w:rsid w:val="009D78BE"/>
    <w:rsid w:val="009D7FCB"/>
    <w:rsid w:val="009E45C1"/>
    <w:rsid w:val="009E5711"/>
    <w:rsid w:val="009E63E8"/>
    <w:rsid w:val="009E6CBE"/>
    <w:rsid w:val="009E7A8C"/>
    <w:rsid w:val="009F04FD"/>
    <w:rsid w:val="009F0538"/>
    <w:rsid w:val="009F0A63"/>
    <w:rsid w:val="009F0C64"/>
    <w:rsid w:val="009F146B"/>
    <w:rsid w:val="009F26BD"/>
    <w:rsid w:val="009F2E29"/>
    <w:rsid w:val="009F38D3"/>
    <w:rsid w:val="009F3E58"/>
    <w:rsid w:val="009F57D9"/>
    <w:rsid w:val="009F6B02"/>
    <w:rsid w:val="009F7310"/>
    <w:rsid w:val="009F7E98"/>
    <w:rsid w:val="00A02664"/>
    <w:rsid w:val="00A03517"/>
    <w:rsid w:val="00A040B4"/>
    <w:rsid w:val="00A051E7"/>
    <w:rsid w:val="00A06817"/>
    <w:rsid w:val="00A074E5"/>
    <w:rsid w:val="00A07942"/>
    <w:rsid w:val="00A12995"/>
    <w:rsid w:val="00A12C39"/>
    <w:rsid w:val="00A14B93"/>
    <w:rsid w:val="00A14F9E"/>
    <w:rsid w:val="00A14FD6"/>
    <w:rsid w:val="00A1610D"/>
    <w:rsid w:val="00A166AF"/>
    <w:rsid w:val="00A16F6E"/>
    <w:rsid w:val="00A17D6E"/>
    <w:rsid w:val="00A17E4D"/>
    <w:rsid w:val="00A220A1"/>
    <w:rsid w:val="00A2224C"/>
    <w:rsid w:val="00A22E8A"/>
    <w:rsid w:val="00A2469D"/>
    <w:rsid w:val="00A27033"/>
    <w:rsid w:val="00A27276"/>
    <w:rsid w:val="00A30263"/>
    <w:rsid w:val="00A30651"/>
    <w:rsid w:val="00A30ACC"/>
    <w:rsid w:val="00A32D8F"/>
    <w:rsid w:val="00A32F5F"/>
    <w:rsid w:val="00A34FDB"/>
    <w:rsid w:val="00A35407"/>
    <w:rsid w:val="00A35D06"/>
    <w:rsid w:val="00A405F8"/>
    <w:rsid w:val="00A421C5"/>
    <w:rsid w:val="00A42A6E"/>
    <w:rsid w:val="00A439CF"/>
    <w:rsid w:val="00A445A9"/>
    <w:rsid w:val="00A45472"/>
    <w:rsid w:val="00A46091"/>
    <w:rsid w:val="00A520BF"/>
    <w:rsid w:val="00A60A39"/>
    <w:rsid w:val="00A6127D"/>
    <w:rsid w:val="00A62E3E"/>
    <w:rsid w:val="00A63002"/>
    <w:rsid w:val="00A636C7"/>
    <w:rsid w:val="00A64730"/>
    <w:rsid w:val="00A647C0"/>
    <w:rsid w:val="00A67324"/>
    <w:rsid w:val="00A6776C"/>
    <w:rsid w:val="00A67FE1"/>
    <w:rsid w:val="00A70958"/>
    <w:rsid w:val="00A70A87"/>
    <w:rsid w:val="00A70AD3"/>
    <w:rsid w:val="00A71633"/>
    <w:rsid w:val="00A71880"/>
    <w:rsid w:val="00A730EB"/>
    <w:rsid w:val="00A731CF"/>
    <w:rsid w:val="00A73768"/>
    <w:rsid w:val="00A75092"/>
    <w:rsid w:val="00A762BD"/>
    <w:rsid w:val="00A76396"/>
    <w:rsid w:val="00A76A81"/>
    <w:rsid w:val="00A801A3"/>
    <w:rsid w:val="00A801AA"/>
    <w:rsid w:val="00A81A70"/>
    <w:rsid w:val="00A81CAD"/>
    <w:rsid w:val="00A8223C"/>
    <w:rsid w:val="00A82BE0"/>
    <w:rsid w:val="00A838F7"/>
    <w:rsid w:val="00A84246"/>
    <w:rsid w:val="00A84E33"/>
    <w:rsid w:val="00A8692E"/>
    <w:rsid w:val="00A86D04"/>
    <w:rsid w:val="00A90DC5"/>
    <w:rsid w:val="00A9245F"/>
    <w:rsid w:val="00A92761"/>
    <w:rsid w:val="00A94B20"/>
    <w:rsid w:val="00A9759F"/>
    <w:rsid w:val="00A977B3"/>
    <w:rsid w:val="00AA023E"/>
    <w:rsid w:val="00AA27B2"/>
    <w:rsid w:val="00AA2E1D"/>
    <w:rsid w:val="00AA343D"/>
    <w:rsid w:val="00AA43A8"/>
    <w:rsid w:val="00AB1F25"/>
    <w:rsid w:val="00AB2088"/>
    <w:rsid w:val="00AB3576"/>
    <w:rsid w:val="00AB7DE9"/>
    <w:rsid w:val="00AC19DA"/>
    <w:rsid w:val="00AC2297"/>
    <w:rsid w:val="00AC2361"/>
    <w:rsid w:val="00AC24DF"/>
    <w:rsid w:val="00AC39E5"/>
    <w:rsid w:val="00AC4E8A"/>
    <w:rsid w:val="00AC595E"/>
    <w:rsid w:val="00AC754A"/>
    <w:rsid w:val="00AC7F04"/>
    <w:rsid w:val="00AD009C"/>
    <w:rsid w:val="00AD1A1E"/>
    <w:rsid w:val="00AD3036"/>
    <w:rsid w:val="00AD406C"/>
    <w:rsid w:val="00AD4278"/>
    <w:rsid w:val="00AD5589"/>
    <w:rsid w:val="00AD6211"/>
    <w:rsid w:val="00AD7DF3"/>
    <w:rsid w:val="00AE3161"/>
    <w:rsid w:val="00AE5C6D"/>
    <w:rsid w:val="00AE6479"/>
    <w:rsid w:val="00AE7238"/>
    <w:rsid w:val="00AE745E"/>
    <w:rsid w:val="00AF178F"/>
    <w:rsid w:val="00AF3440"/>
    <w:rsid w:val="00AF47F6"/>
    <w:rsid w:val="00AF4D8E"/>
    <w:rsid w:val="00B0036C"/>
    <w:rsid w:val="00B015FD"/>
    <w:rsid w:val="00B01DE1"/>
    <w:rsid w:val="00B02040"/>
    <w:rsid w:val="00B021D8"/>
    <w:rsid w:val="00B02624"/>
    <w:rsid w:val="00B028F3"/>
    <w:rsid w:val="00B03336"/>
    <w:rsid w:val="00B03CD5"/>
    <w:rsid w:val="00B06FF2"/>
    <w:rsid w:val="00B07EAA"/>
    <w:rsid w:val="00B105FF"/>
    <w:rsid w:val="00B10E9C"/>
    <w:rsid w:val="00B13803"/>
    <w:rsid w:val="00B138CC"/>
    <w:rsid w:val="00B147A0"/>
    <w:rsid w:val="00B15175"/>
    <w:rsid w:val="00B152A8"/>
    <w:rsid w:val="00B15A48"/>
    <w:rsid w:val="00B15B2F"/>
    <w:rsid w:val="00B15D19"/>
    <w:rsid w:val="00B15DB7"/>
    <w:rsid w:val="00B219E8"/>
    <w:rsid w:val="00B21B89"/>
    <w:rsid w:val="00B25CE1"/>
    <w:rsid w:val="00B26463"/>
    <w:rsid w:val="00B26819"/>
    <w:rsid w:val="00B2721E"/>
    <w:rsid w:val="00B278F1"/>
    <w:rsid w:val="00B27958"/>
    <w:rsid w:val="00B31491"/>
    <w:rsid w:val="00B32DEA"/>
    <w:rsid w:val="00B32DEE"/>
    <w:rsid w:val="00B33575"/>
    <w:rsid w:val="00B34BFD"/>
    <w:rsid w:val="00B34CEB"/>
    <w:rsid w:val="00B35317"/>
    <w:rsid w:val="00B35A72"/>
    <w:rsid w:val="00B36809"/>
    <w:rsid w:val="00B3681C"/>
    <w:rsid w:val="00B36D7D"/>
    <w:rsid w:val="00B3708B"/>
    <w:rsid w:val="00B3733D"/>
    <w:rsid w:val="00B400A9"/>
    <w:rsid w:val="00B40EE7"/>
    <w:rsid w:val="00B4221B"/>
    <w:rsid w:val="00B42D34"/>
    <w:rsid w:val="00B42DD3"/>
    <w:rsid w:val="00B435B2"/>
    <w:rsid w:val="00B43DED"/>
    <w:rsid w:val="00B505FA"/>
    <w:rsid w:val="00B50A1F"/>
    <w:rsid w:val="00B5103D"/>
    <w:rsid w:val="00B513A1"/>
    <w:rsid w:val="00B51D60"/>
    <w:rsid w:val="00B5240F"/>
    <w:rsid w:val="00B533A6"/>
    <w:rsid w:val="00B535AC"/>
    <w:rsid w:val="00B53AE6"/>
    <w:rsid w:val="00B54FC8"/>
    <w:rsid w:val="00B5637F"/>
    <w:rsid w:val="00B60071"/>
    <w:rsid w:val="00B60676"/>
    <w:rsid w:val="00B60780"/>
    <w:rsid w:val="00B637A5"/>
    <w:rsid w:val="00B64F39"/>
    <w:rsid w:val="00B6509E"/>
    <w:rsid w:val="00B65A00"/>
    <w:rsid w:val="00B66092"/>
    <w:rsid w:val="00B67551"/>
    <w:rsid w:val="00B70378"/>
    <w:rsid w:val="00B705E2"/>
    <w:rsid w:val="00B71389"/>
    <w:rsid w:val="00B71534"/>
    <w:rsid w:val="00B7156B"/>
    <w:rsid w:val="00B72DEC"/>
    <w:rsid w:val="00B73ED9"/>
    <w:rsid w:val="00B74A8D"/>
    <w:rsid w:val="00B7626E"/>
    <w:rsid w:val="00B767B8"/>
    <w:rsid w:val="00B775EA"/>
    <w:rsid w:val="00B81433"/>
    <w:rsid w:val="00B8161B"/>
    <w:rsid w:val="00B838B3"/>
    <w:rsid w:val="00B83FCC"/>
    <w:rsid w:val="00B84EF9"/>
    <w:rsid w:val="00B86347"/>
    <w:rsid w:val="00B873D9"/>
    <w:rsid w:val="00B87878"/>
    <w:rsid w:val="00B911FF"/>
    <w:rsid w:val="00B9129C"/>
    <w:rsid w:val="00B91727"/>
    <w:rsid w:val="00B93EC6"/>
    <w:rsid w:val="00B94309"/>
    <w:rsid w:val="00B943E5"/>
    <w:rsid w:val="00B94A05"/>
    <w:rsid w:val="00B94E13"/>
    <w:rsid w:val="00B95663"/>
    <w:rsid w:val="00B95B4C"/>
    <w:rsid w:val="00B97457"/>
    <w:rsid w:val="00BA0B82"/>
    <w:rsid w:val="00BA1CFE"/>
    <w:rsid w:val="00BA2B0E"/>
    <w:rsid w:val="00BA2C2A"/>
    <w:rsid w:val="00BA3A5C"/>
    <w:rsid w:val="00BA45D3"/>
    <w:rsid w:val="00BA709C"/>
    <w:rsid w:val="00BA76CC"/>
    <w:rsid w:val="00BA7DE5"/>
    <w:rsid w:val="00BB032F"/>
    <w:rsid w:val="00BB0AA2"/>
    <w:rsid w:val="00BB2274"/>
    <w:rsid w:val="00BB2926"/>
    <w:rsid w:val="00BB40F0"/>
    <w:rsid w:val="00BB4536"/>
    <w:rsid w:val="00BB4A4C"/>
    <w:rsid w:val="00BB5B10"/>
    <w:rsid w:val="00BB61B1"/>
    <w:rsid w:val="00BB77D7"/>
    <w:rsid w:val="00BC0E8F"/>
    <w:rsid w:val="00BC26F4"/>
    <w:rsid w:val="00BC32CA"/>
    <w:rsid w:val="00BC3B25"/>
    <w:rsid w:val="00BC54E6"/>
    <w:rsid w:val="00BC5821"/>
    <w:rsid w:val="00BC7D2A"/>
    <w:rsid w:val="00BD1977"/>
    <w:rsid w:val="00BD1B1F"/>
    <w:rsid w:val="00BD234E"/>
    <w:rsid w:val="00BD2ED3"/>
    <w:rsid w:val="00BD30AB"/>
    <w:rsid w:val="00BD4995"/>
    <w:rsid w:val="00BD5145"/>
    <w:rsid w:val="00BD525E"/>
    <w:rsid w:val="00BD5604"/>
    <w:rsid w:val="00BD79F7"/>
    <w:rsid w:val="00BE1515"/>
    <w:rsid w:val="00BE1F3C"/>
    <w:rsid w:val="00BE219E"/>
    <w:rsid w:val="00BE2AC3"/>
    <w:rsid w:val="00BE3F41"/>
    <w:rsid w:val="00BE418E"/>
    <w:rsid w:val="00BE4960"/>
    <w:rsid w:val="00BE5736"/>
    <w:rsid w:val="00BE643A"/>
    <w:rsid w:val="00BE7B9F"/>
    <w:rsid w:val="00BF3100"/>
    <w:rsid w:val="00BF47DA"/>
    <w:rsid w:val="00BF5483"/>
    <w:rsid w:val="00BF68D7"/>
    <w:rsid w:val="00BF6D22"/>
    <w:rsid w:val="00BF6D40"/>
    <w:rsid w:val="00BF6D93"/>
    <w:rsid w:val="00BF7A75"/>
    <w:rsid w:val="00C03047"/>
    <w:rsid w:val="00C033FC"/>
    <w:rsid w:val="00C03B65"/>
    <w:rsid w:val="00C06581"/>
    <w:rsid w:val="00C06BBD"/>
    <w:rsid w:val="00C07124"/>
    <w:rsid w:val="00C07378"/>
    <w:rsid w:val="00C07E3C"/>
    <w:rsid w:val="00C11393"/>
    <w:rsid w:val="00C128E7"/>
    <w:rsid w:val="00C12DDE"/>
    <w:rsid w:val="00C12FD2"/>
    <w:rsid w:val="00C1384E"/>
    <w:rsid w:val="00C1454C"/>
    <w:rsid w:val="00C14B50"/>
    <w:rsid w:val="00C15EB4"/>
    <w:rsid w:val="00C16101"/>
    <w:rsid w:val="00C16813"/>
    <w:rsid w:val="00C20A76"/>
    <w:rsid w:val="00C20D66"/>
    <w:rsid w:val="00C218CA"/>
    <w:rsid w:val="00C21ED8"/>
    <w:rsid w:val="00C2221F"/>
    <w:rsid w:val="00C22945"/>
    <w:rsid w:val="00C25745"/>
    <w:rsid w:val="00C2644F"/>
    <w:rsid w:val="00C26FF1"/>
    <w:rsid w:val="00C27B7D"/>
    <w:rsid w:val="00C27FEC"/>
    <w:rsid w:val="00C30F85"/>
    <w:rsid w:val="00C32595"/>
    <w:rsid w:val="00C358E4"/>
    <w:rsid w:val="00C36D2A"/>
    <w:rsid w:val="00C37020"/>
    <w:rsid w:val="00C3768C"/>
    <w:rsid w:val="00C41AC4"/>
    <w:rsid w:val="00C42ECF"/>
    <w:rsid w:val="00C43824"/>
    <w:rsid w:val="00C43BF4"/>
    <w:rsid w:val="00C43C10"/>
    <w:rsid w:val="00C43F85"/>
    <w:rsid w:val="00C4619F"/>
    <w:rsid w:val="00C461EE"/>
    <w:rsid w:val="00C46C7F"/>
    <w:rsid w:val="00C502E4"/>
    <w:rsid w:val="00C52AEB"/>
    <w:rsid w:val="00C557A3"/>
    <w:rsid w:val="00C55C68"/>
    <w:rsid w:val="00C57475"/>
    <w:rsid w:val="00C619A2"/>
    <w:rsid w:val="00C61CE1"/>
    <w:rsid w:val="00C62113"/>
    <w:rsid w:val="00C65085"/>
    <w:rsid w:val="00C65832"/>
    <w:rsid w:val="00C6773B"/>
    <w:rsid w:val="00C67B4A"/>
    <w:rsid w:val="00C71064"/>
    <w:rsid w:val="00C723B2"/>
    <w:rsid w:val="00C73120"/>
    <w:rsid w:val="00C744F0"/>
    <w:rsid w:val="00C74B96"/>
    <w:rsid w:val="00C74E8D"/>
    <w:rsid w:val="00C758B3"/>
    <w:rsid w:val="00C76861"/>
    <w:rsid w:val="00C76938"/>
    <w:rsid w:val="00C76A95"/>
    <w:rsid w:val="00C76F38"/>
    <w:rsid w:val="00C77D45"/>
    <w:rsid w:val="00C80D4D"/>
    <w:rsid w:val="00C812E0"/>
    <w:rsid w:val="00C82DC7"/>
    <w:rsid w:val="00C8355E"/>
    <w:rsid w:val="00C83D87"/>
    <w:rsid w:val="00C86172"/>
    <w:rsid w:val="00C867CB"/>
    <w:rsid w:val="00C87AFD"/>
    <w:rsid w:val="00C91C93"/>
    <w:rsid w:val="00C92C3C"/>
    <w:rsid w:val="00C92C4B"/>
    <w:rsid w:val="00C93CAD"/>
    <w:rsid w:val="00C941AE"/>
    <w:rsid w:val="00C944E6"/>
    <w:rsid w:val="00C94F37"/>
    <w:rsid w:val="00C95261"/>
    <w:rsid w:val="00C95A43"/>
    <w:rsid w:val="00C96E84"/>
    <w:rsid w:val="00C96F25"/>
    <w:rsid w:val="00C971F0"/>
    <w:rsid w:val="00CA007D"/>
    <w:rsid w:val="00CA2325"/>
    <w:rsid w:val="00CA5FF3"/>
    <w:rsid w:val="00CA79F9"/>
    <w:rsid w:val="00CA7EEE"/>
    <w:rsid w:val="00CB20EB"/>
    <w:rsid w:val="00CB27C1"/>
    <w:rsid w:val="00CB3E26"/>
    <w:rsid w:val="00CB43F4"/>
    <w:rsid w:val="00CB5712"/>
    <w:rsid w:val="00CB6A3D"/>
    <w:rsid w:val="00CB6FA4"/>
    <w:rsid w:val="00CB7B08"/>
    <w:rsid w:val="00CB7F91"/>
    <w:rsid w:val="00CC1C66"/>
    <w:rsid w:val="00CC34DA"/>
    <w:rsid w:val="00CC3DCB"/>
    <w:rsid w:val="00CC462C"/>
    <w:rsid w:val="00CC479E"/>
    <w:rsid w:val="00CC53AA"/>
    <w:rsid w:val="00CC6200"/>
    <w:rsid w:val="00CC6700"/>
    <w:rsid w:val="00CC6BAD"/>
    <w:rsid w:val="00CC7468"/>
    <w:rsid w:val="00CD1370"/>
    <w:rsid w:val="00CD1B0E"/>
    <w:rsid w:val="00CD314C"/>
    <w:rsid w:val="00CD4EB5"/>
    <w:rsid w:val="00CD574E"/>
    <w:rsid w:val="00CD5D83"/>
    <w:rsid w:val="00CD6C89"/>
    <w:rsid w:val="00CD7094"/>
    <w:rsid w:val="00CD72EB"/>
    <w:rsid w:val="00CE0A1E"/>
    <w:rsid w:val="00CE15C8"/>
    <w:rsid w:val="00CE19CE"/>
    <w:rsid w:val="00CE3000"/>
    <w:rsid w:val="00CE5430"/>
    <w:rsid w:val="00CE5D4E"/>
    <w:rsid w:val="00CE651E"/>
    <w:rsid w:val="00CE6C17"/>
    <w:rsid w:val="00CE722D"/>
    <w:rsid w:val="00CE7E38"/>
    <w:rsid w:val="00CF07A8"/>
    <w:rsid w:val="00CF0ACA"/>
    <w:rsid w:val="00CF1000"/>
    <w:rsid w:val="00CF1238"/>
    <w:rsid w:val="00CF1E5B"/>
    <w:rsid w:val="00CF2359"/>
    <w:rsid w:val="00CF2B40"/>
    <w:rsid w:val="00CF4705"/>
    <w:rsid w:val="00CF4734"/>
    <w:rsid w:val="00CF4F9E"/>
    <w:rsid w:val="00CF6019"/>
    <w:rsid w:val="00D01E56"/>
    <w:rsid w:val="00D024C8"/>
    <w:rsid w:val="00D02D39"/>
    <w:rsid w:val="00D03F02"/>
    <w:rsid w:val="00D05E90"/>
    <w:rsid w:val="00D068E2"/>
    <w:rsid w:val="00D07E51"/>
    <w:rsid w:val="00D10262"/>
    <w:rsid w:val="00D12107"/>
    <w:rsid w:val="00D14104"/>
    <w:rsid w:val="00D142FA"/>
    <w:rsid w:val="00D17228"/>
    <w:rsid w:val="00D213BD"/>
    <w:rsid w:val="00D23830"/>
    <w:rsid w:val="00D24314"/>
    <w:rsid w:val="00D24B47"/>
    <w:rsid w:val="00D25895"/>
    <w:rsid w:val="00D30242"/>
    <w:rsid w:val="00D30DC0"/>
    <w:rsid w:val="00D310F5"/>
    <w:rsid w:val="00D318A4"/>
    <w:rsid w:val="00D31C3D"/>
    <w:rsid w:val="00D32200"/>
    <w:rsid w:val="00D335F0"/>
    <w:rsid w:val="00D3360C"/>
    <w:rsid w:val="00D34A02"/>
    <w:rsid w:val="00D34D47"/>
    <w:rsid w:val="00D35DE9"/>
    <w:rsid w:val="00D37439"/>
    <w:rsid w:val="00D37596"/>
    <w:rsid w:val="00D40F15"/>
    <w:rsid w:val="00D40F2A"/>
    <w:rsid w:val="00D41C41"/>
    <w:rsid w:val="00D4202E"/>
    <w:rsid w:val="00D42066"/>
    <w:rsid w:val="00D420FA"/>
    <w:rsid w:val="00D422EA"/>
    <w:rsid w:val="00D4245C"/>
    <w:rsid w:val="00D4277C"/>
    <w:rsid w:val="00D428DB"/>
    <w:rsid w:val="00D42E43"/>
    <w:rsid w:val="00D431D6"/>
    <w:rsid w:val="00D43393"/>
    <w:rsid w:val="00D43BD2"/>
    <w:rsid w:val="00D44AA2"/>
    <w:rsid w:val="00D454E6"/>
    <w:rsid w:val="00D47408"/>
    <w:rsid w:val="00D4742E"/>
    <w:rsid w:val="00D519BC"/>
    <w:rsid w:val="00D53195"/>
    <w:rsid w:val="00D5622D"/>
    <w:rsid w:val="00D564B5"/>
    <w:rsid w:val="00D56AB7"/>
    <w:rsid w:val="00D60DB3"/>
    <w:rsid w:val="00D612F5"/>
    <w:rsid w:val="00D644D1"/>
    <w:rsid w:val="00D648D4"/>
    <w:rsid w:val="00D64995"/>
    <w:rsid w:val="00D65161"/>
    <w:rsid w:val="00D67A93"/>
    <w:rsid w:val="00D67C04"/>
    <w:rsid w:val="00D7133A"/>
    <w:rsid w:val="00D71B9B"/>
    <w:rsid w:val="00D72937"/>
    <w:rsid w:val="00D74958"/>
    <w:rsid w:val="00D74E20"/>
    <w:rsid w:val="00D75A96"/>
    <w:rsid w:val="00D75C41"/>
    <w:rsid w:val="00D75E0D"/>
    <w:rsid w:val="00D762A7"/>
    <w:rsid w:val="00D76569"/>
    <w:rsid w:val="00D7703F"/>
    <w:rsid w:val="00D80663"/>
    <w:rsid w:val="00D80DAF"/>
    <w:rsid w:val="00D8103D"/>
    <w:rsid w:val="00D810A3"/>
    <w:rsid w:val="00D855BF"/>
    <w:rsid w:val="00D85C40"/>
    <w:rsid w:val="00D8689F"/>
    <w:rsid w:val="00D904A2"/>
    <w:rsid w:val="00D91496"/>
    <w:rsid w:val="00D950E3"/>
    <w:rsid w:val="00D9568C"/>
    <w:rsid w:val="00D96375"/>
    <w:rsid w:val="00D964DD"/>
    <w:rsid w:val="00D964E2"/>
    <w:rsid w:val="00D96F91"/>
    <w:rsid w:val="00DA0342"/>
    <w:rsid w:val="00DA03B6"/>
    <w:rsid w:val="00DA0D8E"/>
    <w:rsid w:val="00DA10B6"/>
    <w:rsid w:val="00DA132C"/>
    <w:rsid w:val="00DA1886"/>
    <w:rsid w:val="00DA231F"/>
    <w:rsid w:val="00DA2ADB"/>
    <w:rsid w:val="00DA2F2B"/>
    <w:rsid w:val="00DA326E"/>
    <w:rsid w:val="00DA4357"/>
    <w:rsid w:val="00DA5EB8"/>
    <w:rsid w:val="00DA75A0"/>
    <w:rsid w:val="00DB0838"/>
    <w:rsid w:val="00DB0895"/>
    <w:rsid w:val="00DB208A"/>
    <w:rsid w:val="00DB2698"/>
    <w:rsid w:val="00DB2F59"/>
    <w:rsid w:val="00DB2F78"/>
    <w:rsid w:val="00DB383E"/>
    <w:rsid w:val="00DB590B"/>
    <w:rsid w:val="00DB64AE"/>
    <w:rsid w:val="00DB6804"/>
    <w:rsid w:val="00DB6AED"/>
    <w:rsid w:val="00DB6E98"/>
    <w:rsid w:val="00DB7E54"/>
    <w:rsid w:val="00DC0743"/>
    <w:rsid w:val="00DC12F9"/>
    <w:rsid w:val="00DC172C"/>
    <w:rsid w:val="00DC1A7E"/>
    <w:rsid w:val="00DC1D08"/>
    <w:rsid w:val="00DC25AE"/>
    <w:rsid w:val="00DC2AC1"/>
    <w:rsid w:val="00DC2CAC"/>
    <w:rsid w:val="00DC41A9"/>
    <w:rsid w:val="00DC457A"/>
    <w:rsid w:val="00DC5274"/>
    <w:rsid w:val="00DC5352"/>
    <w:rsid w:val="00DC6353"/>
    <w:rsid w:val="00DC691B"/>
    <w:rsid w:val="00DC7905"/>
    <w:rsid w:val="00DC7BEB"/>
    <w:rsid w:val="00DD0317"/>
    <w:rsid w:val="00DD0ED6"/>
    <w:rsid w:val="00DD237C"/>
    <w:rsid w:val="00DD2524"/>
    <w:rsid w:val="00DD2963"/>
    <w:rsid w:val="00DD2CF9"/>
    <w:rsid w:val="00DD3CD0"/>
    <w:rsid w:val="00DD53E3"/>
    <w:rsid w:val="00DD551F"/>
    <w:rsid w:val="00DD556C"/>
    <w:rsid w:val="00DD5584"/>
    <w:rsid w:val="00DD5591"/>
    <w:rsid w:val="00DD6DE2"/>
    <w:rsid w:val="00DE1675"/>
    <w:rsid w:val="00DE1780"/>
    <w:rsid w:val="00DE192E"/>
    <w:rsid w:val="00DE1D0E"/>
    <w:rsid w:val="00DE1DAC"/>
    <w:rsid w:val="00DE30F9"/>
    <w:rsid w:val="00DE3276"/>
    <w:rsid w:val="00DE41A4"/>
    <w:rsid w:val="00DE4EB1"/>
    <w:rsid w:val="00DE5C22"/>
    <w:rsid w:val="00DE7048"/>
    <w:rsid w:val="00DE7362"/>
    <w:rsid w:val="00DE7415"/>
    <w:rsid w:val="00DF1F9C"/>
    <w:rsid w:val="00DF35FF"/>
    <w:rsid w:val="00DF4D03"/>
    <w:rsid w:val="00DF4E35"/>
    <w:rsid w:val="00DF5D27"/>
    <w:rsid w:val="00DF6A1E"/>
    <w:rsid w:val="00DF76B7"/>
    <w:rsid w:val="00DF7A52"/>
    <w:rsid w:val="00E00ACA"/>
    <w:rsid w:val="00E00C4C"/>
    <w:rsid w:val="00E01FCA"/>
    <w:rsid w:val="00E02E5A"/>
    <w:rsid w:val="00E03DB2"/>
    <w:rsid w:val="00E0459D"/>
    <w:rsid w:val="00E04754"/>
    <w:rsid w:val="00E04DE9"/>
    <w:rsid w:val="00E05442"/>
    <w:rsid w:val="00E059CD"/>
    <w:rsid w:val="00E05A3D"/>
    <w:rsid w:val="00E0681F"/>
    <w:rsid w:val="00E10E31"/>
    <w:rsid w:val="00E117B0"/>
    <w:rsid w:val="00E12E17"/>
    <w:rsid w:val="00E13001"/>
    <w:rsid w:val="00E13036"/>
    <w:rsid w:val="00E13469"/>
    <w:rsid w:val="00E13888"/>
    <w:rsid w:val="00E1481E"/>
    <w:rsid w:val="00E15E8E"/>
    <w:rsid w:val="00E16232"/>
    <w:rsid w:val="00E20575"/>
    <w:rsid w:val="00E20E7C"/>
    <w:rsid w:val="00E216C0"/>
    <w:rsid w:val="00E2182A"/>
    <w:rsid w:val="00E21C4C"/>
    <w:rsid w:val="00E220B2"/>
    <w:rsid w:val="00E22317"/>
    <w:rsid w:val="00E2321A"/>
    <w:rsid w:val="00E24272"/>
    <w:rsid w:val="00E249DE"/>
    <w:rsid w:val="00E24F69"/>
    <w:rsid w:val="00E2534B"/>
    <w:rsid w:val="00E2535E"/>
    <w:rsid w:val="00E25C82"/>
    <w:rsid w:val="00E274BF"/>
    <w:rsid w:val="00E27901"/>
    <w:rsid w:val="00E27A29"/>
    <w:rsid w:val="00E31E2B"/>
    <w:rsid w:val="00E31F51"/>
    <w:rsid w:val="00E32104"/>
    <w:rsid w:val="00E3390D"/>
    <w:rsid w:val="00E343BE"/>
    <w:rsid w:val="00E36A91"/>
    <w:rsid w:val="00E3719D"/>
    <w:rsid w:val="00E37251"/>
    <w:rsid w:val="00E378FF"/>
    <w:rsid w:val="00E40784"/>
    <w:rsid w:val="00E41FD3"/>
    <w:rsid w:val="00E4235C"/>
    <w:rsid w:val="00E424D9"/>
    <w:rsid w:val="00E42DF8"/>
    <w:rsid w:val="00E43A28"/>
    <w:rsid w:val="00E4611C"/>
    <w:rsid w:val="00E50B54"/>
    <w:rsid w:val="00E50B85"/>
    <w:rsid w:val="00E51145"/>
    <w:rsid w:val="00E51839"/>
    <w:rsid w:val="00E534BA"/>
    <w:rsid w:val="00E55A71"/>
    <w:rsid w:val="00E60FC3"/>
    <w:rsid w:val="00E62C15"/>
    <w:rsid w:val="00E63407"/>
    <w:rsid w:val="00E65E91"/>
    <w:rsid w:val="00E6629D"/>
    <w:rsid w:val="00E7059F"/>
    <w:rsid w:val="00E70A95"/>
    <w:rsid w:val="00E71254"/>
    <w:rsid w:val="00E719C0"/>
    <w:rsid w:val="00E73602"/>
    <w:rsid w:val="00E74D34"/>
    <w:rsid w:val="00E75A71"/>
    <w:rsid w:val="00E80281"/>
    <w:rsid w:val="00E8215D"/>
    <w:rsid w:val="00E827E8"/>
    <w:rsid w:val="00E854B0"/>
    <w:rsid w:val="00E859AB"/>
    <w:rsid w:val="00E86F72"/>
    <w:rsid w:val="00E91447"/>
    <w:rsid w:val="00E92073"/>
    <w:rsid w:val="00E92617"/>
    <w:rsid w:val="00E92E42"/>
    <w:rsid w:val="00E940F0"/>
    <w:rsid w:val="00E94558"/>
    <w:rsid w:val="00E9480D"/>
    <w:rsid w:val="00E9532F"/>
    <w:rsid w:val="00E95582"/>
    <w:rsid w:val="00E9558A"/>
    <w:rsid w:val="00EA0EE4"/>
    <w:rsid w:val="00EA2152"/>
    <w:rsid w:val="00EA2221"/>
    <w:rsid w:val="00EA42F3"/>
    <w:rsid w:val="00EA4638"/>
    <w:rsid w:val="00EA50AC"/>
    <w:rsid w:val="00EA5141"/>
    <w:rsid w:val="00EA560A"/>
    <w:rsid w:val="00EA6A16"/>
    <w:rsid w:val="00EB020E"/>
    <w:rsid w:val="00EB0C05"/>
    <w:rsid w:val="00EB0D7C"/>
    <w:rsid w:val="00EB14B9"/>
    <w:rsid w:val="00EB18CE"/>
    <w:rsid w:val="00EB2857"/>
    <w:rsid w:val="00EB29E3"/>
    <w:rsid w:val="00EB419F"/>
    <w:rsid w:val="00EB4824"/>
    <w:rsid w:val="00EB4F91"/>
    <w:rsid w:val="00EB5069"/>
    <w:rsid w:val="00EB5F87"/>
    <w:rsid w:val="00EB663A"/>
    <w:rsid w:val="00EB6AB9"/>
    <w:rsid w:val="00EB744C"/>
    <w:rsid w:val="00EB7CD2"/>
    <w:rsid w:val="00EC0B20"/>
    <w:rsid w:val="00EC0B25"/>
    <w:rsid w:val="00EC0E20"/>
    <w:rsid w:val="00EC1805"/>
    <w:rsid w:val="00EC2125"/>
    <w:rsid w:val="00EC252B"/>
    <w:rsid w:val="00EC368E"/>
    <w:rsid w:val="00EC4E79"/>
    <w:rsid w:val="00EC54D8"/>
    <w:rsid w:val="00EC56D4"/>
    <w:rsid w:val="00ED0E77"/>
    <w:rsid w:val="00ED252D"/>
    <w:rsid w:val="00ED3186"/>
    <w:rsid w:val="00ED37D6"/>
    <w:rsid w:val="00ED4BEA"/>
    <w:rsid w:val="00ED5723"/>
    <w:rsid w:val="00ED683F"/>
    <w:rsid w:val="00ED74B4"/>
    <w:rsid w:val="00ED7A17"/>
    <w:rsid w:val="00ED7C9F"/>
    <w:rsid w:val="00EE034E"/>
    <w:rsid w:val="00EE0EAF"/>
    <w:rsid w:val="00EE1B86"/>
    <w:rsid w:val="00EE25EF"/>
    <w:rsid w:val="00EE3462"/>
    <w:rsid w:val="00EE5700"/>
    <w:rsid w:val="00EE5874"/>
    <w:rsid w:val="00EE6ABE"/>
    <w:rsid w:val="00EE7ACD"/>
    <w:rsid w:val="00EF0F2C"/>
    <w:rsid w:val="00EF1700"/>
    <w:rsid w:val="00EF1BBB"/>
    <w:rsid w:val="00EF2C8B"/>
    <w:rsid w:val="00EF5580"/>
    <w:rsid w:val="00EF5D1C"/>
    <w:rsid w:val="00EF76D6"/>
    <w:rsid w:val="00F00486"/>
    <w:rsid w:val="00F00C2F"/>
    <w:rsid w:val="00F00FE5"/>
    <w:rsid w:val="00F0153D"/>
    <w:rsid w:val="00F01F7C"/>
    <w:rsid w:val="00F044C7"/>
    <w:rsid w:val="00F06A96"/>
    <w:rsid w:val="00F06AB5"/>
    <w:rsid w:val="00F071C6"/>
    <w:rsid w:val="00F07983"/>
    <w:rsid w:val="00F109CA"/>
    <w:rsid w:val="00F10F32"/>
    <w:rsid w:val="00F10F94"/>
    <w:rsid w:val="00F11017"/>
    <w:rsid w:val="00F1279B"/>
    <w:rsid w:val="00F12A6E"/>
    <w:rsid w:val="00F12F7F"/>
    <w:rsid w:val="00F13F6D"/>
    <w:rsid w:val="00F145E7"/>
    <w:rsid w:val="00F14CAA"/>
    <w:rsid w:val="00F14FE3"/>
    <w:rsid w:val="00F16CCA"/>
    <w:rsid w:val="00F17003"/>
    <w:rsid w:val="00F17750"/>
    <w:rsid w:val="00F17E49"/>
    <w:rsid w:val="00F20572"/>
    <w:rsid w:val="00F20697"/>
    <w:rsid w:val="00F20A44"/>
    <w:rsid w:val="00F20CD5"/>
    <w:rsid w:val="00F21044"/>
    <w:rsid w:val="00F23F40"/>
    <w:rsid w:val="00F24508"/>
    <w:rsid w:val="00F2543F"/>
    <w:rsid w:val="00F25CC9"/>
    <w:rsid w:val="00F26E84"/>
    <w:rsid w:val="00F30147"/>
    <w:rsid w:val="00F307D4"/>
    <w:rsid w:val="00F30B17"/>
    <w:rsid w:val="00F31A11"/>
    <w:rsid w:val="00F31EAE"/>
    <w:rsid w:val="00F3367B"/>
    <w:rsid w:val="00F33700"/>
    <w:rsid w:val="00F34954"/>
    <w:rsid w:val="00F352EE"/>
    <w:rsid w:val="00F358CA"/>
    <w:rsid w:val="00F37177"/>
    <w:rsid w:val="00F3735A"/>
    <w:rsid w:val="00F377FB"/>
    <w:rsid w:val="00F37DFC"/>
    <w:rsid w:val="00F4131E"/>
    <w:rsid w:val="00F415A6"/>
    <w:rsid w:val="00F41906"/>
    <w:rsid w:val="00F42B1A"/>
    <w:rsid w:val="00F42D1E"/>
    <w:rsid w:val="00F44F34"/>
    <w:rsid w:val="00F44F81"/>
    <w:rsid w:val="00F46F5F"/>
    <w:rsid w:val="00F47943"/>
    <w:rsid w:val="00F47B47"/>
    <w:rsid w:val="00F504BA"/>
    <w:rsid w:val="00F51190"/>
    <w:rsid w:val="00F5179E"/>
    <w:rsid w:val="00F52C48"/>
    <w:rsid w:val="00F52CFE"/>
    <w:rsid w:val="00F53E51"/>
    <w:rsid w:val="00F54081"/>
    <w:rsid w:val="00F54E30"/>
    <w:rsid w:val="00F54EF0"/>
    <w:rsid w:val="00F55CD7"/>
    <w:rsid w:val="00F560AA"/>
    <w:rsid w:val="00F5798F"/>
    <w:rsid w:val="00F60870"/>
    <w:rsid w:val="00F62001"/>
    <w:rsid w:val="00F62784"/>
    <w:rsid w:val="00F6282D"/>
    <w:rsid w:val="00F63190"/>
    <w:rsid w:val="00F636DA"/>
    <w:rsid w:val="00F6373D"/>
    <w:rsid w:val="00F638D7"/>
    <w:rsid w:val="00F6432F"/>
    <w:rsid w:val="00F64817"/>
    <w:rsid w:val="00F655A9"/>
    <w:rsid w:val="00F66309"/>
    <w:rsid w:val="00F6680F"/>
    <w:rsid w:val="00F66B4A"/>
    <w:rsid w:val="00F66EB2"/>
    <w:rsid w:val="00F67AA3"/>
    <w:rsid w:val="00F67D52"/>
    <w:rsid w:val="00F7232E"/>
    <w:rsid w:val="00F754F2"/>
    <w:rsid w:val="00F758AE"/>
    <w:rsid w:val="00F75F8E"/>
    <w:rsid w:val="00F80AD2"/>
    <w:rsid w:val="00F81089"/>
    <w:rsid w:val="00F8244F"/>
    <w:rsid w:val="00F82510"/>
    <w:rsid w:val="00F82CD7"/>
    <w:rsid w:val="00F82F64"/>
    <w:rsid w:val="00F8457D"/>
    <w:rsid w:val="00F860BB"/>
    <w:rsid w:val="00F8667C"/>
    <w:rsid w:val="00F869AF"/>
    <w:rsid w:val="00F86BB4"/>
    <w:rsid w:val="00F87593"/>
    <w:rsid w:val="00F90315"/>
    <w:rsid w:val="00F9038B"/>
    <w:rsid w:val="00F90B81"/>
    <w:rsid w:val="00F90BD8"/>
    <w:rsid w:val="00F91121"/>
    <w:rsid w:val="00F914AE"/>
    <w:rsid w:val="00F929FA"/>
    <w:rsid w:val="00F92D6E"/>
    <w:rsid w:val="00F941C0"/>
    <w:rsid w:val="00F9438B"/>
    <w:rsid w:val="00F94984"/>
    <w:rsid w:val="00F94B38"/>
    <w:rsid w:val="00F94BEB"/>
    <w:rsid w:val="00F974D8"/>
    <w:rsid w:val="00FA0C66"/>
    <w:rsid w:val="00FA28DF"/>
    <w:rsid w:val="00FA2E8F"/>
    <w:rsid w:val="00FA2EBD"/>
    <w:rsid w:val="00FA4BC4"/>
    <w:rsid w:val="00FB0C78"/>
    <w:rsid w:val="00FB1576"/>
    <w:rsid w:val="00FB1954"/>
    <w:rsid w:val="00FB35CE"/>
    <w:rsid w:val="00FB3BA1"/>
    <w:rsid w:val="00FB3BFA"/>
    <w:rsid w:val="00FC01B8"/>
    <w:rsid w:val="00FC0510"/>
    <w:rsid w:val="00FC17AD"/>
    <w:rsid w:val="00FC1BAE"/>
    <w:rsid w:val="00FC225A"/>
    <w:rsid w:val="00FC4D04"/>
    <w:rsid w:val="00FC5394"/>
    <w:rsid w:val="00FC715C"/>
    <w:rsid w:val="00FC7A69"/>
    <w:rsid w:val="00FC7A70"/>
    <w:rsid w:val="00FD49FD"/>
    <w:rsid w:val="00FD4CE2"/>
    <w:rsid w:val="00FD7760"/>
    <w:rsid w:val="00FE0AE2"/>
    <w:rsid w:val="00FE1B10"/>
    <w:rsid w:val="00FE2555"/>
    <w:rsid w:val="00FE33AF"/>
    <w:rsid w:val="00FE3B1B"/>
    <w:rsid w:val="00FE445E"/>
    <w:rsid w:val="00FE4DF4"/>
    <w:rsid w:val="00FE5103"/>
    <w:rsid w:val="00FE69DB"/>
    <w:rsid w:val="00FF0804"/>
    <w:rsid w:val="00FF1F6D"/>
    <w:rsid w:val="00FF2F45"/>
    <w:rsid w:val="00FF443A"/>
    <w:rsid w:val="00FF4A74"/>
    <w:rsid w:val="00FF4C07"/>
    <w:rsid w:val="00FF6B85"/>
    <w:rsid w:val="00FF6CCB"/>
    <w:rsid w:val="00FF7F70"/>
    <w:rsid w:val="01544153"/>
    <w:rsid w:val="01AC2FD8"/>
    <w:rsid w:val="02045823"/>
    <w:rsid w:val="02B627CD"/>
    <w:rsid w:val="03423232"/>
    <w:rsid w:val="036859EC"/>
    <w:rsid w:val="044D7027"/>
    <w:rsid w:val="0450113F"/>
    <w:rsid w:val="046C7E5F"/>
    <w:rsid w:val="049B743A"/>
    <w:rsid w:val="05A14251"/>
    <w:rsid w:val="05F77C78"/>
    <w:rsid w:val="071D2940"/>
    <w:rsid w:val="072D4D2F"/>
    <w:rsid w:val="07B91AFB"/>
    <w:rsid w:val="07D43A92"/>
    <w:rsid w:val="089E09DF"/>
    <w:rsid w:val="08A060F3"/>
    <w:rsid w:val="09304B50"/>
    <w:rsid w:val="09726530"/>
    <w:rsid w:val="09B1110C"/>
    <w:rsid w:val="0B8213C1"/>
    <w:rsid w:val="0C7156BE"/>
    <w:rsid w:val="0CD10076"/>
    <w:rsid w:val="0CDF0070"/>
    <w:rsid w:val="0E3A4631"/>
    <w:rsid w:val="0F7F43FD"/>
    <w:rsid w:val="0FEA0D06"/>
    <w:rsid w:val="101B28E7"/>
    <w:rsid w:val="10FB4325"/>
    <w:rsid w:val="117246A3"/>
    <w:rsid w:val="11EE264C"/>
    <w:rsid w:val="12241200"/>
    <w:rsid w:val="122E6EDC"/>
    <w:rsid w:val="122E739E"/>
    <w:rsid w:val="128C0358"/>
    <w:rsid w:val="136E0CAF"/>
    <w:rsid w:val="14203A32"/>
    <w:rsid w:val="145046F1"/>
    <w:rsid w:val="1470239A"/>
    <w:rsid w:val="14FD1598"/>
    <w:rsid w:val="1587309D"/>
    <w:rsid w:val="15DC5D92"/>
    <w:rsid w:val="16575CAA"/>
    <w:rsid w:val="16C20672"/>
    <w:rsid w:val="172E75C4"/>
    <w:rsid w:val="176825E4"/>
    <w:rsid w:val="17AF353E"/>
    <w:rsid w:val="17C9293E"/>
    <w:rsid w:val="19074199"/>
    <w:rsid w:val="196F7429"/>
    <w:rsid w:val="1AAD16D5"/>
    <w:rsid w:val="1ADB3611"/>
    <w:rsid w:val="1B747704"/>
    <w:rsid w:val="1BC41AAF"/>
    <w:rsid w:val="1BEA5591"/>
    <w:rsid w:val="1C2A035E"/>
    <w:rsid w:val="1CD65C5D"/>
    <w:rsid w:val="1D0A6CCE"/>
    <w:rsid w:val="1D352C93"/>
    <w:rsid w:val="1DAF5486"/>
    <w:rsid w:val="1DC711FE"/>
    <w:rsid w:val="1E3D6448"/>
    <w:rsid w:val="1E474D4D"/>
    <w:rsid w:val="1FD47FE6"/>
    <w:rsid w:val="205D7A69"/>
    <w:rsid w:val="212A1105"/>
    <w:rsid w:val="2184698A"/>
    <w:rsid w:val="21933507"/>
    <w:rsid w:val="23A66284"/>
    <w:rsid w:val="24462454"/>
    <w:rsid w:val="246E33E8"/>
    <w:rsid w:val="24C274D8"/>
    <w:rsid w:val="2513335E"/>
    <w:rsid w:val="25694821"/>
    <w:rsid w:val="25835EFF"/>
    <w:rsid w:val="261849A4"/>
    <w:rsid w:val="26782B61"/>
    <w:rsid w:val="26D371BC"/>
    <w:rsid w:val="26D517F6"/>
    <w:rsid w:val="273B0C60"/>
    <w:rsid w:val="273D7B75"/>
    <w:rsid w:val="276827B1"/>
    <w:rsid w:val="27A57282"/>
    <w:rsid w:val="27CE7F6B"/>
    <w:rsid w:val="28A50DBC"/>
    <w:rsid w:val="28DC03F7"/>
    <w:rsid w:val="28DF46B0"/>
    <w:rsid w:val="29364503"/>
    <w:rsid w:val="29366C55"/>
    <w:rsid w:val="298D074A"/>
    <w:rsid w:val="299F70A3"/>
    <w:rsid w:val="29B608D0"/>
    <w:rsid w:val="29F6324E"/>
    <w:rsid w:val="2A134DDE"/>
    <w:rsid w:val="2A460945"/>
    <w:rsid w:val="2A715E7D"/>
    <w:rsid w:val="2A7C3754"/>
    <w:rsid w:val="2BE374D6"/>
    <w:rsid w:val="2C7E7560"/>
    <w:rsid w:val="2D2A45C8"/>
    <w:rsid w:val="2DFF6B28"/>
    <w:rsid w:val="2E0A4CA7"/>
    <w:rsid w:val="2E144BAF"/>
    <w:rsid w:val="2E1C3D67"/>
    <w:rsid w:val="2E26328B"/>
    <w:rsid w:val="2F471B57"/>
    <w:rsid w:val="30032221"/>
    <w:rsid w:val="3083795E"/>
    <w:rsid w:val="30AD6369"/>
    <w:rsid w:val="31532246"/>
    <w:rsid w:val="32606DD9"/>
    <w:rsid w:val="32CB7266"/>
    <w:rsid w:val="33497D51"/>
    <w:rsid w:val="35FB7DDC"/>
    <w:rsid w:val="368F4762"/>
    <w:rsid w:val="36BF25BF"/>
    <w:rsid w:val="37A34163"/>
    <w:rsid w:val="37DF0639"/>
    <w:rsid w:val="39C27610"/>
    <w:rsid w:val="39EC74A8"/>
    <w:rsid w:val="3A9E3BD7"/>
    <w:rsid w:val="3AA04B14"/>
    <w:rsid w:val="3B031237"/>
    <w:rsid w:val="3BF90095"/>
    <w:rsid w:val="3C340CD4"/>
    <w:rsid w:val="3C9A404C"/>
    <w:rsid w:val="3CBB33D4"/>
    <w:rsid w:val="3CD47902"/>
    <w:rsid w:val="3D157604"/>
    <w:rsid w:val="3D573571"/>
    <w:rsid w:val="3DA7291A"/>
    <w:rsid w:val="3DE526A0"/>
    <w:rsid w:val="3E4B1CB0"/>
    <w:rsid w:val="3E5C5B0E"/>
    <w:rsid w:val="3E855351"/>
    <w:rsid w:val="3F690FCD"/>
    <w:rsid w:val="3F9F5738"/>
    <w:rsid w:val="3FFB0793"/>
    <w:rsid w:val="40307062"/>
    <w:rsid w:val="40D8227D"/>
    <w:rsid w:val="41094E2D"/>
    <w:rsid w:val="42274495"/>
    <w:rsid w:val="427F7566"/>
    <w:rsid w:val="42FF769A"/>
    <w:rsid w:val="433A45C7"/>
    <w:rsid w:val="434222DF"/>
    <w:rsid w:val="43E42B27"/>
    <w:rsid w:val="440D1EF2"/>
    <w:rsid w:val="44823C05"/>
    <w:rsid w:val="44D53D34"/>
    <w:rsid w:val="458831C0"/>
    <w:rsid w:val="45D21D09"/>
    <w:rsid w:val="45E46003"/>
    <w:rsid w:val="46282E28"/>
    <w:rsid w:val="47580124"/>
    <w:rsid w:val="4880045B"/>
    <w:rsid w:val="48C95562"/>
    <w:rsid w:val="497F4054"/>
    <w:rsid w:val="49A47292"/>
    <w:rsid w:val="49DC1A6E"/>
    <w:rsid w:val="4B956E05"/>
    <w:rsid w:val="4B9E40F4"/>
    <w:rsid w:val="4CE538BC"/>
    <w:rsid w:val="4D802E05"/>
    <w:rsid w:val="4DDE0F85"/>
    <w:rsid w:val="4E84140A"/>
    <w:rsid w:val="4EBE1CDD"/>
    <w:rsid w:val="4EDF27F9"/>
    <w:rsid w:val="4F30258E"/>
    <w:rsid w:val="4FA34B34"/>
    <w:rsid w:val="50BF353A"/>
    <w:rsid w:val="50F43BC6"/>
    <w:rsid w:val="50F6750C"/>
    <w:rsid w:val="527C0464"/>
    <w:rsid w:val="52BA7964"/>
    <w:rsid w:val="52DC0BDE"/>
    <w:rsid w:val="530F7478"/>
    <w:rsid w:val="53E64F42"/>
    <w:rsid w:val="540A0A49"/>
    <w:rsid w:val="54E14F96"/>
    <w:rsid w:val="55AF6B34"/>
    <w:rsid w:val="55BD4321"/>
    <w:rsid w:val="55F41085"/>
    <w:rsid w:val="56595C4C"/>
    <w:rsid w:val="57EC576D"/>
    <w:rsid w:val="58781D96"/>
    <w:rsid w:val="587D515A"/>
    <w:rsid w:val="58BD0A48"/>
    <w:rsid w:val="598918A5"/>
    <w:rsid w:val="5992632E"/>
    <w:rsid w:val="5A0A04CC"/>
    <w:rsid w:val="5A570960"/>
    <w:rsid w:val="5AD442C5"/>
    <w:rsid w:val="5BA6155E"/>
    <w:rsid w:val="5BC87CF7"/>
    <w:rsid w:val="5C532D3A"/>
    <w:rsid w:val="5DEC0CDE"/>
    <w:rsid w:val="5E530E11"/>
    <w:rsid w:val="5EED551D"/>
    <w:rsid w:val="5EFD79A7"/>
    <w:rsid w:val="5F599C12"/>
    <w:rsid w:val="5FA907B0"/>
    <w:rsid w:val="5FDB09FF"/>
    <w:rsid w:val="604D6993"/>
    <w:rsid w:val="60EA5995"/>
    <w:rsid w:val="610268A6"/>
    <w:rsid w:val="61771494"/>
    <w:rsid w:val="61871686"/>
    <w:rsid w:val="61A46B11"/>
    <w:rsid w:val="62BE47EE"/>
    <w:rsid w:val="62C854DF"/>
    <w:rsid w:val="62E775FD"/>
    <w:rsid w:val="62F615EE"/>
    <w:rsid w:val="64131C40"/>
    <w:rsid w:val="643453A8"/>
    <w:rsid w:val="652E6D08"/>
    <w:rsid w:val="65371303"/>
    <w:rsid w:val="6551165C"/>
    <w:rsid w:val="656968B3"/>
    <w:rsid w:val="65973353"/>
    <w:rsid w:val="663F505A"/>
    <w:rsid w:val="670B7E79"/>
    <w:rsid w:val="67254250"/>
    <w:rsid w:val="68592C4A"/>
    <w:rsid w:val="68DD6173"/>
    <w:rsid w:val="697C6623"/>
    <w:rsid w:val="6A210198"/>
    <w:rsid w:val="6A8D1284"/>
    <w:rsid w:val="6A94183C"/>
    <w:rsid w:val="6AE9F601"/>
    <w:rsid w:val="6B37171D"/>
    <w:rsid w:val="6BBC7640"/>
    <w:rsid w:val="6CBA0F3F"/>
    <w:rsid w:val="6CD234C9"/>
    <w:rsid w:val="6D1F3697"/>
    <w:rsid w:val="6D21370B"/>
    <w:rsid w:val="6D263BC7"/>
    <w:rsid w:val="6D4E3543"/>
    <w:rsid w:val="6DD53296"/>
    <w:rsid w:val="6DE86A7F"/>
    <w:rsid w:val="6E3D1FBC"/>
    <w:rsid w:val="6EDE176C"/>
    <w:rsid w:val="6F11585C"/>
    <w:rsid w:val="6F2FD018"/>
    <w:rsid w:val="70221319"/>
    <w:rsid w:val="70C71D41"/>
    <w:rsid w:val="71762D8E"/>
    <w:rsid w:val="71B8597C"/>
    <w:rsid w:val="71BC7EA6"/>
    <w:rsid w:val="72175B12"/>
    <w:rsid w:val="72306158"/>
    <w:rsid w:val="73267CCD"/>
    <w:rsid w:val="7351583B"/>
    <w:rsid w:val="73AC2138"/>
    <w:rsid w:val="73BE15F4"/>
    <w:rsid w:val="73D6271F"/>
    <w:rsid w:val="74113530"/>
    <w:rsid w:val="74237469"/>
    <w:rsid w:val="744D33A2"/>
    <w:rsid w:val="74C82F77"/>
    <w:rsid w:val="74FF4332"/>
    <w:rsid w:val="75004578"/>
    <w:rsid w:val="750F03AE"/>
    <w:rsid w:val="751A5305"/>
    <w:rsid w:val="752B3379"/>
    <w:rsid w:val="75C07B2A"/>
    <w:rsid w:val="75C42647"/>
    <w:rsid w:val="77F85253"/>
    <w:rsid w:val="781E0018"/>
    <w:rsid w:val="78853310"/>
    <w:rsid w:val="793D203B"/>
    <w:rsid w:val="796750C2"/>
    <w:rsid w:val="79AC25AE"/>
    <w:rsid w:val="7A3710B1"/>
    <w:rsid w:val="7A4D603C"/>
    <w:rsid w:val="7A5D4015"/>
    <w:rsid w:val="7B480C1D"/>
    <w:rsid w:val="7B5F4C7C"/>
    <w:rsid w:val="7BCA733B"/>
    <w:rsid w:val="7BEA19EE"/>
    <w:rsid w:val="7BF857EB"/>
    <w:rsid w:val="7BFB1D42"/>
    <w:rsid w:val="7C403C14"/>
    <w:rsid w:val="7D515C94"/>
    <w:rsid w:val="7D9A79BD"/>
    <w:rsid w:val="7E23750D"/>
    <w:rsid w:val="7EB90507"/>
    <w:rsid w:val="7ECD724F"/>
    <w:rsid w:val="7EE57742"/>
    <w:rsid w:val="7FAE0325"/>
    <w:rsid w:val="7FAE3EEC"/>
    <w:rsid w:val="7FBF5C9D"/>
    <w:rsid w:val="7FDE2701"/>
    <w:rsid w:val="7FE7D059"/>
    <w:rsid w:val="7FFF5959"/>
    <w:rsid w:val="DFFF1138"/>
    <w:rsid w:val="FAFDE292"/>
    <w:rsid w:val="FB4BA15D"/>
    <w:rsid w:val="FEEB930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ocked="1"/>
    <w:lsdException w:uiPriority="99" w:name="index 2" w:locked="1"/>
    <w:lsdException w:uiPriority="99" w:name="index 3" w:locked="1"/>
    <w:lsdException w:qFormat="1" w:unhideWhenUsed="0" w:uiPriority="99" w:semiHidden="0"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nhideWhenUsed="0" w:uiPriority="99" w:name="toa heading"/>
    <w:lsdException w:qFormat="1" w:unhideWhenUsed="0" w:uiPriority="99" w:semiHidden="0" w:name="List" w:locked="1"/>
    <w:lsdException w:uiPriority="99" w:name="List Bullet" w:locked="1"/>
    <w:lsdException w:qFormat="1" w:unhideWhenUsed="0" w:uiPriority="0" w:semiHidden="0"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ocked="1"/>
    <w:lsdException w:qFormat="1" w:unhideWhenUsed="0" w:uiPriority="0" w:semiHidden="0" w:name="Body Text 2"/>
    <w:lsdException w:uiPriority="99" w:name="Body Text 3" w:locked="1"/>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qFormat="1" w:unhideWhenUsed="0" w:uiPriority="99" w:semiHidden="0" w:name="HTML Typewriter"/>
    <w:lsdException w:uiPriority="99" w:name="HTML Variable" w:locked="1"/>
    <w:lsdException w:qFormat="1" w:uiPriority="99" w:name="Normal Table"/>
    <w:lsdException w:qFormat="1"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59"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49"/>
    <w:qFormat/>
    <w:uiPriority w:val="9"/>
    <w:pPr>
      <w:keepNext/>
      <w:keepLines/>
      <w:spacing w:beforeLines="100" w:afterLines="100" w:line="400" w:lineRule="exact"/>
      <w:jc w:val="center"/>
      <w:outlineLvl w:val="0"/>
    </w:pPr>
    <w:rPr>
      <w:b/>
      <w:bCs/>
      <w:kern w:val="44"/>
      <w:sz w:val="44"/>
      <w:szCs w:val="44"/>
    </w:rPr>
  </w:style>
  <w:style w:type="paragraph" w:styleId="2">
    <w:name w:val="heading 2"/>
    <w:basedOn w:val="1"/>
    <w:next w:val="1"/>
    <w:link w:val="50"/>
    <w:qFormat/>
    <w:uiPriority w:val="0"/>
    <w:pPr>
      <w:keepNext/>
      <w:jc w:val="center"/>
      <w:outlineLvl w:val="1"/>
    </w:pPr>
    <w:rPr>
      <w:rFonts w:ascii="Cambria" w:hAnsi="Cambria" w:cs="Cambria"/>
      <w:b/>
      <w:bCs/>
      <w:sz w:val="30"/>
      <w:szCs w:val="30"/>
    </w:rPr>
  </w:style>
  <w:style w:type="paragraph" w:styleId="4">
    <w:name w:val="heading 3"/>
    <w:basedOn w:val="1"/>
    <w:next w:val="5"/>
    <w:link w:val="51"/>
    <w:qFormat/>
    <w:uiPriority w:val="9"/>
    <w:pPr>
      <w:keepNext/>
      <w:tabs>
        <w:tab w:val="left" w:pos="720"/>
      </w:tabs>
      <w:spacing w:line="240" w:lineRule="atLeast"/>
      <w:ind w:left="720" w:hanging="720"/>
      <w:jc w:val="center"/>
      <w:outlineLvl w:val="2"/>
    </w:pPr>
    <w:rPr>
      <w:b/>
      <w:bCs/>
      <w:kern w:val="0"/>
      <w:sz w:val="32"/>
      <w:szCs w:val="32"/>
    </w:rPr>
  </w:style>
  <w:style w:type="paragraph" w:styleId="5">
    <w:name w:val="heading 4"/>
    <w:basedOn w:val="1"/>
    <w:next w:val="6"/>
    <w:link w:val="52"/>
    <w:qFormat/>
    <w:uiPriority w:val="9"/>
    <w:pPr>
      <w:keepNext/>
      <w:keepLines/>
      <w:spacing w:before="280" w:after="290" w:line="374" w:lineRule="auto"/>
      <w:outlineLvl w:val="3"/>
    </w:pPr>
    <w:rPr>
      <w:rFonts w:ascii="Cambria" w:hAnsi="Cambria" w:cs="Cambria"/>
      <w:b/>
      <w:bCs/>
      <w:kern w:val="0"/>
      <w:sz w:val="28"/>
      <w:szCs w:val="28"/>
    </w:rPr>
  </w:style>
  <w:style w:type="paragraph" w:styleId="6">
    <w:name w:val="heading 5"/>
    <w:basedOn w:val="1"/>
    <w:next w:val="1"/>
    <w:link w:val="53"/>
    <w:qFormat/>
    <w:uiPriority w:val="9"/>
    <w:pPr>
      <w:keepNext/>
      <w:keepLines/>
      <w:spacing w:line="372" w:lineRule="auto"/>
      <w:ind w:left="1008" w:hanging="1008"/>
      <w:outlineLvl w:val="4"/>
    </w:pPr>
    <w:rPr>
      <w:rFonts w:ascii="Calibri" w:hAnsi="Calibri" w:cs="Calibri"/>
      <w:b/>
      <w:bCs/>
      <w:sz w:val="28"/>
      <w:szCs w:val="28"/>
    </w:rPr>
  </w:style>
  <w:style w:type="paragraph" w:styleId="7">
    <w:name w:val="heading 6"/>
    <w:basedOn w:val="1"/>
    <w:next w:val="1"/>
    <w:link w:val="54"/>
    <w:qFormat/>
    <w:uiPriority w:val="9"/>
    <w:pPr>
      <w:keepNext/>
      <w:keepLines/>
      <w:spacing w:line="317" w:lineRule="auto"/>
      <w:ind w:left="1151" w:hanging="1151"/>
      <w:outlineLvl w:val="5"/>
    </w:pPr>
    <w:rPr>
      <w:rFonts w:ascii="Arial" w:hAnsi="Arial" w:eastAsia="黑体" w:cs="Arial"/>
      <w:b/>
      <w:bCs/>
      <w:sz w:val="24"/>
      <w:szCs w:val="24"/>
    </w:rPr>
  </w:style>
  <w:style w:type="paragraph" w:styleId="8">
    <w:name w:val="heading 7"/>
    <w:basedOn w:val="1"/>
    <w:next w:val="1"/>
    <w:link w:val="55"/>
    <w:qFormat/>
    <w:uiPriority w:val="9"/>
    <w:pPr>
      <w:keepNext/>
      <w:keepLines/>
      <w:spacing w:line="317" w:lineRule="auto"/>
      <w:ind w:left="1296" w:hanging="1296"/>
      <w:outlineLvl w:val="6"/>
    </w:pPr>
    <w:rPr>
      <w:rFonts w:ascii="Calibri" w:hAnsi="Calibri" w:cs="Calibri"/>
      <w:b/>
      <w:bCs/>
      <w:sz w:val="24"/>
      <w:szCs w:val="24"/>
    </w:rPr>
  </w:style>
  <w:style w:type="paragraph" w:styleId="9">
    <w:name w:val="heading 8"/>
    <w:basedOn w:val="1"/>
    <w:next w:val="1"/>
    <w:link w:val="56"/>
    <w:qFormat/>
    <w:uiPriority w:val="9"/>
    <w:pPr>
      <w:keepNext/>
      <w:keepLines/>
      <w:spacing w:line="317" w:lineRule="auto"/>
      <w:ind w:left="1440" w:hanging="1440"/>
      <w:outlineLvl w:val="7"/>
    </w:pPr>
    <w:rPr>
      <w:rFonts w:ascii="Arial" w:hAnsi="Arial" w:eastAsia="黑体" w:cs="Arial"/>
      <w:sz w:val="24"/>
      <w:szCs w:val="24"/>
    </w:rPr>
  </w:style>
  <w:style w:type="paragraph" w:styleId="10">
    <w:name w:val="heading 9"/>
    <w:basedOn w:val="1"/>
    <w:next w:val="1"/>
    <w:link w:val="57"/>
    <w:qFormat/>
    <w:uiPriority w:val="9"/>
    <w:pPr>
      <w:keepNext/>
      <w:keepLines/>
      <w:spacing w:line="317" w:lineRule="auto"/>
      <w:ind w:left="1583" w:hanging="1583"/>
      <w:outlineLvl w:val="8"/>
    </w:pPr>
    <w:rPr>
      <w:rFonts w:ascii="Arial" w:hAnsi="Arial" w:eastAsia="黑体" w:cs="Arial"/>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List Number"/>
    <w:basedOn w:val="1"/>
    <w:qFormat/>
    <w:locked/>
    <w:uiPriority w:val="0"/>
    <w:pPr>
      <w:widowControl/>
      <w:tabs>
        <w:tab w:val="left" w:pos="390"/>
        <w:tab w:val="left" w:pos="454"/>
      </w:tabs>
      <w:spacing w:afterLines="50"/>
      <w:ind w:left="454" w:hanging="284"/>
      <w:jc w:val="left"/>
    </w:pPr>
    <w:rPr>
      <w:kern w:val="0"/>
      <w:sz w:val="24"/>
      <w:szCs w:val="20"/>
    </w:rPr>
  </w:style>
  <w:style w:type="paragraph" w:styleId="12">
    <w:name w:val="Normal Indent"/>
    <w:basedOn w:val="1"/>
    <w:link w:val="79"/>
    <w:qFormat/>
    <w:uiPriority w:val="0"/>
    <w:pPr>
      <w:widowControl/>
      <w:adjustRightInd w:val="0"/>
      <w:snapToGrid w:val="0"/>
      <w:spacing w:line="480" w:lineRule="exact"/>
      <w:ind w:firstLine="567"/>
    </w:pPr>
    <w:rPr>
      <w:rFonts w:ascii="宋体" w:cs="宋体"/>
      <w:color w:val="000000"/>
      <w:kern w:val="28"/>
      <w:sz w:val="28"/>
      <w:szCs w:val="28"/>
    </w:rPr>
  </w:style>
  <w:style w:type="paragraph" w:styleId="13">
    <w:name w:val="caption"/>
    <w:basedOn w:val="1"/>
    <w:next w:val="1"/>
    <w:qFormat/>
    <w:uiPriority w:val="0"/>
    <w:rPr>
      <w:rFonts w:ascii="Arial" w:hAnsi="Arial" w:eastAsia="黑体"/>
      <w:sz w:val="20"/>
    </w:rPr>
  </w:style>
  <w:style w:type="paragraph" w:styleId="14">
    <w:name w:val="Document Map"/>
    <w:basedOn w:val="1"/>
    <w:link w:val="58"/>
    <w:qFormat/>
    <w:uiPriority w:val="0"/>
    <w:pPr>
      <w:shd w:val="clear" w:color="auto" w:fill="000080"/>
    </w:pPr>
    <w:rPr>
      <w:kern w:val="0"/>
      <w:sz w:val="2"/>
      <w:szCs w:val="2"/>
    </w:rPr>
  </w:style>
  <w:style w:type="paragraph" w:styleId="15">
    <w:name w:val="toa heading"/>
    <w:basedOn w:val="1"/>
    <w:next w:val="1"/>
    <w:semiHidden/>
    <w:qFormat/>
    <w:uiPriority w:val="99"/>
    <w:pPr>
      <w:spacing w:before="120"/>
    </w:pPr>
    <w:rPr>
      <w:rFonts w:ascii="Arial" w:hAnsi="Arial" w:cs="Arial"/>
      <w:sz w:val="24"/>
      <w:szCs w:val="24"/>
    </w:rPr>
  </w:style>
  <w:style w:type="paragraph" w:styleId="16">
    <w:name w:val="annotation text"/>
    <w:basedOn w:val="1"/>
    <w:link w:val="59"/>
    <w:qFormat/>
    <w:uiPriority w:val="99"/>
    <w:pPr>
      <w:jc w:val="left"/>
    </w:pPr>
  </w:style>
  <w:style w:type="paragraph" w:styleId="17">
    <w:name w:val="Body Text"/>
    <w:basedOn w:val="1"/>
    <w:next w:val="1"/>
    <w:link w:val="60"/>
    <w:qFormat/>
    <w:uiPriority w:val="0"/>
    <w:rPr>
      <w:b/>
      <w:kern w:val="0"/>
      <w:sz w:val="20"/>
      <w:szCs w:val="20"/>
    </w:rPr>
  </w:style>
  <w:style w:type="paragraph" w:styleId="18">
    <w:name w:val="Body Text Indent"/>
    <w:basedOn w:val="1"/>
    <w:next w:val="1"/>
    <w:link w:val="61"/>
    <w:qFormat/>
    <w:uiPriority w:val="0"/>
    <w:pPr>
      <w:spacing w:line="380" w:lineRule="exact"/>
      <w:ind w:firstLine="480"/>
    </w:pPr>
    <w:rPr>
      <w:kern w:val="0"/>
      <w:sz w:val="20"/>
      <w:szCs w:val="20"/>
    </w:rPr>
  </w:style>
  <w:style w:type="paragraph" w:styleId="19">
    <w:name w:val="Block Text"/>
    <w:basedOn w:val="1"/>
    <w:qFormat/>
    <w:uiPriority w:val="0"/>
    <w:pPr>
      <w:adjustRightInd w:val="0"/>
      <w:snapToGrid w:val="0"/>
      <w:spacing w:line="360" w:lineRule="auto"/>
      <w:ind w:left="567" w:leftChars="270" w:right="-315" w:rightChars="-150" w:firstLine="480" w:firstLineChars="200"/>
    </w:pPr>
    <w:rPr>
      <w:rFonts w:ascii="宋体" w:cs="宋体"/>
      <w:sz w:val="24"/>
      <w:szCs w:val="24"/>
    </w:rPr>
  </w:style>
  <w:style w:type="paragraph" w:styleId="20">
    <w:name w:val="index 4"/>
    <w:basedOn w:val="1"/>
    <w:next w:val="1"/>
    <w:qFormat/>
    <w:locked/>
    <w:uiPriority w:val="99"/>
    <w:pPr>
      <w:widowControl/>
      <w:spacing w:line="480" w:lineRule="atLeast"/>
      <w:ind w:left="600" w:leftChars="600" w:firstLine="113"/>
    </w:pPr>
    <w:rPr>
      <w:sz w:val="28"/>
      <w:szCs w:val="22"/>
    </w:rPr>
  </w:style>
  <w:style w:type="paragraph" w:styleId="21">
    <w:name w:val="toc 3"/>
    <w:basedOn w:val="1"/>
    <w:next w:val="1"/>
    <w:qFormat/>
    <w:uiPriority w:val="39"/>
    <w:pPr>
      <w:ind w:left="840" w:leftChars="400"/>
    </w:pPr>
  </w:style>
  <w:style w:type="paragraph" w:styleId="22">
    <w:name w:val="Plain Text"/>
    <w:basedOn w:val="1"/>
    <w:link w:val="62"/>
    <w:qFormat/>
    <w:uiPriority w:val="0"/>
    <w:rPr>
      <w:rFonts w:ascii="宋体" w:hAnsi="Courier New" w:cs="宋体"/>
      <w:kern w:val="0"/>
    </w:rPr>
  </w:style>
  <w:style w:type="paragraph" w:styleId="23">
    <w:name w:val="Date"/>
    <w:basedOn w:val="1"/>
    <w:next w:val="1"/>
    <w:link w:val="63"/>
    <w:qFormat/>
    <w:uiPriority w:val="0"/>
    <w:rPr>
      <w:sz w:val="28"/>
      <w:szCs w:val="28"/>
    </w:rPr>
  </w:style>
  <w:style w:type="paragraph" w:styleId="24">
    <w:name w:val="Body Text Indent 2"/>
    <w:basedOn w:val="1"/>
    <w:link w:val="64"/>
    <w:qFormat/>
    <w:uiPriority w:val="0"/>
    <w:pPr>
      <w:tabs>
        <w:tab w:val="left" w:pos="240"/>
        <w:tab w:val="left" w:pos="480"/>
      </w:tabs>
      <w:ind w:left="630" w:leftChars="300"/>
    </w:pPr>
    <w:rPr>
      <w:kern w:val="0"/>
      <w:sz w:val="20"/>
      <w:szCs w:val="20"/>
    </w:rPr>
  </w:style>
  <w:style w:type="paragraph" w:styleId="25">
    <w:name w:val="Balloon Text"/>
    <w:basedOn w:val="1"/>
    <w:link w:val="65"/>
    <w:qFormat/>
    <w:uiPriority w:val="0"/>
    <w:rPr>
      <w:sz w:val="18"/>
      <w:szCs w:val="18"/>
    </w:rPr>
  </w:style>
  <w:style w:type="paragraph" w:styleId="26">
    <w:name w:val="footer"/>
    <w:basedOn w:val="1"/>
    <w:link w:val="66"/>
    <w:qFormat/>
    <w:uiPriority w:val="99"/>
    <w:pPr>
      <w:tabs>
        <w:tab w:val="center" w:pos="4153"/>
        <w:tab w:val="right" w:pos="8306"/>
      </w:tabs>
      <w:snapToGrid w:val="0"/>
      <w:jc w:val="left"/>
    </w:pPr>
    <w:rPr>
      <w:kern w:val="0"/>
      <w:sz w:val="18"/>
      <w:szCs w:val="18"/>
    </w:rPr>
  </w:style>
  <w:style w:type="paragraph" w:styleId="27">
    <w:name w:val="header"/>
    <w:basedOn w:val="1"/>
    <w:link w:val="67"/>
    <w:qFormat/>
    <w:uiPriority w:val="99"/>
    <w:pPr>
      <w:pBdr>
        <w:bottom w:val="single" w:color="auto" w:sz="6" w:space="1"/>
      </w:pBdr>
      <w:tabs>
        <w:tab w:val="center" w:pos="4153"/>
        <w:tab w:val="right" w:pos="8306"/>
      </w:tabs>
      <w:snapToGrid w:val="0"/>
      <w:jc w:val="center"/>
    </w:pPr>
    <w:rPr>
      <w:kern w:val="0"/>
      <w:sz w:val="18"/>
      <w:szCs w:val="18"/>
    </w:rPr>
  </w:style>
  <w:style w:type="paragraph" w:styleId="28">
    <w:name w:val="toc 1"/>
    <w:basedOn w:val="1"/>
    <w:next w:val="1"/>
    <w:qFormat/>
    <w:uiPriority w:val="39"/>
    <w:rPr>
      <w:sz w:val="24"/>
      <w:szCs w:val="24"/>
    </w:rPr>
  </w:style>
  <w:style w:type="paragraph" w:styleId="29">
    <w:name w:val="List"/>
    <w:basedOn w:val="1"/>
    <w:qFormat/>
    <w:locked/>
    <w:uiPriority w:val="99"/>
    <w:pPr>
      <w:ind w:left="200" w:hanging="200" w:hangingChars="200"/>
    </w:pPr>
    <w:rPr>
      <w:rFonts w:ascii="Times New Roman" w:hAnsi="Times New Roman"/>
      <w:szCs w:val="24"/>
    </w:rPr>
  </w:style>
  <w:style w:type="paragraph" w:styleId="30">
    <w:name w:val="toc 6"/>
    <w:basedOn w:val="1"/>
    <w:next w:val="1"/>
    <w:qFormat/>
    <w:uiPriority w:val="0"/>
    <w:pPr>
      <w:ind w:left="1700"/>
    </w:pPr>
    <w:rPr>
      <w:sz w:val="18"/>
    </w:rPr>
  </w:style>
  <w:style w:type="paragraph" w:styleId="31">
    <w:name w:val="Body Text Indent 3"/>
    <w:basedOn w:val="1"/>
    <w:link w:val="68"/>
    <w:qFormat/>
    <w:uiPriority w:val="0"/>
    <w:pPr>
      <w:spacing w:after="120"/>
      <w:ind w:left="420" w:leftChars="200"/>
    </w:pPr>
    <w:rPr>
      <w:sz w:val="16"/>
      <w:szCs w:val="16"/>
    </w:rPr>
  </w:style>
  <w:style w:type="paragraph" w:styleId="32">
    <w:name w:val="toc 2"/>
    <w:basedOn w:val="1"/>
    <w:next w:val="1"/>
    <w:qFormat/>
    <w:uiPriority w:val="39"/>
    <w:pPr>
      <w:ind w:left="420" w:leftChars="200"/>
    </w:pPr>
  </w:style>
  <w:style w:type="paragraph" w:styleId="33">
    <w:name w:val="Body Text 2"/>
    <w:basedOn w:val="1"/>
    <w:link w:val="69"/>
    <w:qFormat/>
    <w:uiPriority w:val="0"/>
    <w:pPr>
      <w:spacing w:after="120" w:line="480" w:lineRule="auto"/>
    </w:pPr>
    <w:rPr>
      <w:kern w:val="0"/>
      <w:sz w:val="20"/>
      <w:szCs w:val="20"/>
    </w:rPr>
  </w:style>
  <w:style w:type="paragraph" w:styleId="34">
    <w:name w:val="Normal (Web)"/>
    <w:basedOn w:val="1"/>
    <w:qFormat/>
    <w:uiPriority w:val="99"/>
    <w:pPr>
      <w:widowControl/>
      <w:spacing w:before="100" w:beforeAutospacing="1" w:after="100" w:afterAutospacing="1"/>
      <w:jc w:val="left"/>
    </w:pPr>
    <w:rPr>
      <w:rFonts w:ascii="Arial Unicode MS" w:hAnsi="Arial Unicode MS" w:cs="Arial Unicode MS"/>
      <w:kern w:val="0"/>
      <w:sz w:val="24"/>
      <w:szCs w:val="24"/>
    </w:rPr>
  </w:style>
  <w:style w:type="paragraph" w:styleId="35">
    <w:name w:val="annotation subject"/>
    <w:basedOn w:val="16"/>
    <w:next w:val="16"/>
    <w:link w:val="70"/>
    <w:qFormat/>
    <w:uiPriority w:val="0"/>
    <w:rPr>
      <w:b/>
      <w:bCs/>
    </w:rPr>
  </w:style>
  <w:style w:type="paragraph" w:styleId="36">
    <w:name w:val="Body Text First Indent"/>
    <w:basedOn w:val="17"/>
    <w:next w:val="1"/>
    <w:link w:val="71"/>
    <w:qFormat/>
    <w:uiPriority w:val="99"/>
    <w:pPr>
      <w:spacing w:after="120"/>
      <w:ind w:firstLine="420" w:firstLineChars="100"/>
    </w:pPr>
    <w:rPr>
      <w:kern w:val="2"/>
      <w:sz w:val="21"/>
      <w:szCs w:val="21"/>
    </w:rPr>
  </w:style>
  <w:style w:type="paragraph" w:styleId="37">
    <w:name w:val="Body Text First Indent 2"/>
    <w:basedOn w:val="18"/>
    <w:next w:val="1"/>
    <w:link w:val="72"/>
    <w:qFormat/>
    <w:uiPriority w:val="0"/>
    <w:pPr>
      <w:widowControl/>
      <w:tabs>
        <w:tab w:val="left" w:pos="0"/>
        <w:tab w:val="left" w:pos="1260"/>
        <w:tab w:val="left" w:pos="1365"/>
      </w:tabs>
      <w:ind w:left="200" w:firstLine="200" w:firstLineChars="200"/>
      <w:jc w:val="left"/>
    </w:pPr>
  </w:style>
  <w:style w:type="table" w:styleId="39">
    <w:name w:val="Table Grid"/>
    <w:basedOn w:val="38"/>
    <w:qFormat/>
    <w:uiPriority w:val="5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1">
    <w:name w:val="Strong"/>
    <w:basedOn w:val="40"/>
    <w:qFormat/>
    <w:uiPriority w:val="0"/>
    <w:rPr>
      <w:b/>
      <w:bCs/>
    </w:rPr>
  </w:style>
  <w:style w:type="character" w:styleId="42">
    <w:name w:val="page number"/>
    <w:basedOn w:val="40"/>
    <w:qFormat/>
    <w:uiPriority w:val="0"/>
  </w:style>
  <w:style w:type="character" w:styleId="43">
    <w:name w:val="FollowedHyperlink"/>
    <w:basedOn w:val="40"/>
    <w:qFormat/>
    <w:uiPriority w:val="99"/>
    <w:rPr>
      <w:color w:val="800080"/>
      <w:u w:val="single"/>
    </w:rPr>
  </w:style>
  <w:style w:type="character" w:styleId="44">
    <w:name w:val="HTML Typewriter"/>
    <w:basedOn w:val="40"/>
    <w:qFormat/>
    <w:uiPriority w:val="99"/>
    <w:rPr>
      <w:rFonts w:ascii="Courier New" w:hAnsi="Courier New" w:cs="Courier New"/>
      <w:sz w:val="20"/>
      <w:szCs w:val="20"/>
    </w:rPr>
  </w:style>
  <w:style w:type="character" w:styleId="45">
    <w:name w:val="Hyperlink"/>
    <w:basedOn w:val="40"/>
    <w:qFormat/>
    <w:uiPriority w:val="99"/>
    <w:rPr>
      <w:color w:val="0000FF"/>
      <w:u w:val="single"/>
    </w:rPr>
  </w:style>
  <w:style w:type="character" w:styleId="46">
    <w:name w:val="annotation reference"/>
    <w:basedOn w:val="40"/>
    <w:qFormat/>
    <w:uiPriority w:val="0"/>
    <w:rPr>
      <w:sz w:val="21"/>
      <w:szCs w:val="21"/>
    </w:rPr>
  </w:style>
  <w:style w:type="paragraph" w:styleId="47">
    <w:name w:val="List Paragraph"/>
    <w:basedOn w:val="1"/>
    <w:qFormat/>
    <w:uiPriority w:val="34"/>
    <w:pPr>
      <w:ind w:firstLine="420" w:firstLineChars="200"/>
    </w:pPr>
  </w:style>
  <w:style w:type="paragraph" w:customStyle="1" w:styleId="48">
    <w:name w:val="自动更正"/>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49">
    <w:name w:val="标题 1 Char"/>
    <w:basedOn w:val="40"/>
    <w:link w:val="3"/>
    <w:qFormat/>
    <w:locked/>
    <w:uiPriority w:val="0"/>
    <w:rPr>
      <w:b/>
      <w:bCs/>
      <w:kern w:val="44"/>
      <w:sz w:val="44"/>
      <w:szCs w:val="44"/>
    </w:rPr>
  </w:style>
  <w:style w:type="character" w:customStyle="1" w:styleId="50">
    <w:name w:val="标题 2 Char"/>
    <w:basedOn w:val="40"/>
    <w:link w:val="2"/>
    <w:qFormat/>
    <w:locked/>
    <w:uiPriority w:val="0"/>
    <w:rPr>
      <w:rFonts w:ascii="Cambria" w:hAnsi="Cambria" w:cs="Cambria"/>
      <w:b/>
      <w:bCs/>
      <w:kern w:val="2"/>
      <w:sz w:val="32"/>
      <w:szCs w:val="32"/>
    </w:rPr>
  </w:style>
  <w:style w:type="character" w:customStyle="1" w:styleId="51">
    <w:name w:val="标题 3 Char"/>
    <w:basedOn w:val="40"/>
    <w:link w:val="4"/>
    <w:qFormat/>
    <w:locked/>
    <w:uiPriority w:val="0"/>
    <w:rPr>
      <w:b/>
      <w:bCs/>
      <w:sz w:val="32"/>
      <w:szCs w:val="32"/>
    </w:rPr>
  </w:style>
  <w:style w:type="character" w:customStyle="1" w:styleId="52">
    <w:name w:val="标题 4 Char"/>
    <w:basedOn w:val="40"/>
    <w:link w:val="5"/>
    <w:qFormat/>
    <w:locked/>
    <w:uiPriority w:val="0"/>
    <w:rPr>
      <w:rFonts w:ascii="Cambria" w:hAnsi="Cambria" w:eastAsia="宋体" w:cs="Cambria"/>
      <w:b/>
      <w:bCs/>
      <w:sz w:val="28"/>
      <w:szCs w:val="28"/>
    </w:rPr>
  </w:style>
  <w:style w:type="character" w:customStyle="1" w:styleId="53">
    <w:name w:val="标题 5 Char"/>
    <w:basedOn w:val="40"/>
    <w:link w:val="6"/>
    <w:semiHidden/>
    <w:qFormat/>
    <w:locked/>
    <w:uiPriority w:val="9"/>
    <w:rPr>
      <w:rFonts w:ascii="Calibri" w:hAnsi="Calibri" w:eastAsia="宋体" w:cs="Calibri"/>
      <w:b/>
      <w:bCs/>
      <w:kern w:val="2"/>
      <w:sz w:val="22"/>
      <w:szCs w:val="22"/>
    </w:rPr>
  </w:style>
  <w:style w:type="character" w:customStyle="1" w:styleId="54">
    <w:name w:val="标题 6 Char"/>
    <w:basedOn w:val="40"/>
    <w:link w:val="7"/>
    <w:semiHidden/>
    <w:qFormat/>
    <w:locked/>
    <w:uiPriority w:val="9"/>
    <w:rPr>
      <w:rFonts w:ascii="Arial" w:hAnsi="Arial" w:eastAsia="黑体" w:cs="Arial"/>
      <w:b/>
      <w:bCs/>
      <w:kern w:val="2"/>
      <w:sz w:val="22"/>
      <w:szCs w:val="22"/>
    </w:rPr>
  </w:style>
  <w:style w:type="character" w:customStyle="1" w:styleId="55">
    <w:name w:val="标题 7 Char"/>
    <w:basedOn w:val="40"/>
    <w:link w:val="8"/>
    <w:semiHidden/>
    <w:qFormat/>
    <w:locked/>
    <w:uiPriority w:val="9"/>
    <w:rPr>
      <w:rFonts w:ascii="Calibri" w:hAnsi="Calibri" w:eastAsia="宋体" w:cs="Calibri"/>
      <w:b/>
      <w:bCs/>
      <w:kern w:val="2"/>
      <w:sz w:val="22"/>
      <w:szCs w:val="22"/>
    </w:rPr>
  </w:style>
  <w:style w:type="character" w:customStyle="1" w:styleId="56">
    <w:name w:val="标题 8 Char"/>
    <w:basedOn w:val="40"/>
    <w:link w:val="9"/>
    <w:semiHidden/>
    <w:qFormat/>
    <w:locked/>
    <w:uiPriority w:val="9"/>
    <w:rPr>
      <w:rFonts w:ascii="Arial" w:hAnsi="Arial" w:eastAsia="黑体" w:cs="Arial"/>
      <w:kern w:val="2"/>
      <w:sz w:val="22"/>
      <w:szCs w:val="22"/>
    </w:rPr>
  </w:style>
  <w:style w:type="character" w:customStyle="1" w:styleId="57">
    <w:name w:val="标题 9 Char"/>
    <w:basedOn w:val="40"/>
    <w:link w:val="10"/>
    <w:semiHidden/>
    <w:qFormat/>
    <w:locked/>
    <w:uiPriority w:val="9"/>
    <w:rPr>
      <w:rFonts w:ascii="Arial" w:hAnsi="Arial" w:eastAsia="黑体" w:cs="Arial"/>
      <w:kern w:val="2"/>
      <w:sz w:val="22"/>
      <w:szCs w:val="22"/>
    </w:rPr>
  </w:style>
  <w:style w:type="character" w:customStyle="1" w:styleId="58">
    <w:name w:val="文档结构图 Char"/>
    <w:basedOn w:val="40"/>
    <w:link w:val="14"/>
    <w:qFormat/>
    <w:locked/>
    <w:uiPriority w:val="0"/>
    <w:rPr>
      <w:sz w:val="2"/>
      <w:szCs w:val="2"/>
    </w:rPr>
  </w:style>
  <w:style w:type="character" w:customStyle="1" w:styleId="59">
    <w:name w:val="批注文字 Char"/>
    <w:basedOn w:val="40"/>
    <w:link w:val="16"/>
    <w:qFormat/>
    <w:locked/>
    <w:uiPriority w:val="99"/>
    <w:rPr>
      <w:rFonts w:ascii="Times New Roman" w:hAnsi="Times New Roman" w:eastAsia="宋体" w:cs="Times New Roman"/>
      <w:kern w:val="2"/>
      <w:sz w:val="21"/>
      <w:szCs w:val="21"/>
    </w:rPr>
  </w:style>
  <w:style w:type="character" w:customStyle="1" w:styleId="60">
    <w:name w:val="正文文本 Char"/>
    <w:basedOn w:val="40"/>
    <w:link w:val="17"/>
    <w:qFormat/>
    <w:locked/>
    <w:uiPriority w:val="0"/>
    <w:rPr>
      <w:b/>
    </w:rPr>
  </w:style>
  <w:style w:type="character" w:customStyle="1" w:styleId="61">
    <w:name w:val="正文文本缩进 Char"/>
    <w:basedOn w:val="40"/>
    <w:link w:val="18"/>
    <w:qFormat/>
    <w:locked/>
    <w:uiPriority w:val="0"/>
    <w:rPr>
      <w:sz w:val="20"/>
      <w:szCs w:val="20"/>
    </w:rPr>
  </w:style>
  <w:style w:type="character" w:customStyle="1" w:styleId="62">
    <w:name w:val="纯文本 Char"/>
    <w:basedOn w:val="40"/>
    <w:link w:val="22"/>
    <w:qFormat/>
    <w:locked/>
    <w:uiPriority w:val="0"/>
    <w:rPr>
      <w:rFonts w:ascii="宋体" w:hAnsi="Courier New" w:cs="宋体"/>
      <w:sz w:val="21"/>
      <w:szCs w:val="21"/>
    </w:rPr>
  </w:style>
  <w:style w:type="character" w:customStyle="1" w:styleId="63">
    <w:name w:val="日期 Char"/>
    <w:basedOn w:val="40"/>
    <w:link w:val="23"/>
    <w:qFormat/>
    <w:locked/>
    <w:uiPriority w:val="0"/>
    <w:rPr>
      <w:kern w:val="2"/>
      <w:sz w:val="28"/>
      <w:szCs w:val="28"/>
    </w:rPr>
  </w:style>
  <w:style w:type="character" w:customStyle="1" w:styleId="64">
    <w:name w:val="正文文本缩进 2 Char"/>
    <w:basedOn w:val="40"/>
    <w:link w:val="24"/>
    <w:qFormat/>
    <w:locked/>
    <w:uiPriority w:val="0"/>
    <w:rPr>
      <w:sz w:val="20"/>
      <w:szCs w:val="20"/>
    </w:rPr>
  </w:style>
  <w:style w:type="character" w:customStyle="1" w:styleId="65">
    <w:name w:val="批注框文本 Char"/>
    <w:basedOn w:val="40"/>
    <w:link w:val="25"/>
    <w:qFormat/>
    <w:locked/>
    <w:uiPriority w:val="0"/>
    <w:rPr>
      <w:rFonts w:ascii="Times New Roman" w:hAnsi="Times New Roman" w:eastAsia="宋体" w:cs="Times New Roman"/>
      <w:kern w:val="2"/>
      <w:sz w:val="18"/>
      <w:szCs w:val="18"/>
    </w:rPr>
  </w:style>
  <w:style w:type="character" w:customStyle="1" w:styleId="66">
    <w:name w:val="页脚 Char"/>
    <w:basedOn w:val="40"/>
    <w:link w:val="26"/>
    <w:qFormat/>
    <w:locked/>
    <w:uiPriority w:val="99"/>
    <w:rPr>
      <w:sz w:val="18"/>
      <w:szCs w:val="18"/>
    </w:rPr>
  </w:style>
  <w:style w:type="character" w:customStyle="1" w:styleId="67">
    <w:name w:val="页眉 Char"/>
    <w:basedOn w:val="40"/>
    <w:link w:val="27"/>
    <w:qFormat/>
    <w:locked/>
    <w:uiPriority w:val="99"/>
    <w:rPr>
      <w:sz w:val="18"/>
      <w:szCs w:val="18"/>
    </w:rPr>
  </w:style>
  <w:style w:type="character" w:customStyle="1" w:styleId="68">
    <w:name w:val="正文文本缩进 3 Char"/>
    <w:basedOn w:val="40"/>
    <w:link w:val="31"/>
    <w:qFormat/>
    <w:locked/>
    <w:uiPriority w:val="0"/>
    <w:rPr>
      <w:kern w:val="2"/>
      <w:sz w:val="16"/>
      <w:szCs w:val="16"/>
    </w:rPr>
  </w:style>
  <w:style w:type="character" w:customStyle="1" w:styleId="69">
    <w:name w:val="正文文本 2 Char"/>
    <w:basedOn w:val="40"/>
    <w:link w:val="33"/>
    <w:qFormat/>
    <w:locked/>
    <w:uiPriority w:val="0"/>
    <w:rPr>
      <w:sz w:val="20"/>
      <w:szCs w:val="20"/>
    </w:rPr>
  </w:style>
  <w:style w:type="character" w:customStyle="1" w:styleId="70">
    <w:name w:val="批注主题 Char"/>
    <w:basedOn w:val="59"/>
    <w:link w:val="35"/>
    <w:qFormat/>
    <w:locked/>
    <w:uiPriority w:val="0"/>
    <w:rPr>
      <w:rFonts w:ascii="Times New Roman" w:hAnsi="Times New Roman" w:eastAsia="宋体" w:cs="Times New Roman"/>
      <w:b/>
      <w:bCs/>
      <w:kern w:val="2"/>
      <w:sz w:val="21"/>
      <w:szCs w:val="21"/>
    </w:rPr>
  </w:style>
  <w:style w:type="character" w:customStyle="1" w:styleId="71">
    <w:name w:val="正文首行缩进 Char"/>
    <w:basedOn w:val="60"/>
    <w:link w:val="36"/>
    <w:qFormat/>
    <w:locked/>
    <w:uiPriority w:val="99"/>
    <w:rPr>
      <w:kern w:val="2"/>
    </w:rPr>
  </w:style>
  <w:style w:type="character" w:customStyle="1" w:styleId="72">
    <w:name w:val="正文首行缩进 2 Char"/>
    <w:basedOn w:val="61"/>
    <w:link w:val="37"/>
    <w:semiHidden/>
    <w:qFormat/>
    <w:locked/>
    <w:uiPriority w:val="99"/>
    <w:rPr>
      <w:sz w:val="21"/>
      <w:szCs w:val="21"/>
    </w:rPr>
  </w:style>
  <w:style w:type="character" w:customStyle="1" w:styleId="73">
    <w:name w:val="普通文字 Char Char2"/>
    <w:qFormat/>
    <w:locked/>
    <w:uiPriority w:val="0"/>
    <w:rPr>
      <w:rFonts w:ascii="宋体" w:hAnsi="Courier New" w:eastAsia="宋体" w:cs="宋体"/>
      <w:kern w:val="2"/>
      <w:sz w:val="21"/>
      <w:szCs w:val="21"/>
      <w:lang w:val="en-US" w:eastAsia="zh-CN"/>
    </w:rPr>
  </w:style>
  <w:style w:type="character" w:customStyle="1" w:styleId="74">
    <w:name w:val="_正文段落 Char"/>
    <w:link w:val="75"/>
    <w:qFormat/>
    <w:locked/>
    <w:uiPriority w:val="0"/>
    <w:rPr>
      <w:rFonts w:ascii="仿宋_GB2312" w:eastAsia="仿宋_GB2312" w:cs="仿宋_GB2312"/>
      <w:sz w:val="24"/>
      <w:szCs w:val="24"/>
    </w:rPr>
  </w:style>
  <w:style w:type="paragraph" w:customStyle="1" w:styleId="75">
    <w:name w:val="_正文段落"/>
    <w:basedOn w:val="1"/>
    <w:link w:val="74"/>
    <w:qFormat/>
    <w:uiPriority w:val="0"/>
    <w:pPr>
      <w:spacing w:line="360" w:lineRule="auto"/>
      <w:ind w:firstLine="200" w:firstLineChars="200"/>
    </w:pPr>
    <w:rPr>
      <w:rFonts w:ascii="仿宋_GB2312" w:eastAsia="仿宋_GB2312" w:cs="仿宋_GB2312"/>
      <w:kern w:val="0"/>
      <w:sz w:val="24"/>
      <w:szCs w:val="24"/>
    </w:rPr>
  </w:style>
  <w:style w:type="character" w:customStyle="1" w:styleId="76">
    <w:name w:val="内容"/>
    <w:qFormat/>
    <w:uiPriority w:val="0"/>
    <w:rPr>
      <w:rFonts w:ascii="华文细黑" w:eastAsia="华文细黑" w:cs="华文细黑"/>
      <w:color w:val="auto"/>
      <w:sz w:val="20"/>
      <w:szCs w:val="20"/>
      <w:u w:val="none"/>
    </w:rPr>
  </w:style>
  <w:style w:type="character" w:customStyle="1" w:styleId="77">
    <w:name w:val="纯文本 Char1"/>
    <w:qFormat/>
    <w:uiPriority w:val="0"/>
    <w:rPr>
      <w:rFonts w:ascii="宋体" w:hAnsi="Courier New" w:eastAsia="宋体" w:cs="宋体"/>
      <w:kern w:val="2"/>
      <w:sz w:val="21"/>
      <w:szCs w:val="21"/>
      <w:lang w:val="en-US" w:eastAsia="zh-CN"/>
    </w:rPr>
  </w:style>
  <w:style w:type="character" w:customStyle="1" w:styleId="78">
    <w:name w:val="ca-31"/>
    <w:qFormat/>
    <w:uiPriority w:val="0"/>
    <w:rPr>
      <w:rFonts w:ascii="宋体" w:hAnsi="宋体" w:eastAsia="宋体" w:cs="宋体"/>
      <w:sz w:val="21"/>
      <w:szCs w:val="21"/>
    </w:rPr>
  </w:style>
  <w:style w:type="character" w:customStyle="1" w:styleId="79">
    <w:name w:val="正文缩进 Char"/>
    <w:link w:val="12"/>
    <w:qFormat/>
    <w:locked/>
    <w:uiPriority w:val="0"/>
    <w:rPr>
      <w:rFonts w:ascii="宋体" w:eastAsia="宋体" w:cs="宋体"/>
      <w:snapToGrid w:val="0"/>
      <w:color w:val="000000"/>
      <w:kern w:val="28"/>
      <w:sz w:val="28"/>
      <w:szCs w:val="28"/>
      <w:lang w:val="en-US" w:eastAsia="zh-CN"/>
    </w:rPr>
  </w:style>
  <w:style w:type="character" w:customStyle="1" w:styleId="80">
    <w:name w:val="正文2 Char Char"/>
    <w:link w:val="81"/>
    <w:qFormat/>
    <w:locked/>
    <w:uiPriority w:val="0"/>
    <w:rPr>
      <w:rFonts w:eastAsia="宋体"/>
      <w:kern w:val="2"/>
      <w:sz w:val="24"/>
      <w:szCs w:val="24"/>
      <w:lang w:val="en-US" w:eastAsia="zh-CN"/>
    </w:rPr>
  </w:style>
  <w:style w:type="paragraph" w:customStyle="1" w:styleId="81">
    <w:name w:val="正文2"/>
    <w:basedOn w:val="1"/>
    <w:link w:val="80"/>
    <w:qFormat/>
    <w:uiPriority w:val="0"/>
    <w:pPr>
      <w:spacing w:before="156" w:line="360" w:lineRule="auto"/>
      <w:ind w:firstLine="510" w:firstLineChars="200"/>
    </w:pPr>
    <w:rPr>
      <w:sz w:val="24"/>
      <w:szCs w:val="24"/>
    </w:rPr>
  </w:style>
  <w:style w:type="character" w:customStyle="1" w:styleId="82">
    <w:name w:val="ca-51"/>
    <w:qFormat/>
    <w:uiPriority w:val="0"/>
    <w:rPr>
      <w:rFonts w:ascii="宋体" w:hAnsi="宋体" w:eastAsia="宋体" w:cs="宋体"/>
      <w:color w:val="FF0000"/>
      <w:sz w:val="21"/>
      <w:szCs w:val="21"/>
    </w:rPr>
  </w:style>
  <w:style w:type="paragraph" w:customStyle="1" w:styleId="83">
    <w:name w:val="纸短情长，再祈珍重！"/>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4">
    <w:name w:val="主题:"/>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5">
    <w:name w:val="分手多日，近况如何？"/>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6">
    <w:name w:val="Char1"/>
    <w:basedOn w:val="14"/>
    <w:qFormat/>
    <w:uiPriority w:val="0"/>
    <w:pPr>
      <w:adjustRightInd w:val="0"/>
      <w:spacing w:line="436" w:lineRule="exact"/>
      <w:ind w:left="357"/>
      <w:jc w:val="left"/>
      <w:outlineLvl w:val="3"/>
    </w:pPr>
  </w:style>
  <w:style w:type="paragraph" w:customStyle="1" w:styleId="87">
    <w:name w:val="创建日期"/>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8">
    <w:name w:val="机密、页码、日期"/>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9">
    <w:name w:val="xl28"/>
    <w:basedOn w:val="1"/>
    <w:qFormat/>
    <w:uiPriority w:val="0"/>
    <w:pPr>
      <w:widowControl/>
      <w:pBdr>
        <w:bottom w:val="single" w:color="auto" w:sz="4" w:space="0"/>
      </w:pBdr>
      <w:spacing w:before="100" w:beforeAutospacing="1" w:after="100" w:afterAutospacing="1"/>
      <w:jc w:val="left"/>
    </w:pPr>
    <w:rPr>
      <w:rFonts w:ascii="宋体" w:hAnsi="宋体" w:cs="宋体"/>
      <w:kern w:val="0"/>
      <w:sz w:val="24"/>
      <w:szCs w:val="24"/>
    </w:rPr>
  </w:style>
  <w:style w:type="paragraph" w:customStyle="1" w:styleId="90">
    <w:name w:val="奉读大示，心折殊深。"/>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1">
    <w:name w:val="文件名和路径"/>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2">
    <w:name w:val="匆此先复，余容后禀。"/>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3">
    <w:name w:val="叩请金安！"/>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4">
    <w:name w:val="参考:"/>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5">
    <w:name w:val="Char Char Char Char Char Char"/>
    <w:basedOn w:val="1"/>
    <w:qFormat/>
    <w:uiPriority w:val="0"/>
    <w:pPr>
      <w:ind w:firstLine="200" w:firstLineChars="200"/>
    </w:pPr>
    <w:rPr>
      <w:rFonts w:ascii="Tahoma" w:hAnsi="Tahoma" w:cs="Tahoma"/>
      <w:sz w:val="24"/>
      <w:szCs w:val="24"/>
    </w:rPr>
  </w:style>
  <w:style w:type="paragraph" w:styleId="96">
    <w:name w:val="No Spacing"/>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7">
    <w:name w:val="音问久疏，唯愿一切康适。"/>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98">
    <w:name w:val="Char2 Char Char"/>
    <w:basedOn w:val="1"/>
    <w:qFormat/>
    <w:uiPriority w:val="0"/>
    <w:rPr>
      <w:rFonts w:ascii="Tahoma" w:hAnsi="Tahoma" w:cs="Tahoma"/>
      <w:sz w:val="24"/>
      <w:szCs w:val="24"/>
    </w:rPr>
  </w:style>
  <w:style w:type="paragraph" w:customStyle="1" w:styleId="99">
    <w:name w:val="惠书敬悉，迟复为歉。"/>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0">
    <w:name w:val="- 页码 -"/>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1">
    <w:name w:val="近来寒暑不常，希自珍慰。"/>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2">
    <w:name w:val="Char Char Char"/>
    <w:basedOn w:val="1"/>
    <w:qFormat/>
    <w:uiPriority w:val="0"/>
    <w:rPr>
      <w:rFonts w:ascii="Tahoma" w:hAnsi="Tahoma" w:cs="Tahoma"/>
      <w:sz w:val="24"/>
      <w:szCs w:val="24"/>
    </w:rPr>
  </w:style>
  <w:style w:type="paragraph" w:customStyle="1" w:styleId="103">
    <w:name w:val="知尊恙复发，心甚念之。"/>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4">
    <w:name w:val="奉恳之事，乞速复为荷。"/>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5">
    <w:name w:val="请勿折叠！"/>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6">
    <w:name w:val="上次保存者"/>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7">
    <w:name w:val="作者、页码、日期"/>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8">
    <w:name w:val="答复:"/>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09">
    <w:name w:val="TOC 标题1"/>
    <w:basedOn w:val="3"/>
    <w:next w:val="1"/>
    <w:qFormat/>
    <w:uiPriority w:val="0"/>
    <w:pPr>
      <w:widowControl/>
      <w:spacing w:beforeLines="0" w:line="276" w:lineRule="auto"/>
      <w:jc w:val="left"/>
      <w:outlineLvl w:val="9"/>
    </w:pPr>
    <w:rPr>
      <w:rFonts w:ascii="Cambria" w:hAnsi="Cambria" w:cs="Cambria"/>
      <w:color w:val="365F91"/>
      <w:kern w:val="0"/>
      <w:sz w:val="28"/>
      <w:szCs w:val="28"/>
    </w:rPr>
  </w:style>
  <w:style w:type="paragraph" w:customStyle="1" w:styleId="110">
    <w:name w:val="先生/女士："/>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1">
    <w:name w:val="文件名"/>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2">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3">
    <w:name w:val="关于:"/>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4">
    <w:name w:val="敬启者："/>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5">
    <w:name w:val="第 X 页 共 Y 页"/>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6">
    <w:name w:val="上次打印时间"/>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7">
    <w:name w:val="Char"/>
    <w:basedOn w:val="1"/>
    <w:qFormat/>
    <w:uiPriority w:val="0"/>
    <w:pPr>
      <w:widowControl/>
      <w:spacing w:line="400" w:lineRule="exact"/>
      <w:jc w:val="center"/>
    </w:pPr>
    <w:rPr>
      <w:rFonts w:ascii="Verdana" w:hAnsi="Verdana" w:cs="Verdana"/>
      <w:kern w:val="0"/>
      <w:lang w:eastAsia="en-US"/>
    </w:rPr>
  </w:style>
  <w:style w:type="paragraph" w:customStyle="1" w:styleId="118">
    <w:name w:val="Char2"/>
    <w:basedOn w:val="1"/>
    <w:qFormat/>
    <w:uiPriority w:val="0"/>
    <w:pPr>
      <w:tabs>
        <w:tab w:val="left" w:pos="720"/>
      </w:tabs>
      <w:ind w:left="720" w:hanging="360"/>
    </w:pPr>
    <w:rPr>
      <w:sz w:val="24"/>
      <w:szCs w:val="24"/>
    </w:rPr>
  </w:style>
  <w:style w:type="paragraph" w:customStyle="1" w:styleId="119">
    <w:name w:val="作者"/>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0">
    <w:name w:val="前上一函，谅达雅鉴，迄今未闻复音。"/>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1">
    <w:name w:val="临书仓促，不尽欲言。"/>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2">
    <w:name w:val="久不通函，至以为念。"/>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3">
    <w:name w:val="Char11"/>
    <w:basedOn w:val="14"/>
    <w:qFormat/>
    <w:uiPriority w:val="0"/>
    <w:pPr>
      <w:adjustRightInd w:val="0"/>
      <w:spacing w:line="436" w:lineRule="exact"/>
      <w:ind w:left="357"/>
      <w:jc w:val="left"/>
      <w:outlineLvl w:val="3"/>
    </w:pPr>
    <w:rPr>
      <w:rFonts w:ascii="Tahoma" w:hAnsi="Tahoma" w:cs="Tahoma"/>
      <w:b/>
      <w:bCs/>
      <w:sz w:val="24"/>
      <w:szCs w:val="24"/>
    </w:rPr>
  </w:style>
  <w:style w:type="paragraph" w:customStyle="1" w:styleId="124">
    <w:name w:val="尊意如何，请即示知。"/>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5">
    <w:name w:val="亲启"/>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6">
    <w:name w:val="顺颂商祺！"/>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7">
    <w:name w:val="Char Char2"/>
    <w:basedOn w:val="1"/>
    <w:qFormat/>
    <w:uiPriority w:val="0"/>
    <w:rPr>
      <w:rFonts w:ascii="宋体" w:hAnsi="宋体" w:cs="宋体"/>
      <w:b/>
      <w:bCs/>
      <w:sz w:val="28"/>
      <w:szCs w:val="28"/>
    </w:rPr>
  </w:style>
  <w:style w:type="paragraph" w:customStyle="1" w:styleId="128">
    <w:name w:val="表"/>
    <w:basedOn w:val="1"/>
    <w:qFormat/>
    <w:uiPriority w:val="0"/>
    <w:pPr>
      <w:spacing w:line="360" w:lineRule="auto"/>
    </w:pPr>
    <w:rPr>
      <w:b/>
      <w:bCs/>
      <w:color w:val="FF0000"/>
    </w:rPr>
  </w:style>
  <w:style w:type="paragraph" w:customStyle="1" w:styleId="129">
    <w:name w:val="主体"/>
    <w:basedOn w:val="1"/>
    <w:link w:val="135"/>
    <w:qFormat/>
    <w:uiPriority w:val="99"/>
    <w:pPr>
      <w:spacing w:line="360" w:lineRule="auto"/>
      <w:ind w:firstLine="480" w:firstLineChars="200"/>
    </w:pPr>
    <w:rPr>
      <w:rFonts w:ascii="宋体" w:cs="宋体"/>
      <w:kern w:val="58"/>
      <w:sz w:val="24"/>
      <w:szCs w:val="24"/>
    </w:rPr>
  </w:style>
  <w:style w:type="paragraph" w:customStyle="1" w:styleId="130">
    <w:name w:val="表格文字"/>
    <w:basedOn w:val="131"/>
    <w:link w:val="133"/>
    <w:qFormat/>
    <w:uiPriority w:val="0"/>
    <w:pPr>
      <w:jc w:val="left"/>
    </w:pPr>
    <w:rPr>
      <w:rFonts w:ascii="宋体" w:cs="宋体"/>
      <w:spacing w:val="-4"/>
      <w:kern w:val="0"/>
      <w:sz w:val="32"/>
      <w:szCs w:val="32"/>
      <w:lang w:val="zh-CN"/>
    </w:rPr>
  </w:style>
  <w:style w:type="paragraph" w:customStyle="1" w:styleId="131">
    <w:name w:val="正文21"/>
    <w:basedOn w:val="1"/>
    <w:qFormat/>
    <w:uiPriority w:val="0"/>
    <w:pPr>
      <w:spacing w:beforeLines="50" w:afterLines="50" w:line="360" w:lineRule="auto"/>
      <w:ind w:firstLine="480" w:firstLineChars="200"/>
    </w:pPr>
    <w:rPr>
      <w:rFonts w:ascii="宋体" w:hAnsi="宋体"/>
      <w:sz w:val="24"/>
      <w:szCs w:val="24"/>
    </w:rPr>
  </w:style>
  <w:style w:type="paragraph" w:customStyle="1" w:styleId="132">
    <w:name w:val="表格文字2"/>
    <w:basedOn w:val="130"/>
    <w:qFormat/>
    <w:uiPriority w:val="99"/>
    <w:pPr>
      <w:jc w:val="both"/>
    </w:pPr>
  </w:style>
  <w:style w:type="character" w:customStyle="1" w:styleId="133">
    <w:name w:val="表格文字 Char Char"/>
    <w:link w:val="130"/>
    <w:qFormat/>
    <w:locked/>
    <w:uiPriority w:val="99"/>
    <w:rPr>
      <w:rFonts w:ascii="宋体" w:eastAsia="宋体" w:cs="宋体"/>
      <w:spacing w:val="-4"/>
      <w:sz w:val="32"/>
      <w:szCs w:val="32"/>
      <w:lang w:val="zh-CN"/>
    </w:rPr>
  </w:style>
  <w:style w:type="character" w:customStyle="1" w:styleId="134">
    <w:name w:val="标准正文 Char"/>
    <w:qFormat/>
    <w:uiPriority w:val="0"/>
    <w:rPr>
      <w:kern w:val="2"/>
      <w:sz w:val="24"/>
      <w:szCs w:val="24"/>
    </w:rPr>
  </w:style>
  <w:style w:type="character" w:customStyle="1" w:styleId="135">
    <w:name w:val="主体 Char Char"/>
    <w:link w:val="129"/>
    <w:qFormat/>
    <w:locked/>
    <w:uiPriority w:val="99"/>
    <w:rPr>
      <w:rFonts w:ascii="宋体" w:eastAsia="宋体" w:cs="宋体"/>
      <w:kern w:val="58"/>
      <w:sz w:val="24"/>
      <w:szCs w:val="24"/>
    </w:rPr>
  </w:style>
  <w:style w:type="paragraph" w:customStyle="1" w:styleId="136">
    <w:name w:val="标题2"/>
    <w:basedOn w:val="1"/>
    <w:link w:val="137"/>
    <w:qFormat/>
    <w:uiPriority w:val="0"/>
    <w:pPr>
      <w:keepNext/>
      <w:widowControl/>
      <w:tabs>
        <w:tab w:val="left" w:pos="450"/>
      </w:tabs>
      <w:autoSpaceDE w:val="0"/>
      <w:autoSpaceDN w:val="0"/>
      <w:adjustRightInd w:val="0"/>
      <w:spacing w:before="120" w:after="120"/>
      <w:jc w:val="left"/>
      <w:textAlignment w:val="center"/>
    </w:pPr>
    <w:rPr>
      <w:rFonts w:ascii="宋体" w:cs="宋体"/>
      <w:b/>
      <w:bCs/>
      <w:kern w:val="0"/>
      <w:sz w:val="24"/>
      <w:szCs w:val="24"/>
    </w:rPr>
  </w:style>
  <w:style w:type="character" w:customStyle="1" w:styleId="137">
    <w:name w:val="标题2 Char Char"/>
    <w:link w:val="136"/>
    <w:qFormat/>
    <w:locked/>
    <w:uiPriority w:val="0"/>
    <w:rPr>
      <w:rFonts w:ascii="宋体" w:cs="宋体"/>
      <w:b/>
      <w:bCs/>
      <w:sz w:val="24"/>
      <w:szCs w:val="24"/>
    </w:rPr>
  </w:style>
  <w:style w:type="paragraph" w:customStyle="1" w:styleId="138">
    <w:name w:val="修订1"/>
    <w:hidden/>
    <w:qFormat/>
    <w:uiPriority w:val="99"/>
    <w:rPr>
      <w:rFonts w:ascii="Times New Roman" w:hAnsi="Times New Roman" w:eastAsia="宋体" w:cs="Times New Roman"/>
      <w:kern w:val="2"/>
      <w:sz w:val="21"/>
      <w:szCs w:val="21"/>
      <w:lang w:val="en-US" w:eastAsia="zh-CN" w:bidi="ar-SA"/>
    </w:rPr>
  </w:style>
  <w:style w:type="character" w:customStyle="1" w:styleId="139">
    <w:name w:val="font01"/>
    <w:basedOn w:val="40"/>
    <w:qFormat/>
    <w:uiPriority w:val="0"/>
    <w:rPr>
      <w:rFonts w:ascii="宋体" w:hAnsi="宋体" w:eastAsia="宋体" w:cs="宋体"/>
      <w:b/>
      <w:bCs/>
      <w:color w:val="333333"/>
      <w:sz w:val="24"/>
      <w:szCs w:val="24"/>
      <w:u w:val="none"/>
    </w:rPr>
  </w:style>
  <w:style w:type="paragraph" w:customStyle="1" w:styleId="140">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1">
    <w:name w:val="表格序号"/>
    <w:basedOn w:val="142"/>
    <w:qFormat/>
    <w:uiPriority w:val="99"/>
    <w:pPr>
      <w:jc w:val="center"/>
    </w:pPr>
  </w:style>
  <w:style w:type="paragraph" w:customStyle="1" w:styleId="142">
    <w:name w:val="表格正文"/>
    <w:basedOn w:val="1"/>
    <w:qFormat/>
    <w:uiPriority w:val="99"/>
    <w:rPr>
      <w:rFonts w:eastAsia="黑体"/>
    </w:rPr>
  </w:style>
  <w:style w:type="paragraph" w:customStyle="1" w:styleId="143">
    <w:name w:val="修订2"/>
    <w:hidden/>
    <w:qFormat/>
    <w:uiPriority w:val="99"/>
    <w:rPr>
      <w:rFonts w:ascii="Times New Roman" w:hAnsi="Times New Roman" w:eastAsia="宋体" w:cs="Times New Roman"/>
      <w:kern w:val="2"/>
      <w:sz w:val="21"/>
      <w:szCs w:val="21"/>
      <w:lang w:val="en-US" w:eastAsia="zh-CN" w:bidi="ar-SA"/>
    </w:rPr>
  </w:style>
  <w:style w:type="paragraph" w:customStyle="1" w:styleId="144">
    <w:name w:val="正文 A"/>
    <w:qFormat/>
    <w:uiPriority w:val="0"/>
    <w:pPr>
      <w:widowControl w:val="0"/>
      <w:jc w:val="both"/>
    </w:pPr>
    <w:rPr>
      <w:rFonts w:ascii="Times New Roman" w:hAnsi="Times New Roman" w:eastAsia="宋体" w:cs="Times New Roman"/>
      <w:color w:val="000000"/>
      <w:kern w:val="2"/>
      <w:sz w:val="21"/>
      <w:szCs w:val="21"/>
      <w:u w:color="000000"/>
      <w:lang w:val="en-US" w:eastAsia="zh-CN" w:bidi="ar-SA"/>
    </w:rPr>
  </w:style>
  <w:style w:type="paragraph" w:customStyle="1" w:styleId="145">
    <w:name w:val="正文缩进1"/>
    <w:basedOn w:val="1"/>
    <w:next w:val="18"/>
    <w:qFormat/>
    <w:uiPriority w:val="0"/>
    <w:pPr>
      <w:autoSpaceDE w:val="0"/>
      <w:autoSpaceDN w:val="0"/>
      <w:snapToGrid w:val="0"/>
      <w:spacing w:after="120" w:line="360" w:lineRule="auto"/>
      <w:ind w:left="420" w:leftChars="200" w:firstLine="480" w:firstLineChars="200"/>
    </w:pPr>
    <w:rPr>
      <w:sz w:val="24"/>
    </w:rPr>
  </w:style>
  <w:style w:type="paragraph" w:customStyle="1" w:styleId="146">
    <w:name w:val="索引 11"/>
    <w:basedOn w:val="1"/>
    <w:next w:val="1"/>
    <w:qFormat/>
    <w:uiPriority w:val="99"/>
    <w:pPr>
      <w:spacing w:line="360" w:lineRule="auto"/>
    </w:pPr>
    <w:rPr>
      <w:rFonts w:ascii="仿宋_GB2312" w:eastAsia="仿宋_GB2312"/>
      <w:sz w:val="24"/>
      <w:szCs w:val="20"/>
    </w:rPr>
  </w:style>
  <w:style w:type="paragraph" w:customStyle="1" w:styleId="147">
    <w:name w:val="纯文本1"/>
    <w:basedOn w:val="1"/>
    <w:qFormat/>
    <w:uiPriority w:val="0"/>
    <w:rPr>
      <w:rFonts w:ascii="宋体" w:hAnsi="Courier New"/>
      <w:kern w:val="0"/>
      <w:sz w:val="20"/>
      <w:szCs w:val="20"/>
    </w:rPr>
  </w:style>
  <w:style w:type="paragraph" w:customStyle="1" w:styleId="148">
    <w:name w:val="text-tag"/>
    <w:basedOn w:val="1"/>
    <w:semiHidden/>
    <w:qFormat/>
    <w:uiPriority w:val="99"/>
    <w:pPr>
      <w:widowControl/>
      <w:spacing w:before="100" w:beforeAutospacing="1" w:after="100" w:afterAutospacing="1"/>
      <w:jc w:val="left"/>
    </w:pPr>
    <w:rPr>
      <w:rFonts w:ascii="宋体" w:hAnsi="宋体" w:cs="宋体"/>
      <w:kern w:val="0"/>
      <w:sz w:val="24"/>
      <w:szCs w:val="20"/>
    </w:rPr>
  </w:style>
  <w:style w:type="paragraph" w:customStyle="1" w:styleId="149">
    <w:name w:val="Body text|1"/>
    <w:basedOn w:val="1"/>
    <w:qFormat/>
    <w:uiPriority w:val="0"/>
    <w:pPr>
      <w:spacing w:line="468" w:lineRule="auto"/>
      <w:ind w:firstLine="400"/>
    </w:pPr>
    <w:rPr>
      <w:rFonts w:ascii="宋体" w:hAnsi="宋体" w:cs="宋体"/>
      <w:sz w:val="26"/>
      <w:szCs w:val="26"/>
      <w:lang w:val="zh-TW" w:eastAsia="zh-TW" w:bidi="zh-TW"/>
    </w:rPr>
  </w:style>
  <w:style w:type="character" w:customStyle="1" w:styleId="150">
    <w:name w:val="NormalCharacter"/>
    <w:semiHidden/>
    <w:qFormat/>
    <w:uiPriority w:val="99"/>
  </w:style>
  <w:style w:type="paragraph" w:customStyle="1" w:styleId="151">
    <w:name w:val="Table Text"/>
    <w:basedOn w:val="1"/>
    <w:qFormat/>
    <w:uiPriority w:val="0"/>
    <w:pPr>
      <w:widowControl/>
      <w:spacing w:before="60" w:after="60"/>
      <w:jc w:val="left"/>
    </w:pPr>
    <w:rPr>
      <w:kern w:val="0"/>
      <w:sz w:val="24"/>
    </w:rPr>
  </w:style>
  <w:style w:type="paragraph" w:customStyle="1" w:styleId="152">
    <w:name w:val="_Style 3"/>
    <w:qFormat/>
    <w:uiPriority w:val="0"/>
    <w:pPr>
      <w:widowControl w:val="0"/>
      <w:adjustRightInd/>
      <w:ind w:firstLine="420" w:firstLineChars="200"/>
      <w:jc w:val="both"/>
    </w:pPr>
    <w:rPr>
      <w:rFonts w:ascii="Calibri" w:hAnsi="Calibri" w:eastAsia="仿宋_GB2312" w:cs="Times New Roman"/>
      <w:kern w:val="2"/>
      <w:sz w:val="28"/>
      <w:szCs w:val="24"/>
      <w:lang w:val="en-US" w:eastAsia="zh-CN" w:bidi="ar-SA"/>
    </w:rPr>
  </w:style>
  <w:style w:type="paragraph" w:customStyle="1" w:styleId="153">
    <w:name w:val="样式3"/>
    <w:basedOn w:val="22"/>
    <w:qFormat/>
    <w:uiPriority w:val="0"/>
    <w:pPr>
      <w:spacing w:line="0" w:lineRule="atLeast"/>
      <w:outlineLvl w:val="0"/>
    </w:pPr>
    <w:rPr>
      <w:kern w:val="2"/>
      <w:sz w:val="28"/>
    </w:rPr>
  </w:style>
  <w:style w:type="paragraph" w:customStyle="1" w:styleId="154">
    <w:name w:val="内容文字"/>
    <w:basedOn w:val="130"/>
    <w:qFormat/>
    <w:uiPriority w:val="0"/>
    <w:pPr>
      <w:ind w:firstLine="510"/>
      <w:jc w:val="both"/>
    </w:pPr>
  </w:style>
  <w:style w:type="paragraph" w:customStyle="1" w:styleId="155">
    <w:name w:val="内容文字1"/>
    <w:next w:val="1"/>
    <w:qFormat/>
    <w:uiPriority w:val="0"/>
    <w:pPr>
      <w:numPr>
        <w:ilvl w:val="0"/>
        <w:numId w:val="1"/>
      </w:numPr>
      <w:adjustRightInd w:val="0"/>
      <w:snapToGrid w:val="0"/>
      <w:spacing w:before="40" w:after="40"/>
      <w:ind w:hanging="65"/>
    </w:pPr>
    <w:rPr>
      <w:rFonts w:ascii="宋体" w:hAnsi="Times New Roman" w:eastAsia="宋体" w:cs="Times New Roman"/>
      <w:sz w:val="24"/>
      <w:lang w:val="en-US" w:eastAsia="zh-CN" w:bidi="ar-SA"/>
    </w:rPr>
  </w:style>
  <w:style w:type="paragraph" w:customStyle="1" w:styleId="156">
    <w:name w:val="内容文字2"/>
    <w:qFormat/>
    <w:uiPriority w:val="0"/>
    <w:pPr>
      <w:numPr>
        <w:ilvl w:val="0"/>
        <w:numId w:val="2"/>
      </w:numPr>
      <w:adjustRightInd w:val="0"/>
      <w:snapToGrid w:val="0"/>
      <w:spacing w:before="40" w:after="40"/>
      <w:ind w:left="0" w:firstLine="851"/>
    </w:pPr>
    <w:rPr>
      <w:rFonts w:ascii="宋体" w:hAnsi="Times New Roman" w:eastAsia="宋体" w:cs="Times New Roman"/>
      <w:sz w:val="24"/>
      <w:lang w:val="en-US" w:eastAsia="zh-CN" w:bidi="ar-SA"/>
    </w:rPr>
  </w:style>
  <w:style w:type="paragraph" w:customStyle="1" w:styleId="157">
    <w:name w:val="列出段落1"/>
    <w:basedOn w:val="1"/>
    <w:qFormat/>
    <w:uiPriority w:val="0"/>
    <w:pPr>
      <w:ind w:firstLine="420" w:firstLineChars="200"/>
    </w:pPr>
    <w:rPr>
      <w:rFonts w:ascii="Calibri" w:hAnsi="Calibri"/>
      <w:sz w:val="22"/>
    </w:rPr>
  </w:style>
  <w:style w:type="paragraph" w:customStyle="1" w:styleId="158">
    <w:name w:val="05"/>
    <w:basedOn w:val="1"/>
    <w:next w:val="1"/>
    <w:qFormat/>
    <w:uiPriority w:val="0"/>
    <w:pPr>
      <w:spacing w:beforeLines="50" w:afterLines="50" w:line="360" w:lineRule="auto"/>
      <w:ind w:firstLine="200" w:firstLineChars="200"/>
    </w:pPr>
    <w:rPr>
      <w:rFonts w:ascii="Calibri" w:hAnsi="Calibri" w:eastAsia="黑体"/>
      <w:b/>
      <w:sz w:val="24"/>
      <w:szCs w:val="24"/>
    </w:rPr>
  </w:style>
  <w:style w:type="table" w:customStyle="1" w:styleId="159">
    <w:name w:val="网格型2"/>
    <w:basedOn w:val="3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网格型1"/>
    <w:basedOn w:val="3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1">
    <w:name w:val="zz-正文格式"/>
    <w:basedOn w:val="1"/>
    <w:qFormat/>
    <w:uiPriority w:val="0"/>
    <w:pPr>
      <w:spacing w:line="360" w:lineRule="auto"/>
      <w:ind w:firstLine="480" w:firstLineChars="200"/>
    </w:pPr>
    <w:rPr>
      <w:rFonts w:ascii="Times New Roman" w:hAnsi="Times New Roman" w:eastAsia="宋体" w:cs="Times New Roman"/>
      <w:sz w:val="24"/>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83C5F7CA-6C6B-40AB-B800-CEF46AC7CCB2}">
  <ds:schemaRefs/>
</ds:datastoreItem>
</file>

<file path=docProps/app.xml><?xml version="1.0" encoding="utf-8"?>
<Properties xmlns="http://schemas.openxmlformats.org/officeDocument/2006/extended-properties" xmlns:vt="http://schemas.openxmlformats.org/officeDocument/2006/docPropsVTypes">
  <Template>Normal</Template>
  <Company>宁波市国际招标有限公司</Company>
  <Pages>98</Pages>
  <Words>50193</Words>
  <Characters>57038</Characters>
  <Lines>416</Lines>
  <Paragraphs>117</Paragraphs>
  <TotalTime>21</TotalTime>
  <ScaleCrop>false</ScaleCrop>
  <LinksUpToDate>false</LinksUpToDate>
  <CharactersWithSpaces>58905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2024-07-13T14:28:00Z</dcterms:created>
  <dc:creator>vivian</dc:creator>
  <cp:lastModifiedBy>邱晔</cp:lastModifiedBy>
  <cp:lastPrinted>2024-11-13T03:24:00Z</cp:lastPrinted>
  <dcterms:modified xsi:type="dcterms:W3CDTF">2024-11-15T12:57:20Z</dcterms:modified>
  <dc:title>政 府 采 购 招 标 项 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E38B0CD4332E427BA385F8A2E5526F5D_13</vt:lpwstr>
  </property>
</Properties>
</file>