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D8EA8">
      <w:pPr>
        <w:adjustRightInd/>
        <w:spacing w:line="360" w:lineRule="auto"/>
        <w:jc w:val="both"/>
        <w:rPr>
          <w:rFonts w:hint="eastAsia" w:ascii="仿宋" w:hAnsi="仿宋" w:eastAsia="仿宋" w:cs="仿宋"/>
          <w:color w:val="auto"/>
          <w:sz w:val="44"/>
          <w:szCs w:val="44"/>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p w14:paraId="545F2E36">
      <w:pPr>
        <w:adjustRightInd/>
        <w:spacing w:line="360" w:lineRule="auto"/>
        <w:jc w:val="center"/>
        <w:rPr>
          <w:rFonts w:hint="eastAsia" w:ascii="仿宋" w:hAnsi="仿宋" w:eastAsia="仿宋" w:cs="仿宋"/>
          <w:b/>
          <w:bCs/>
          <w:color w:val="auto"/>
          <w:sz w:val="48"/>
          <w:szCs w:val="48"/>
        </w:rPr>
      </w:pPr>
    </w:p>
    <w:p w14:paraId="6A85BA2B">
      <w:pPr>
        <w:adjustRightInd/>
        <w:spacing w:line="360" w:lineRule="auto"/>
        <w:jc w:val="center"/>
        <w:rPr>
          <w:rFonts w:hint="eastAsia" w:ascii="仿宋" w:hAnsi="仿宋" w:eastAsia="仿宋" w:cs="仿宋"/>
          <w:color w:val="auto"/>
          <w:sz w:val="44"/>
          <w:szCs w:val="44"/>
        </w:rPr>
      </w:pPr>
      <w:r>
        <w:rPr>
          <w:rFonts w:hint="eastAsia" w:ascii="仿宋" w:hAnsi="仿宋" w:eastAsia="仿宋" w:cs="仿宋"/>
          <w:b/>
          <w:bCs/>
          <w:color w:val="auto"/>
          <w:sz w:val="48"/>
          <w:szCs w:val="48"/>
        </w:rPr>
        <w:t>北干街道2024年智慧小区改造服务项目</w:t>
      </w:r>
    </w:p>
    <w:p w14:paraId="7B5906FD">
      <w:pPr>
        <w:adjustRightInd/>
        <w:spacing w:line="360" w:lineRule="auto"/>
        <w:jc w:val="center"/>
        <w:rPr>
          <w:rFonts w:hint="eastAsia" w:ascii="仿宋" w:hAnsi="仿宋" w:eastAsia="仿宋" w:cs="仿宋"/>
          <w:color w:val="auto"/>
          <w:sz w:val="48"/>
          <w:szCs w:val="48"/>
        </w:rPr>
      </w:pPr>
    </w:p>
    <w:p w14:paraId="2A0FB510">
      <w:pPr>
        <w:adjustRightInd/>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 xml:space="preserve">招标文件 </w:t>
      </w:r>
    </w:p>
    <w:p w14:paraId="3EC9962E">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675CB86C">
      <w:pPr>
        <w:snapToGrid w:val="0"/>
        <w:spacing w:line="360" w:lineRule="auto"/>
        <w:jc w:val="center"/>
        <w:rPr>
          <w:rFonts w:hint="eastAsia" w:ascii="仿宋" w:hAnsi="仿宋" w:eastAsia="仿宋" w:cs="仿宋"/>
          <w:color w:val="auto"/>
          <w:sz w:val="30"/>
          <w:szCs w:val="30"/>
        </w:rPr>
      </w:pPr>
    </w:p>
    <w:p w14:paraId="6E860BB9">
      <w:pPr>
        <w:snapToGrid w:val="0"/>
        <w:spacing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：BGZFCG2024-22</w:t>
      </w:r>
      <w:r>
        <w:rPr>
          <w:rFonts w:hint="eastAsia" w:ascii="仿宋" w:hAnsi="仿宋" w:eastAsia="仿宋" w:cs="仿宋"/>
          <w:color w:val="auto"/>
          <w:sz w:val="30"/>
          <w:szCs w:val="30"/>
          <w:lang w:val="en-US" w:eastAsia="zh-CN"/>
        </w:rPr>
        <w:t xml:space="preserve"> </w:t>
      </w:r>
    </w:p>
    <w:p w14:paraId="46B451F5">
      <w:pPr>
        <w:adjustRightInd/>
        <w:spacing w:line="360" w:lineRule="auto"/>
        <w:rPr>
          <w:rFonts w:hint="eastAsia" w:ascii="仿宋" w:hAnsi="仿宋" w:eastAsia="仿宋" w:cs="仿宋"/>
          <w:color w:val="auto"/>
          <w:sz w:val="28"/>
          <w:szCs w:val="20"/>
        </w:rPr>
      </w:pPr>
    </w:p>
    <w:p w14:paraId="6B2FF24B">
      <w:pPr>
        <w:spacing w:line="360" w:lineRule="auto"/>
        <w:jc w:val="center"/>
        <w:rPr>
          <w:rFonts w:hint="eastAsia" w:ascii="仿宋" w:hAnsi="仿宋" w:eastAsia="仿宋" w:cs="仿宋"/>
          <w:b/>
          <w:color w:val="auto"/>
          <w:sz w:val="44"/>
          <w:szCs w:val="44"/>
        </w:rPr>
      </w:pPr>
    </w:p>
    <w:p w14:paraId="4C0D7739">
      <w:pPr>
        <w:pStyle w:val="2"/>
        <w:rPr>
          <w:rFonts w:hint="eastAsia" w:ascii="仿宋" w:hAnsi="仿宋" w:eastAsia="仿宋" w:cs="仿宋"/>
          <w:b/>
          <w:color w:val="auto"/>
          <w:sz w:val="44"/>
          <w:szCs w:val="44"/>
        </w:rPr>
      </w:pPr>
    </w:p>
    <w:p w14:paraId="72BFFCB0">
      <w:pPr>
        <w:rPr>
          <w:rFonts w:hint="eastAsia"/>
          <w:color w:val="auto"/>
        </w:rPr>
      </w:pPr>
    </w:p>
    <w:p w14:paraId="0FF756BB">
      <w:pPr>
        <w:spacing w:line="360" w:lineRule="auto"/>
        <w:jc w:val="both"/>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0B2EA872">
      <w:pPr>
        <w:snapToGrid w:val="0"/>
        <w:spacing w:line="360" w:lineRule="auto"/>
        <w:jc w:val="both"/>
        <w:rPr>
          <w:rFonts w:hint="eastAsia" w:ascii="仿宋" w:hAnsi="仿宋" w:eastAsia="仿宋" w:cs="仿宋"/>
          <w:color w:val="auto"/>
          <w:sz w:val="32"/>
          <w:szCs w:val="32"/>
        </w:rPr>
      </w:pPr>
    </w:p>
    <w:p w14:paraId="6FF60D72">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杭州市萧山区人民政府北干街道办事处</w:t>
      </w:r>
    </w:p>
    <w:p w14:paraId="259C60DD">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采购代理机构:德威工程管理咨询有限公司</w:t>
      </w:r>
      <w:r>
        <w:rPr>
          <w:rFonts w:hint="eastAsia" w:ascii="仿宋" w:hAnsi="仿宋" w:eastAsia="仿宋" w:cs="仿宋"/>
          <w:color w:val="auto"/>
          <w:sz w:val="32"/>
          <w:szCs w:val="32"/>
          <w:lang w:val="en-US" w:eastAsia="zh-CN"/>
        </w:rPr>
        <w:t xml:space="preserve"> </w:t>
      </w:r>
    </w:p>
    <w:p w14:paraId="44936247">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日</w:t>
      </w:r>
    </w:p>
    <w:p w14:paraId="2D7BB4F3">
      <w:pPr>
        <w:jc w:val="left"/>
        <w:rPr>
          <w:rFonts w:hint="eastAsia" w:ascii="仿宋" w:hAnsi="仿宋" w:eastAsia="仿宋" w:cs="仿宋"/>
          <w:color w:val="auto"/>
        </w:rPr>
      </w:pPr>
    </w:p>
    <w:p w14:paraId="179C9B21">
      <w:pPr>
        <w:jc w:val="left"/>
        <w:rPr>
          <w:rFonts w:hint="eastAsia" w:ascii="仿宋" w:hAnsi="仿宋" w:eastAsia="仿宋" w:cs="仿宋"/>
          <w:color w:val="auto"/>
        </w:rPr>
      </w:pPr>
    </w:p>
    <w:p w14:paraId="6808F329">
      <w:pPr>
        <w:jc w:val="center"/>
        <w:rPr>
          <w:rFonts w:hint="eastAsia" w:ascii="仿宋" w:hAnsi="仿宋" w:eastAsia="仿宋" w:cs="仿宋"/>
          <w:color w:val="auto"/>
        </w:rPr>
      </w:pPr>
      <w:r>
        <w:rPr>
          <w:rFonts w:hint="eastAsia" w:ascii="仿宋" w:hAnsi="仿宋" w:eastAsia="仿宋" w:cs="仿宋"/>
          <w:color w:val="auto"/>
        </w:rPr>
        <w:t>本招标文件为202</w:t>
      </w:r>
      <w:r>
        <w:rPr>
          <w:rFonts w:hint="eastAsia" w:ascii="仿宋" w:hAnsi="仿宋" w:eastAsia="仿宋" w:cs="仿宋"/>
          <w:color w:val="auto"/>
          <w:lang w:val="en-US" w:eastAsia="zh-CN"/>
        </w:rPr>
        <w:t>4年10月21日稿</w:t>
      </w:r>
    </w:p>
    <w:p w14:paraId="48824692">
      <w:pPr>
        <w:jc w:val="center"/>
        <w:rPr>
          <w:rFonts w:hint="eastAsia" w:ascii="仿宋" w:hAnsi="仿宋" w:eastAsia="仿宋" w:cs="仿宋"/>
          <w:color w:val="auto"/>
        </w:rPr>
      </w:pPr>
      <w:r>
        <w:rPr>
          <w:rFonts w:hint="eastAsia" w:ascii="仿宋" w:hAnsi="仿宋" w:eastAsia="仿宋" w:cs="仿宋"/>
          <w:color w:val="auto"/>
        </w:rPr>
        <w:br w:type="page"/>
      </w:r>
    </w:p>
    <w:p w14:paraId="37EF1D4F">
      <w:pPr>
        <w:spacing w:line="360" w:lineRule="auto"/>
        <w:jc w:val="center"/>
        <w:rPr>
          <w:rFonts w:hint="eastAsia" w:ascii="仿宋" w:hAnsi="仿宋" w:eastAsia="仿宋" w:cs="仿宋"/>
          <w:b/>
          <w:color w:val="auto"/>
          <w:sz w:val="48"/>
          <w:szCs w:val="48"/>
        </w:rPr>
      </w:pPr>
    </w:p>
    <w:p w14:paraId="251EEA4B">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67189F40">
      <w:pPr>
        <w:spacing w:line="360" w:lineRule="auto"/>
        <w:rPr>
          <w:rFonts w:hint="eastAsia" w:ascii="仿宋" w:hAnsi="仿宋" w:eastAsia="仿宋" w:cs="仿宋"/>
          <w:color w:val="auto"/>
          <w:sz w:val="32"/>
          <w:szCs w:val="32"/>
        </w:rPr>
      </w:pPr>
    </w:p>
    <w:p w14:paraId="6721160A">
      <w:pPr>
        <w:spacing w:line="360" w:lineRule="auto"/>
        <w:rPr>
          <w:rFonts w:hint="eastAsia" w:ascii="仿宋" w:hAnsi="仿宋" w:eastAsia="仿宋" w:cs="仿宋"/>
          <w:color w:val="auto"/>
          <w:sz w:val="32"/>
          <w:szCs w:val="32"/>
        </w:rPr>
      </w:pPr>
    </w:p>
    <w:p w14:paraId="4E5187E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7222F76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3D88E01B">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77C63E61">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049D181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31DB627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6C53064D">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5F4A66E">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0815228D">
      <w:pPr>
        <w:pBdr>
          <w:top w:val="single" w:color="auto" w:sz="4" w:space="1"/>
          <w:left w:val="single" w:color="auto" w:sz="4" w:space="4"/>
          <w:bottom w:val="single" w:color="auto" w:sz="4" w:space="2"/>
          <w:right w:val="single" w:color="auto" w:sz="4" w:space="4"/>
        </w:pBd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0A5088E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北干街道2024年智慧小区改造服务项目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lang w:eastAsia="zh-CN"/>
        </w:rPr>
        <w:t>2025年1月10日09点30分00秒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235DC509">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01DE6A0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rPr>
        <w:t>BGZFCG2024-22</w:t>
      </w:r>
    </w:p>
    <w:p w14:paraId="10193FD9">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北干街道2024年智慧小区改造服务项目</w:t>
      </w:r>
    </w:p>
    <w:p w14:paraId="4502636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1550000</w:t>
      </w:r>
      <w:r>
        <w:rPr>
          <w:rFonts w:hint="eastAsia" w:ascii="仿宋" w:hAnsi="仿宋" w:eastAsia="仿宋" w:cs="仿宋"/>
          <w:color w:val="auto"/>
          <w:sz w:val="24"/>
        </w:rPr>
        <w:t xml:space="preserve"> </w:t>
      </w:r>
    </w:p>
    <w:p w14:paraId="4E1F0C22">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1550000</w:t>
      </w:r>
      <w:r>
        <w:rPr>
          <w:rFonts w:hint="eastAsia" w:ascii="仿宋" w:hAnsi="仿宋" w:eastAsia="仿宋" w:cs="仿宋"/>
          <w:color w:val="auto"/>
          <w:sz w:val="24"/>
        </w:rPr>
        <w:t xml:space="preserve"> </w:t>
      </w:r>
    </w:p>
    <w:p w14:paraId="1FE68EAD">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北干街道2024年智慧小区改造服务项目</w:t>
      </w:r>
    </w:p>
    <w:p w14:paraId="1D1090AD">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lang w:eastAsia="zh-CN"/>
        </w:rPr>
        <w:t>北干街道2024年智慧小区改造服务</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2AD2E46C">
      <w:pPr>
        <w:pStyle w:val="129"/>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仿宋" w:hAnsi="仿宋" w:eastAsia="仿宋" w:cs="仿宋"/>
          <w:color w:val="auto"/>
        </w:rPr>
      </w:pPr>
      <w:r>
        <w:rPr>
          <w:rFonts w:hint="eastAsia" w:ascii="仿宋" w:hAnsi="仿宋" w:eastAsia="仿宋" w:cs="仿宋"/>
          <w:b/>
          <w:color w:val="auto"/>
        </w:rPr>
        <w:t>合同履约期限： 详见招标文件</w:t>
      </w:r>
    </w:p>
    <w:p w14:paraId="7B276A9E">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147468693"/>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lang w:val="en-US" w:eastAsia="zh-CN"/>
        </w:rPr>
        <w:t>是</w:t>
      </w:r>
      <w:r>
        <w:rPr>
          <w:rFonts w:hint="eastAsia" w:ascii="仿宋" w:hAnsi="仿宋" w:eastAsia="仿宋" w:cs="仿宋"/>
          <w:b/>
          <w:bCs/>
          <w:color w:val="auto"/>
          <w:kern w:val="0"/>
          <w:sz w:val="24"/>
          <w:lang w:eastAsia="zh-CN"/>
        </w:rPr>
        <w:t>；</w:t>
      </w:r>
      <w:sdt>
        <w:sdtPr>
          <w:rPr>
            <w:rFonts w:hint="eastAsia" w:ascii="仿宋" w:hAnsi="仿宋" w:eastAsia="仿宋" w:cs="仿宋"/>
            <w:color w:val="auto"/>
            <w:kern w:val="0"/>
            <w:sz w:val="24"/>
          </w:rPr>
          <w:id w:val="147465220"/>
        </w:sdtPr>
        <w:sdtEndPr>
          <w:rPr>
            <w:rFonts w:hint="eastAsia" w:ascii="仿宋" w:hAnsi="仿宋" w:eastAsia="仿宋" w:cs="仿宋"/>
            <w:color w:val="auto"/>
            <w:kern w:val="0"/>
            <w:sz w:val="24"/>
            <w:lang w:val="en-US"/>
          </w:rPr>
        </w:sdtEndPr>
        <w:sdtContent>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否</w:t>
          </w:r>
        </w:sdtContent>
      </w:sdt>
      <w:r>
        <w:rPr>
          <w:rFonts w:hint="eastAsia" w:ascii="仿宋" w:hAnsi="仿宋" w:eastAsia="仿宋" w:cs="仿宋"/>
          <w:b/>
          <w:color w:val="auto"/>
          <w:sz w:val="24"/>
          <w:lang w:eastAsia="zh-CN"/>
        </w:rPr>
        <w:t>。</w:t>
      </w:r>
    </w:p>
    <w:p w14:paraId="4BD2064C">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6C7A75A0">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F3ADC50">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51BB9A1E">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04018126">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0766095C">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9ECEB18">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14:paraId="391A9362">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服务全部由符合政策要求的小微企业承接，提供中小企业声明函；</w:t>
      </w:r>
    </w:p>
    <w:p w14:paraId="7E656DE7">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2C398A26">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6DE522C3">
      <w:pPr>
        <w:snapToGrid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4.本项目的特定资格要求：</w:t>
      </w:r>
      <w:sdt>
        <w:sdtPr>
          <w:rPr>
            <w:rFonts w:hint="eastAsia" w:ascii="仿宋" w:hAnsi="仿宋" w:eastAsia="仿宋" w:cs="仿宋"/>
            <w:color w:val="auto"/>
            <w:kern w:val="0"/>
            <w:sz w:val="24"/>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无</w:t>
      </w:r>
      <w:r>
        <w:rPr>
          <w:rFonts w:hint="eastAsia" w:ascii="仿宋" w:hAnsi="仿宋" w:eastAsia="仿宋" w:cs="仿宋"/>
          <w:color w:val="auto"/>
          <w:sz w:val="24"/>
        </w:rPr>
        <w:br w:type="textWrapping"/>
      </w:r>
      <w:sdt>
        <w:sdtPr>
          <w:rPr>
            <w:rFonts w:hint="eastAsia" w:ascii="仿宋" w:hAnsi="仿宋" w:eastAsia="仿宋" w:cs="仿宋"/>
            <w:color w:val="auto"/>
            <w:kern w:val="0"/>
            <w:sz w:val="24"/>
          </w:rPr>
          <w:id w:val="46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有特定资格要求：</w:t>
      </w:r>
      <w:r>
        <w:rPr>
          <w:rFonts w:hint="eastAsia" w:ascii="仿宋" w:hAnsi="仿宋" w:eastAsia="仿宋" w:cs="仿宋"/>
          <w:color w:val="auto"/>
          <w:sz w:val="24"/>
          <w:u w:val="single"/>
        </w:rPr>
        <w:t xml:space="preserve">               </w:t>
      </w:r>
      <w:r>
        <w:rPr>
          <w:rFonts w:hint="eastAsia" w:ascii="仿宋" w:hAnsi="仿宋" w:eastAsia="仿宋" w:cs="仿宋"/>
          <w:color w:val="auto"/>
          <w:sz w:val="24"/>
        </w:rPr>
        <w:t>，该特定条件的法律法规据：</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71726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E42584">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799AA2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Style w:val="76"/>
          <w:rFonts w:hint="eastAsia" w:ascii="仿宋" w:hAnsi="仿宋" w:eastAsia="仿宋" w:cs="仿宋"/>
          <w:snapToGrid/>
          <w:color w:val="auto"/>
          <w:kern w:val="2"/>
          <w:sz w:val="24"/>
          <w:szCs w:val="24"/>
          <w:lang w:eastAsia="zh-CN"/>
        </w:rPr>
        <w:t>2025年1月10日</w:t>
      </w:r>
      <w:r>
        <w:rPr>
          <w:rFonts w:hint="eastAsia" w:ascii="仿宋" w:hAnsi="仿宋" w:eastAsia="仿宋" w:cs="仿宋"/>
          <w:color w:val="auto"/>
          <w:sz w:val="24"/>
        </w:rPr>
        <w:t>，每天上午00:00至12:00 ，下午12:00至23:59（北京时间，线上获取法定节假日均可，线下获取文件法定节假日除外）</w:t>
      </w:r>
    </w:p>
    <w:p w14:paraId="1D0472E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763DABA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1C0F3FB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D9D2BBA">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B697D8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2025年1月10日09点30分00秒</w:t>
      </w:r>
      <w:r>
        <w:rPr>
          <w:rFonts w:hint="eastAsia" w:ascii="仿宋" w:hAnsi="仿宋" w:eastAsia="仿宋" w:cs="仿宋"/>
          <w:color w:val="auto"/>
          <w:sz w:val="24"/>
        </w:rPr>
        <w:t>（北京时间）</w:t>
      </w:r>
    </w:p>
    <w:p w14:paraId="453D803E">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D075534">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2025年1月10日09点30分00秒</w:t>
      </w:r>
      <w:r>
        <w:rPr>
          <w:rFonts w:hint="eastAsia" w:ascii="仿宋" w:hAnsi="仿宋" w:eastAsia="仿宋" w:cs="仿宋"/>
          <w:color w:val="auto"/>
          <w:sz w:val="24"/>
        </w:rPr>
        <w:t>（北京时间）</w:t>
      </w:r>
    </w:p>
    <w:p w14:paraId="6F68F74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43F56477">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06B8CE5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B3721C7">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52EE762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D865F0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D61CC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64F04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9B9AFD">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348C635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64B3A73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称：杭州市萧山区人民政府北干街道办事处</w:t>
      </w:r>
    </w:p>
    <w:p w14:paraId="5D1F570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址：萧山区金城路1269号       </w:t>
      </w:r>
    </w:p>
    <w:p w14:paraId="3533A40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25B4D4C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项目联系人（询问）：沈琦敏</w:t>
      </w:r>
    </w:p>
    <w:p w14:paraId="2FD355E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项目联系方式（询问）：0571-82817556     </w:t>
      </w:r>
    </w:p>
    <w:p w14:paraId="5CC254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szCs w:val="28"/>
          <w:highlight w:val="none"/>
        </w:rPr>
        <w:t>赵丹</w:t>
      </w:r>
    </w:p>
    <w:p w14:paraId="274A4B65">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0571-82817533</w:t>
      </w:r>
    </w:p>
    <w:p w14:paraId="131670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rPr>
        <w:t xml:space="preserve"> </w:t>
      </w:r>
      <w:r>
        <w:rPr>
          <w:rFonts w:hint="eastAsia" w:ascii="仿宋" w:hAnsi="仿宋" w:eastAsia="仿宋" w:cs="仿宋"/>
          <w:color w:val="auto"/>
          <w:sz w:val="24"/>
          <w:highlight w:val="none"/>
        </w:rPr>
        <w:t xml:space="preserve">   2.采购代理机构信息            </w:t>
      </w:r>
    </w:p>
    <w:p w14:paraId="0D6EA88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称：德威工程管理咨询有限公司</w:t>
      </w:r>
    </w:p>
    <w:p w14:paraId="439BB0C8">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杭州市萧山区通惠南路782号憬天国际5幢23楼</w:t>
      </w:r>
    </w:p>
    <w:p w14:paraId="235FEC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C2CE2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胡松华</w:t>
      </w:r>
      <w:r>
        <w:rPr>
          <w:rFonts w:hint="eastAsia" w:ascii="仿宋" w:hAnsi="仿宋" w:eastAsia="仿宋" w:cs="仿宋"/>
          <w:color w:val="auto"/>
          <w:sz w:val="24"/>
          <w:highlight w:val="none"/>
        </w:rPr>
        <w:t xml:space="preserve"> </w:t>
      </w:r>
    </w:p>
    <w:p w14:paraId="1DCCDD1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15397030968</w:t>
      </w:r>
    </w:p>
    <w:p w14:paraId="43DDEDC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张哲</w:t>
      </w:r>
    </w:p>
    <w:p w14:paraId="32306344">
      <w:pPr>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13867105230</w:t>
      </w:r>
    </w:p>
    <w:p w14:paraId="00C6B89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rPr>
        <w:t xml:space="preserve"> </w:t>
      </w:r>
      <w:r>
        <w:rPr>
          <w:rFonts w:hint="eastAsia" w:ascii="仿宋" w:hAnsi="仿宋" w:eastAsia="仿宋" w:cs="仿宋"/>
          <w:color w:val="auto"/>
          <w:sz w:val="24"/>
        </w:rPr>
        <w:t xml:space="preserve">同级政府采购监督管理部门            </w:t>
      </w:r>
    </w:p>
    <w:p w14:paraId="2E94FF4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称：萧山区财政局、浙江省政府采购行政裁决服务中心（杭州）</w:t>
      </w:r>
    </w:p>
    <w:p w14:paraId="58E6519F">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杭州市上城区清泰街549号城建综合大楼11楼</w:t>
      </w:r>
      <w:r>
        <w:rPr>
          <w:rFonts w:hint="eastAsia" w:ascii="仿宋" w:hAnsi="仿宋" w:eastAsia="仿宋" w:cs="仿宋"/>
          <w:color w:val="auto"/>
          <w:sz w:val="24"/>
        </w:rPr>
        <w:t>（快递仅限ems或顺丰）</w:t>
      </w:r>
    </w:p>
    <w:p w14:paraId="1039ED9A">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传    真：/</w:t>
      </w:r>
    </w:p>
    <w:p w14:paraId="640E1D22">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联系人：朱女士/王女士</w:t>
      </w:r>
    </w:p>
    <w:p w14:paraId="69ECBB6E">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监督投诉电话：0571-8</w:t>
      </w:r>
      <w:r>
        <w:rPr>
          <w:rFonts w:hint="eastAsia" w:ascii="仿宋" w:hAnsi="仿宋" w:eastAsia="仿宋" w:cs="仿宋"/>
          <w:color w:val="auto"/>
          <w:sz w:val="24"/>
          <w:lang w:val="en-US" w:eastAsia="zh-CN"/>
        </w:rPr>
        <w:t>7227671,0571-87800218</w:t>
      </w:r>
      <w:r>
        <w:rPr>
          <w:rFonts w:hint="eastAsia" w:ascii="仿宋" w:hAnsi="仿宋" w:eastAsia="仿宋" w:cs="仿宋"/>
          <w:color w:val="auto"/>
          <w:sz w:val="24"/>
        </w:rPr>
        <w:t xml:space="preserve"> </w:t>
      </w:r>
    </w:p>
    <w:p w14:paraId="1A3852C9">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政策咨询电话：0571-82756122  （汤先生）</w:t>
      </w:r>
    </w:p>
    <w:p w14:paraId="5232CDA6">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6B7DE97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3DCC18AF">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698E98BA">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274A111F">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BA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12E98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3124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6848729">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2140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6DC6C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CD6D4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E6CF9D">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服务类。</w:t>
            </w:r>
          </w:p>
        </w:tc>
      </w:tr>
      <w:tr w14:paraId="51722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893C7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274832">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EF5A6C">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lang w:eastAsia="zh-CN"/>
              </w:rPr>
              <w:t>北干街道2024年智慧小区改造服务项目</w:t>
            </w:r>
            <w:r>
              <w:rPr>
                <w:rFonts w:hint="eastAsia" w:ascii="仿宋" w:hAnsi="仿宋" w:eastAsia="仿宋" w:cs="仿宋"/>
                <w:color w:val="auto"/>
                <w:sz w:val="24"/>
                <w:u w:val="single"/>
              </w:rPr>
              <w:t>，</w:t>
            </w:r>
            <w:r>
              <w:rPr>
                <w:rFonts w:hint="eastAsia" w:ascii="仿宋" w:hAnsi="仿宋" w:eastAsia="仿宋" w:cs="仿宋"/>
                <w:color w:val="auto"/>
                <w:sz w:val="24"/>
              </w:rPr>
              <w:t>属于</w:t>
            </w:r>
            <w:r>
              <w:rPr>
                <w:rFonts w:hint="eastAsia" w:ascii="仿宋" w:hAnsi="仿宋" w:eastAsia="仿宋" w:cs="仿宋"/>
                <w:color w:val="auto"/>
                <w:sz w:val="24"/>
                <w:u w:val="single"/>
              </w:rPr>
              <w:t>租赁和商务服务行业</w:t>
            </w:r>
            <w:r>
              <w:rPr>
                <w:rFonts w:hint="eastAsia" w:ascii="仿宋" w:hAnsi="仿宋" w:eastAsia="仿宋" w:cs="仿宋"/>
                <w:color w:val="auto"/>
                <w:sz w:val="24"/>
              </w:rPr>
              <w:t>；</w:t>
            </w:r>
          </w:p>
          <w:p w14:paraId="7E1C0DB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rPr>
            </w:pPr>
            <w:r>
              <w:rPr>
                <w:rFonts w:hint="eastAsia" w:ascii="仿宋" w:hAnsi="仿宋" w:eastAsia="仿宋" w:cs="仿宋"/>
                <w:color w:val="auto"/>
                <w:sz w:val="24"/>
              </w:rPr>
              <w:t>《关于印发中小企业划型标准规定的通知》工信部联企业〔2011〕300号</w:t>
            </w:r>
          </w:p>
        </w:tc>
      </w:tr>
      <w:tr w14:paraId="4899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8470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8CFC5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059B9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rPr>
            </w:pPr>
            <w:sdt>
              <w:sdtPr>
                <w:rPr>
                  <w:rFonts w:hint="eastAsia" w:ascii="仿宋" w:hAnsi="仿宋" w:eastAsia="仿宋" w:cs="仿宋"/>
                  <w:color w:val="auto"/>
                  <w:sz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sym w:font="Wingdings" w:char="F0FE"/>
                </w:r>
              </w:sdtContent>
            </w:sdt>
            <w:r>
              <w:rPr>
                <w:rFonts w:hint="eastAsia" w:ascii="仿宋" w:hAnsi="仿宋" w:eastAsia="仿宋" w:cs="仿宋"/>
                <w:color w:val="auto"/>
                <w:sz w:val="24"/>
              </w:rPr>
              <w:t>本项目不允许采购进口产品。</w:t>
            </w:r>
          </w:p>
        </w:tc>
      </w:tr>
      <w:tr w14:paraId="2BBEF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1C859">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F3926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58627D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14:paraId="0A2E2AC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20DB7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4761B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5D4EC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E9764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0"/>
              </w:rPr>
            </w:pPr>
            <w:sdt>
              <w:sdtPr>
                <w:rPr>
                  <w:rFonts w:hint="eastAsia" w:ascii="仿宋" w:hAnsi="仿宋" w:eastAsia="仿宋" w:cs="仿宋"/>
                  <w:color w:val="auto"/>
                  <w:kern w:val="0"/>
                  <w:sz w:val="24"/>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2FFCE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16355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4D780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2F07B">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rPr>
            </w:pPr>
            <w:sdt>
              <w:sdtPr>
                <w:rPr>
                  <w:rFonts w:hint="eastAsia" w:ascii="仿宋" w:hAnsi="仿宋" w:eastAsia="仿宋" w:cs="仿宋"/>
                  <w:color w:val="auto"/>
                  <w:sz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A不要求提供。</w:t>
            </w:r>
          </w:p>
        </w:tc>
      </w:tr>
      <w:tr w14:paraId="2BCAE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C6071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D35DC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D1D517B">
            <w:pPr>
              <w:pageBreakBefore w:val="0"/>
              <w:widowControl w:val="0"/>
              <w:kinsoku/>
              <w:wordWrap/>
              <w:overflowPunct/>
              <w:topLinePunct w:val="0"/>
              <w:autoSpaceDE/>
              <w:autoSpaceDN/>
              <w:bidi w:val="0"/>
              <w:spacing w:line="240" w:lineRule="auto"/>
              <w:textAlignment w:val="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71BF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398165E">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430683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907272D">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DC69F5F">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5D2DD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629" w:type="dxa"/>
            <w:vMerge w:val="continue"/>
            <w:tcBorders>
              <w:left w:val="single" w:color="auto" w:sz="4" w:space="0"/>
              <w:bottom w:val="single" w:color="auto" w:sz="4" w:space="0"/>
              <w:right w:val="single" w:color="auto" w:sz="4" w:space="0"/>
            </w:tcBorders>
            <w:vAlign w:val="center"/>
          </w:tcPr>
          <w:p w14:paraId="063C70E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4856D2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D501F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14:paraId="109E5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E1989B">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F34E8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9D00F2">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lang w:val="zh-CN"/>
              </w:rPr>
            </w:pPr>
            <w:sdt>
              <w:sdtPr>
                <w:rPr>
                  <w:rFonts w:hint="eastAsia" w:ascii="仿宋" w:hAnsi="仿宋" w:eastAsia="仿宋" w:cs="仿宋"/>
                  <w:color w:val="auto"/>
                  <w:kern w:val="0"/>
                  <w:sz w:val="24"/>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lang w:val="zh-CN"/>
                </w:rPr>
              </w:sdtEndPr>
              <w:sdtContent>
                <w:r>
                  <w:rPr>
                    <w:rFonts w:hint="eastAsia" w:ascii="仿宋" w:hAnsi="仿宋" w:eastAsia="仿宋" w:cs="仿宋"/>
                    <w:color w:val="auto"/>
                    <w:kern w:val="0"/>
                    <w:sz w:val="24"/>
                    <w:lang w:val="zh-CN"/>
                  </w:rPr>
                  <w:t>☐</w:t>
                </w:r>
              </w:sdtContent>
            </w:sdt>
            <w:r>
              <w:rPr>
                <w:rFonts w:hint="eastAsia" w:ascii="仿宋" w:hAnsi="仿宋" w:eastAsia="仿宋" w:cs="仿宋"/>
                <w:color w:val="auto"/>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实施政府优先采购，</w:t>
            </w:r>
            <w:r>
              <w:rPr>
                <w:rFonts w:hint="eastAsia" w:ascii="仿宋" w:hAnsi="仿宋" w:eastAsia="仿宋" w:cs="仿宋"/>
                <w:color w:val="auto"/>
                <w:kern w:val="0"/>
                <w:sz w:val="24"/>
              </w:rPr>
              <w:t>详</w:t>
            </w:r>
            <w:r>
              <w:rPr>
                <w:rFonts w:hint="eastAsia" w:ascii="仿宋" w:hAnsi="仿宋" w:eastAsia="仿宋" w:cs="仿宋"/>
                <w:color w:val="auto"/>
                <w:kern w:val="0"/>
                <w:sz w:val="24"/>
                <w:lang w:val="zh-CN"/>
              </w:rPr>
              <w:t>见</w:t>
            </w:r>
            <w:r>
              <w:rPr>
                <w:rFonts w:hint="eastAsia" w:ascii="仿宋" w:hAnsi="仿宋" w:eastAsia="仿宋" w:cs="仿宋"/>
                <w:color w:val="auto"/>
                <w:kern w:val="0"/>
                <w:sz w:val="24"/>
                <w:u w:val="single"/>
                <w:lang w:val="zh-CN"/>
              </w:rPr>
              <w:t>评分标准</w:t>
            </w:r>
            <w:r>
              <w:rPr>
                <w:rFonts w:hint="eastAsia" w:ascii="仿宋" w:hAnsi="仿宋" w:eastAsia="仿宋" w:cs="仿宋"/>
                <w:color w:val="auto"/>
                <w:kern w:val="0"/>
                <w:sz w:val="24"/>
                <w:lang w:val="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对</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实施政府强制采购，</w:t>
            </w:r>
            <w:r>
              <w:rPr>
                <w:rFonts w:hint="eastAsia" w:ascii="仿宋" w:hAnsi="仿宋" w:eastAsia="仿宋" w:cs="仿宋"/>
                <w:b/>
                <w:bCs/>
                <w:color w:val="auto"/>
                <w:kern w:val="0"/>
                <w:sz w:val="24"/>
                <w:lang w:val="zh-CN"/>
              </w:rPr>
              <w:t>投标人</w:t>
            </w:r>
            <w:r>
              <w:rPr>
                <w:rFonts w:hint="eastAsia" w:ascii="仿宋" w:hAnsi="仿宋" w:eastAsia="仿宋" w:cs="仿宋"/>
                <w:b/>
                <w:bCs/>
                <w:color w:val="auto"/>
                <w:kern w:val="0"/>
                <w:sz w:val="24"/>
              </w:rPr>
              <w:t>就</w:t>
            </w:r>
            <w:r>
              <w:rPr>
                <w:rFonts w:hint="eastAsia" w:ascii="仿宋" w:hAnsi="仿宋" w:eastAsia="仿宋" w:cs="仿宋"/>
                <w:b/>
                <w:bCs/>
                <w:color w:val="auto"/>
                <w:kern w:val="0"/>
                <w:sz w:val="24"/>
                <w:lang w:val="zh-CN"/>
              </w:rPr>
              <w:t>相应的投标产品未</w:t>
            </w:r>
            <w:r>
              <w:rPr>
                <w:rFonts w:hint="eastAsia" w:ascii="仿宋" w:hAnsi="仿宋" w:eastAsia="仿宋" w:cs="仿宋"/>
                <w:b/>
                <w:bCs/>
                <w:color w:val="auto"/>
                <w:kern w:val="0"/>
                <w:sz w:val="24"/>
              </w:rPr>
              <w:t>提供</w:t>
            </w:r>
            <w:r>
              <w:rPr>
                <w:rFonts w:hint="eastAsia" w:ascii="仿宋" w:hAnsi="仿宋" w:eastAsia="仿宋" w:cs="仿宋"/>
                <w:b/>
                <w:bCs/>
                <w:color w:val="auto"/>
                <w:kern w:val="0"/>
                <w:sz w:val="24"/>
                <w:lang w:val="zh-CN"/>
              </w:rPr>
              <w:t>国家确定的认证机构出具的、处于有效期之内的节能产品认证证书的，投标无效</w:t>
            </w:r>
            <w:r>
              <w:rPr>
                <w:rFonts w:hint="eastAsia" w:ascii="仿宋" w:hAnsi="仿宋" w:eastAsia="仿宋" w:cs="仿宋"/>
                <w:color w:val="auto"/>
                <w:kern w:val="0"/>
                <w:sz w:val="24"/>
                <w:lang w:val="zh-CN"/>
              </w:rPr>
              <w:t>。</w:t>
            </w:r>
          </w:p>
          <w:p w14:paraId="0E909AD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lang w:val="zh-CN"/>
              </w:rPr>
            </w:pPr>
            <w:sdt>
              <w:sdtPr>
                <w:rPr>
                  <w:rFonts w:hint="eastAsia" w:ascii="仿宋" w:hAnsi="仿宋" w:eastAsia="仿宋" w:cs="仿宋"/>
                  <w:color w:val="auto"/>
                  <w:kern w:val="0"/>
                  <w:sz w:val="24"/>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lang w:val="zh-CN"/>
                </w:rPr>
              </w:sdtEndPr>
              <w:sdtContent>
                <w:r>
                  <w:rPr>
                    <w:rFonts w:hint="eastAsia" w:ascii="仿宋" w:hAnsi="仿宋" w:eastAsia="仿宋" w:cs="仿宋"/>
                    <w:color w:val="auto"/>
                    <w:kern w:val="0"/>
                    <w:sz w:val="24"/>
                    <w:lang w:val="zh-CN"/>
                  </w:rPr>
                  <w:t>☐</w:t>
                </w:r>
              </w:sdtContent>
            </w:sdt>
            <w:r>
              <w:rPr>
                <w:rFonts w:hint="eastAsia" w:ascii="仿宋" w:hAnsi="仿宋" w:eastAsia="仿宋" w:cs="仿宋"/>
                <w:color w:val="auto"/>
                <w:kern w:val="0"/>
                <w:sz w:val="24"/>
                <w:lang w:val="zh-CN"/>
              </w:rPr>
              <w:t>依据国家确定的认证机构出具的、处于有效期之内的环境标志产品认证证书，对获得证书的</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实施政府优先采购，</w:t>
            </w:r>
            <w:r>
              <w:rPr>
                <w:rFonts w:hint="eastAsia" w:ascii="仿宋" w:hAnsi="仿宋" w:eastAsia="仿宋" w:cs="仿宋"/>
                <w:color w:val="auto"/>
                <w:kern w:val="0"/>
                <w:sz w:val="24"/>
              </w:rPr>
              <w:t>详</w:t>
            </w:r>
            <w:r>
              <w:rPr>
                <w:rFonts w:hint="eastAsia" w:ascii="仿宋" w:hAnsi="仿宋" w:eastAsia="仿宋" w:cs="仿宋"/>
                <w:color w:val="auto"/>
                <w:kern w:val="0"/>
                <w:sz w:val="24"/>
                <w:lang w:val="zh-CN"/>
              </w:rPr>
              <w:t>见</w:t>
            </w:r>
            <w:r>
              <w:rPr>
                <w:rFonts w:hint="eastAsia" w:ascii="仿宋" w:hAnsi="仿宋" w:eastAsia="仿宋" w:cs="仿宋"/>
                <w:color w:val="auto"/>
                <w:kern w:val="0"/>
                <w:sz w:val="24"/>
                <w:u w:val="single"/>
                <w:lang w:val="zh-CN"/>
              </w:rPr>
              <w:t>评分标准</w:t>
            </w:r>
            <w:r>
              <w:rPr>
                <w:rFonts w:hint="eastAsia" w:ascii="仿宋" w:hAnsi="仿宋" w:eastAsia="仿宋" w:cs="仿宋"/>
                <w:color w:val="auto"/>
                <w:kern w:val="0"/>
                <w:sz w:val="24"/>
                <w:lang w:val="zh-CN"/>
              </w:rPr>
              <w:t>。</w:t>
            </w:r>
          </w:p>
          <w:p w14:paraId="173BDA85">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rPr>
            </w:pP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þ</w:t>
                </w:r>
              </w:sdtContent>
            </w:sdt>
            <w:r>
              <w:rPr>
                <w:rFonts w:hint="eastAsia" w:ascii="仿宋" w:hAnsi="仿宋" w:eastAsia="仿宋" w:cs="仿宋"/>
                <w:color w:val="auto"/>
                <w:kern w:val="0"/>
                <w:sz w:val="24"/>
              </w:rPr>
              <w:t>无。</w:t>
            </w:r>
          </w:p>
        </w:tc>
      </w:tr>
      <w:tr w14:paraId="359B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133E3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100BB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1CEAE">
            <w:pPr>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085C7C19">
            <w:pPr>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4A711678">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5461D7F7">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14:paraId="7323DB5C">
            <w:pPr>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rPr>
              <w:t>;</w:t>
            </w:r>
          </w:p>
          <w:p w14:paraId="067EBDC4">
            <w:pPr>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301AF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A3CEB8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1750810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19F8BD8">
            <w:pPr>
              <w:pageBreakBefore w:val="0"/>
              <w:widowControl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74BFE40">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本项目支持《杭州市萧山区政府采购支持中小企业信用融资暂行办法》。</w:t>
            </w:r>
          </w:p>
          <w:p w14:paraId="2FE1DC56">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有融资需求的中标供应商可参照相关规定及银行方案凭政府采购合同向相关合作银行提出信用融资（贷款）申请。详见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"http://www.xiaoshan.gov.cn/art/2018/12/20/art_1229293109_1559514.html" </w:instrText>
            </w:r>
            <w:r>
              <w:rPr>
                <w:rFonts w:hint="eastAsia" w:ascii="仿宋" w:hAnsi="仿宋" w:eastAsia="仿宋" w:cs="仿宋"/>
                <w:color w:val="auto"/>
              </w:rPr>
              <w:fldChar w:fldCharType="separate"/>
            </w:r>
            <w:r>
              <w:rPr>
                <w:rStyle w:val="76"/>
                <w:rFonts w:hint="eastAsia" w:ascii="仿宋" w:hAnsi="仿宋" w:eastAsia="仿宋" w:cs="仿宋"/>
                <w:snapToGrid/>
                <w:color w:val="auto"/>
                <w:sz w:val="24"/>
                <w:szCs w:val="24"/>
              </w:rPr>
              <w:t>http://www.xiaoshan.gov.cn/art/2018/12/20/art_1229293109_1559514.html</w:t>
            </w:r>
            <w:r>
              <w:rPr>
                <w:rStyle w:val="76"/>
                <w:rFonts w:hint="eastAsia" w:ascii="仿宋" w:hAnsi="仿宋" w:eastAsia="仿宋" w:cs="仿宋"/>
                <w:snapToGrid/>
                <w:color w:val="auto"/>
                <w:sz w:val="24"/>
                <w:szCs w:val="24"/>
              </w:rPr>
              <w:fldChar w:fldCharType="end"/>
            </w:r>
          </w:p>
        </w:tc>
      </w:tr>
      <w:tr w14:paraId="6C43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C46A0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F053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6F7D2B3">
            <w:pPr>
              <w:pStyle w:val="32"/>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本项目备份文件是否收取：不收取</w:t>
            </w:r>
          </w:p>
          <w:p w14:paraId="7EA07AFB">
            <w:pPr>
              <w:pStyle w:val="32"/>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28"/>
                <w:sz w:val="24"/>
              </w:rPr>
            </w:pPr>
            <w:r>
              <w:rPr>
                <w:rFonts w:hint="eastAsia" w:ascii="仿宋" w:hAnsi="仿宋" w:eastAsia="仿宋" w:cs="仿宋"/>
                <w:b/>
                <w:color w:val="auto"/>
                <w:sz w:val="24"/>
                <w:szCs w:val="24"/>
              </w:rPr>
              <w:t>采购人、采购代理机构不强制或变相强制投标人提交备份投标文件。</w:t>
            </w:r>
          </w:p>
        </w:tc>
      </w:tr>
      <w:tr w14:paraId="690CB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F2AE6C">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1328C0">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B34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28"/>
                <w:sz w:val="24"/>
              </w:rPr>
            </w:pPr>
            <w:r>
              <w:rPr>
                <w:rFonts w:hint="eastAsia" w:ascii="仿宋" w:hAnsi="仿宋" w:eastAsia="仿宋" w:cs="仿宋"/>
                <w:snapToGrid w:val="0"/>
                <w:color w:val="auto"/>
                <w:kern w:val="28"/>
                <w:sz w:val="24"/>
                <w:szCs w:val="24"/>
                <w:highlight w:val="none"/>
                <w:lang w:val="en-US" w:eastAsia="zh-CN" w:bidi="ar-SA"/>
              </w:rPr>
              <w:t>本项目采购代理费由中标单位支付。</w:t>
            </w:r>
          </w:p>
        </w:tc>
      </w:tr>
      <w:tr w14:paraId="53F8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4CF4FA">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3091D5">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0ABE0">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rPr>
            </w:pPr>
            <w:r>
              <w:rPr>
                <w:rFonts w:hint="eastAsia" w:ascii="仿宋" w:hAnsi="仿宋" w:eastAsia="仿宋" w:cs="仿宋"/>
                <w:color w:val="auto"/>
                <w:sz w:val="24"/>
              </w:rPr>
              <w:t>本项目由采购人进行资格文件及信用信息查询。</w:t>
            </w:r>
          </w:p>
        </w:tc>
      </w:tr>
      <w:tr w14:paraId="39308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C95653">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B46D328">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821F5">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u w:val="single"/>
              </w:rPr>
            </w:pPr>
            <w:r>
              <w:rPr>
                <w:rFonts w:hint="eastAsia" w:ascii="仿宋" w:hAnsi="仿宋" w:eastAsia="仿宋" w:cs="仿宋"/>
                <w:color w:val="auto"/>
                <w:sz w:val="24"/>
              </w:rPr>
              <w:t>采购人、采购机构质疑接收人、联系方式：详见公告</w:t>
            </w:r>
          </w:p>
          <w:p w14:paraId="78E58C72">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color w:val="auto"/>
                <w:sz w:val="24"/>
              </w:rPr>
            </w:pPr>
            <w:r>
              <w:rPr>
                <w:rFonts w:hint="eastAsia" w:ascii="仿宋" w:hAnsi="仿宋" w:eastAsia="仿宋" w:cs="仿宋"/>
                <w:b/>
                <w:color w:val="auto"/>
                <w:sz w:val="24"/>
              </w:rPr>
              <w:t>线上提交质疑方式：政采云线上质疑路径：项目采购-询问质疑投诉-质疑列表。请使用ca签章在每一页质疑文件中加盖电子公章，上传完整附件。</w:t>
            </w:r>
          </w:p>
          <w:p w14:paraId="0F5BC172">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w:t>
            </w:r>
            <w:r>
              <w:rPr>
                <w:rFonts w:hint="eastAsia" w:ascii="仿宋" w:hAnsi="仿宋" w:eastAsia="仿宋" w:cs="仿宋"/>
                <w:b/>
                <w:bCs/>
                <w:color w:val="auto"/>
                <w:sz w:val="24"/>
              </w:rPr>
              <w:t>采购人</w:t>
            </w:r>
            <w:r>
              <w:rPr>
                <w:rFonts w:hint="eastAsia" w:ascii="仿宋" w:hAnsi="仿宋" w:eastAsia="仿宋" w:cs="仿宋"/>
                <w:color w:val="auto"/>
                <w:sz w:val="24"/>
              </w:rPr>
              <w:t>进行答复。</w:t>
            </w:r>
          </w:p>
          <w:p w14:paraId="47A273C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2"/>
              </w:rPr>
            </w:pPr>
            <w:r>
              <w:rPr>
                <w:rFonts w:hint="eastAsia" w:ascii="仿宋" w:hAnsi="仿宋" w:eastAsia="仿宋" w:cs="仿宋"/>
                <w:color w:val="auto"/>
                <w:sz w:val="24"/>
              </w:rPr>
              <w:t>涉及流程规范性、组织程序等相关事项，由</w:t>
            </w:r>
            <w:r>
              <w:rPr>
                <w:rFonts w:hint="eastAsia" w:ascii="仿宋" w:hAnsi="仿宋" w:eastAsia="仿宋" w:cs="仿宋"/>
                <w:b/>
                <w:bCs/>
                <w:color w:val="auto"/>
                <w:sz w:val="24"/>
              </w:rPr>
              <w:t>采购代理机构</w:t>
            </w:r>
            <w:r>
              <w:rPr>
                <w:rFonts w:hint="eastAsia" w:ascii="仿宋" w:hAnsi="仿宋" w:eastAsia="仿宋" w:cs="仿宋"/>
                <w:color w:val="auto"/>
                <w:sz w:val="24"/>
              </w:rPr>
              <w:t>进行答复。</w:t>
            </w:r>
          </w:p>
        </w:tc>
      </w:tr>
      <w:tr w14:paraId="48918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83BCE0">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175A3B8">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4ED6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2"/>
              </w:rPr>
            </w:pPr>
            <w:r>
              <w:rPr>
                <w:rFonts w:hint="eastAsia" w:ascii="仿宋" w:hAnsi="仿宋" w:eastAsia="仿宋" w:cs="仿宋"/>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rPr>
              <w:br w:type="textWrapping"/>
            </w:r>
            <w:r>
              <w:rPr>
                <w:rFonts w:hint="eastAsia" w:ascii="仿宋" w:hAnsi="仿宋" w:eastAsia="仿宋" w:cs="仿宋"/>
                <w:color w:val="auto"/>
                <w:sz w:val="24"/>
              </w:rPr>
              <w:t>联系电话: 0571-83587785/0571-82816012 联系地址: 萧山区通惠北路2-1号304室</w:t>
            </w:r>
          </w:p>
        </w:tc>
      </w:tr>
      <w:tr w14:paraId="305D3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DF670D0">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060E20D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6D23F">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p w14:paraId="1FCB8A12">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sdt>
              <w:sdtPr>
                <w:rPr>
                  <w:rFonts w:hint="eastAsia" w:ascii="仿宋" w:hAnsi="仿宋" w:eastAsia="仿宋" w:cs="仿宋"/>
                  <w:color w:val="auto"/>
                  <w:sz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联合体投标的，联合体各方均需按招标文件第四部分评标标准要求提供资信证明文件，否则视为不符合相关要求。</w:t>
            </w:r>
          </w:p>
          <w:p w14:paraId="03CECC3D">
            <w:pPr>
              <w:pStyle w:val="2"/>
              <w:pageBreakBefore w:val="0"/>
              <w:widowControl w:val="0"/>
              <w:kinsoku/>
              <w:wordWrap/>
              <w:overflowPunct/>
              <w:topLinePunct w:val="0"/>
              <w:autoSpaceDE/>
              <w:autoSpaceDN/>
              <w:bidi w:val="0"/>
              <w:spacing w:line="240" w:lineRule="auto"/>
              <w:ind w:left="0" w:firstLine="0"/>
              <w:textAlignment w:val="auto"/>
              <w:rPr>
                <w:rFonts w:hint="eastAsia" w:ascii="仿宋" w:hAnsi="仿宋" w:eastAsia="仿宋" w:cs="仿宋"/>
                <w:snapToGrid w:val="0"/>
                <w:color w:val="auto"/>
                <w:kern w:val="28"/>
                <w:sz w:val="24"/>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0A63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1F9980E">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0A14C3A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7448DE">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评审因素对应的要求视为采购需求的一部分。</w:t>
            </w:r>
          </w:p>
          <w:p w14:paraId="5122C94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rPr>
            </w:pPr>
            <w:r>
              <w:rPr>
                <w:rFonts w:hint="eastAsia" w:ascii="仿宋" w:hAnsi="仿宋" w:eastAsia="仿宋" w:cs="仿宋"/>
                <w:color w:val="auto"/>
                <w:sz w:val="24"/>
              </w:rPr>
              <w:t>本项目通用总则条款与前附表等专用特别规定有冲突之处，以专用条款（特别规定）为准</w:t>
            </w:r>
          </w:p>
        </w:tc>
      </w:tr>
      <w:tr w14:paraId="663E1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000000" w:sz="8" w:space="0"/>
              <w:bottom w:val="single" w:color="auto" w:sz="4" w:space="0"/>
              <w:right w:val="single" w:color="000000" w:sz="2" w:space="0"/>
            </w:tcBorders>
          </w:tcPr>
          <w:p w14:paraId="71B57FD3">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A7A4FE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0CA079">
            <w:pPr>
              <w:pageBreakBefore w:val="0"/>
              <w:widowControl w:val="0"/>
              <w:kinsoku/>
              <w:wordWrap/>
              <w:overflowPunct/>
              <w:topLinePunct w:val="0"/>
              <w:autoSpaceDE/>
              <w:autoSpaceDN/>
              <w:bidi w:val="0"/>
              <w:spacing w:line="240" w:lineRule="auto"/>
              <w:textAlignment w:val="auto"/>
              <w:rPr>
                <w:rFonts w:hint="eastAsia" w:ascii="仿宋" w:hAnsi="仿宋" w:eastAsia="仿宋" w:cs="仿宋"/>
                <w:b/>
                <w:bCs/>
                <w:color w:val="auto"/>
              </w:rPr>
            </w:pPr>
            <w:r>
              <w:rPr>
                <w:rFonts w:hint="eastAsia" w:ascii="仿宋" w:hAnsi="仿宋" w:eastAsia="仿宋" w:cs="仿宋"/>
                <w:color w:val="auto"/>
                <w:sz w:val="24"/>
              </w:rPr>
              <w:t>本项目每个标项推荐中标候选人数量：1</w:t>
            </w:r>
          </w:p>
        </w:tc>
      </w:tr>
      <w:bookmarkEnd w:id="6"/>
    </w:tbl>
    <w:p w14:paraId="3A884851">
      <w:pPr>
        <w:rPr>
          <w:rFonts w:hint="eastAsia" w:ascii="仿宋" w:hAnsi="仿宋" w:eastAsia="仿宋" w:cs="仿宋"/>
          <w:b/>
          <w:color w:val="auto"/>
          <w:sz w:val="32"/>
          <w:szCs w:val="20"/>
        </w:rPr>
      </w:pPr>
      <w:bookmarkStart w:id="7" w:name="_Toc164416483"/>
      <w:bookmarkStart w:id="8" w:name="第三部分"/>
      <w:r>
        <w:rPr>
          <w:rFonts w:hint="eastAsia" w:ascii="仿宋" w:hAnsi="仿宋" w:eastAsia="仿宋" w:cs="仿宋"/>
          <w:b/>
          <w:color w:val="auto"/>
          <w:sz w:val="32"/>
          <w:szCs w:val="20"/>
        </w:rPr>
        <w:br w:type="page"/>
      </w:r>
    </w:p>
    <w:p w14:paraId="6B9ED692">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59772061">
      <w:pPr>
        <w:snapToGrid w:val="0"/>
        <w:spacing w:line="360" w:lineRule="auto"/>
        <w:jc w:val="left"/>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0038DC7B">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5F05CAF">
      <w:pPr>
        <w:numPr>
          <w:ilvl w:val="0"/>
          <w:numId w:val="1"/>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4B1E3F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0BEA441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6E8E7E8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03A3AC4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7802C84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F899D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004DF8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640A20EA">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7FA02822">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365F0FE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0B67595F">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E50AF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47DEC8F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10B0615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34FD4A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065CCD2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26854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08A41477">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811F2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29859C3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6DC12EA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6139307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D1766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62F7C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7DA4F6C2">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048D82C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531E726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AAFABF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3CF518A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5895C906">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5E5BDFB2">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4989EF40">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8E53E3">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3C52EC3F">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A09B96">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1BFDB9D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76CD33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DD3F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3012741D">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0FB4A07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58EED8EF">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454D1D88">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1C1589DC">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4FBAA65C">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246FEB09">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4A2B8ED7">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11B72395">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869AE9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3CAE22CA">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74AC40">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4BCE5DD9">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6176937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AEA8410">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646684BD">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18231C4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215172B1">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48BA9A4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1A1C126B">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7683B488">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1B2B77C2">
      <w:pPr>
        <w:pStyle w:val="32"/>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07771D10">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65EDC2AB">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284F4A3F">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78A75B3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1717B56D">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0FA8AB2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223E48B9">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6D254A25">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62BD113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C763C1">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3DB95C30">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7E8F2B85">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7BCA19A9">
      <w:pPr>
        <w:pStyle w:val="32"/>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4723AA84">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10820FF4">
      <w:pPr>
        <w:pStyle w:val="32"/>
        <w:numPr>
          <w:ilvl w:val="0"/>
          <w:numId w:val="2"/>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485BEBCA">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2FA8B14A">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257CFD16">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BD8478C">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47DD703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3BF0356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404F603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6CA21B4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16C9C1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2AE5ADD">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57153FA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20D90CD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36B18C3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03D2DF8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4F3C43F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21271A1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735C257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0D2EEE7D">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6D7C1EA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154E51A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4DB10F0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14:paraId="56BCE408">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2A8E9B74">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14:paraId="7603ED4C">
      <w:pPr>
        <w:pStyle w:val="12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14EE7096">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FC785E">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C7B6BE">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1E17D66D">
      <w:pPr>
        <w:numPr>
          <w:ilvl w:val="0"/>
          <w:numId w:val="3"/>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7393139A">
      <w:pPr>
        <w:pStyle w:val="12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0E8FC120">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7701E139">
      <w:pPr>
        <w:pStyle w:val="12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7C39406B">
      <w:pPr>
        <w:pStyle w:val="12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336C2390">
      <w:pPr>
        <w:pStyle w:val="12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2E738C3">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2D981C5">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41EB6130">
      <w:pPr>
        <w:pStyle w:val="32"/>
        <w:numPr>
          <w:ilvl w:val="0"/>
          <w:numId w:val="4"/>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4E806F9D">
      <w:pPr>
        <w:pStyle w:val="32"/>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75DC923C">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29EDF2B7">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32E205E">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4061B94F">
      <w:pPr>
        <w:pStyle w:val="32"/>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7997E25F">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370290B5">
      <w:pPr>
        <w:pStyle w:val="16"/>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1B95C86E">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39827459">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19420ADA">
      <w:pPr>
        <w:pStyle w:val="12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1F7CE1AC">
      <w:pPr>
        <w:pStyle w:val="12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0CC1EA6">
      <w:pPr>
        <w:pStyle w:val="129"/>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11504F9D">
      <w:pPr>
        <w:pStyle w:val="129"/>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14:paraId="3DC310CE">
      <w:pPr>
        <w:pStyle w:val="556"/>
        <w:spacing w:before="0" w:line="360" w:lineRule="auto"/>
        <w:ind w:left="0" w:firstLine="0"/>
        <w:contextualSpacing/>
        <w:rPr>
          <w:rFonts w:hint="eastAsia" w:ascii="仿宋" w:hAnsi="仿宋" w:eastAsia="仿宋" w:cs="仿宋"/>
          <w:color w:val="auto"/>
          <w:sz w:val="24"/>
        </w:rPr>
      </w:pPr>
      <w:r>
        <w:rPr>
          <w:rFonts w:hint="eastAsia" w:ascii="仿宋" w:hAnsi="仿宋" w:eastAsia="仿宋" w:cs="仿宋"/>
          <w:b/>
          <w:color w:val="auto"/>
          <w:sz w:val="24"/>
          <w:szCs w:val="24"/>
        </w:rPr>
        <w:t>18. 开标</w:t>
      </w:r>
      <w:r>
        <w:rPr>
          <w:rFonts w:hint="eastAsia" w:ascii="仿宋" w:hAnsi="仿宋" w:eastAsia="仿宋" w:cs="仿宋"/>
          <w:color w:val="auto"/>
          <w:sz w:val="24"/>
        </w:rPr>
        <w:t xml:space="preserve"> </w:t>
      </w:r>
    </w:p>
    <w:p w14:paraId="0F084E38">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14:paraId="1BEB59E3">
      <w:pPr>
        <w:pStyle w:val="556"/>
        <w:spacing w:before="0" w:line="360" w:lineRule="auto"/>
        <w:ind w:left="0" w:leftChars="0" w:firstLine="422" w:firstLineChars="0"/>
        <w:contextualSpacing/>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61444514">
      <w:pPr>
        <w:pStyle w:val="556"/>
        <w:spacing w:before="0" w:line="360" w:lineRule="auto"/>
        <w:ind w:left="0" w:leftChars="0" w:firstLine="422" w:firstLineChars="0"/>
        <w:contextualSpacing/>
        <w:rPr>
          <w:rFonts w:hint="eastAsia" w:ascii="仿宋" w:hAnsi="仿宋" w:eastAsia="仿宋" w:cs="仿宋"/>
          <w:b/>
          <w:color w:val="auto"/>
          <w:sz w:val="24"/>
        </w:rPr>
      </w:pPr>
      <w:r>
        <w:rPr>
          <w:rFonts w:hint="eastAsia"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0565164E">
      <w:pPr>
        <w:widowControl/>
        <w:numPr>
          <w:ilvl w:val="0"/>
          <w:numId w:val="6"/>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7E35C61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36789B4B">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093B154D">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0312019E">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22CB95E2">
      <w:pPr>
        <w:pStyle w:val="129"/>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3AF2EE54">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116C0BC">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773314CD">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6B089AB6">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30B9AD4F">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五、评标</w:t>
      </w:r>
    </w:p>
    <w:p w14:paraId="673261CF">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298C328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六、定标</w:t>
      </w:r>
    </w:p>
    <w:p w14:paraId="7A6ADA8B">
      <w:pPr>
        <w:pStyle w:val="1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05F02907">
      <w:pPr>
        <w:pStyle w:val="12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940E9BD">
      <w:pPr>
        <w:pStyle w:val="12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6E7329E6">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362FC182">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281BE15">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3CE2394C">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543F8EF7">
      <w:pPr>
        <w:pStyle w:val="1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14:paraId="16768841">
      <w:pPr>
        <w:pStyle w:val="1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14:paraId="709286EE">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2BA273">
      <w:pPr>
        <w:pStyle w:val="12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42E765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52620E62">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08A2C917">
      <w:pPr>
        <w:pStyle w:val="129"/>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14:paraId="3A4271E8">
      <w:pPr>
        <w:pStyle w:val="1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14:paraId="725B6786">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8DE05E">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w:t>
      </w:r>
    </w:p>
    <w:p w14:paraId="29EEF58E">
      <w:pPr>
        <w:numPr>
          <w:ilvl w:val="0"/>
          <w:numId w:val="7"/>
        </w:numPr>
        <w:tabs>
          <w:tab w:val="left" w:pos="0"/>
        </w:tabs>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供应商在合同列表选择需要投保的合同，点击[保函推荐]。</w:t>
      </w:r>
    </w:p>
    <w:p w14:paraId="51A718F1">
      <w:pPr>
        <w:numPr>
          <w:ilvl w:val="0"/>
          <w:numId w:val="7"/>
        </w:numPr>
        <w:tabs>
          <w:tab w:val="left" w:pos="0"/>
        </w:tabs>
        <w:spacing w:line="360" w:lineRule="auto"/>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在弹框里查看推荐的保函产品，供应商自行选择保函产品，点击[立即申请]</w:t>
      </w:r>
      <w:r>
        <w:rPr>
          <w:rFonts w:hint="eastAsia" w:ascii="仿宋" w:hAnsi="仿宋" w:eastAsia="仿宋" w:cs="仿宋"/>
          <w:snapToGrid w:val="0"/>
          <w:color w:val="auto"/>
          <w:kern w:val="28"/>
          <w:sz w:val="24"/>
          <w:lang w:eastAsia="zh-CN"/>
        </w:rPr>
        <w:t>。</w:t>
      </w:r>
    </w:p>
    <w:p w14:paraId="22CC80D0">
      <w:pPr>
        <w:numPr>
          <w:ilvl w:val="0"/>
          <w:numId w:val="0"/>
        </w:numPr>
        <w:tabs>
          <w:tab w:val="left" w:pos="0"/>
        </w:tabs>
        <w:spacing w:line="360" w:lineRule="auto"/>
        <w:ind w:lef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59835014">
      <w:pPr>
        <w:pStyle w:val="1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lang w:val="en-US" w:eastAsia="zh-CN"/>
        </w:rPr>
        <w:t xml:space="preserve">27. </w:t>
      </w:r>
      <w:r>
        <w:rPr>
          <w:rFonts w:hint="eastAsia" w:ascii="仿宋" w:hAnsi="仿宋" w:eastAsia="仿宋" w:cs="仿宋"/>
          <w:b/>
          <w:color w:val="auto"/>
          <w:lang w:val="en-US"/>
        </w:rPr>
        <w:t>预付款</w:t>
      </w:r>
    </w:p>
    <w:p w14:paraId="54E1CF61">
      <w:pPr>
        <w:adjustRightInd/>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81486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49D43BD7">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4740E8D4">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28.1电子交易平台发生故障而无法登录访问的； </w:t>
      </w:r>
    </w:p>
    <w:p w14:paraId="072AC21F">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28.2电子交易平台应用或数据库出现错误，不能进行正常操作的；</w:t>
      </w:r>
    </w:p>
    <w:p w14:paraId="5BB3DC86">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28.3电子交易平台发现严重安全漏洞，有潜在泄密危险的；</w:t>
      </w:r>
    </w:p>
    <w:p w14:paraId="31795B1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28.4病毒发作导致不能进行正常操作的； </w:t>
      </w:r>
    </w:p>
    <w:p w14:paraId="2A7964B1">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28.5其他无法保证电子交易的公平、公正和安全的情况。</w:t>
      </w:r>
    </w:p>
    <w:p w14:paraId="4022A52F">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48CF923A">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59942AAB">
      <w:pPr>
        <w:pStyle w:val="1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30. 验收</w:t>
      </w:r>
    </w:p>
    <w:p w14:paraId="34BA6EC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352D2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14:paraId="7BD3EF3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EC7235">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12A2C182">
      <w:pPr>
        <w:widowControl/>
        <w:adjustRightInd/>
        <w:jc w:val="left"/>
        <w:rPr>
          <w:rFonts w:hint="eastAsia" w:ascii="仿宋" w:hAnsi="仿宋" w:eastAsia="仿宋" w:cs="仿宋"/>
          <w:color w:val="auto"/>
          <w:kern w:val="0"/>
          <w:sz w:val="24"/>
        </w:rPr>
      </w:pPr>
      <w:bookmarkStart w:id="13" w:name="_Hlt74714665"/>
      <w:bookmarkEnd w:id="13"/>
      <w:bookmarkStart w:id="14" w:name="_Hlt68403820"/>
      <w:bookmarkEnd w:id="14"/>
      <w:bookmarkStart w:id="15" w:name="_Hlt68073093"/>
      <w:bookmarkEnd w:id="15"/>
      <w:bookmarkStart w:id="16" w:name="_Hlt75236101"/>
      <w:bookmarkEnd w:id="16"/>
      <w:bookmarkStart w:id="17" w:name="_Hlt68072998"/>
      <w:bookmarkEnd w:id="17"/>
      <w:bookmarkStart w:id="18" w:name="_Hlt74730295"/>
      <w:bookmarkEnd w:id="18"/>
      <w:bookmarkStart w:id="19" w:name="_Hlt74707468"/>
      <w:bookmarkEnd w:id="19"/>
      <w:bookmarkStart w:id="20" w:name="_Hlt75236011"/>
      <w:bookmarkEnd w:id="20"/>
      <w:bookmarkStart w:id="21" w:name="_Hlt68072990"/>
      <w:bookmarkEnd w:id="21"/>
      <w:bookmarkStart w:id="22" w:name="_Hlt75236290"/>
      <w:bookmarkEnd w:id="22"/>
      <w:bookmarkStart w:id="23" w:name="_Hlt74729768"/>
      <w:bookmarkEnd w:id="23"/>
      <w:bookmarkStart w:id="24" w:name="_Hlt68057669"/>
      <w:bookmarkEnd w:id="24"/>
      <w:bookmarkStart w:id="25" w:name="第四部分"/>
      <w:r>
        <w:rPr>
          <w:rFonts w:hint="eastAsia" w:ascii="仿宋" w:hAnsi="仿宋" w:eastAsia="仿宋" w:cs="仿宋"/>
          <w:color w:val="auto"/>
          <w:kern w:val="0"/>
          <w:sz w:val="24"/>
        </w:rPr>
        <w:br w:type="page"/>
      </w:r>
    </w:p>
    <w:p w14:paraId="1EBA6D75">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7C5DEED4">
      <w:pPr>
        <w:snapToGrid w:val="0"/>
        <w:rPr>
          <w:rStyle w:val="963"/>
          <w:rFonts w:hint="eastAsia" w:ascii="仿宋" w:hAnsi="仿宋" w:eastAsia="仿宋" w:cs="仿宋"/>
          <w:i w:val="0"/>
          <w:iCs w:val="0"/>
          <w:color w:val="auto"/>
        </w:rPr>
      </w:pPr>
      <w:r>
        <w:rPr>
          <w:rStyle w:val="963"/>
          <w:rFonts w:hint="eastAsia" w:ascii="仿宋" w:hAnsi="仿宋" w:eastAsia="仿宋" w:cs="仿宋"/>
          <w:i w:val="0"/>
          <w:iCs w:val="0"/>
          <w:color w:val="auto"/>
        </w:rPr>
        <w:t>属于实质性要求条款的，请用符号“▲”标明，否则属于非实质性要求。“★”系产品采购项目中单一产品或核心产品。</w:t>
      </w:r>
    </w:p>
    <w:p w14:paraId="21DD2DD2">
      <w:pPr>
        <w:pStyle w:val="2"/>
        <w:numPr>
          <w:ilvl w:val="0"/>
          <w:numId w:val="8"/>
        </w:numPr>
        <w:jc w:val="center"/>
        <w:rPr>
          <w:rFonts w:hint="eastAsia" w:ascii="仿宋" w:hAnsi="仿宋" w:eastAsia="仿宋" w:cs="仿宋"/>
          <w:color w:val="auto"/>
        </w:rPr>
      </w:pPr>
      <w:r>
        <w:rPr>
          <w:rFonts w:hint="eastAsia" w:ascii="仿宋" w:hAnsi="仿宋" w:eastAsia="仿宋" w:cs="仿宋"/>
          <w:color w:val="auto"/>
        </w:rPr>
        <w:t>招标一览表</w:t>
      </w:r>
    </w:p>
    <w:p w14:paraId="742B48F3">
      <w:pPr>
        <w:pStyle w:val="5"/>
        <w:rPr>
          <w:rFonts w:hint="eastAsia" w:ascii="仿宋" w:hAnsi="仿宋" w:eastAsia="仿宋" w:cs="仿宋"/>
          <w:color w:val="auto"/>
          <w:lang w:eastAsia="zh-CN"/>
        </w:rPr>
      </w:pPr>
      <w:r>
        <w:rPr>
          <w:rFonts w:hint="eastAsia" w:ascii="仿宋" w:hAnsi="仿宋" w:eastAsia="仿宋" w:cs="仿宋"/>
          <w:color w:val="auto"/>
        </w:rPr>
        <w:t>标项一：</w:t>
      </w:r>
      <w:r>
        <w:rPr>
          <w:rFonts w:hint="eastAsia" w:ascii="仿宋" w:hAnsi="仿宋" w:eastAsia="仿宋" w:cs="仿宋"/>
          <w:color w:val="auto"/>
          <w:lang w:eastAsia="zh-CN"/>
        </w:rPr>
        <w:t>北干街道2024年智慧小区改造服务项目</w:t>
      </w:r>
    </w:p>
    <w:tbl>
      <w:tblPr>
        <w:tblStyle w:val="62"/>
        <w:tblpPr w:leftFromText="180" w:rightFromText="180" w:vertAnchor="text" w:horzAnchor="margin" w:tblpXSpec="center" w:tblpY="63"/>
        <w:tblOverlap w:val="never"/>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2718"/>
        <w:gridCol w:w="757"/>
        <w:gridCol w:w="723"/>
        <w:gridCol w:w="1010"/>
        <w:gridCol w:w="1703"/>
        <w:gridCol w:w="2240"/>
      </w:tblGrid>
      <w:tr w14:paraId="2A5E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86" w:type="dxa"/>
            <w:tcMar>
              <w:top w:w="15" w:type="dxa"/>
              <w:left w:w="15" w:type="dxa"/>
              <w:bottom w:w="0" w:type="dxa"/>
              <w:right w:w="15" w:type="dxa"/>
            </w:tcMar>
            <w:vAlign w:val="center"/>
          </w:tcPr>
          <w:p w14:paraId="2EC38EAE">
            <w:pPr>
              <w:tabs>
                <w:tab w:val="left" w:pos="0"/>
              </w:tabs>
              <w:snapToGrid w:val="0"/>
              <w:jc w:val="center"/>
              <w:rPr>
                <w:rFonts w:hint="eastAsia" w:ascii="仿宋" w:hAnsi="仿宋" w:eastAsia="仿宋" w:cs="仿宋"/>
                <w:color w:val="auto"/>
                <w:sz w:val="22"/>
                <w:szCs w:val="28"/>
              </w:rPr>
            </w:pPr>
            <w:r>
              <w:rPr>
                <w:rFonts w:hint="eastAsia" w:ascii="仿宋" w:hAnsi="仿宋" w:eastAsia="仿宋" w:cs="仿宋"/>
                <w:color w:val="auto"/>
                <w:sz w:val="22"/>
                <w:szCs w:val="28"/>
              </w:rPr>
              <w:t>序号</w:t>
            </w:r>
          </w:p>
        </w:tc>
        <w:tc>
          <w:tcPr>
            <w:tcW w:w="2718" w:type="dxa"/>
            <w:tcMar>
              <w:top w:w="15" w:type="dxa"/>
              <w:left w:w="15" w:type="dxa"/>
              <w:bottom w:w="0" w:type="dxa"/>
              <w:right w:w="15" w:type="dxa"/>
            </w:tcMar>
            <w:vAlign w:val="center"/>
          </w:tcPr>
          <w:p w14:paraId="7113B2B3">
            <w:pPr>
              <w:tabs>
                <w:tab w:val="left" w:pos="0"/>
              </w:tabs>
              <w:snapToGrid w:val="0"/>
              <w:jc w:val="center"/>
              <w:rPr>
                <w:rFonts w:hint="eastAsia" w:ascii="仿宋" w:hAnsi="仿宋" w:eastAsia="仿宋" w:cs="仿宋"/>
                <w:color w:val="auto"/>
                <w:sz w:val="22"/>
                <w:szCs w:val="28"/>
              </w:rPr>
            </w:pPr>
            <w:r>
              <w:rPr>
                <w:rFonts w:hint="eastAsia" w:ascii="仿宋" w:hAnsi="仿宋" w:eastAsia="仿宋" w:cs="仿宋"/>
                <w:color w:val="auto"/>
                <w:sz w:val="22"/>
                <w:szCs w:val="28"/>
              </w:rPr>
              <w:t>名称</w:t>
            </w:r>
          </w:p>
        </w:tc>
        <w:tc>
          <w:tcPr>
            <w:tcW w:w="757" w:type="dxa"/>
            <w:tcMar>
              <w:top w:w="15" w:type="dxa"/>
              <w:left w:w="15" w:type="dxa"/>
              <w:bottom w:w="0" w:type="dxa"/>
              <w:right w:w="15" w:type="dxa"/>
            </w:tcMar>
            <w:vAlign w:val="center"/>
          </w:tcPr>
          <w:p w14:paraId="1A458072">
            <w:pPr>
              <w:tabs>
                <w:tab w:val="left" w:pos="0"/>
              </w:tabs>
              <w:snapToGrid w:val="0"/>
              <w:jc w:val="center"/>
              <w:rPr>
                <w:rFonts w:hint="eastAsia" w:ascii="仿宋" w:hAnsi="仿宋" w:eastAsia="仿宋" w:cs="仿宋"/>
                <w:color w:val="auto"/>
                <w:sz w:val="22"/>
                <w:szCs w:val="28"/>
              </w:rPr>
            </w:pPr>
            <w:r>
              <w:rPr>
                <w:rFonts w:hint="eastAsia" w:ascii="仿宋" w:hAnsi="仿宋" w:eastAsia="仿宋" w:cs="仿宋"/>
                <w:color w:val="auto"/>
                <w:sz w:val="22"/>
                <w:szCs w:val="28"/>
              </w:rPr>
              <w:t>数量</w:t>
            </w:r>
          </w:p>
        </w:tc>
        <w:tc>
          <w:tcPr>
            <w:tcW w:w="723" w:type="dxa"/>
            <w:tcMar>
              <w:top w:w="15" w:type="dxa"/>
              <w:left w:w="15" w:type="dxa"/>
              <w:bottom w:w="0" w:type="dxa"/>
              <w:right w:w="15" w:type="dxa"/>
            </w:tcMar>
            <w:vAlign w:val="center"/>
          </w:tcPr>
          <w:p w14:paraId="370BF098">
            <w:pPr>
              <w:tabs>
                <w:tab w:val="left" w:pos="0"/>
              </w:tabs>
              <w:snapToGrid w:val="0"/>
              <w:jc w:val="center"/>
              <w:rPr>
                <w:rFonts w:hint="eastAsia" w:ascii="仿宋" w:hAnsi="仿宋" w:eastAsia="仿宋" w:cs="仿宋"/>
                <w:color w:val="auto"/>
                <w:sz w:val="22"/>
                <w:szCs w:val="28"/>
              </w:rPr>
            </w:pPr>
            <w:r>
              <w:rPr>
                <w:rFonts w:hint="eastAsia" w:ascii="仿宋" w:hAnsi="仿宋" w:eastAsia="仿宋" w:cs="仿宋"/>
                <w:color w:val="auto"/>
                <w:sz w:val="22"/>
                <w:szCs w:val="28"/>
              </w:rPr>
              <w:t>单位</w:t>
            </w:r>
          </w:p>
        </w:tc>
        <w:tc>
          <w:tcPr>
            <w:tcW w:w="1010" w:type="dxa"/>
            <w:vAlign w:val="center"/>
          </w:tcPr>
          <w:p w14:paraId="0B9D9594">
            <w:pPr>
              <w:tabs>
                <w:tab w:val="left" w:pos="0"/>
              </w:tabs>
              <w:snapToGrid w:val="0"/>
              <w:jc w:val="center"/>
              <w:rPr>
                <w:rFonts w:hint="eastAsia" w:ascii="仿宋" w:hAnsi="仿宋" w:eastAsia="仿宋" w:cs="仿宋"/>
                <w:color w:val="auto"/>
                <w:sz w:val="22"/>
                <w:szCs w:val="28"/>
              </w:rPr>
            </w:pPr>
            <w:r>
              <w:rPr>
                <w:rFonts w:hint="eastAsia" w:ascii="仿宋" w:hAnsi="仿宋" w:eastAsia="仿宋" w:cs="仿宋"/>
                <w:color w:val="auto"/>
                <w:sz w:val="22"/>
                <w:szCs w:val="28"/>
              </w:rPr>
              <w:t>预算（元）</w:t>
            </w:r>
          </w:p>
        </w:tc>
        <w:tc>
          <w:tcPr>
            <w:tcW w:w="1703" w:type="dxa"/>
            <w:vAlign w:val="center"/>
          </w:tcPr>
          <w:p w14:paraId="50FD83A4">
            <w:pPr>
              <w:tabs>
                <w:tab w:val="left" w:pos="0"/>
              </w:tabs>
              <w:snapToGrid w:val="0"/>
              <w:jc w:val="center"/>
              <w:rPr>
                <w:rFonts w:hint="eastAsia" w:ascii="仿宋" w:hAnsi="仿宋" w:eastAsia="仿宋" w:cs="仿宋"/>
                <w:color w:val="auto"/>
                <w:sz w:val="22"/>
                <w:szCs w:val="28"/>
              </w:rPr>
            </w:pPr>
            <w:r>
              <w:rPr>
                <w:rFonts w:hint="eastAsia" w:ascii="仿宋" w:hAnsi="仿宋" w:eastAsia="仿宋" w:cs="仿宋"/>
                <w:color w:val="auto"/>
                <w:sz w:val="22"/>
                <w:szCs w:val="28"/>
              </w:rPr>
              <w:t>简要规格描述或基本情况介绍</w:t>
            </w:r>
          </w:p>
        </w:tc>
        <w:tc>
          <w:tcPr>
            <w:tcW w:w="2240" w:type="dxa"/>
            <w:vAlign w:val="center"/>
          </w:tcPr>
          <w:p w14:paraId="786FF78A">
            <w:pPr>
              <w:tabs>
                <w:tab w:val="left" w:pos="0"/>
              </w:tabs>
              <w:snapToGrid w:val="0"/>
              <w:jc w:val="center"/>
              <w:rPr>
                <w:rFonts w:hint="eastAsia" w:ascii="仿宋" w:hAnsi="仿宋" w:eastAsia="仿宋" w:cs="仿宋"/>
                <w:color w:val="auto"/>
                <w:sz w:val="22"/>
                <w:szCs w:val="28"/>
              </w:rPr>
            </w:pPr>
            <w:r>
              <w:rPr>
                <w:rFonts w:hint="eastAsia" w:ascii="仿宋" w:hAnsi="仿宋" w:eastAsia="仿宋" w:cs="仿宋"/>
                <w:color w:val="auto"/>
                <w:sz w:val="22"/>
                <w:szCs w:val="28"/>
              </w:rPr>
              <w:t>最高限价（元）</w:t>
            </w:r>
          </w:p>
        </w:tc>
      </w:tr>
      <w:tr w14:paraId="1587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586" w:type="dxa"/>
            <w:tcMar>
              <w:top w:w="15" w:type="dxa"/>
              <w:left w:w="15" w:type="dxa"/>
              <w:bottom w:w="0" w:type="dxa"/>
              <w:right w:w="15" w:type="dxa"/>
            </w:tcMar>
            <w:vAlign w:val="center"/>
          </w:tcPr>
          <w:p w14:paraId="22CC1892">
            <w:pPr>
              <w:tabs>
                <w:tab w:val="left" w:pos="0"/>
              </w:tabs>
              <w:jc w:val="center"/>
              <w:rPr>
                <w:rFonts w:hint="eastAsia" w:ascii="仿宋" w:hAnsi="仿宋" w:eastAsia="仿宋" w:cs="仿宋"/>
                <w:color w:val="auto"/>
                <w:sz w:val="22"/>
                <w:szCs w:val="28"/>
              </w:rPr>
            </w:pPr>
            <w:r>
              <w:rPr>
                <w:rFonts w:hint="eastAsia" w:ascii="仿宋" w:hAnsi="仿宋" w:eastAsia="仿宋" w:cs="仿宋"/>
                <w:color w:val="auto"/>
                <w:sz w:val="22"/>
                <w:szCs w:val="28"/>
              </w:rPr>
              <w:t>1</w:t>
            </w:r>
          </w:p>
        </w:tc>
        <w:tc>
          <w:tcPr>
            <w:tcW w:w="2718" w:type="dxa"/>
            <w:tcMar>
              <w:top w:w="15" w:type="dxa"/>
              <w:left w:w="15" w:type="dxa"/>
              <w:bottom w:w="0" w:type="dxa"/>
              <w:right w:w="15" w:type="dxa"/>
            </w:tcMar>
            <w:vAlign w:val="center"/>
          </w:tcPr>
          <w:p w14:paraId="363EAC0F">
            <w:pPr>
              <w:jc w:val="center"/>
              <w:textAlignment w:val="center"/>
              <w:rPr>
                <w:rFonts w:hint="eastAsia" w:ascii="仿宋" w:hAnsi="仿宋" w:eastAsia="仿宋" w:cs="仿宋"/>
                <w:color w:val="auto"/>
                <w:sz w:val="22"/>
                <w:szCs w:val="28"/>
                <w:lang w:eastAsia="zh-CN"/>
              </w:rPr>
            </w:pPr>
            <w:r>
              <w:rPr>
                <w:rFonts w:hint="eastAsia" w:ascii="仿宋" w:hAnsi="仿宋" w:eastAsia="仿宋" w:cs="仿宋"/>
                <w:color w:val="auto"/>
                <w:sz w:val="22"/>
                <w:szCs w:val="28"/>
                <w:lang w:eastAsia="zh-CN"/>
              </w:rPr>
              <w:t>北干街道2024年智慧小区改造服务项目</w:t>
            </w:r>
          </w:p>
        </w:tc>
        <w:tc>
          <w:tcPr>
            <w:tcW w:w="757" w:type="dxa"/>
            <w:tcMar>
              <w:top w:w="15" w:type="dxa"/>
              <w:left w:w="15" w:type="dxa"/>
              <w:bottom w:w="0" w:type="dxa"/>
              <w:right w:w="15" w:type="dxa"/>
            </w:tcMar>
            <w:vAlign w:val="center"/>
          </w:tcPr>
          <w:p w14:paraId="5EB53823">
            <w:pPr>
              <w:jc w:val="center"/>
              <w:textAlignment w:val="center"/>
              <w:rPr>
                <w:rFonts w:hint="eastAsia"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1</w:t>
            </w:r>
          </w:p>
        </w:tc>
        <w:tc>
          <w:tcPr>
            <w:tcW w:w="723" w:type="dxa"/>
            <w:tcMar>
              <w:top w:w="15" w:type="dxa"/>
              <w:left w:w="15" w:type="dxa"/>
              <w:bottom w:w="0" w:type="dxa"/>
              <w:right w:w="15" w:type="dxa"/>
            </w:tcMar>
            <w:vAlign w:val="center"/>
          </w:tcPr>
          <w:p w14:paraId="1D0410D4">
            <w:pPr>
              <w:jc w:val="center"/>
              <w:textAlignment w:val="center"/>
              <w:rPr>
                <w:rFonts w:hint="eastAsia"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项</w:t>
            </w:r>
          </w:p>
        </w:tc>
        <w:tc>
          <w:tcPr>
            <w:tcW w:w="1010" w:type="dxa"/>
            <w:vAlign w:val="center"/>
          </w:tcPr>
          <w:p w14:paraId="588B282D">
            <w:pPr>
              <w:jc w:val="center"/>
              <w:textAlignment w:val="center"/>
              <w:rPr>
                <w:rFonts w:hint="eastAsia" w:ascii="仿宋" w:hAnsi="仿宋" w:eastAsia="仿宋" w:cs="仿宋"/>
                <w:color w:val="auto"/>
                <w:sz w:val="22"/>
                <w:szCs w:val="28"/>
                <w:lang w:val="en-US" w:eastAsia="zh-CN"/>
              </w:rPr>
            </w:pPr>
            <w:r>
              <w:rPr>
                <w:rFonts w:hint="eastAsia" w:ascii="仿宋" w:hAnsi="仿宋" w:eastAsia="仿宋" w:cs="仿宋"/>
                <w:color w:val="auto"/>
                <w:sz w:val="22"/>
                <w:szCs w:val="28"/>
                <w:lang w:val="en-US" w:eastAsia="zh-CN"/>
              </w:rPr>
              <w:t>1550000</w:t>
            </w:r>
          </w:p>
        </w:tc>
        <w:tc>
          <w:tcPr>
            <w:tcW w:w="1703" w:type="dxa"/>
            <w:vAlign w:val="center"/>
          </w:tcPr>
          <w:p w14:paraId="10EF3BAB">
            <w:pPr>
              <w:tabs>
                <w:tab w:val="left" w:pos="0"/>
              </w:tabs>
              <w:jc w:val="center"/>
              <w:rPr>
                <w:rFonts w:hint="eastAsia" w:ascii="仿宋" w:hAnsi="仿宋" w:eastAsia="仿宋" w:cs="仿宋"/>
                <w:color w:val="auto"/>
                <w:sz w:val="22"/>
                <w:szCs w:val="28"/>
              </w:rPr>
            </w:pPr>
            <w:r>
              <w:rPr>
                <w:rFonts w:hint="eastAsia" w:ascii="仿宋" w:hAnsi="仿宋" w:eastAsia="仿宋" w:cs="仿宋"/>
                <w:color w:val="auto"/>
                <w:sz w:val="22"/>
                <w:szCs w:val="28"/>
                <w:lang w:eastAsia="zh-Hans"/>
              </w:rPr>
              <w:t>详见采购需求</w:t>
            </w:r>
          </w:p>
        </w:tc>
        <w:tc>
          <w:tcPr>
            <w:tcW w:w="2240" w:type="dxa"/>
            <w:vAlign w:val="center"/>
          </w:tcPr>
          <w:p w14:paraId="6F0A43BC">
            <w:pPr>
              <w:jc w:val="center"/>
              <w:textAlignment w:val="center"/>
              <w:rPr>
                <w:rFonts w:hint="eastAsia" w:ascii="仿宋" w:hAnsi="仿宋" w:eastAsia="仿宋" w:cs="仿宋"/>
                <w:color w:val="auto"/>
                <w:sz w:val="22"/>
                <w:szCs w:val="28"/>
              </w:rPr>
            </w:pPr>
            <w:r>
              <w:rPr>
                <w:rFonts w:hint="eastAsia" w:ascii="仿宋" w:hAnsi="仿宋" w:eastAsia="仿宋" w:cs="仿宋"/>
                <w:color w:val="auto"/>
                <w:sz w:val="22"/>
                <w:szCs w:val="28"/>
                <w:lang w:val="en-US" w:eastAsia="zh-CN"/>
              </w:rPr>
              <w:t>1550000</w:t>
            </w:r>
          </w:p>
        </w:tc>
      </w:tr>
    </w:tbl>
    <w:p w14:paraId="6754E8D3">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仿宋" w:hAnsi="仿宋" w:eastAsia="仿宋" w:cs="仿宋"/>
          <w:b/>
          <w:color w:val="auto"/>
          <w:sz w:val="22"/>
          <w:szCs w:val="22"/>
        </w:rPr>
      </w:pPr>
    </w:p>
    <w:p w14:paraId="15D398A6">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注：▲投标人需在投标（开标）一览表中明确投标报价（总价）及以上各分项小计报价，各分项小计报价不得超过上表各最高限价。</w:t>
      </w:r>
    </w:p>
    <w:p w14:paraId="4E132061">
      <w:pPr>
        <w:rPr>
          <w:rFonts w:hint="eastAsia" w:ascii="仿宋" w:hAnsi="仿宋" w:eastAsia="仿宋" w:cs="仿宋"/>
          <w:bCs/>
          <w:color w:val="auto"/>
          <w:sz w:val="24"/>
          <w:highlight w:val="none"/>
        </w:rPr>
      </w:pPr>
    </w:p>
    <w:p w14:paraId="7ADCF405">
      <w:pPr>
        <w:pStyle w:val="2"/>
        <w:numPr>
          <w:ilvl w:val="0"/>
          <w:numId w:val="9"/>
        </w:numPr>
        <w:ind w:left="630" w:hanging="630"/>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5916FD1D">
      <w:pPr>
        <w:pStyle w:val="4"/>
        <w:keepNext/>
        <w:keepLines/>
        <w:pageBreakBefore w:val="0"/>
        <w:widowControl w:val="0"/>
        <w:kinsoku/>
        <w:wordWrap/>
        <w:overflowPunct/>
        <w:topLinePunct w:val="0"/>
        <w:autoSpaceDE/>
        <w:autoSpaceDN/>
        <w:bidi w:val="0"/>
        <w:adjustRightInd w:val="0"/>
        <w:snapToGrid/>
        <w:spacing w:before="0" w:after="0" w:line="360" w:lineRule="auto"/>
        <w:ind w:left="90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（一）技术需求</w:t>
      </w:r>
    </w:p>
    <w:p w14:paraId="100222D7">
      <w:pPr>
        <w:pStyle w:val="4"/>
        <w:keepNext/>
        <w:keepLines/>
        <w:pageBreakBefore w:val="0"/>
        <w:widowControl w:val="0"/>
        <w:kinsoku/>
        <w:wordWrap/>
        <w:overflowPunct/>
        <w:topLinePunct w:val="0"/>
        <w:autoSpaceDE/>
        <w:autoSpaceDN/>
        <w:bidi w:val="0"/>
        <w:adjustRightInd/>
        <w:snapToGrid/>
        <w:spacing w:before="60" w:after="40" w:line="416" w:lineRule="auto"/>
        <w:ind w:left="72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2.1项目范围</w:t>
      </w:r>
    </w:p>
    <w:p w14:paraId="6EAEEBE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本项目涉及北干街道辖区共计7个小区（详见后附表）智慧安防建设服务,项目包含设备安装服务、系统集成服务、运维服务等相关服务内容。</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1"/>
        <w:gridCol w:w="1864"/>
        <w:gridCol w:w="1562"/>
        <w:gridCol w:w="4885"/>
      </w:tblGrid>
      <w:tr w14:paraId="38A4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56D81BDE">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004"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6C5768DB">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小区名称</w:t>
            </w:r>
          </w:p>
        </w:tc>
        <w:tc>
          <w:tcPr>
            <w:tcW w:w="841"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42DEEEDB">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所属社区</w:t>
            </w:r>
          </w:p>
        </w:tc>
        <w:tc>
          <w:tcPr>
            <w:tcW w:w="2631"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7DD62BB7">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地址</w:t>
            </w:r>
          </w:p>
        </w:tc>
      </w:tr>
      <w:tr w14:paraId="52F7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6DF5E9FC">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04" w:type="pct"/>
            <w:tcBorders>
              <w:top w:val="single" w:color="000000" w:sz="4" w:space="0"/>
              <w:left w:val="single" w:color="000000" w:sz="4" w:space="0"/>
              <w:bottom w:val="single" w:color="000000" w:sz="4" w:space="0"/>
              <w:right w:val="single" w:color="000000" w:sz="4" w:space="0"/>
            </w:tcBorders>
            <w:noWrap/>
            <w:vAlign w:val="center"/>
          </w:tcPr>
          <w:p w14:paraId="6AD34A05">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城中花园</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14EBC23F">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星都社区</w:t>
            </w:r>
          </w:p>
        </w:tc>
        <w:tc>
          <w:tcPr>
            <w:tcW w:w="2631" w:type="pct"/>
            <w:tcBorders>
              <w:top w:val="single" w:color="000000" w:sz="4" w:space="0"/>
              <w:left w:val="single" w:color="000000" w:sz="4" w:space="0"/>
              <w:bottom w:val="single" w:color="000000" w:sz="4" w:space="0"/>
              <w:right w:val="single" w:color="000000" w:sz="4" w:space="0"/>
            </w:tcBorders>
            <w:noWrap/>
            <w:vAlign w:val="center"/>
          </w:tcPr>
          <w:p w14:paraId="4F51351A">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杭州市萧山区市心中路645号</w:t>
            </w:r>
          </w:p>
        </w:tc>
      </w:tr>
      <w:tr w14:paraId="41D0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763B719F">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04" w:type="pct"/>
            <w:tcBorders>
              <w:top w:val="single" w:color="000000" w:sz="4" w:space="0"/>
              <w:left w:val="single" w:color="000000" w:sz="4" w:space="0"/>
              <w:bottom w:val="single" w:color="000000" w:sz="4" w:space="0"/>
              <w:right w:val="single" w:color="000000" w:sz="4" w:space="0"/>
            </w:tcBorders>
            <w:noWrap/>
            <w:vAlign w:val="center"/>
          </w:tcPr>
          <w:p w14:paraId="6F744A6A">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G合里</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4930A300">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星都社区</w:t>
            </w:r>
          </w:p>
        </w:tc>
        <w:tc>
          <w:tcPr>
            <w:tcW w:w="2631" w:type="pct"/>
            <w:tcBorders>
              <w:top w:val="single" w:color="000000" w:sz="4" w:space="0"/>
              <w:left w:val="single" w:color="000000" w:sz="4" w:space="0"/>
              <w:bottom w:val="single" w:color="000000" w:sz="4" w:space="0"/>
              <w:right w:val="single" w:color="000000" w:sz="4" w:space="0"/>
            </w:tcBorders>
            <w:noWrap/>
            <w:vAlign w:val="center"/>
          </w:tcPr>
          <w:p w14:paraId="0AFFCD46">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杭州市萧山区山阴路608号</w:t>
            </w:r>
          </w:p>
        </w:tc>
      </w:tr>
      <w:tr w14:paraId="2D0B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699AB269">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004" w:type="pct"/>
            <w:tcBorders>
              <w:top w:val="single" w:color="000000" w:sz="4" w:space="0"/>
              <w:left w:val="single" w:color="000000" w:sz="4" w:space="0"/>
              <w:bottom w:val="single" w:color="000000" w:sz="4" w:space="0"/>
              <w:right w:val="single" w:color="000000" w:sz="4" w:space="0"/>
            </w:tcBorders>
            <w:noWrap/>
            <w:vAlign w:val="center"/>
          </w:tcPr>
          <w:p w14:paraId="13632041">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城北新村</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21F365B9">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工人路社区</w:t>
            </w:r>
          </w:p>
        </w:tc>
        <w:tc>
          <w:tcPr>
            <w:tcW w:w="2631" w:type="pct"/>
            <w:tcBorders>
              <w:top w:val="single" w:color="000000" w:sz="4" w:space="0"/>
              <w:left w:val="single" w:color="000000" w:sz="4" w:space="0"/>
              <w:bottom w:val="single" w:color="000000" w:sz="4" w:space="0"/>
              <w:right w:val="single" w:color="000000" w:sz="4" w:space="0"/>
            </w:tcBorders>
            <w:noWrap/>
            <w:vAlign w:val="center"/>
          </w:tcPr>
          <w:p w14:paraId="38B70C9B">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杭州市萧山区二棉路和工人路交叉口</w:t>
            </w:r>
          </w:p>
        </w:tc>
      </w:tr>
      <w:tr w14:paraId="093A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0073508E">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004" w:type="pct"/>
            <w:tcBorders>
              <w:top w:val="single" w:color="000000" w:sz="4" w:space="0"/>
              <w:left w:val="single" w:color="000000" w:sz="4" w:space="0"/>
              <w:bottom w:val="single" w:color="000000" w:sz="4" w:space="0"/>
              <w:right w:val="single" w:color="000000" w:sz="4" w:space="0"/>
            </w:tcBorders>
            <w:noWrap/>
            <w:vAlign w:val="center"/>
          </w:tcPr>
          <w:p w14:paraId="62861672">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银河小区</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6D8407EA">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银河社区</w:t>
            </w:r>
          </w:p>
        </w:tc>
        <w:tc>
          <w:tcPr>
            <w:tcW w:w="2631" w:type="pct"/>
            <w:tcBorders>
              <w:top w:val="single" w:color="000000" w:sz="4" w:space="0"/>
              <w:left w:val="single" w:color="000000" w:sz="4" w:space="0"/>
              <w:bottom w:val="single" w:color="000000" w:sz="4" w:space="0"/>
              <w:right w:val="single" w:color="000000" w:sz="4" w:space="0"/>
            </w:tcBorders>
            <w:noWrap/>
            <w:vAlign w:val="center"/>
          </w:tcPr>
          <w:p w14:paraId="6CC0D4B0">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杭州市萧山区永久路219号</w:t>
            </w:r>
          </w:p>
        </w:tc>
      </w:tr>
      <w:tr w14:paraId="38D2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56D9D917">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004" w:type="pct"/>
            <w:tcBorders>
              <w:top w:val="single" w:color="000000" w:sz="4" w:space="0"/>
              <w:left w:val="single" w:color="000000" w:sz="4" w:space="0"/>
              <w:bottom w:val="single" w:color="000000" w:sz="4" w:space="0"/>
              <w:right w:val="single" w:color="000000" w:sz="4" w:space="0"/>
            </w:tcBorders>
            <w:noWrap/>
            <w:vAlign w:val="center"/>
          </w:tcPr>
          <w:p w14:paraId="65E1EC08">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锦宁里</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25F524B1">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畈里张社区</w:t>
            </w:r>
          </w:p>
        </w:tc>
        <w:tc>
          <w:tcPr>
            <w:tcW w:w="2631" w:type="pct"/>
            <w:tcBorders>
              <w:top w:val="single" w:color="000000" w:sz="4" w:space="0"/>
              <w:left w:val="single" w:color="000000" w:sz="4" w:space="0"/>
              <w:bottom w:val="single" w:color="000000" w:sz="4" w:space="0"/>
              <w:right w:val="single" w:color="000000" w:sz="4" w:space="0"/>
            </w:tcBorders>
            <w:noWrap/>
            <w:vAlign w:val="center"/>
          </w:tcPr>
          <w:p w14:paraId="71268411">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杭州市萧山区山阴路与工人路交叉口东南</w:t>
            </w:r>
          </w:p>
        </w:tc>
      </w:tr>
      <w:tr w14:paraId="7267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64C2091F">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004" w:type="pct"/>
            <w:tcBorders>
              <w:top w:val="single" w:color="000000" w:sz="4" w:space="0"/>
              <w:left w:val="single" w:color="000000" w:sz="4" w:space="0"/>
              <w:bottom w:val="single" w:color="000000" w:sz="4" w:space="0"/>
              <w:right w:val="single" w:color="000000" w:sz="4" w:space="0"/>
            </w:tcBorders>
            <w:noWrap/>
            <w:vAlign w:val="center"/>
          </w:tcPr>
          <w:p w14:paraId="225E9F5A">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城建公寓</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5ABFC2E2">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银河社区</w:t>
            </w:r>
          </w:p>
        </w:tc>
        <w:tc>
          <w:tcPr>
            <w:tcW w:w="2631" w:type="pct"/>
            <w:tcBorders>
              <w:top w:val="single" w:color="000000" w:sz="4" w:space="0"/>
              <w:left w:val="single" w:color="000000" w:sz="4" w:space="0"/>
              <w:bottom w:val="single" w:color="000000" w:sz="4" w:space="0"/>
              <w:right w:val="single" w:color="000000" w:sz="4" w:space="0"/>
            </w:tcBorders>
            <w:noWrap/>
            <w:vAlign w:val="center"/>
          </w:tcPr>
          <w:p w14:paraId="4E9BAAF7">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杭州市萧山区永久路267号</w:t>
            </w:r>
          </w:p>
        </w:tc>
      </w:tr>
      <w:tr w14:paraId="3EF1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09D6DF79">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004" w:type="pct"/>
            <w:tcBorders>
              <w:top w:val="single" w:color="000000" w:sz="4" w:space="0"/>
              <w:left w:val="single" w:color="000000" w:sz="4" w:space="0"/>
              <w:bottom w:val="single" w:color="000000" w:sz="4" w:space="0"/>
              <w:right w:val="single" w:color="000000" w:sz="4" w:space="0"/>
            </w:tcBorders>
            <w:noWrap/>
            <w:vAlign w:val="center"/>
          </w:tcPr>
          <w:p w14:paraId="6B47947B">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家乐公寓</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07C4F588">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施家桥社区</w:t>
            </w:r>
          </w:p>
        </w:tc>
        <w:tc>
          <w:tcPr>
            <w:tcW w:w="2631" w:type="pct"/>
            <w:tcBorders>
              <w:top w:val="single" w:color="000000" w:sz="4" w:space="0"/>
              <w:left w:val="single" w:color="000000" w:sz="4" w:space="0"/>
              <w:bottom w:val="single" w:color="000000" w:sz="4" w:space="0"/>
              <w:right w:val="single" w:color="000000" w:sz="4" w:space="0"/>
            </w:tcBorders>
            <w:noWrap/>
            <w:vAlign w:val="center"/>
          </w:tcPr>
          <w:p w14:paraId="7A838920">
            <w:pPr>
              <w:keepNext w:val="0"/>
              <w:keepLines w:val="0"/>
              <w:widowControl/>
              <w:suppressLineNumbers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杭州市萧山区山阴路886号</w:t>
            </w:r>
          </w:p>
        </w:tc>
      </w:tr>
    </w:tbl>
    <w:p w14:paraId="38B79F81">
      <w:pPr>
        <w:pStyle w:val="32"/>
        <w:rPr>
          <w:rFonts w:hint="eastAsia" w:ascii="仿宋" w:hAnsi="仿宋" w:eastAsia="仿宋" w:cs="仿宋"/>
          <w:color w:val="auto"/>
          <w:lang w:val="en-US" w:eastAsia="zh-CN"/>
        </w:rPr>
      </w:pPr>
    </w:p>
    <w:p w14:paraId="1B716209">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需求中提供的清单作为供应商投标报价及成本的重要组成，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6FD94F08">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为交钥匙工程，中标人不得以其它任何理由增加费用。项目实施过程中可能涉及的所有财务成本已经包含在投标总报价当中。中标方在实施过程中，除摄像头等主要设备外，其他所有在本项目施工中用到的附属设备、材料、人工、手续费等，可能与实际采购数量有偏差，中标方不得以此为借口而停止本项目的施工，招标方不追加任何额外费用。因此，投标方须自行考虑报价风险。</w:t>
      </w:r>
    </w:p>
    <w:p w14:paraId="75EADE4D">
      <w:pPr>
        <w:pStyle w:val="4"/>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2.2建设要求及规范：</w:t>
      </w:r>
    </w:p>
    <w:p w14:paraId="4C77F89B">
      <w:pPr>
        <w:pStyle w:val="6"/>
        <w:bidi w:val="0"/>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rPr>
        <w:t>1、系统建设依据</w:t>
      </w:r>
    </w:p>
    <w:p w14:paraId="7BB010C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系统方案的设计和实施必须满足以下规范和要求</w:t>
      </w:r>
    </w:p>
    <w:p w14:paraId="2E4C23D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GB50348-2004《安全防范工程技术规范》</w:t>
      </w:r>
    </w:p>
    <w:p w14:paraId="5C14059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GB/T28181-2017《安全防范视频监控联网系统信息传输、交换、控制技术要求》</w:t>
      </w:r>
    </w:p>
    <w:p w14:paraId="7E72FAE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GB/T1400-2017 《公安视频图像信息应用系统》（1-4部分）</w:t>
      </w:r>
    </w:p>
    <w:p w14:paraId="786739D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Q/GAT002—2006《基于公共运营商的社会治安动态视频监控系统技术规范》</w:t>
      </w:r>
    </w:p>
    <w:p w14:paraId="65812E4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GB50198-94《民用闭路监视电视系统工程技术规范》</w:t>
      </w:r>
    </w:p>
    <w:p w14:paraId="4C53592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GA/T75-94《安全防范工程程序与要求》</w:t>
      </w:r>
    </w:p>
    <w:p w14:paraId="58A814C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GA/T669－2006《城市监控报警联网系统通用技术要求》</w:t>
      </w:r>
    </w:p>
    <w:p w14:paraId="7DABF12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GA/T497－2009《公路车辆智能监测记录系统通用技术条件》</w:t>
      </w:r>
    </w:p>
    <w:p w14:paraId="579AF3A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GA308-2001《安全防范系统验收规范》</w:t>
      </w:r>
    </w:p>
    <w:p w14:paraId="1B9836B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其它视频监控建设国家、地方、行业的相关标准</w:t>
      </w:r>
    </w:p>
    <w:p w14:paraId="101D26B6">
      <w:pPr>
        <w:pStyle w:val="6"/>
        <w:bidi w:val="0"/>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rPr>
        <w:t>2、项目建设要求</w:t>
      </w:r>
    </w:p>
    <w:p w14:paraId="7F3AFD3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服务采购项目为北干街道7个安防小区集成建设及运维服务，包括人脸识别监控、车辆识别监控、小区门禁、业主登记系统、行人车辆道闸、存储设备、应用终端、机房和配套工程等所需设备材料和运维服务(含设备供货、安装、调试、检测、验收)，运维期限为项目竣工验收合格之日起一年，所有费用全部包含在项目招标预算当中，不另外追加费用。</w:t>
      </w:r>
    </w:p>
    <w:p w14:paraId="1C399463">
      <w:pPr>
        <w:pStyle w:val="6"/>
        <w:bidi w:val="0"/>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rPr>
        <w:t>3、系统架构要求</w:t>
      </w:r>
    </w:p>
    <w:p w14:paraId="2A9E4D72">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3.1整体架构：中标方要保证本项目系统架构完全符合《</w:t>
      </w:r>
      <w:r>
        <w:rPr>
          <w:rFonts w:hint="eastAsia" w:ascii="仿宋" w:hAnsi="仿宋" w:eastAsia="仿宋" w:cs="仿宋"/>
          <w:color w:val="auto"/>
          <w:sz w:val="24"/>
          <w:szCs w:val="24"/>
          <w:lang w:val="en-US" w:eastAsia="zh-CN"/>
        </w:rPr>
        <w:t>萧山区</w:t>
      </w:r>
      <w:r>
        <w:rPr>
          <w:rFonts w:hint="eastAsia" w:ascii="仿宋" w:hAnsi="仿宋" w:eastAsia="仿宋" w:cs="仿宋"/>
          <w:color w:val="auto"/>
          <w:sz w:val="24"/>
          <w:szCs w:val="24"/>
        </w:rPr>
        <w:t>智慧安防小区建设实施方案》，并能够通过后期软件升级满足智慧安防小区应用平台版本更新。</w:t>
      </w:r>
    </w:p>
    <w:p w14:paraId="34620FE6">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3.2传输线路：本项目各小区智慧安防小区系统涉及的设备和系统全部采用局域网组网方式，确保网络和数据安全。</w:t>
      </w:r>
    </w:p>
    <w:p w14:paraId="665D39F7">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3.4监控存储：本项目涉及视频监控的录像存储要符合</w:t>
      </w:r>
      <w:r>
        <w:rPr>
          <w:rFonts w:hint="eastAsia" w:ascii="仿宋" w:hAnsi="仿宋" w:eastAsia="仿宋" w:cs="仿宋"/>
          <w:color w:val="auto"/>
          <w:sz w:val="24"/>
          <w:szCs w:val="24"/>
          <w:lang w:val="en-US" w:eastAsia="zh-CN"/>
        </w:rPr>
        <w:t>相关要求</w:t>
      </w:r>
      <w:r>
        <w:rPr>
          <w:rFonts w:hint="eastAsia" w:ascii="仿宋" w:hAnsi="仿宋" w:eastAsia="仿宋" w:cs="仿宋"/>
          <w:color w:val="auto"/>
          <w:sz w:val="24"/>
          <w:szCs w:val="24"/>
        </w:rPr>
        <w:t>；本项目所有视频监控录像存储时间不得少于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0天，另外须保证有2天的应急存储空间用于重要录像资料的锁定保存。</w:t>
      </w:r>
    </w:p>
    <w:p w14:paraId="0B2425FE">
      <w:pPr>
        <w:pStyle w:val="6"/>
        <w:bidi w:val="0"/>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rPr>
        <w:t>4、其他要求</w:t>
      </w:r>
    </w:p>
    <w:p w14:paraId="47F35AF6">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4.1点位确认</w:t>
      </w:r>
    </w:p>
    <w:p w14:paraId="59A1562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中标单位在确认安装点位时应以拍照等形式固定，同时按照《跨区域视频监控联网共享技术规范》（DB33/T629—2007）要求完成点位的编码工作、按照警用地理信息系统数据库视频监控图层数据的要求提供点位精确的经、纬度、通道编号等数据。</w:t>
      </w:r>
    </w:p>
    <w:p w14:paraId="3203DEBD">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4.2安装、调试</w:t>
      </w:r>
    </w:p>
    <w:p w14:paraId="50A7C07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道路开挖审批、接电等由中标单位负责，业主单位协助，费用含在本项建设中标价中；设备的安装必须符合有关标准和规范。</w:t>
      </w:r>
    </w:p>
    <w:p w14:paraId="365B6C06">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4.3竣工验收</w:t>
      </w:r>
    </w:p>
    <w:p w14:paraId="3CF8EAB0">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4.3.1系统调试开通后至少连续试运行一个月无故障或已发现的故障和隐患均已全部排除，所有的技术资料和图纸已向业主单位提交并被接受后，业主单位应及时组织验收，验收合格后，出具验收合格证明。</w:t>
      </w:r>
    </w:p>
    <w:p w14:paraId="4B3CBD1F">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4.3.2若因中标单位产品质量或安装技术问题导致验收不合格，中标单位应及时予以处理，直至验收合格，期间发生的一切相关费用由中标单位承担，业主单位保留向中标单位索赔的权利。</w:t>
      </w:r>
    </w:p>
    <w:p w14:paraId="59552935">
      <w:pPr>
        <w:pStyle w:val="6"/>
        <w:bidi w:val="0"/>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rPr>
        <w:t>5、技术服务和人员培训</w:t>
      </w:r>
    </w:p>
    <w:p w14:paraId="1536C27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项目运行维护期内，用户向中标方告知故障，中标方负责对出现故障的所有设备免费维修和更换，并提供终身优惠维修保养服务，每次维修都将形成的记录，为用户建立一套完整的运行记录。</w:t>
      </w:r>
    </w:p>
    <w:p w14:paraId="71787A46">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5.1提供系统日巡检服务，确保每台服务器稳定；服务器出现异常情况应在8小时内解决。</w:t>
      </w:r>
    </w:p>
    <w:p w14:paraId="1180B82E">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5.2要定期对整个系统进行巡检清洁，遇重大活动和重要保障任务时，接到主管部门的通知时应立即进行检修保障，对系统存在的潜在安全或故障隐患进行分析并提出相应的解决方案加以排除。</w:t>
      </w:r>
    </w:p>
    <w:p w14:paraId="609B28E0">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5.3提供每周7×24小时电话技术服务、技术咨询或现场技术服务。</w:t>
      </w:r>
    </w:p>
    <w:p w14:paraId="41C43EB8">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5.4针对本项目中的所有设备，中标单位需在备件库中有高于或等同于本项目设备型号或系列的备品备件，对无法及时修复的故障先免费更换；备品储备量需达到本项目设备的5%。</w:t>
      </w:r>
    </w:p>
    <w:p w14:paraId="556022BB">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5.5提供系统所有故障排除服务，确保系统进行实时、有效的视频探测、视频监视，图像显示、记录与回放。</w:t>
      </w:r>
    </w:p>
    <w:p w14:paraId="5FAC255A">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5.6提供系统及网络现状测试和评估服务，为客户远程网络视频监控系统提供详细系统测试报告。</w:t>
      </w:r>
    </w:p>
    <w:p w14:paraId="7D23664B">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5.7运行维护服务期内免费提供设备软件升级服务，在网络和设备扩容及软件升级时，中标单位需派技术人员到场免费实施或指导。</w:t>
      </w:r>
    </w:p>
    <w:p w14:paraId="01695302">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5.8在系统验收时，中标单位为客户提供详细的施工文档、设备操作使用指南和维护手册、以及详细的安装调试文档，并提供文档更新服务。</w:t>
      </w:r>
    </w:p>
    <w:p w14:paraId="0001A828">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5.9在设备投入运行后，如对系统软件有所改进，增加新功能，将免费为客户提供使用。</w:t>
      </w:r>
    </w:p>
    <w:p w14:paraId="231875ED">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5.10中标单位在用户所在地能提供长期售后服务配套设施。</w:t>
      </w:r>
    </w:p>
    <w:p w14:paraId="3A3E2B74">
      <w:pPr>
        <w:spacing w:line="360" w:lineRule="auto"/>
        <w:ind w:firstLine="420" w:firstLineChars="200"/>
        <w:rPr>
          <w:rFonts w:hint="eastAsia" w:ascii="仿宋" w:hAnsi="仿宋" w:eastAsia="仿宋" w:cs="仿宋"/>
          <w:color w:val="auto"/>
          <w:sz w:val="24"/>
          <w:szCs w:val="24"/>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5.11设备安装、调试结束后，中标单位应立即派有经验的工程师对业主单位人员进行操作和日常管理的培训，并确保业主单位参与培训的人员能独立、熟练地进行操作。</w:t>
      </w:r>
    </w:p>
    <w:p w14:paraId="66CAB3DE">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sz w:val="24"/>
          <w:szCs w:val="24"/>
        </w:rPr>
        <w:t>5.12投标人每年对采购单位提供免费培训。。</w:t>
      </w:r>
    </w:p>
    <w:p w14:paraId="4E3964F8">
      <w:pPr>
        <w:pStyle w:val="4"/>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2.3各小区建设内容及数据：</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941"/>
        <w:gridCol w:w="5721"/>
        <w:gridCol w:w="540"/>
        <w:gridCol w:w="544"/>
      </w:tblGrid>
      <w:tr w14:paraId="1642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0CBF815">
            <w:pPr>
              <w:keepNext w:val="0"/>
              <w:keepLines w:val="0"/>
              <w:widowControl/>
              <w:suppressLineNumbers w:val="0"/>
              <w:spacing w:after="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045"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7BF15BC9">
            <w:pPr>
              <w:keepNext w:val="0"/>
              <w:keepLines w:val="0"/>
              <w:widowControl/>
              <w:suppressLineNumbers w:val="0"/>
              <w:spacing w:after="0"/>
              <w:jc w:val="left"/>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3079"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6C17FD60">
            <w:pPr>
              <w:keepNext w:val="0"/>
              <w:keepLines w:val="0"/>
              <w:widowControl/>
              <w:suppressLineNumbers w:val="0"/>
              <w:spacing w:after="0"/>
              <w:jc w:val="left"/>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设备参数或服务内容</w:t>
            </w:r>
          </w:p>
        </w:tc>
        <w:tc>
          <w:tcPr>
            <w:tcW w:w="29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0393BC3">
            <w:pPr>
              <w:keepNext w:val="0"/>
              <w:keepLines w:val="0"/>
              <w:widowControl/>
              <w:suppressLineNumbers w:val="0"/>
              <w:spacing w:after="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数量</w:t>
            </w:r>
          </w:p>
        </w:tc>
        <w:tc>
          <w:tcPr>
            <w:tcW w:w="29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21BF261">
            <w:pPr>
              <w:keepNext w:val="0"/>
              <w:keepLines w:val="0"/>
              <w:widowControl/>
              <w:suppressLineNumbers w:val="0"/>
              <w:spacing w:after="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单位</w:t>
            </w:r>
          </w:p>
        </w:tc>
      </w:tr>
      <w:tr w14:paraId="5F8E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F0401A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4708" w:type="pct"/>
            <w:gridSpan w:val="4"/>
            <w:tcBorders>
              <w:top w:val="single" w:color="000000" w:sz="4" w:space="0"/>
              <w:left w:val="single" w:color="000000" w:sz="4" w:space="0"/>
              <w:bottom w:val="single" w:color="000000" w:sz="4" w:space="0"/>
              <w:right w:val="single" w:color="000000" w:sz="4" w:space="0"/>
            </w:tcBorders>
            <w:noWrap w:val="0"/>
            <w:vAlign w:val="center"/>
          </w:tcPr>
          <w:p w14:paraId="67C8372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一、城中花园</w:t>
            </w:r>
          </w:p>
        </w:tc>
      </w:tr>
      <w:tr w14:paraId="4396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132A7B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440A0F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人员通道闸</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DE3CD4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D1B1AA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5437DC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14:paraId="70E4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E08BD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8BE454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人脸门禁</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4017DB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D220B0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0CBC84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7012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BABB49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933508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人脸抓拍MAC探针一体机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D3AF9F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5EC598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C11495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14:paraId="62D4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834EE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EEECEC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监控杆件</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9C3295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根据现场环境定制安装立杆或支架</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451590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B09D75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14:paraId="3A2A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AED4C1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E8925F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网络摄像机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78F634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522BB8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639E11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r>
      <w:tr w14:paraId="29ED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EBDCA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11BD46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存储录像机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048857F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A9755B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4D4360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233C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BB2BFC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592F26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监控级硬盘</w:t>
            </w:r>
          </w:p>
        </w:tc>
        <w:tc>
          <w:tcPr>
            <w:tcW w:w="3079" w:type="pct"/>
            <w:tcBorders>
              <w:top w:val="nil"/>
              <w:left w:val="nil"/>
              <w:bottom w:val="nil"/>
              <w:right w:val="nil"/>
            </w:tcBorders>
            <w:noWrap w:val="0"/>
            <w:vAlign w:val="center"/>
          </w:tcPr>
          <w:p w14:paraId="35D73B3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6T监控存储硬盘</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CEE6B2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B286F3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r>
      <w:tr w14:paraId="5466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6A4C2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60ABDD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1光4电工业以太网收发器</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0A3F4DE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前端1光4电工业以太网设备-1个千兆光口-4个百兆电口-钉轨式-SC单模单纤-20KM（配中心光模块）</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F5BB2B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BCB6B9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r>
      <w:tr w14:paraId="575F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B7CEB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2D1024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数据平台</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7626CD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BFA4E5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B7DEE7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287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15AF82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4A4164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安全网关</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1274D45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EB0AA0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31D8EC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36A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C3E492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6182B1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身份信息识别终端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42C2ED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F5FDE3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4F1FCC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957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C644BC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526CE9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管理控制终端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2F6033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默认内置管理客户端，支持视频监控、门禁、道闸、高空抛物、智慧用电等智慧小区业务应用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A1A5DE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5811A4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5DC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D998C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7FF658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机柜</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097596E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网络机柜，450*550*650，前后网孔门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899351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3F1EF6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898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92AC2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95375B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光汇聚交换机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1E6819B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F4DE77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97651A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643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7704A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4096E5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E9115F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886BBE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9B6CE2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14:paraId="5521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0D18F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0B9BC6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912DFA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AE9A1C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B485AC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9C8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FEF95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A6C6C5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辅材</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966D24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各种零星小材料、接头及配套辅材等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918ECC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30C027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60E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C4C6C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9C3E78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集成调试服务</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E42F33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本小区所有设备安装、施工、调试、集成等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7A4E50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31B8B4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054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88C27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4708" w:type="pct"/>
            <w:gridSpan w:val="4"/>
            <w:tcBorders>
              <w:top w:val="single" w:color="000000" w:sz="4" w:space="0"/>
              <w:left w:val="single" w:color="000000" w:sz="4" w:space="0"/>
              <w:bottom w:val="single" w:color="000000" w:sz="4" w:space="0"/>
              <w:right w:val="single" w:color="000000" w:sz="4" w:space="0"/>
            </w:tcBorders>
            <w:noWrap w:val="0"/>
            <w:vAlign w:val="center"/>
          </w:tcPr>
          <w:p w14:paraId="021B8D5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二、G和里</w:t>
            </w:r>
          </w:p>
        </w:tc>
      </w:tr>
      <w:tr w14:paraId="7523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B31E47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6309CD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出入口视频抓拍单元</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3B44F1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FE8D1E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4DD8ED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79AE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72398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4FDFBD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抓拍立柱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FC1A37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立柱高度：1.3米、立柱直径：60mm、可安装一体机可安装“四行LED显示屏”</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DCF1C8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37CA1C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602B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17EBF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D88B79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基础施工</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16764AB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配套抓拍单元基础施工</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5CDADD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D37EAB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361F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F85A5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71E57D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电梯人脸抓拍</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30E160D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400万1/3"CMOS ICR智能变焦半球网络摄像机</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采用深度学习硬件及算法，提供精准的人车分类侦测，支持越界侦测，区域入侵侦测，进入区域侦测和离开区域侦测</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支持对运动人脸进行检测，跟踪，抓拍，评分，筛选，输出最优的人脸抓图</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最小照度: 彩色：0.005 Lux @（F1.2，AGC ON），0 Lux with IR</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宽动态范围: 120 dB</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调整角度: 水平：0°~355°；垂直：0°~75°；旋转：0°~355°</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镜头: 2.7~12 mm：水平视场角：105.3-34.2°; 垂直视场角：55.1-19.3°; 对角线视场角：125.8-39.5°</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红外波长范围: 850 nm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红外距离: 2.7~12 mm：最远可达30 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最大图像尺寸: 2560 × 1440</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视频压缩标准: 主码流：H.265/H.264</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网络: 1个RJ45 10 M/100 M自适应以太网口</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音频:1路输入（Line in），1路输出（Line out），1个内置麦克风，1个内置扬声器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报警: 1路输入，1路输出（报警输出最大支持DC24 V，1 A或AC24 V，1 A）</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电源输出: DC12 V，100 mA，建议用于拾音器供电</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防水防尘：IP67</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防暴：IK08</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716B6F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2C5612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r>
      <w:tr w14:paraId="1683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F33A1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B1F279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无线网桥</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0611BBD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电梯专用无线网桥</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21543E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F71021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r>
      <w:tr w14:paraId="0898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26863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50922D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网络摄像机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7A6EF1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977D7B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A477DE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0A7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8D5BE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6A6184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人员通道闸</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68639B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648F6A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83F726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3671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3D971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4D2D9A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双机芯中间道</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8FF1F2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4B390D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FC2872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0C16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E77EA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B15822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人员通道闸架空基础</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70E219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定制配套闸机基础及安装底座</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F1243BD">
            <w:pPr>
              <w:spacing w:after="0"/>
              <w:jc w:val="center"/>
              <w:rPr>
                <w:rFonts w:hint="eastAsia" w:ascii="仿宋" w:hAnsi="仿宋" w:eastAsia="仿宋" w:cs="仿宋"/>
                <w:i w:val="0"/>
                <w:iCs w:val="0"/>
                <w:color w:val="auto"/>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82599E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075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CEB5A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0D2F7F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人脸门禁</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0A37E1D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0E4C0E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069EAA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14:paraId="3081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19D6C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1DF512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存储录像机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6A1E34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03397C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A1DB00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3B9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3D430C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23A21E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监控级硬盘</w:t>
            </w:r>
          </w:p>
        </w:tc>
        <w:tc>
          <w:tcPr>
            <w:tcW w:w="3079" w:type="pct"/>
            <w:tcBorders>
              <w:top w:val="nil"/>
              <w:left w:val="nil"/>
              <w:bottom w:val="nil"/>
              <w:right w:val="nil"/>
            </w:tcBorders>
            <w:noWrap w:val="0"/>
            <w:vAlign w:val="center"/>
          </w:tcPr>
          <w:p w14:paraId="6C8F1D9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6T监控存储硬盘</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84B0DF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FD7B84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r>
      <w:tr w14:paraId="65DD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CFAFC1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C94A8A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1光4电工业以太网收发器</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1E5602C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前端1光4电工业以太网设备-1个千兆光口-4个百兆电口-钉轨式-SC单模单纤-20KM（配中心光模块）</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BCD8E1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48E0FF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14:paraId="2251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28AC2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571A5F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DFD332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F04339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B2B5F3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275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036F4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1FFCDC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0E0A707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205184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4F6773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A4F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D109E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225E60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数据平台</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3405765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E66725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F0E22D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0FF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48ABD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C28390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安全网关</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D144D0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99860D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CAA4FE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5C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EC92D9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3CD585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身份信息识别终端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7B8E5A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69AB57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FA3768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0EE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C66E8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4C602C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管理控制终端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1688F5A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默认内置管理客户端，支持视频监控、门禁、道闸、高空抛物、智慧用电等智慧小区业务应用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5190F3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7BD018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055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DC039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2F8B11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机柜</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33E6DD4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网络机柜，450*550*650，前后网孔门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5C71A2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F9E44F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22E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3C450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DF8974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光汇聚交换机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98963A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36D0B9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C0DC5E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595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805C2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A53E02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121AC3E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406CBC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EC86EA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B62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B4D58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0E4E67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EA626D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231F31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8D6BFF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714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936CB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B338A3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辅材</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C42806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各种零星小材料、接头及配套辅材等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E69BD5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253B09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E2F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D7BC5C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5D1085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集成调试服务</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7699C6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本小区所有设备安装、施工、调试、集成等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9D480C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8FB6C4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1ED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11798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4708" w:type="pct"/>
            <w:gridSpan w:val="4"/>
            <w:tcBorders>
              <w:top w:val="single" w:color="000000" w:sz="4" w:space="0"/>
              <w:left w:val="single" w:color="000000" w:sz="4" w:space="0"/>
              <w:bottom w:val="single" w:color="000000" w:sz="4" w:space="0"/>
              <w:right w:val="single" w:color="000000" w:sz="4" w:space="0"/>
            </w:tcBorders>
            <w:noWrap w:val="0"/>
            <w:vAlign w:val="center"/>
          </w:tcPr>
          <w:p w14:paraId="6EAA960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三、城北新村</w:t>
            </w:r>
          </w:p>
        </w:tc>
      </w:tr>
      <w:tr w14:paraId="333E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A04EF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1A6282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人脸抓拍MAC探针一体机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3B3462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F8CE28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14F2A5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14:paraId="1F04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5FBB4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668423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监控杆件</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19F4563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根据现场环境定制安装立杆或支架</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2FD28E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1308B8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14:paraId="0264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1927A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C74650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1光4电工业以太网收发器</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38B5D5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前端1光4电工业以太网设备-1个千兆光口-4个百兆电口-钉轨式-SC单模单纤-20KM（配中心光模块）</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656AE2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ED88B7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14:paraId="05DA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B08F0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1F6A11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47AE4A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8FF3D3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CCCAB3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14:paraId="470F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E9F26E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EAF791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09268F8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C580B5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DC145D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F15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2DF32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57EF50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数据平台</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3D61A2F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803FD4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6C047F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5DC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98ADD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6D2F8C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安全网关</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20C2A7B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17F39F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6FD7DC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6A8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2F1F6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814FA8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身份信息识别终端</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4E4AC26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11AF82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A02E41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4B9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ADAD4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100D01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管理控制终端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E97B96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默认内置管理客户端，支持视频监控、门禁、道闸、高空抛物、智慧用电等智慧小区业务应用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2852A6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4E2FF4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0BD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B15FE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F0A7C3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机柜</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438109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网络机柜，450*550*650，前后网孔门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FF10E7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3AE060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4A4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CB8C6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F9516A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光汇聚交换机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69A4E3F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800A02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DA8EAF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D82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8CFFB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66CDFC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B1F1C2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B59860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4BEFA1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2EA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E7D82E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4E3D73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3A32B8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F103B7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AB21F5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6FE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11CA6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F31E78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辅材</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B76E20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各种零星小材料、接头及配套辅材等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376AE2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9E85BA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FBF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4ABCF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1ADFEF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集成调试服务</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D10535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本小区所有设备安装、施工、调试、集成等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E7775C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8868B7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C6E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BCE17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4708" w:type="pct"/>
            <w:gridSpan w:val="4"/>
            <w:tcBorders>
              <w:top w:val="single" w:color="000000" w:sz="4" w:space="0"/>
              <w:left w:val="single" w:color="000000" w:sz="4" w:space="0"/>
              <w:bottom w:val="single" w:color="000000" w:sz="4" w:space="0"/>
              <w:right w:val="single" w:color="000000" w:sz="4" w:space="0"/>
            </w:tcBorders>
            <w:noWrap w:val="0"/>
            <w:vAlign w:val="center"/>
          </w:tcPr>
          <w:p w14:paraId="40306CD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四、银河小区</w:t>
            </w:r>
          </w:p>
        </w:tc>
      </w:tr>
      <w:tr w14:paraId="3BF9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F02FA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E26421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网络摄像机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1808C2B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F92383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26C51B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r>
      <w:tr w14:paraId="5DB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D2B3D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D57346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1光4电工业以太网收发器</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37275ED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前端1光4电工业以太网设备-1个千兆光口-4个百兆电口-钉轨式-SC单模单纤-20KM（配中心光模块）</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FB8CCE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28BD83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r>
      <w:tr w14:paraId="55AE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BBF64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E3A7A8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4778D1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767963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778F5F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F80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FC834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B1C3E6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数据平台</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7B955A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3B81B2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59B8F4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E84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069AE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A9D919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安全网关</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10D8481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8E6A0B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2552FF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A51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48AF2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7C57BD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身份信息识别终端</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B4E823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CD8B12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5D2DB1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3D6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82E90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E409DE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管理控制终端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36A128A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默认内置管理客户端，支持视频监控、门禁、道闸、高空抛物、智慧用电等智慧小区业务应用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7CF958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4FBC66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679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3C1DD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F613FD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机柜</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A1D4CF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网络机柜，450*550*650，前后网孔门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ED56D4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8C16C9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BA5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C60C8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A5CCCE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光汇聚交换机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4BEC0CE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F59A68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1B28C7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D52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91091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FA53D9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DF84E7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3B0173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140760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670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68D6E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130DB8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33AB3A3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277197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DA63FC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968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2960A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D453CD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辅材</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19757B0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各种零星小材料、接头及配套辅材等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D6DD0C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DAD5EB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96B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9C669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B5BE03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集成调试服务</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334C24B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本小区所有设备安装、施工、调试、集成等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36BD8B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86F7AD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2B7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BD595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c>
          <w:tcPr>
            <w:tcW w:w="4708" w:type="pct"/>
            <w:gridSpan w:val="4"/>
            <w:tcBorders>
              <w:top w:val="single" w:color="000000" w:sz="4" w:space="0"/>
              <w:left w:val="single" w:color="000000" w:sz="4" w:space="0"/>
              <w:bottom w:val="single" w:color="000000" w:sz="4" w:space="0"/>
              <w:right w:val="single" w:color="000000" w:sz="4" w:space="0"/>
            </w:tcBorders>
            <w:noWrap w:val="0"/>
            <w:vAlign w:val="center"/>
          </w:tcPr>
          <w:p w14:paraId="1D277C8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五、锦宁里</w:t>
            </w:r>
          </w:p>
        </w:tc>
      </w:tr>
      <w:tr w14:paraId="6296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CA471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71C312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出入口视频抓拍单元</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1E2759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9231E7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1863EB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14:paraId="2AEB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78FA3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BBBCA4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抓拍立柱</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3A5D2A0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26F359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C2416C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14:paraId="1051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389A3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A32109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人脸抓拍MAC探针一体机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06DE58A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96A47E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C14193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4C03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2D786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4CE2DD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监控杆件</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5A39562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根据现场环境定制安装立杆或支架</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98DFA8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703A45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r>
      <w:tr w14:paraId="2BF0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92BB9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7D8AB5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网络摄像机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0FB10B4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48BDBA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C3FE16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r>
      <w:tr w14:paraId="76AD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CCA46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89B528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存储录像机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1C6B593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27F910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4CDE5A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576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B7E79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1FC5B0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监控级硬盘</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23C754B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6T监控存储硬盘</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DF28C6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2CC19C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r>
      <w:tr w14:paraId="5695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F5DCC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919A2F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1光4电工业以太网收发器</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6212E4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前端1光4电工业以太网设备-1个千兆光口-4个百兆电口-钉轨式-SC单模单纤-20KM（配中心光模块）</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FA24AC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B8415D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14:paraId="37B3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2FFADD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42B53E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3F63DE7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09189C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29681D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8E7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6ED7C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93FAA6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数据平台</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6620ABF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146054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35E20E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0AA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EE5A9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3AF841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安全网关</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390C3B7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105975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0417DA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FC1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DBB7B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BAE649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身份信息识别终端</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5FFEB79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AAC49F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6E8DC5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36D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83F3F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2521A7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管理控制终端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0DA7B3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默认内置管理客户端，支持视频监控、门禁、道闸、高空抛物、智慧用电等智慧小区业务应用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1421BF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42F325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38B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DA1A5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AE2A8E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机柜</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D789D9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网络机柜，450*550*650，前后网孔门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95407D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0FAA4B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29C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88000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8A94DA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光汇聚交换机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0966B52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3D9F58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A98436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DAF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C78C49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09E818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87334F2">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8DD689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DB54A7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1E93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68CA8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DBEAC8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64ED6D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4F98D9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4EBBA0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E54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B61F4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055626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辅材</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20D54E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各种零星小材料、接头及配套辅材等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4A929D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4E1E62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BCF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F0428B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5986B4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集成调试服务</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4A8002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本小区所有设备安装、施工、调试、集成等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F3C7C5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9516A3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0984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7E772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c>
          <w:tcPr>
            <w:tcW w:w="4708" w:type="pct"/>
            <w:gridSpan w:val="4"/>
            <w:tcBorders>
              <w:top w:val="single" w:color="000000" w:sz="4" w:space="0"/>
              <w:left w:val="single" w:color="000000" w:sz="4" w:space="0"/>
              <w:bottom w:val="single" w:color="000000" w:sz="4" w:space="0"/>
              <w:right w:val="single" w:color="000000" w:sz="4" w:space="0"/>
            </w:tcBorders>
            <w:noWrap w:val="0"/>
            <w:vAlign w:val="center"/>
          </w:tcPr>
          <w:p w14:paraId="171152D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六、城建公寓</w:t>
            </w:r>
          </w:p>
        </w:tc>
      </w:tr>
      <w:tr w14:paraId="7422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C17EC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84EA79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出入口视频抓拍单元</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4C1759A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9ADF87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18D8877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1F02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13003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4A91FE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抓拍立柱</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83D156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737C76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83E3FD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2165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B6044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A889BF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人脸抓拍MAC探针一体机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4BEBF13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63EB34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4DFCB2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14:paraId="7709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B420D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2048C4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监控杆件</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353E9F9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根据现场环境定制安装立杆或支架</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BCE588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0CE9EB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r>
      <w:tr w14:paraId="71CC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BF0C2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796FF2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人脸门禁</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028072C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14054C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8FFB4D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6B12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1C74F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3AEC54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存储录像机</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D8EF90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49A072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1F251C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F20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2C940E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D116E4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监控级硬盘</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29138F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6T监控存储硬盘</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C0F1D5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894596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r>
      <w:tr w14:paraId="65BC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55FB2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570C19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1光4电工业以太网收发器</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CB9925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前端1光4电工业以太网设备-1个千兆光口-4个百兆电口-钉轨式-SC单模单纤-20KM（配中心光模块）</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41E81E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112F5A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453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666BEB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5BF37C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AC5717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6709DF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C692AF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A2D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00E88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7F6D351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数据平台</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6ABB018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CAE86F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CF8FB5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93D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A8171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887EAB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安全网关</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6DBF95B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EA7BCF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58DF2E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EAB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C908A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9190F6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身份信息识别终端</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4A4441B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BABF8A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77A8B79">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68D5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6C1BC2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1FF07E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管理控制终端</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2562C3F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默认内置管理客户端，支持视频监控、门禁、道闸、高空抛物、智慧用电等智慧小区业务应用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267DFE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0AC8C6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B8D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1A284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F57D030">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机柜</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21E01A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网络机柜，450*550*650，前后网孔门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4908D0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13EA9C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525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AF724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021200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光汇聚交换机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3A172CA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86A1D9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C8D89A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75D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679A8E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BE996A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设备箱</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697463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室外监控设备箱</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A4B47B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F54242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3B5A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17EC43">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57E957E">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1038A3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767814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DD4AD3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356B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A06F3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2978F2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辅材</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19AD6C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各种零星小材料、接头及配套辅材等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65174B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006E87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4E4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C0218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122FAB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集成调试服务</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C9F689B">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本小区所有设备安装、施工、调试、集成等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ADD445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73CDC63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AA9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709D91">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81</w:t>
            </w:r>
          </w:p>
        </w:tc>
        <w:tc>
          <w:tcPr>
            <w:tcW w:w="4708" w:type="pct"/>
            <w:gridSpan w:val="4"/>
            <w:tcBorders>
              <w:top w:val="single" w:color="000000" w:sz="4" w:space="0"/>
              <w:left w:val="single" w:color="000000" w:sz="4" w:space="0"/>
              <w:bottom w:val="single" w:color="000000" w:sz="4" w:space="0"/>
              <w:right w:val="single" w:color="000000" w:sz="4" w:space="0"/>
            </w:tcBorders>
            <w:noWrap w:val="0"/>
            <w:vAlign w:val="center"/>
          </w:tcPr>
          <w:p w14:paraId="0826BE2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七、施家桥社区家乐公寓</w:t>
            </w:r>
          </w:p>
        </w:tc>
      </w:tr>
      <w:tr w14:paraId="37CB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10796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82</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60A4467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400万摄像机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1256F109">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D4E95E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07FB09D0">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r>
      <w:tr w14:paraId="3743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8DB17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83</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81C4FA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400万高清智能摄像机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5053E2C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932C90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44557E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14:paraId="102B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C6FFC0B">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84</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091EA2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8口全千兆POE接入交换机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1ED781FD">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B1F12C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54E7356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r>
      <w:tr w14:paraId="581A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D1FCB0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52867C8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16口全千兆POE接入交换机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3ECC389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49E1B64">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37C88C9A">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r>
      <w:tr w14:paraId="735D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388A8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86</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0370CC43">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万兆汇聚交换机</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74869DB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597B3E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2E3EFEAE">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112E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19027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87</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D9D60C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85寸显示器</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70B02406">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 超窄边框设计 2. 4K 超高清显示 3. 支持无线传屏功能 4. 支持 Wi-Fi 双频 2.4G/5G 5、缝隙发声，2.1 声道 6. 4 核 CPU+2 核 GPU 高性能处理器 7、Android8.0 系统 8. 支持 RS232 扩展控制接口 9. 待机状态下，HDMI 通道信号输入智能唤醒</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2562EE6">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92C8EA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5A8E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59C784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17923D7F">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多媒体智能终端</w:t>
            </w:r>
          </w:p>
        </w:tc>
        <w:tc>
          <w:tcPr>
            <w:tcW w:w="3079" w:type="pct"/>
            <w:tcBorders>
              <w:top w:val="single" w:color="000000" w:sz="4" w:space="0"/>
              <w:left w:val="single" w:color="000000" w:sz="4" w:space="0"/>
              <w:bottom w:val="single" w:color="000000" w:sz="4" w:space="0"/>
              <w:right w:val="single" w:color="000000" w:sz="4" w:space="0"/>
            </w:tcBorders>
            <w:noWrap/>
            <w:vAlign w:val="center"/>
          </w:tcPr>
          <w:p w14:paraId="2005775A">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详见采购需求主要设备参数要求部分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D73BAE2">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A3EF78C">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7853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28A7E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89</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4677F76C">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管线</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69217635">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含电源线、网线、信号线等系统配套管线，满足实际需求为准</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356B46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C246C4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2B64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14C227">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29560624">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辅材</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44EF8707">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各种零星小材料、接头及配套辅材等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0787615">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4895FECD">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14:paraId="4CF6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C495E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91</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14:paraId="33582728">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集成调试服务</w:t>
            </w:r>
          </w:p>
        </w:tc>
        <w:tc>
          <w:tcPr>
            <w:tcW w:w="3079" w:type="pct"/>
            <w:tcBorders>
              <w:top w:val="single" w:color="000000" w:sz="4" w:space="0"/>
              <w:left w:val="single" w:color="000000" w:sz="4" w:space="0"/>
              <w:bottom w:val="single" w:color="000000" w:sz="4" w:space="0"/>
              <w:right w:val="single" w:color="000000" w:sz="4" w:space="0"/>
            </w:tcBorders>
            <w:noWrap w:val="0"/>
            <w:vAlign w:val="center"/>
          </w:tcPr>
          <w:p w14:paraId="5911C141">
            <w:pPr>
              <w:keepNext w:val="0"/>
              <w:keepLines w:val="0"/>
              <w:widowControl/>
              <w:suppressLineNumbers w:val="0"/>
              <w:spacing w:after="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本小区所有设备安装、施工、调试、集成等</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85A5CA8">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noWrap/>
            <w:vAlign w:val="center"/>
          </w:tcPr>
          <w:p w14:paraId="601B31EF">
            <w:pPr>
              <w:keepNext w:val="0"/>
              <w:keepLines w:val="0"/>
              <w:widowControl/>
              <w:suppressLineNumbers w:val="0"/>
              <w:spacing w:after="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bl>
    <w:p w14:paraId="0C66CF97">
      <w:pPr>
        <w:rPr>
          <w:rFonts w:hint="eastAsia" w:ascii="仿宋" w:hAnsi="仿宋" w:eastAsia="仿宋" w:cs="仿宋"/>
          <w:color w:val="auto"/>
          <w:lang w:val="en-US" w:eastAsia="zh-CN"/>
        </w:rPr>
      </w:pPr>
    </w:p>
    <w:p w14:paraId="3C34214D">
      <w:pPr>
        <w:pStyle w:val="4"/>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2.4主要设备参数要求：</w:t>
      </w:r>
    </w:p>
    <w:p w14:paraId="08022088">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.1人员通道闸</w:t>
      </w:r>
      <w:r>
        <w:rPr>
          <w:rFonts w:hint="eastAsia" w:ascii="仿宋" w:hAnsi="仿宋" w:eastAsia="仿宋" w:cs="仿宋"/>
          <w:b/>
          <w:bCs/>
          <w:color w:val="auto"/>
          <w:sz w:val="24"/>
          <w:szCs w:val="24"/>
          <w:lang w:val="en-US" w:eastAsia="zh-CN"/>
        </w:rPr>
        <w:t>:</w:t>
      </w:r>
    </w:p>
    <w:p w14:paraId="5AD424C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闸机采用厚度不低于1.2mm的304不锈钢拉丝框体</w:t>
      </w:r>
    </w:p>
    <w:p w14:paraId="780408F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闸机为摆闸箱体，门翼可以选择采用亚克力或不锈钢材质，红外检测对数不少于12对，箱体尺寸：长≥1500mm，宽≤200mm，高≥960mm</w:t>
      </w:r>
    </w:p>
    <w:p w14:paraId="713E864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闸机设备的外表面，平整清洁，没有毛刺、飞边、砂眼、气孔等常见缺陷，没有擦伤、划痕、变形、破损以及生锈、腐蚀等损伤，没有尖锐的凸起、边角或棱角</w:t>
      </w:r>
    </w:p>
    <w:p w14:paraId="286380C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通道应具备允许通行、禁止通行检查功能，没有经管理人员授权的人员闯入时能够发出声光报警</w:t>
      </w:r>
    </w:p>
    <w:p w14:paraId="5B29497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设备机身需要具备牢固的结构，拦挡部分不易破碎且不易伤人、灵活无阻碍；</w:t>
      </w:r>
    </w:p>
    <w:p w14:paraId="6542F4B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设备外壳对外界机械碰撞要求应满足指示部分应符合IK04的要求，其他表面符合IK07的要求"</w:t>
      </w:r>
    </w:p>
    <w:p w14:paraId="21C7CF8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通道具备防夹功能，在门翼复位过程中，如遇外力，门翼在规定的时间内电机将停止工作,并发出声音报警</w:t>
      </w:r>
    </w:p>
    <w:p w14:paraId="35A5B62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通道应具备翻越报警、滞留报警、防冲功能，有效应对长时间停留、翻越、冲撞等行为，保证通行安全</w:t>
      </w:r>
    </w:p>
    <w:p w14:paraId="64EFBB5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通道应满足自带语音提示功能，可以根据需求自定义语音播报内容，满足定制化需求</w:t>
      </w:r>
    </w:p>
    <w:p w14:paraId="4E419C5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通道应满足室内外使用需求，设备应支持工作温度-25℃--＋70℃；外壳防护等级满足IP54</w:t>
      </w:r>
    </w:p>
    <w:p w14:paraId="4D4F56D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通道功能应满足单通道反潜回、多通道跨主机反潜回的功能，有效防止非授权人员非法入侵</w:t>
      </w:r>
    </w:p>
    <w:p w14:paraId="75B2B60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通道主机接口应满足同时可接入RS485 和wiegand 接口的读卡器，同时具备网口不少于1个，单独RS232接口不少于3个，RS485/RS232可切换通讯接口不少于5个，开门按钮接口不少于2个，报警输入接口不少于4个，报警输出接口不少于4个</w:t>
      </w:r>
    </w:p>
    <w:p w14:paraId="2ED5134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设备应具备消防联动功能，当消防信号触发时，门翼将处于常开状态，确保人员及时疏散</w:t>
      </w:r>
    </w:p>
    <w:p w14:paraId="0DA423DD">
      <w:pPr>
        <w:pStyle w:val="33"/>
        <w:rPr>
          <w:rFonts w:hint="eastAsia" w:ascii="仿宋" w:hAnsi="仿宋" w:eastAsia="仿宋" w:cs="仿宋"/>
          <w:color w:val="auto"/>
          <w:lang w:val="en-US" w:eastAsia="zh-CN"/>
        </w:rPr>
      </w:pPr>
    </w:p>
    <w:p w14:paraId="4A481193">
      <w:pPr>
        <w:rPr>
          <w:rFonts w:hint="eastAsia" w:ascii="仿宋" w:hAnsi="仿宋" w:eastAsia="仿宋" w:cs="仿宋"/>
          <w:color w:val="auto"/>
          <w:lang w:val="en-US" w:eastAsia="zh-CN"/>
        </w:rPr>
      </w:pPr>
    </w:p>
    <w:p w14:paraId="5A32253C">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人脸门禁</w:t>
      </w:r>
      <w:r>
        <w:rPr>
          <w:rFonts w:hint="eastAsia" w:ascii="仿宋" w:hAnsi="仿宋" w:eastAsia="仿宋" w:cs="仿宋"/>
          <w:b/>
          <w:bCs/>
          <w:color w:val="auto"/>
          <w:sz w:val="24"/>
          <w:szCs w:val="24"/>
          <w:lang w:val="en-US" w:eastAsia="zh-CN"/>
        </w:rPr>
        <w:t>:</w:t>
      </w:r>
    </w:p>
    <w:p w14:paraId="4C419AF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屏幕参数： 不小于7英寸触摸显示屏，屏幕比例9:16，屏幕分辨率600*1024；</w:t>
      </w:r>
    </w:p>
    <w:p w14:paraId="5DAA4AC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认证方式：支持人脸、刷卡（IC卡、手机NFC卡、CPU卡序列号/内容、身份证卡序列号）、密码认证方式，可外接身份证、指纹、蓝牙、二维码功能模块；</w:t>
      </w:r>
    </w:p>
    <w:p w14:paraId="644B55F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人脸验证：采用深度学习算法，支持单人或多人识别（最多5人同时认证）功能；支持照片、视频防假；1:N人脸验证速度≤0.2s，人脸验证准确率≥99%；</w:t>
      </w:r>
    </w:p>
    <w:p w14:paraId="3F919E1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存储容量：本地支持10000人脸库、50000张卡，15万条事件记录；</w:t>
      </w:r>
    </w:p>
    <w:p w14:paraId="7503800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通信方式及网络协议：有线网络；</w:t>
      </w:r>
    </w:p>
    <w:p w14:paraId="2DC142C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提供权威有效检测报告加盖公章或投标专用章）</w:t>
      </w:r>
    </w:p>
    <w:p w14:paraId="0D7BAD2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◆产品供应商应具有符合ISO/IEC 27701：2019要求的隐私信息管理体系认证。（提供相应证明材料加盖公章或投标专用章）</w:t>
      </w:r>
    </w:p>
    <w:p w14:paraId="09F2036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◆符合GB/T24021-2001idt ISO14021:1999《环境管理环境标志与声明自我环境声明(Ⅱ型环境标志)》的要求（提供相应证明材料加盖公章或投标专用章）</w:t>
      </w:r>
    </w:p>
    <w:p w14:paraId="57FEE9B4">
      <w:pPr>
        <w:pStyle w:val="32"/>
        <w:rPr>
          <w:rFonts w:hint="eastAsia" w:ascii="仿宋" w:hAnsi="仿宋" w:eastAsia="仿宋" w:cs="仿宋"/>
          <w:color w:val="auto"/>
          <w:lang w:val="en-US" w:eastAsia="zh-CN"/>
        </w:rPr>
      </w:pPr>
    </w:p>
    <w:p w14:paraId="533C25E5">
      <w:pPr>
        <w:rPr>
          <w:rFonts w:hint="eastAsia" w:ascii="仿宋" w:hAnsi="仿宋" w:eastAsia="仿宋" w:cs="仿宋"/>
          <w:color w:val="auto"/>
          <w:lang w:val="en-US" w:eastAsia="zh-CN"/>
        </w:rPr>
      </w:pPr>
    </w:p>
    <w:p w14:paraId="48E6019C">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人脸抓拍MAC探针一体机</w:t>
      </w:r>
      <w:r>
        <w:rPr>
          <w:rFonts w:hint="eastAsia" w:ascii="仿宋" w:hAnsi="仿宋" w:eastAsia="仿宋" w:cs="仿宋"/>
          <w:b/>
          <w:bCs/>
          <w:color w:val="auto"/>
          <w:sz w:val="24"/>
          <w:szCs w:val="24"/>
          <w:lang w:val="en-US" w:eastAsia="zh-CN"/>
        </w:rPr>
        <w:t>:</w:t>
      </w:r>
    </w:p>
    <w:p w14:paraId="5CC0E53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具有400万像素CMOS传感器。</w:t>
      </w:r>
    </w:p>
    <w:p w14:paraId="5697CA1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最低照度彩色：0.002lx，黑白:0.0002lx，最大亮度鉴别等级（灰度等级）不小于11级。</w:t>
      </w:r>
    </w:p>
    <w:p w14:paraId="245BD3B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需支持四码流技术，主码流最高2560x1440@30fps，子码流704x576@25fps，第三码流最高1920x1080@30fps，第四码流最高1920x1080@30fps。</w:t>
      </w:r>
    </w:p>
    <w:p w14:paraId="0300787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清晰度不小于1600TVL。</w:t>
      </w:r>
    </w:p>
    <w:p w14:paraId="7E998F8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支持H.264、H.265、MJPEG视频编码格式，且具有HighProfile编码能力。</w:t>
      </w:r>
    </w:p>
    <w:p w14:paraId="25F4C6B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信噪比不小于58dB。</w:t>
      </w:r>
    </w:p>
    <w:p w14:paraId="5E22896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需支持IP67防尘防水、IK10防暴等级。</w:t>
      </w:r>
    </w:p>
    <w:p w14:paraId="0273C71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需同时支持DC12V、AC24V和POE供电，且在不小于DC12V±30%、AC24V±30%范围内变化时可以正常工作。</w:t>
      </w:r>
    </w:p>
    <w:p w14:paraId="114315E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需支持本地SD卡存储，最大支持128G，并支持热插拔和存储卡损坏程度显示。</w:t>
      </w:r>
    </w:p>
    <w:p w14:paraId="275D606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支持对存储卡进行读写锁定，锁定后的存储卡在移动终端需要密码才能访问。</w:t>
      </w:r>
    </w:p>
    <w:p w14:paraId="54996CE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在同一客户端上，可最多同时开启22个视频窗口进行画面预览。</w:t>
      </w:r>
    </w:p>
    <w:p w14:paraId="441CCDB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设备与客户端之间用100米网线进行传输，数据包丢包率不大于0.1%。</w:t>
      </w:r>
    </w:p>
    <w:p w14:paraId="74B8885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在丢包率设置为10%的网络环境下，可正常显示监视画面。</w:t>
      </w:r>
    </w:p>
    <w:p w14:paraId="095EE63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同一场景相同图像质量下，设备在H.265编码方式时，开启智能编码功能和不开启智能编码相比，码率节约1/2。</w:t>
      </w:r>
    </w:p>
    <w:p w14:paraId="134043D6">
      <w:pPr>
        <w:pStyle w:val="33"/>
        <w:rPr>
          <w:rFonts w:hint="eastAsia" w:ascii="仿宋" w:hAnsi="仿宋" w:eastAsia="仿宋" w:cs="仿宋"/>
          <w:color w:val="auto"/>
          <w:lang w:val="en-US" w:eastAsia="zh-CN"/>
        </w:rPr>
      </w:pPr>
    </w:p>
    <w:p w14:paraId="7970605E">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网络摄像机</w:t>
      </w:r>
      <w:r>
        <w:rPr>
          <w:rFonts w:hint="eastAsia" w:ascii="仿宋" w:hAnsi="仿宋" w:eastAsia="仿宋" w:cs="仿宋"/>
          <w:b/>
          <w:bCs/>
          <w:color w:val="auto"/>
          <w:sz w:val="24"/>
          <w:szCs w:val="24"/>
          <w:lang w:val="en-US" w:eastAsia="zh-CN"/>
        </w:rPr>
        <w:t>:</w:t>
      </w:r>
    </w:p>
    <w:p w14:paraId="7553626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具有400万像素CMOS传感器。</w:t>
      </w:r>
    </w:p>
    <w:p w14:paraId="4322731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内置2颗白光补光灯。</w:t>
      </w:r>
    </w:p>
    <w:p w14:paraId="07D4045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最低照度彩色：0.0004lx。</w:t>
      </w:r>
    </w:p>
    <w:p w14:paraId="2CA180E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白天或夜晚均可输出彩色视频图像。</w:t>
      </w:r>
    </w:p>
    <w:p w14:paraId="22D4CBB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最大分辨率2560x1440。</w:t>
      </w:r>
    </w:p>
    <w:p w14:paraId="2E1A584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需具有20路取流路数能力，以满足更多用户同时在线访问摄像机视频。</w:t>
      </w:r>
    </w:p>
    <w:p w14:paraId="53700D3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需支持三码流技术，可同时输出三路码流，主码流最高2560x1440@30fps，第三码流最大2560x1440@30fps，子码流704x576@30fps。</w:t>
      </w:r>
    </w:p>
    <w:p w14:paraId="222F757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在2560x1440@25fps下，清晰度不小于1400TVL。</w:t>
      </w:r>
    </w:p>
    <w:p w14:paraId="2A4DD1B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支持H.264、H.265、MJPEG视频编码格式，且具有HighProfile编码能力。</w:t>
      </w:r>
    </w:p>
    <w:p w14:paraId="6737F49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信噪比不小于55dB。</w:t>
      </w:r>
    </w:p>
    <w:p w14:paraId="525AB06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需支持8行字符显示，字体颜色可设置，需具有图片叠加到视频画面功能。</w:t>
      </w:r>
    </w:p>
    <w:p w14:paraId="130A280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需具有黑白名单功能，其中白名单可添加不小于10个IP地址。</w:t>
      </w:r>
    </w:p>
    <w:p w14:paraId="0401305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需具备人脸检测、区域入侵检测、越界检测、虚焦检测、进入区域、离开区域、徘徊、人员聚集、逆行、场景变更等功能。</w:t>
      </w:r>
    </w:p>
    <w:p w14:paraId="6152336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需具有电子防抖、ROI感兴趣区域、SVC可伸缩编码、自动增益、背光补偿、数字降噪、强光抑制、走廊模式、视频水印等功能。</w:t>
      </w:r>
    </w:p>
    <w:p w14:paraId="4352E42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摄像机能够在-30~60摄氏度，湿度小于93%环境下稳定工作。</w:t>
      </w:r>
    </w:p>
    <w:p w14:paraId="2FDA58A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设备与客户端之间用100米网线进行传输，数据包丢包率小于0.1%。</w:t>
      </w:r>
    </w:p>
    <w:p w14:paraId="66D561C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不低于IP67防尘防水等级。</w:t>
      </w:r>
    </w:p>
    <w:p w14:paraId="617907C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需支持DC12V供电，且在不小于DC12V±30%范围内变化时可以正常工作。</w:t>
      </w:r>
    </w:p>
    <w:p w14:paraId="3EEA588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同一静止场景相同图像质量下，设备在H.265编码方式时，开启智能编码功能和不开启智能编码相比，码率节约1/2。</w:t>
      </w:r>
    </w:p>
    <w:p w14:paraId="7788DBE6">
      <w:pPr>
        <w:pStyle w:val="33"/>
        <w:rPr>
          <w:rFonts w:hint="eastAsia" w:ascii="仿宋" w:hAnsi="仿宋" w:eastAsia="仿宋" w:cs="仿宋"/>
          <w:color w:val="auto"/>
          <w:lang w:val="en-US" w:eastAsia="zh-CN"/>
        </w:rPr>
      </w:pPr>
    </w:p>
    <w:p w14:paraId="0EF53B59">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5存储录像机:</w:t>
      </w:r>
    </w:p>
    <w:p w14:paraId="6582D2C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存储接口：不小于16个SATA接口</w:t>
      </w:r>
    </w:p>
    <w:p w14:paraId="244021D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视频接口：2×HDMI，2×VGA</w:t>
      </w:r>
    </w:p>
    <w:p w14:paraId="7A66F3F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网络接口：2×RJ45 10/100/1000Mbps自适应以太网口</w:t>
      </w:r>
    </w:p>
    <w:p w14:paraId="5EC9AB4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输入带宽：320Mbps</w:t>
      </w:r>
    </w:p>
    <w:p w14:paraId="5FB9047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输出带宽：256Mbps</w:t>
      </w:r>
    </w:p>
    <w:p w14:paraId="3BB3516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接入能力：不小于64路H.264、H.265格式高清码流接入</w:t>
      </w:r>
    </w:p>
    <w:p w14:paraId="314ACC2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解码能力：最大支持12×1080P</w:t>
      </w:r>
    </w:p>
    <w:p w14:paraId="102EF3E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显示能力：最大支持4K+1080P异源输出</w:t>
      </w:r>
    </w:p>
    <w:p w14:paraId="6D4B2E0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◆支持接入具有专家模式的移动侦测的摄像机，移动侦测报警能够区分是人、车还是其它目标产生，可录像和记录报警信息（提供权威有效检测报告加盖公章或投标专用章）</w:t>
      </w:r>
    </w:p>
    <w:p w14:paraId="6543AD4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◆可接入 1T、2T、3T、4T、6T、8T、10T、12TB、14TB、16TB、18TB、20TB 容量的 SATA接口硬盘；可接入 AI 硬盘； 支持不同品牌、不同转速的监控级和企业级硬盘混合接入（提供权威有效检测报告加盖公章或投标专用章）</w:t>
      </w:r>
    </w:p>
    <w:p w14:paraId="4E54D3DE">
      <w:pPr>
        <w:pStyle w:val="33"/>
        <w:rPr>
          <w:rFonts w:hint="eastAsia" w:ascii="仿宋" w:hAnsi="仿宋" w:eastAsia="仿宋" w:cs="仿宋"/>
          <w:color w:val="auto"/>
          <w:lang w:val="en-US" w:eastAsia="zh-CN"/>
        </w:rPr>
      </w:pPr>
    </w:p>
    <w:p w14:paraId="6178F943">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6数据平台:</w:t>
      </w:r>
    </w:p>
    <w:p w14:paraId="65F1A25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社区数据中心可实现政府街道侧用户对管辖区域内社区和小区的管理，包括：</w:t>
      </w:r>
    </w:p>
    <w:p w14:paraId="2ABF59E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1、人口的常驻人口和流动人口的统计，年龄分布统计，地区分布统计，重点关注人员统计和人员检索</w:t>
      </w:r>
    </w:p>
    <w:p w14:paraId="3246A8D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房屋的楼栋，单元统计，产权类型的统计，用途分布统计，类型分布统计和房屋检索</w:t>
      </w:r>
    </w:p>
    <w:p w14:paraId="0DDB974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车辆的本地和外地统计，区域统计以及车辆检索</w:t>
      </w:r>
    </w:p>
    <w:p w14:paraId="6262E29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实时事件显示，事件分类统计，社区/小区维度事件统计和事件检索</w:t>
      </w:r>
    </w:p>
    <w:p w14:paraId="3CD1390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人脸抓拍的以脸搜脸</w:t>
      </w:r>
    </w:p>
    <w:p w14:paraId="0A44A18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车牌抓拍的车牌检索，车辆颜色和类型检索1、支持系统内的组织、人员、车辆、用户、角色、认证、区域等的配置和管理； 2、包含图上监控、事件联动、视频网管、门禁网管、紧急报警接入等功能。</w:t>
      </w:r>
    </w:p>
    <w:p w14:paraId="24666865">
      <w:pPr>
        <w:pStyle w:val="33"/>
        <w:rPr>
          <w:rFonts w:hint="eastAsia" w:ascii="仿宋" w:hAnsi="仿宋" w:eastAsia="仿宋" w:cs="仿宋"/>
          <w:color w:val="auto"/>
          <w:lang w:val="en-US" w:eastAsia="zh-CN"/>
        </w:rPr>
      </w:pPr>
    </w:p>
    <w:p w14:paraId="0A38F477">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7安全网关:</w:t>
      </w:r>
    </w:p>
    <w:p w14:paraId="75E38BC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广域网接口：2个10/100/1000Base-T以太网端口</w:t>
      </w:r>
    </w:p>
    <w:p w14:paraId="6421295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局域网接口：3个10/100/1000Base-T以太网端口</w:t>
      </w:r>
    </w:p>
    <w:p w14:paraId="5C4ADF6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其它端口：1个USB接口、1个Console口</w:t>
      </w:r>
    </w:p>
    <w:p w14:paraId="383ED4C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功能参数：防火墙支持</w:t>
      </w:r>
    </w:p>
    <w:p w14:paraId="02EF93B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Qos支持：支持</w:t>
      </w:r>
    </w:p>
    <w:p w14:paraId="256DBA0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VPN支持：支持</w:t>
      </w:r>
    </w:p>
    <w:p w14:paraId="0726711B">
      <w:pPr>
        <w:pStyle w:val="33"/>
        <w:rPr>
          <w:rFonts w:hint="eastAsia" w:ascii="仿宋" w:hAnsi="仿宋" w:eastAsia="仿宋" w:cs="仿宋"/>
          <w:color w:val="auto"/>
          <w:lang w:val="en-US" w:eastAsia="zh-CN"/>
        </w:rPr>
      </w:pPr>
    </w:p>
    <w:p w14:paraId="30C94F59">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8身份信息识别终端:</w:t>
      </w:r>
    </w:p>
    <w:p w14:paraId="2AE7BC2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操作系统：嵌入式Linux操作系统；</w:t>
      </w:r>
    </w:p>
    <w:p w14:paraId="0770915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屏幕参数： 7英寸触摸显示屏，屏幕比例9:16，屏幕分辨率600*1024；</w:t>
      </w:r>
    </w:p>
    <w:p w14:paraId="44F2FC5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摄像头参数：采用宽动态200万双目摄像头；</w:t>
      </w:r>
    </w:p>
    <w:p w14:paraId="2C7DB46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认证方式：支持人脸、刷卡（IC卡、手机NFC卡、CPU卡序列号/内容、身份证卡序列号）、密码认证方式，可外接身份证、指纹、蓝牙、二维码功能模块；</w:t>
      </w:r>
    </w:p>
    <w:p w14:paraId="5493400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人脸验证：采用深度学习算法，支持单人或多人识别（最多5人同时认证）功能；支持照片、视频防假；1:N人脸验证速度≤0.2s，人脸验证准确率≥99%；</w:t>
      </w:r>
    </w:p>
    <w:p w14:paraId="6F85706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存储容量：本地支持10000人脸库、50000张卡，15万条事件记录；</w:t>
      </w:r>
    </w:p>
    <w:p w14:paraId="0ED86F0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硬件接口：LAN*1、RS485*1、Wiegand * 1(支持双向)、typeC类型USB接口*1、电锁*1、门磁*1、报警输入*2、报警输出*1、开门按钮*1、SD卡槽*1（最大支持512GB）、3.5mm音频输出接口*1；</w:t>
      </w:r>
    </w:p>
    <w:p w14:paraId="3FB7C5A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通信方式及网络协议：有线网络；</w:t>
      </w:r>
    </w:p>
    <w:p w14:paraId="2FD4BB7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使用环境：IP65，室内外环境；</w:t>
      </w:r>
    </w:p>
    <w:p w14:paraId="1A7E0B9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可视对讲功能；应支持配置一键呼叫管理机或室内机的可视对讲功能；应支持与广播主机呼叫对讲功能，实现与广播系统对讲功能；应支持中心广播主机向设备广播喊话；（权威机构检测报告证明）</w:t>
      </w:r>
    </w:p>
    <w:p w14:paraId="09DFE8B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◆产品供应商应具有符合ISO/IEC 27701：2019要求的隐私信息管理体系认证。</w:t>
      </w:r>
    </w:p>
    <w:p w14:paraId="60335AD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◆符合GB/T24021-2001idt ISO14021:1999《环境管理环境标志与声明自我环境声明(Ⅱ型环境标志)》的要求</w:t>
      </w:r>
    </w:p>
    <w:p w14:paraId="7805FE2F">
      <w:pPr>
        <w:pStyle w:val="33"/>
        <w:rPr>
          <w:rFonts w:hint="eastAsia" w:ascii="仿宋" w:hAnsi="仿宋" w:eastAsia="仿宋" w:cs="仿宋"/>
          <w:color w:val="auto"/>
          <w:lang w:val="en-US" w:eastAsia="zh-CN"/>
        </w:rPr>
      </w:pPr>
    </w:p>
    <w:p w14:paraId="37273C2F">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9光汇聚交换机:</w:t>
      </w:r>
    </w:p>
    <w:p w14:paraId="12C5029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24千兆光+8千兆复用电+4万兆口，LC/SFP, 19寸， 220V内置   三层 网管     固化万兆/千兆口自适应，不含光模块 </w:t>
      </w:r>
    </w:p>
    <w:p w14:paraId="139B68D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◆支持 Jumbo Frame 功能，Jumbo Frame 不低于 9K（提供页面设置截图证明）。 </w:t>
      </w:r>
    </w:p>
    <w:p w14:paraId="2023599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支持静态路由功能，静态路由条目数量不少于 32 条。 </w:t>
      </w:r>
    </w:p>
    <w:p w14:paraId="408DA14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支持 STP/RSTP/MSTP（IEEE 802.1d/w/s），以太网环保护协议 ERPS（ITU-T G.8032）环网自愈恢复时间小于 50ms。 </w:t>
      </w:r>
    </w:p>
    <w:p w14:paraId="430188F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 IEEE 802.1D，IEEE802.1W，IEEE802.1S 等标准生成树协议。 </w:t>
      </w:r>
    </w:p>
    <w:p w14:paraId="7572061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 802.3ad LACP 链路聚合功能，应支持主备链路冗余功能。 </w:t>
      </w:r>
    </w:p>
    <w:p w14:paraId="6DE3CFD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 DHCP 功能，应支持 DHCPv4/DHCP/v6 Clinet，应支持DHCPv4 Server/Snooping 等功能。 </w:t>
      </w:r>
    </w:p>
    <w:p w14:paraId="350B2AA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具有以下管理和状态功能：IP 地址、VLAN 和 QoS 配置；端口管理和状态，SFP 信息；故障诊断：线缆诊断和远程 IP ping；维护：重启、恢复出厂默认和保存配置等。</w:t>
      </w:r>
    </w:p>
    <w:p w14:paraId="4EF9C4B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◆支持光模块温度、电压、电流、输出功率、输入功率、OE Present检测，实时显示光模块工作状态（提供页面设置截图证明）；</w:t>
      </w:r>
    </w:p>
    <w:p w14:paraId="3D025E0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自带网络安全功能，通过软件支持SSH/Telnet的通讯协议来提供更强的安全防护，避免受到进一步的威胁, 也包含了DHCP Snooping, IP Source Guard, ARP Inspection, 802.1x port-based </w:t>
      </w:r>
    </w:p>
    <w:p w14:paraId="15A07FD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以及 MAC-based 等;</w:t>
      </w:r>
    </w:p>
    <w:p w14:paraId="5CA7035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网管界面可管理POE，控制POE功能启用和关闭；</w:t>
      </w:r>
    </w:p>
    <w:p w14:paraId="448E2E7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◆电快速瞬变脉冲群抗扰度试验符合GB/T17626.4规定（提供第三方检测机构测试报告）</w:t>
      </w:r>
    </w:p>
    <w:p w14:paraId="5E0F874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◆电源插头或电源引入端与外壳裸露金属部件之间，应能承受0.5KV交流电压，历时1min的抗电强度试验，应无击穿和飞狐现象（提供第三方检测机构测试报告）</w:t>
      </w:r>
    </w:p>
    <w:p w14:paraId="4191362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 MAC 学习禁用功能，应支持基于 MAC 的端口安全，支持端口隔离；应支持基于 IP/MAC 的访问控制列表 ACL，基于端口的访问控制 802.1X 认证，支持 RADIUS 认证，支持多用户分级管理。 </w:t>
      </w:r>
    </w:p>
    <w:p w14:paraId="1C4C424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地址管理支持 IPV4、IPV6。 </w:t>
      </w:r>
    </w:p>
    <w:p w14:paraId="3AE43DD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 802.1Q VLAN，应支持基于 MAC 的 VLAN，支持基于 IP子网的 VLAN；应支持 QinQ 双层 VLAN，Voice VLAN 等扩展 VLAN 功能； </w:t>
      </w:r>
    </w:p>
    <w:p w14:paraId="7AAA96A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支持 IGMP Snooping、MLD Snooping，GMRP 等功能。 </w:t>
      </w:r>
    </w:p>
    <w:p w14:paraId="65075F2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 QoS 4 个等级队列管理，应支持 SP、WRR、SP+WRR 等调度算法；应支持端口出入方向限速，限速粒度需支持 Kbps；应支持广播、组播、未知单播的风暴抑制功能，抑制粒度需支持 Kbps。 </w:t>
      </w:r>
    </w:p>
    <w:p w14:paraId="7C2A737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支持端口镜像 1:1 和 N:1，支持系统日志 Syslog，需支持远程日志服务器统一记录；应支持拓扑发现协议 IEEE802.1AB LLDP 功能。 </w:t>
      </w:r>
    </w:p>
    <w:p w14:paraId="3B37BDB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 SNTP 功能，需支持世界时区可选。 </w:t>
      </w:r>
    </w:p>
    <w:p w14:paraId="5F802D0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交换机应支持端口环路保护 Loop Protection 功能，应支持 Sflow功能。 </w:t>
      </w:r>
    </w:p>
    <w:p w14:paraId="056CE71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交换机应支持 Console/HTTP/HTTPS/Telnet/SSH 等管理方式，支持网管平台，应支持 SNMPv1/v2/v3，Traps。</w:t>
      </w:r>
    </w:p>
    <w:p w14:paraId="7FC34AE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配置功能：CLI 命令行，Web 界面，全功能 MIB，DHCP，配置文件的上传下载；。</w:t>
      </w:r>
    </w:p>
    <w:p w14:paraId="2EE75959">
      <w:pPr>
        <w:rPr>
          <w:rFonts w:hint="eastAsia" w:ascii="仿宋" w:hAnsi="仿宋" w:eastAsia="仿宋" w:cs="仿宋"/>
          <w:color w:val="auto"/>
          <w:lang w:val="en-US" w:eastAsia="zh-CN"/>
        </w:rPr>
      </w:pPr>
    </w:p>
    <w:p w14:paraId="08B4B36C">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10出入口视频抓拍单元:</w:t>
      </w:r>
    </w:p>
    <w:p w14:paraId="2A907BB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集成度高：集摄像机、护罩、LED补光灯、镜头于一体，，有效节省施工布线成本；</w:t>
      </w:r>
    </w:p>
    <w:p w14:paraId="706B320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调试方便：采用3.1-6mm电动变焦镜头，支持软件自动调焦，调试更加方便，场景适应性更广</w:t>
      </w:r>
    </w:p>
    <w:p w14:paraId="08D8F51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接口丰富：丰富的控制接口，可直接控制道闸开/关，支持外接报警设备、LED显示屏、音频输入输出等</w:t>
      </w:r>
    </w:p>
    <w:p w14:paraId="3418EF9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识别车牌种类多：能够识别符合GA 36《中华人民共和国机动车号牌》标准的车牌类型</w:t>
      </w:r>
    </w:p>
    <w:p w14:paraId="00CA284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智能识别算法：深度智能识别算法，支持8种车型，11种车身颜色，220种车标，3000种子品牌等特征识别</w:t>
      </w:r>
    </w:p>
    <w:p w14:paraId="55A61A2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黑白名单控制：可选配TF卡，支持黑、白名单的导入及对比，可直接联动道闸开闸，支持脱机运行</w:t>
      </w:r>
    </w:p>
    <w:p w14:paraId="1C27F7F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多种触发模式：支持线圈触发、视频触发等多种触发模式；捕获率高，纯视频识别，纯视频抓拍时可捕获无车牌，捕获率99.5%以上</w:t>
      </w:r>
    </w:p>
    <w:p w14:paraId="7DB0E2A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防跟车模式：对于连续过车的场景，可实现跟车不落杆，有效解决拥堵问题</w:t>
      </w:r>
    </w:p>
    <w:p w14:paraId="337F0C9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双灯一体化：内置红外白光一体化灯珠，有效满足不同的场景需求</w:t>
      </w:r>
    </w:p>
    <w:p w14:paraId="5D89486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快门：1/30秒至1/100,000秒</w:t>
      </w:r>
    </w:p>
    <w:p w14:paraId="3D5159A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镜头：电动镜头3.1-6mm</w:t>
      </w:r>
    </w:p>
    <w:p w14:paraId="25BEF1B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智能识别：车牌识别、车型识别、车标识别、车辆子品牌，车身颜色识别</w:t>
      </w:r>
    </w:p>
    <w:p w14:paraId="4E0B234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补光灯控制：补光灯自动光控、时控可选；</w:t>
      </w:r>
    </w:p>
    <w:p w14:paraId="50BE84D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通讯接口：1 个RJ45 10M/100M,自适应以太网口 ,1个 RS-485 接口</w:t>
      </w:r>
    </w:p>
    <w:p w14:paraId="662918D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外部接口：3路触发输入，其中1路IO触发输入、2路报警输入；2路继电器输出，支持道闸开、关、停</w:t>
      </w:r>
    </w:p>
    <w:p w14:paraId="3193F20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补光灯：支持2个内置LED灯，白光红外可切换</w:t>
      </w:r>
    </w:p>
    <w:p w14:paraId="02D686C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防护等级：IP67</w:t>
      </w:r>
    </w:p>
    <w:p w14:paraId="5DDFCBF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7种常见车型识别，包括轿车、客车、面包车、大货车、小货车、中型客车、SUV/MPV，在天气晴朗无雾，号牌无遮挡，无污损的条件下白天环境光不低于200lux，晚上不高于30lux，白天准确率≥90%，夜间≥85；（以权威机构检验报告为准）</w:t>
      </w:r>
    </w:p>
    <w:p w14:paraId="66F1A6C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◆支持黑白名单上传功能：可通过IE浏览器或客户端软件将黑白名单上传样机；（以权威机构检验报告为准）</w:t>
      </w:r>
    </w:p>
    <w:p w14:paraId="2DA49BF6">
      <w:pPr>
        <w:pStyle w:val="33"/>
        <w:rPr>
          <w:rFonts w:hint="eastAsia" w:ascii="仿宋" w:hAnsi="仿宋" w:eastAsia="仿宋" w:cs="仿宋"/>
          <w:color w:val="auto"/>
          <w:sz w:val="24"/>
          <w:szCs w:val="24"/>
          <w:lang w:val="en-US" w:eastAsia="zh-CN"/>
        </w:rPr>
      </w:pPr>
    </w:p>
    <w:p w14:paraId="7396C84E">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11 400万摄像机:</w:t>
      </w:r>
    </w:p>
    <w:p w14:paraId="2D2B2C2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传感器类型：1/3英寸CMOS；</w:t>
      </w:r>
    </w:p>
    <w:p w14:paraId="497A947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像素：400万；</w:t>
      </w:r>
    </w:p>
    <w:p w14:paraId="7E64569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最大分辨率：2560×1440；</w:t>
      </w:r>
    </w:p>
    <w:p w14:paraId="163325E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最低照度：0.01lux（彩色模式）；0.001lux（黑白模式）；0lux（补光灯开启）；</w:t>
      </w:r>
    </w:p>
    <w:p w14:paraId="25025ED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最大补光距离：50m（红外）；</w:t>
      </w:r>
    </w:p>
    <w:p w14:paraId="1E83036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补光灯：1颗（红外灯）；</w:t>
      </w:r>
    </w:p>
    <w:p w14:paraId="09E7C5D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镜头焦距：3.6mm；</w:t>
      </w:r>
    </w:p>
    <w:p w14:paraId="34F37CA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视场角：水平：76°；垂直：40°；对角：92°；</w:t>
      </w:r>
    </w:p>
    <w:p w14:paraId="60C9ADC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智能编码：H.264:支持;H.265:支持;；</w:t>
      </w:r>
    </w:p>
    <w:p w14:paraId="49BB710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宽动态：支持；</w:t>
      </w:r>
    </w:p>
    <w:p w14:paraId="536BC93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内置MIC：支持；</w:t>
      </w:r>
    </w:p>
    <w:p w14:paraId="0F3939D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预览最大用户数：6个（总带宽:24 M）；</w:t>
      </w:r>
    </w:p>
    <w:p w14:paraId="21B3A06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◆音视频数据加密存储传输功能检验:样机视音频数据支持AES256安全强度的加密存储及导出;支持图像数据TLS加密传输至后端服务器及云平台（提供权威机构有效检测报告复印件加盖原厂公章或投标专用章）</w:t>
      </w:r>
    </w:p>
    <w:p w14:paraId="3EA3C7A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应支持https通信协议。设备的通信报文中不应存在产品标识或生产厂商标识的明文信息。https协议使用的Openssl库不应存在已公布的漏洞。设备的通信报文中不应存在明文格式的用户登录密码信息（提供权威机构有效检测报告复印件加盖原厂公章或投标专用章）</w:t>
      </w:r>
    </w:p>
    <w:p w14:paraId="6434A40B">
      <w:pPr>
        <w:rPr>
          <w:rFonts w:hint="eastAsia" w:ascii="仿宋" w:hAnsi="仿宋" w:eastAsia="仿宋" w:cs="仿宋"/>
          <w:color w:val="auto"/>
          <w:lang w:val="en-US" w:eastAsia="zh-CN"/>
        </w:rPr>
      </w:pPr>
    </w:p>
    <w:p w14:paraId="30C9E317">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12 400万高清智能摄像机</w:t>
      </w:r>
    </w:p>
    <w:p w14:paraId="0C70975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传感器类型：1/1.8英寸CMOS；</w:t>
      </w:r>
    </w:p>
    <w:p w14:paraId="52E0682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像素：400万；</w:t>
      </w:r>
    </w:p>
    <w:p w14:paraId="348C3AD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最大分辨率：2688×1520；</w:t>
      </w:r>
    </w:p>
    <w:p w14:paraId="31F4D02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最低照度：0.001lux（彩色模式）；0.0001lux（黑白模式）；0lux（补光灯开启）；</w:t>
      </w:r>
    </w:p>
    <w:p w14:paraId="3BA7C3E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最大补光距离：50m（视频监控距离）3m（人脸检测距离）；</w:t>
      </w:r>
    </w:p>
    <w:p w14:paraId="27329FF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补光灯：2颗（红外灯）;2颗（暖光灯）；</w:t>
      </w:r>
    </w:p>
    <w:p w14:paraId="13A02BE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镜头焦距：6mm；</w:t>
      </w:r>
    </w:p>
    <w:p w14:paraId="795A4C5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镜头光圈：F1.6；</w:t>
      </w:r>
    </w:p>
    <w:p w14:paraId="3DCA731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视场角：水平：55°；垂直：30°；对角：64°；</w:t>
      </w:r>
    </w:p>
    <w:p w14:paraId="13C544C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通用行为分析：物品遗留；物品搬移；</w:t>
      </w:r>
    </w:p>
    <w:p w14:paraId="3C7B47D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热度图：支持；</w:t>
      </w:r>
    </w:p>
    <w:p w14:paraId="530F907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周界防范：绊线入侵；区域入侵；快速移动（三项均支持人车分类及精准检测）；徘徊检测；人员聚集；停车检测；</w:t>
      </w:r>
    </w:p>
    <w:p w14:paraId="2C24F07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单寸照；支持实时抓拍、优选抓拍、质量优先三种抓拍策略；支持人脸角度过滤功能；支持优选时长可设；</w:t>
      </w:r>
    </w:p>
    <w:p w14:paraId="7D1E092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数统计：支持对进入、离开人员进行数量统计，支持4条规则配置，并可显示及输出日、月、年统计报表；支持区域内人员进行数量统计，支持4条规则配置；支持排队管理，支持4条规则配置，对限定的排队人数和排队时间进行统计并联动报警；</w:t>
      </w:r>
    </w:p>
    <w:p w14:paraId="7B8D092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视频结构化：支持机动车、非机动车、人脸、人体检测;支持跟踪;支持优选;支持抓拍;支持上报最优的人脸抓图 机动车属性（车牌,车辆类型,车身颜色,车牌颜色,车标,车系/年款,其他属性:遮阳板,安全带,抽烟,打电话,车内饰品,年检标志） 非机动车属性（类型,车身颜色,骑车人数,上衣类型,上衣颜色） 人体属性（上衣类型,下衣类型,上衣颜色,下衣颜色,背包,帽子,性别） 人脸属性（性别,年龄,表情,戴眼镜,戴口罩,胡子） 备注：黑白模式下不支持视频结构化；</w:t>
      </w:r>
    </w:p>
    <w:p w14:paraId="62E7E61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智能编码：H.264:支持；H.265:支持；</w:t>
      </w:r>
    </w:p>
    <w:p w14:paraId="3F01BE3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AI编码：支持；</w:t>
      </w:r>
    </w:p>
    <w:p w14:paraId="74F9F0C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宽动态：120dB；</w:t>
      </w:r>
    </w:p>
    <w:p w14:paraId="1E1EA17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音频接口：支持；</w:t>
      </w:r>
    </w:p>
    <w:p w14:paraId="090BD34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内置MIC：支持，内置1个MIC；</w:t>
      </w:r>
    </w:p>
    <w:p w14:paraId="0CAB2F6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警事件：无SD卡；SD卡空间不足；SD卡出错；网络断开；IP冲突；非法访问；动态检测；视频遮挡；绊线入侵；区域入侵；快速移动；物品遗留；物品搬移；徘徊检测；人员聚集；场景变更；音频异常侦测；电压检测；外部报警；人脸检测；安全异常；人数统计;视频结构化；</w:t>
      </w:r>
    </w:p>
    <w:p w14:paraId="64EEAE5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预览最大用户数：20个（总带宽:80M）；</w:t>
      </w:r>
    </w:p>
    <w:p w14:paraId="7628EFF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最大Micro SD卡：512GB；</w:t>
      </w:r>
    </w:p>
    <w:p w14:paraId="6E60D4B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◆开启AI场景自适应功能后，设备可根据雨雪、雾天气、背光场景自动调整成像参数（提供权威机构有效检测报告复印件加盖原厂公章或投标专用章）</w:t>
      </w:r>
    </w:p>
    <w:p w14:paraId="5FF380B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◆设备可同步开启4个区域人数统计、4个绊线人数统计和4个排队人数统计功能，共12个检测区域，12条智能规则可同时开启（提供权威机构有效检测报告复印件加盖原厂公章或投标专用章）</w:t>
      </w:r>
    </w:p>
    <w:p w14:paraId="6ACA9104">
      <w:pPr>
        <w:rPr>
          <w:rFonts w:hint="eastAsia" w:ascii="仿宋" w:hAnsi="仿宋" w:eastAsia="仿宋" w:cs="仿宋"/>
          <w:color w:val="auto"/>
          <w:lang w:val="en-US" w:eastAsia="zh-CN"/>
        </w:rPr>
      </w:pPr>
    </w:p>
    <w:p w14:paraId="713FCFAA">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13 8口全千兆POE接入交换机</w:t>
      </w:r>
    </w:p>
    <w:p w14:paraId="788295D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8FE PoE口+2GE上行电+GX上行SFP光 输出-48V  15.4W 延伸250m/VLan 内置220V，96W</w:t>
      </w:r>
    </w:p>
    <w:p w14:paraId="3F9676C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自动适应10/100/1000Mbps环境，便于与不同网络的升级；</w:t>
      </w:r>
    </w:p>
    <w:p w14:paraId="5C68D7E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每个端口支持全双工802.3x流控及半双工背压流控；</w:t>
      </w:r>
    </w:p>
    <w:p w14:paraId="4267205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支持VLAN超长数据包的传输，支持最大为1552字节以上的以太网包；</w:t>
      </w:r>
    </w:p>
    <w:p w14:paraId="7410B1C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存储转发交换模式，可防止受损的封包在网络中扩散；</w:t>
      </w:r>
    </w:p>
    <w:p w14:paraId="3E11518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流量控制功能，能阻止瞬时大量的数据对网络带来的冲击；</w:t>
      </w:r>
    </w:p>
    <w:p w14:paraId="6A9BB02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 IEEE 802.3az 节能协议，低功耗，低发热，能长时间稳定工作；</w:t>
      </w:r>
    </w:p>
    <w:p w14:paraId="5DABB91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动态LED指示灯，显示设备工作状态并提供简单的故障排除；</w:t>
      </w:r>
    </w:p>
    <w:p w14:paraId="60FC2CF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支持看门狗功能；</w:t>
      </w:r>
    </w:p>
    <w:p w14:paraId="086992F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支持Auto-MDIX功能，自动识别直通网线和交叉网线</w:t>
      </w:r>
    </w:p>
    <w:p w14:paraId="65B45C7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支持端口自动协商功能（自协商传输速率和双工模式）；</w:t>
      </w:r>
    </w:p>
    <w:p w14:paraId="66CEDB6F">
      <w:pPr>
        <w:pStyle w:val="33"/>
        <w:rPr>
          <w:rFonts w:hint="eastAsia" w:ascii="仿宋" w:hAnsi="仿宋" w:eastAsia="仿宋" w:cs="仿宋"/>
          <w:color w:val="auto"/>
          <w:lang w:val="en-US" w:eastAsia="zh-CN"/>
        </w:rPr>
      </w:pPr>
    </w:p>
    <w:p w14:paraId="67698FE3">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14 16口全千兆POE接入交换机</w:t>
      </w:r>
    </w:p>
    <w:p w14:paraId="180FF0E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16FE PoE口+2GE上行电+1GX光上行  输出-48V 15.4W 延伸250m/VLan 内置220V  机架式 ，260W</w:t>
      </w:r>
    </w:p>
    <w:p w14:paraId="7325CFC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自动适应10/100/1000Mbps环境，便于与不同网络的升级；</w:t>
      </w:r>
    </w:p>
    <w:p w14:paraId="6D7F69C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采用千兆光传输网络架构</w:t>
      </w:r>
    </w:p>
    <w:p w14:paraId="5342DEE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采用工业级设计：无风扇散热设计，外壳采用金属外壳 </w:t>
      </w:r>
    </w:p>
    <w:p w14:paraId="1682BB4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◆IP防护等级不低于IP42（提供权威有效检测报告加盖公章或投标专用章）；</w:t>
      </w:r>
    </w:p>
    <w:p w14:paraId="212547D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◆高温试验：+85±2℃；加电运行：48h。（提供权威有效检测报告加盖公章或投标专用章）；</w:t>
      </w:r>
    </w:p>
    <w:p w14:paraId="3EBD914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采用工业级冗余双电源输入，电源范围支持48~52VDC。 </w:t>
      </w:r>
    </w:p>
    <w:p w14:paraId="4B9353C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支持 STP/RSTP/MSTP（IEEE 802.1d/w/s），以太网环保护协议 ERPS（ITU-T G.8032） </w:t>
      </w:r>
    </w:p>
    <w:p w14:paraId="4850C7B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环网自愈恢复时间小于 50ms。 </w:t>
      </w:r>
    </w:p>
    <w:p w14:paraId="1D23266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应支持 IEEE 802.1D，IEEE802.1W，IEEE802.1S 等标准生成树协议。 </w:t>
      </w:r>
    </w:p>
    <w:p w14:paraId="3190791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应支持 802.3ad LACP 链路聚合功能，应支持主备链路冗余功能。 </w:t>
      </w:r>
    </w:p>
    <w:p w14:paraId="6BDD770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应支持 DHCP 功能，应支持 DHCPv4/DHCP/v6 Clinet，应支持 </w:t>
      </w:r>
    </w:p>
    <w:p w14:paraId="3EE84B2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DHCPv4 Server/Snooping 等功能。 </w:t>
      </w:r>
    </w:p>
    <w:p w14:paraId="0F01C29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支持光模块温度、电压、电流、输出功率、输入功率、OE Present检测，实时显示光模块工作状态；</w:t>
      </w:r>
    </w:p>
    <w:p w14:paraId="3627B9C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网管界面可管理POE，控制POE功能启用和关闭；</w:t>
      </w:r>
    </w:p>
    <w:p w14:paraId="50AA6E7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◆电快速瞬变脉冲群抗扰度试验符合GB/T17626.4规定（提供权威有效检测报告加盖公章或投标专用章）；</w:t>
      </w:r>
    </w:p>
    <w:p w14:paraId="09B1494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◆电源插头或电源引入端与外壳裸露金属部件之间，应能承受0.5KV交流电压，历时1min的抗电强度试验，应无击穿和飞狐现象（提供权威有效检测报告加盖公章或投标专用章）；</w:t>
      </w:r>
    </w:p>
    <w:p w14:paraId="3A41418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仿真大量服务器作为iSCSI存储发起方，对另外一个端口仿真的iSCSI磁盘阵列进行500Mbps目标吞吐量的读写操作时，平均吞吐量测试为499.779Mbps、读写延时测试为134us、读写失败为0（提供权威有效检测报告加盖公章或投标专用章）；</w:t>
      </w:r>
    </w:p>
    <w:p w14:paraId="0A4EB295">
      <w:pPr>
        <w:pStyle w:val="33"/>
        <w:rPr>
          <w:rFonts w:hint="eastAsia" w:ascii="仿宋" w:hAnsi="仿宋" w:eastAsia="仿宋" w:cs="仿宋"/>
          <w:color w:val="auto"/>
          <w:lang w:val="en-US" w:eastAsia="zh-CN"/>
        </w:rPr>
      </w:pPr>
    </w:p>
    <w:p w14:paraId="0727A0B5">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15 万兆汇聚交换机</w:t>
      </w:r>
    </w:p>
    <w:p w14:paraId="2A83DF6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固化24个100/1000M光接口，4个万兆光接口，支持实配冗余交流电源输入，不接受外置RPS电源方式。</w:t>
      </w:r>
    </w:p>
    <w:p w14:paraId="3CC05D4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交换容量≥336Gbps；包转发率≥96Mpps  </w:t>
      </w:r>
    </w:p>
    <w:p w14:paraId="125B5B0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支持4K个VLAN，QINQ等；多对一的端口镜像，远程端口镜像RSPAN，流镜像。</w:t>
      </w:r>
    </w:p>
    <w:p w14:paraId="5BFAA22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支持广播、组播、未知单播风暴抑制</w:t>
      </w:r>
    </w:p>
    <w:p w14:paraId="29D0C3C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支持端口的负载均衡、支持LACP，每个链路聚合组支持8个成员端口</w:t>
      </w:r>
    </w:p>
    <w:p w14:paraId="6A8FC4E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◆支持跨链路聚合（M-LAG）功能、跨设备链路聚合下双主检测功能、纵向虚拟化(MVST)功能（提供权威机构检测测试报告并加盖公章）。</w:t>
      </w:r>
    </w:p>
    <w:p w14:paraId="6B342B6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支持DHCP Server，支持静态路由、RIP、OSPF、RIPng、OSPFv3等动态路由协议</w:t>
      </w:r>
    </w:p>
    <w:p w14:paraId="536733A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支持IGMP、IGMP Snooping；支持PIM-SM、PIM-DM等三层组播路由协议</w:t>
      </w:r>
    </w:p>
    <w:p w14:paraId="124B91A1">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支持VRRP，支持BFD for BGP/OSPF等</w:t>
      </w:r>
    </w:p>
    <w:p w14:paraId="1FF28D4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◆支持多虚一功能，可达到16台设备虚1（提供权威机构检测测试报告并加盖公章）。</w:t>
      </w:r>
    </w:p>
    <w:p w14:paraId="54937FC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ICMP Flood拦截、Smurf攻击拦截、Fraggle攻击拦截、LAND攻击拦截、SYN Flood攻击拦截</w:t>
      </w:r>
    </w:p>
    <w:p w14:paraId="7E78AB7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支持标准、扩展ACL，基于MAC的ACL、基于时间的ACL等；支持IP+MAC+端口的绑定，支持SP、WRR、SP+WRR、DWRR、SDWRR等队列技术。</w:t>
      </w:r>
    </w:p>
    <w:p w14:paraId="336D34E7">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支持G.8032协议，实现ms级业务倒换</w:t>
      </w:r>
    </w:p>
    <w:p w14:paraId="625AEF8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◆支持ZTP进行零配置开局功能（提供权威机构检测测试报告并加盖公章）。</w:t>
      </w:r>
    </w:p>
    <w:p w14:paraId="697653A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◆支持脆弱性扫描功能（提供权威机构检测测试报告并加盖公章）</w:t>
      </w:r>
    </w:p>
    <w:p w14:paraId="5936DB8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◆设备经过漏洞扫描软件测试后，不存在高危漏洞（提供权威机构检测测试报告并加盖公章）</w:t>
      </w:r>
    </w:p>
    <w:p w14:paraId="2706D2D0">
      <w:pPr>
        <w:rPr>
          <w:rFonts w:hint="eastAsia" w:ascii="仿宋" w:hAnsi="仿宋" w:eastAsia="仿宋" w:cs="仿宋"/>
          <w:color w:val="auto"/>
          <w:lang w:val="en-US" w:eastAsia="zh-CN"/>
        </w:rPr>
      </w:pPr>
    </w:p>
    <w:p w14:paraId="42B60A5D">
      <w:pPr>
        <w:spacing w:line="360" w:lineRule="auto"/>
        <w:ind w:firstLine="42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16 多媒体智能终端</w:t>
      </w:r>
    </w:p>
    <w:p w14:paraId="75022EB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显示分辨率：3840*2160、视频接口：1路HDMI输出接口</w:t>
      </w:r>
    </w:p>
    <w:p w14:paraId="2509836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音频接口：1个3.5mm音频输出、USB接口：1个USB2.0；1个USB 3.0；</w:t>
      </w:r>
    </w:p>
    <w:p w14:paraId="0D84AC2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有线网络：1个10/100/1000Mbps以太网RJ45接口；</w:t>
      </w:r>
    </w:p>
    <w:p w14:paraId="3795B24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无线网络：2个WiFi5（802.11AC协议）无线模块；支持AP热点、STA终端连接、WiFi P2P工作模式、内置3根高增益全向天线；</w:t>
      </w:r>
    </w:p>
    <w:p w14:paraId="181A7936">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1)Airplay投屏：支持苹果iOS、MacOS设备自带的Airplay投屏功能、无需安装任何软件；支持Airplay多路投屏；</w:t>
      </w:r>
    </w:p>
    <w:p w14:paraId="1D31432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2)◆Miracast投屏：支持Android设备（手机、Pad）系统自带的无线投屏功能、无需安装任何软件；支持miracast多路投屏；支持HDCP，可以正常播放有版权的内容信息；（提供权威机构出具的检测报告复印件加盖公章）</w:t>
      </w:r>
    </w:p>
    <w:p w14:paraId="1F46B19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3)◆WiDi投屏：支持Windows8/10/11电脑自带的无线投屏功能、无需安装任何软件；支持WiDi多路投屏；支持局域网MICE投屏；（提供权威机构出具的检测报告复印件加盖公章）</w:t>
      </w:r>
    </w:p>
    <w:p w14:paraId="47F622A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4)◆GooGlecast投屏：支持Googlecast的安卓设备无线投屏，支持Chrome、Edge浏览器投屏；（提供权威机构出具的检测报告复印件加盖公章）</w:t>
      </w:r>
    </w:p>
    <w:p w14:paraId="2B54AEA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5)◆Huawei Cast+投屏：支持华为/荣耀手机（含鸿蒙）自带的无线投屏功能、无需安装任何软件；（提供权威机构出具的检测报告复印件加盖公章）</w:t>
      </w:r>
    </w:p>
    <w:p w14:paraId="7DA2A96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6)客户端投屏：可提供Android、iOS、MacOS、Windows 4套发射端软件,支持Windows、Mac、Android、iOS设备安装软件客户端方式进行无线投屏；支持扫码投屏和投屏码投屏；PC客户端支持扩展屏投屏和程序窗口投屏；客户端投屏支持跨网段投屏；</w:t>
      </w:r>
    </w:p>
    <w:p w14:paraId="074E26C0">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7)◆网页投屏：支持Chrome内核浏览器，局域网内输入IP地址直接投屏，无需安装软件；（提供权威机构出具的检测报告复印件加盖公章）</w:t>
      </w:r>
    </w:p>
    <w:p w14:paraId="06EEB404">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8)按键发射器：可选配USB/HDMI/Type-C三种接口的按键发射器，支持一键投屏；</w:t>
      </w:r>
    </w:p>
    <w:p w14:paraId="659D0F0C">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9)投屏PIN码：支持投屏安全加密，兼容Miracast PIN码，可有效避免误投；</w:t>
      </w:r>
    </w:p>
    <w:p w14:paraId="655E700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10)投屏时延：≤150ms；</w:t>
      </w:r>
    </w:p>
    <w:p w14:paraId="6D158F82">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11)投屏距离：局域网投屏无距离限制；点对点投屏（无阻挡）最大可至40m；</w:t>
      </w:r>
    </w:p>
    <w:p w14:paraId="621A5A2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12)◆投屏水印：支持投屏画面显示投屏环境水印信息（设备名称、当前会议室、时间等），方便信息追溯；（提供权威机构出具的检测报告复印件加盖公章）</w:t>
      </w:r>
    </w:p>
    <w:p w14:paraId="36DAC94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13)抢投模式：提供抢投开启和关闭功能，允许或者禁止下一个用户的投屏画面抢占当前显示画面；</w:t>
      </w:r>
    </w:p>
    <w:p w14:paraId="75FE320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14)◆投屏反控：支持USB Touch，支持Android手机和Windows/Mac电脑投屏反向控制；（提供权威机构出具的检测报告复印件加盖公章）</w:t>
      </w:r>
    </w:p>
    <w:p w14:paraId="063E2EA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15)多画面显示：最大可支持2路投屏终端同时无线投屏显示，能够在显示终端上自适应进行双画面显示切换。多屏画面布局下，支持对单一显示画面静音、全屏或移出操作；</w:t>
      </w:r>
    </w:p>
    <w:p w14:paraId="7A4493E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16)◆弱网传输：支持弱网传输对抗，可在10%~20%的网络丢包率情况下仍能流畅稳定投屏； （提供权威机构出具的检测报告复印件加盖公章）</w:t>
      </w:r>
    </w:p>
    <w:p w14:paraId="46BB679D">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17)UI主题：内置多套UI设计模板，可自定义选择UI风格；</w:t>
      </w:r>
    </w:p>
    <w:p w14:paraId="4BDBD7CB">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18)自定义壁纸：支持自定义更换系统壁纸，支持多壁纸循环播放；</w:t>
      </w:r>
    </w:p>
    <w:p w14:paraId="4A8FA00F">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19)自定义动画：支持自定义更换系统开机动画，支持多视频文件循环播放；</w:t>
      </w:r>
    </w:p>
    <w:p w14:paraId="70E5CB45">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20)◆网页壁纸：支持将网页页面设置成开机壁纸，网页支持在线操作；（提供权威机构出具的检测报告复印件加盖公章）</w:t>
      </w:r>
    </w:p>
    <w:p w14:paraId="3710026A">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21)◆信息发布：内置图片、视频、字幕推送功能，通过web管理系统或统一管理平台，可自定义设置信息发布的内容和发布；（提供权威机构出具的检测报告复印件加盖公章）</w:t>
      </w:r>
    </w:p>
    <w:p w14:paraId="3EDA1CE9">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1)投屏状态监测：支持投屏分辨率、丢包率、码率、帧率及信号强度信息显示；</w:t>
      </w:r>
    </w:p>
    <w:p w14:paraId="5FDF9A1E">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22)WEB管理：智能终端支持web管理控制，通过web管理可远程进行设备参数配置和产品运维；</w:t>
      </w:r>
    </w:p>
    <w:p w14:paraId="41345B23">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23)自动开关机：内置独立MCU处理电路，可监控主机状态，支持定时重启功能；</w:t>
      </w:r>
    </w:p>
    <w:p w14:paraId="3727349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24)自动休眠：支持空闲时自动进入休眠状态；</w:t>
      </w:r>
    </w:p>
    <w:p w14:paraId="29EFEDB8">
      <w:pPr>
        <w:pStyle w:val="3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25)Web上网认证：支持Portal登录认证，提供更安全的网络连接服务；</w:t>
      </w:r>
    </w:p>
    <w:p w14:paraId="27E0751A">
      <w:pPr>
        <w:pStyle w:val="32"/>
        <w:rPr>
          <w:rFonts w:hint="eastAsia" w:ascii="仿宋" w:hAnsi="仿宋" w:eastAsia="仿宋" w:cs="仿宋"/>
          <w:color w:val="auto"/>
          <w:lang w:val="en-US" w:eastAsia="zh-CN"/>
        </w:rPr>
      </w:pPr>
    </w:p>
    <w:p w14:paraId="7B154407">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14:paraId="0700AC6F">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14:paraId="4490641C">
      <w:pPr>
        <w:pStyle w:val="32"/>
        <w:rPr>
          <w:rFonts w:hint="eastAsia" w:ascii="仿宋" w:hAnsi="仿宋" w:eastAsia="仿宋" w:cs="仿宋"/>
          <w:color w:val="auto"/>
          <w:lang w:val="en-US" w:eastAsia="zh-CN"/>
        </w:rPr>
      </w:pPr>
    </w:p>
    <w:p w14:paraId="6C3A1545">
      <w:pPr>
        <w:pStyle w:val="2"/>
        <w:numPr>
          <w:ilvl w:val="0"/>
          <w:numId w:val="8"/>
        </w:numPr>
        <w:rPr>
          <w:rFonts w:hint="eastAsia" w:ascii="仿宋" w:hAnsi="仿宋" w:eastAsia="仿宋" w:cs="仿宋"/>
          <w:color w:val="auto"/>
        </w:rPr>
      </w:pPr>
      <w:r>
        <w:rPr>
          <w:rFonts w:hint="eastAsia" w:ascii="仿宋" w:hAnsi="仿宋" w:eastAsia="仿宋" w:cs="仿宋"/>
          <w:color w:val="auto"/>
        </w:rPr>
        <w:t>商务需求</w:t>
      </w:r>
    </w:p>
    <w:p w14:paraId="3EAD763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1、</w:t>
      </w:r>
      <w:r>
        <w:rPr>
          <w:rFonts w:hint="eastAsia" w:ascii="仿宋" w:hAnsi="仿宋" w:eastAsia="仿宋" w:cs="仿宋"/>
          <w:b/>
          <w:color w:val="auto"/>
          <w:kern w:val="0"/>
          <w:sz w:val="24"/>
          <w:lang w:val="en-US" w:eastAsia="zh-CN"/>
        </w:rPr>
        <w:t>工期</w:t>
      </w:r>
      <w:r>
        <w:rPr>
          <w:rFonts w:hint="eastAsia" w:ascii="仿宋" w:hAnsi="仿宋" w:eastAsia="仿宋" w:cs="仿宋"/>
          <w:b/>
          <w:color w:val="auto"/>
          <w:kern w:val="0"/>
          <w:sz w:val="24"/>
        </w:rPr>
        <w:t>及地点：</w:t>
      </w:r>
    </w:p>
    <w:p w14:paraId="2B0BE152">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（1）</w:t>
      </w:r>
      <w:r>
        <w:rPr>
          <w:rFonts w:hint="eastAsia" w:ascii="仿宋" w:hAnsi="仿宋" w:eastAsia="仿宋" w:cs="仿宋"/>
          <w:color w:val="auto"/>
          <w:kern w:val="0"/>
          <w:sz w:val="24"/>
        </w:rPr>
        <w:t>▲</w:t>
      </w: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签订合同1个月内完成所有安装调试工作</w:t>
      </w:r>
      <w:r>
        <w:rPr>
          <w:rFonts w:hint="eastAsia" w:ascii="仿宋" w:hAnsi="仿宋" w:eastAsia="仿宋" w:cs="仿宋"/>
          <w:b/>
          <w:bCs/>
          <w:color w:val="auto"/>
          <w:kern w:val="0"/>
          <w:sz w:val="24"/>
        </w:rPr>
        <w:t>。</w:t>
      </w:r>
    </w:p>
    <w:p w14:paraId="2A9556BE">
      <w:pPr>
        <w:keepNext w:val="0"/>
        <w:keepLines w:val="0"/>
        <w:pageBreakBefore w:val="0"/>
        <w:widowControl/>
        <w:kinsoku/>
        <w:wordWrap/>
        <w:overflowPunct/>
        <w:topLinePunct w:val="0"/>
        <w:autoSpaceDE/>
        <w:autoSpaceDN/>
        <w:bidi w:val="0"/>
        <w:adjustRightInd/>
        <w:snapToGrid/>
        <w:spacing w:line="360" w:lineRule="auto"/>
        <w:ind w:firstLine="602" w:firstLineChars="25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 xml:space="preserve">交货地点：招标人指定地点。 </w:t>
      </w:r>
    </w:p>
    <w:p w14:paraId="250E1B1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eastAsia="zh-CN"/>
        </w:rPr>
        <w:t>成交人</w:t>
      </w:r>
      <w:r>
        <w:rPr>
          <w:rFonts w:hint="eastAsia" w:ascii="仿宋" w:hAnsi="仿宋" w:eastAsia="仿宋" w:cs="仿宋"/>
          <w:color w:val="auto"/>
          <w:kern w:val="0"/>
          <w:sz w:val="24"/>
        </w:rPr>
        <w:t>提供的</w:t>
      </w:r>
      <w:r>
        <w:rPr>
          <w:rFonts w:hint="eastAsia" w:ascii="仿宋" w:hAnsi="仿宋" w:eastAsia="仿宋" w:cs="仿宋"/>
          <w:color w:val="auto"/>
          <w:kern w:val="0"/>
          <w:sz w:val="24"/>
          <w:lang w:val="en-US" w:eastAsia="zh-CN"/>
        </w:rPr>
        <w:t>设备</w:t>
      </w:r>
      <w:r>
        <w:rPr>
          <w:rFonts w:hint="eastAsia" w:ascii="仿宋" w:hAnsi="仿宋" w:eastAsia="仿宋" w:cs="仿宋"/>
          <w:color w:val="auto"/>
          <w:kern w:val="0"/>
          <w:sz w:val="24"/>
        </w:rPr>
        <w:t>，必须符合本采购要求、装送达采购单位；如有不符，采购人可以无条件退货，所造成的损失由</w:t>
      </w:r>
      <w:r>
        <w:rPr>
          <w:rFonts w:hint="eastAsia" w:ascii="仿宋" w:hAnsi="仿宋" w:eastAsia="仿宋" w:cs="仿宋"/>
          <w:color w:val="auto"/>
          <w:kern w:val="0"/>
          <w:sz w:val="24"/>
          <w:lang w:eastAsia="zh-CN"/>
        </w:rPr>
        <w:t>成交人</w:t>
      </w:r>
      <w:r>
        <w:rPr>
          <w:rFonts w:hint="eastAsia" w:ascii="仿宋" w:hAnsi="仿宋" w:eastAsia="仿宋" w:cs="仿宋"/>
          <w:color w:val="auto"/>
          <w:kern w:val="0"/>
          <w:sz w:val="24"/>
        </w:rPr>
        <w:t>承担。更换后的零部件质保期按更换日起顺延。</w:t>
      </w:r>
    </w:p>
    <w:p w14:paraId="495F0635">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2.2服务</w:t>
      </w:r>
      <w:r>
        <w:rPr>
          <w:rFonts w:hint="eastAsia" w:ascii="仿宋" w:hAnsi="仿宋" w:eastAsia="仿宋" w:cs="仿宋"/>
          <w:b/>
          <w:bCs/>
          <w:color w:val="auto"/>
          <w:kern w:val="0"/>
          <w:sz w:val="24"/>
          <w:lang w:val="en-US" w:eastAsia="zh-CN"/>
        </w:rPr>
        <w:t>期</w:t>
      </w:r>
      <w:r>
        <w:rPr>
          <w:rFonts w:hint="eastAsia" w:ascii="仿宋" w:hAnsi="仿宋" w:eastAsia="仿宋" w:cs="仿宋"/>
          <w:b/>
          <w:bCs/>
          <w:color w:val="auto"/>
          <w:kern w:val="0"/>
          <w:sz w:val="24"/>
        </w:rPr>
        <w:t>要求：</w:t>
      </w:r>
    </w:p>
    <w:p w14:paraId="1E25E04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▲2.2.1</w:t>
      </w:r>
      <w:r>
        <w:rPr>
          <w:rFonts w:hint="eastAsia" w:ascii="仿宋" w:hAnsi="仿宋" w:eastAsia="仿宋" w:cs="仿宋"/>
          <w:b/>
          <w:color w:val="auto"/>
          <w:kern w:val="0"/>
          <w:sz w:val="24"/>
          <w:lang w:val="en-US" w:eastAsia="zh-CN"/>
        </w:rPr>
        <w:t>服务</w:t>
      </w:r>
      <w:r>
        <w:rPr>
          <w:rFonts w:hint="eastAsia" w:ascii="仿宋" w:hAnsi="仿宋" w:eastAsia="仿宋" w:cs="仿宋"/>
          <w:b/>
          <w:color w:val="auto"/>
          <w:kern w:val="0"/>
          <w:sz w:val="24"/>
        </w:rPr>
        <w:t>期：一年。（</w:t>
      </w:r>
      <w:r>
        <w:rPr>
          <w:rFonts w:hint="eastAsia" w:ascii="仿宋" w:hAnsi="仿宋" w:eastAsia="仿宋" w:cs="仿宋"/>
          <w:b/>
          <w:color w:val="auto"/>
          <w:kern w:val="0"/>
          <w:sz w:val="24"/>
          <w:lang w:val="en-US" w:eastAsia="zh-CN"/>
        </w:rPr>
        <w:t>服务</w:t>
      </w:r>
      <w:r>
        <w:rPr>
          <w:rFonts w:hint="eastAsia" w:ascii="仿宋" w:hAnsi="仿宋" w:eastAsia="仿宋" w:cs="仿宋"/>
          <w:b/>
          <w:color w:val="auto"/>
          <w:kern w:val="0"/>
          <w:sz w:val="24"/>
        </w:rPr>
        <w:t>期自验收合格之日起计算）</w:t>
      </w:r>
    </w:p>
    <w:p w14:paraId="3B94BA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2.2.2</w:t>
      </w:r>
      <w:r>
        <w:rPr>
          <w:rFonts w:hint="eastAsia" w:ascii="仿宋" w:hAnsi="仿宋" w:eastAsia="仿宋" w:cs="仿宋"/>
          <w:color w:val="auto"/>
          <w:kern w:val="0"/>
          <w:sz w:val="24"/>
          <w:lang w:val="en-US" w:eastAsia="zh-CN"/>
        </w:rPr>
        <w:t>服务</w:t>
      </w:r>
      <w:r>
        <w:rPr>
          <w:rFonts w:hint="eastAsia" w:ascii="仿宋" w:hAnsi="仿宋" w:eastAsia="仿宋" w:cs="仿宋"/>
          <w:color w:val="auto"/>
          <w:kern w:val="0"/>
          <w:sz w:val="24"/>
        </w:rPr>
        <w:t>期内提供免费上门维护、升级服务，如设备出现故障，</w:t>
      </w:r>
      <w:r>
        <w:rPr>
          <w:rFonts w:hint="eastAsia" w:ascii="仿宋" w:hAnsi="仿宋" w:eastAsia="仿宋" w:cs="仿宋"/>
          <w:color w:val="auto"/>
          <w:kern w:val="0"/>
          <w:sz w:val="24"/>
          <w:lang w:val="en-US" w:eastAsia="zh-CN"/>
        </w:rPr>
        <w:t>中标</w:t>
      </w:r>
      <w:r>
        <w:rPr>
          <w:rFonts w:hint="eastAsia" w:ascii="仿宋" w:hAnsi="仿宋" w:eastAsia="仿宋" w:cs="仿宋"/>
          <w:color w:val="auto"/>
          <w:kern w:val="0"/>
          <w:sz w:val="24"/>
        </w:rPr>
        <w:t>单位在接到电话后，立即响应，现场不能修复的，必须采取无偿提供采购物品的备用件或整机等措施，以保证用户单位的正常使用。</w:t>
      </w:r>
    </w:p>
    <w:p w14:paraId="7ECEB60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明示服务承诺可能涉及的前提设定和费用，否则将被认为是无条件和免费的。</w:t>
      </w:r>
    </w:p>
    <w:p w14:paraId="1B518E4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rPr>
        <w:t>▲2.3付款方式：</w:t>
      </w:r>
      <w:r>
        <w:rPr>
          <w:rFonts w:hint="eastAsia" w:ascii="仿宋" w:hAnsi="仿宋" w:eastAsia="仿宋" w:cs="仿宋"/>
          <w:color w:val="auto"/>
          <w:kern w:val="0"/>
          <w:sz w:val="24"/>
          <w:highlight w:val="none"/>
          <w:lang w:val="en-US" w:eastAsia="zh-CN"/>
        </w:rPr>
        <w:t>合同签订后支付20%,剩余款项在服务期内按季度支付</w:t>
      </w:r>
      <w:r>
        <w:rPr>
          <w:rFonts w:hint="eastAsia" w:ascii="仿宋" w:hAnsi="仿宋" w:eastAsia="仿宋" w:cs="仿宋"/>
          <w:color w:val="auto"/>
          <w:kern w:val="0"/>
          <w:sz w:val="24"/>
          <w:highlight w:val="none"/>
        </w:rPr>
        <w:t>。</w:t>
      </w:r>
    </w:p>
    <w:p w14:paraId="0BD9181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2.4技术培训：</w:t>
      </w:r>
    </w:p>
    <w:p w14:paraId="7A0AB4D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中标</w:t>
      </w:r>
      <w:r>
        <w:rPr>
          <w:rFonts w:hint="eastAsia" w:ascii="仿宋" w:hAnsi="仿宋" w:eastAsia="仿宋" w:cs="仿宋"/>
          <w:color w:val="auto"/>
          <w:kern w:val="0"/>
          <w:sz w:val="24"/>
          <w:lang w:eastAsia="zh-CN"/>
        </w:rPr>
        <w:t>人</w:t>
      </w:r>
      <w:r>
        <w:rPr>
          <w:rFonts w:hint="eastAsia" w:ascii="仿宋" w:hAnsi="仿宋" w:eastAsia="仿宋" w:cs="仿宋"/>
          <w:color w:val="auto"/>
          <w:kern w:val="0"/>
          <w:sz w:val="24"/>
        </w:rPr>
        <w:t>需制定相关培训计划，在所有设备安装完成后负责对采购人进行日常使用方面的培训，确保系统能够正常、有效地使用。</w:t>
      </w:r>
    </w:p>
    <w:p w14:paraId="5B62D85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成交人应对用户的维修人员提供培训，使其能对设备进行日常的维护保养及能对一般故障进行维修，并向培训人员提供维修图纸及维修手册、维修密码及软件备份。</w:t>
      </w:r>
    </w:p>
    <w:p w14:paraId="2200CE4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成交人</w:t>
      </w:r>
      <w:r>
        <w:rPr>
          <w:rFonts w:hint="eastAsia" w:ascii="仿宋" w:hAnsi="仿宋" w:eastAsia="仿宋" w:cs="仿宋"/>
          <w:color w:val="auto"/>
          <w:kern w:val="0"/>
          <w:sz w:val="24"/>
          <w:lang w:val="zh-CN"/>
        </w:rPr>
        <w:t>应对用户的操作人员进行操作培训，使其能对设备进行熟练的操作。</w:t>
      </w:r>
    </w:p>
    <w:p w14:paraId="2615A8B4">
      <w:pPr>
        <w:pStyle w:val="79"/>
        <w:keepNext w:val="0"/>
        <w:keepLines w:val="0"/>
        <w:pageBreakBefore w:val="0"/>
        <w:kinsoku/>
        <w:wordWrap/>
        <w:overflowPunct/>
        <w:topLinePunct w:val="0"/>
        <w:autoSpaceDE/>
        <w:autoSpaceDN/>
        <w:bidi w:val="0"/>
        <w:adjustRightInd/>
        <w:snapToGrid/>
        <w:spacing w:before="0" w:beforeLines="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lang w:val="zh-CN"/>
        </w:rPr>
        <w:t>上述二种培训的培训方式、地点、人员及费用（包含在投标总价中）供应商应在</w:t>
      </w:r>
      <w:r>
        <w:rPr>
          <w:rFonts w:hint="eastAsia" w:ascii="仿宋" w:hAnsi="仿宋" w:eastAsia="仿宋" w:cs="仿宋"/>
          <w:color w:val="auto"/>
          <w:kern w:val="0"/>
          <w:sz w:val="24"/>
          <w:lang w:val="en-US" w:eastAsia="zh-CN"/>
        </w:rPr>
        <w:t>响应文件</w:t>
      </w:r>
      <w:r>
        <w:rPr>
          <w:rFonts w:hint="eastAsia" w:ascii="仿宋" w:hAnsi="仿宋" w:eastAsia="仿宋" w:cs="仿宋"/>
          <w:color w:val="auto"/>
          <w:kern w:val="0"/>
          <w:sz w:val="24"/>
          <w:lang w:val="zh-CN"/>
        </w:rPr>
        <w:t>中详细说明。</w:t>
      </w:r>
    </w:p>
    <w:p w14:paraId="4CA2C7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679176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1、如有附图，仅作参考。</w:t>
      </w:r>
    </w:p>
    <w:p w14:paraId="731C2A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2、打▲内容为实质性要求，不允许有负偏离，否则将以涉及无效投标条款作无效投标。</w:t>
      </w:r>
    </w:p>
    <w:p w14:paraId="370211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3、中标人所提供的货物、服务须与投标承诺一致，不得以次充好、偷工减料，若在项目验收中发现有上述情况，将向有关部门举报，根据相关规定进行处理。</w:t>
      </w:r>
    </w:p>
    <w:p w14:paraId="6D0FEF36">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FFB914F">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6" w:name="_Toc184312129"/>
      <w:bookmarkEnd w:id="26"/>
      <w:bookmarkStart w:id="27" w:name="_Toc184313278"/>
      <w:bookmarkEnd w:id="27"/>
      <w:bookmarkStart w:id="28" w:name="_Toc184312094"/>
      <w:bookmarkEnd w:id="28"/>
      <w:bookmarkStart w:id="29" w:name="_Toc184312100"/>
      <w:bookmarkEnd w:id="29"/>
      <w:bookmarkStart w:id="30" w:name="_Toc184308088"/>
      <w:bookmarkEnd w:id="30"/>
      <w:bookmarkStart w:id="31" w:name="_Toc184310333"/>
      <w:bookmarkEnd w:id="31"/>
      <w:bookmarkStart w:id="32" w:name="_Toc184310320"/>
      <w:bookmarkEnd w:id="32"/>
      <w:bookmarkStart w:id="33" w:name="_Toc184313253"/>
      <w:bookmarkEnd w:id="33"/>
      <w:bookmarkStart w:id="34" w:name="_Toc184308107"/>
      <w:bookmarkEnd w:id="34"/>
      <w:bookmarkStart w:id="35" w:name="_Toc184308077"/>
      <w:bookmarkEnd w:id="35"/>
      <w:bookmarkStart w:id="36" w:name="_Toc184313304"/>
      <w:bookmarkEnd w:id="36"/>
      <w:bookmarkStart w:id="37" w:name="_Toc184314421"/>
      <w:bookmarkEnd w:id="37"/>
      <w:bookmarkStart w:id="38" w:name="_Toc184312070"/>
      <w:bookmarkEnd w:id="38"/>
      <w:bookmarkStart w:id="39" w:name="_Toc184308083"/>
      <w:bookmarkEnd w:id="39"/>
      <w:bookmarkStart w:id="40" w:name="_Toc184314410"/>
      <w:bookmarkEnd w:id="40"/>
      <w:bookmarkStart w:id="41" w:name="_Toc184308054"/>
      <w:bookmarkEnd w:id="41"/>
      <w:bookmarkStart w:id="42" w:name="_Toc184314467"/>
      <w:bookmarkEnd w:id="42"/>
      <w:bookmarkStart w:id="43" w:name="_Toc184314453"/>
      <w:bookmarkEnd w:id="43"/>
      <w:bookmarkStart w:id="44" w:name="_Toc184308093"/>
      <w:bookmarkEnd w:id="44"/>
      <w:bookmarkStart w:id="45" w:name="_Toc184313274"/>
      <w:bookmarkEnd w:id="45"/>
      <w:bookmarkStart w:id="46" w:name="_Toc184313247"/>
      <w:bookmarkEnd w:id="46"/>
      <w:bookmarkStart w:id="47" w:name="_Toc184314470"/>
      <w:bookmarkEnd w:id="47"/>
      <w:bookmarkStart w:id="48" w:name="_Toc184312093"/>
      <w:bookmarkEnd w:id="48"/>
      <w:bookmarkStart w:id="49" w:name="_Toc184314463"/>
      <w:bookmarkEnd w:id="49"/>
      <w:bookmarkStart w:id="50" w:name="_Toc184310326"/>
      <w:bookmarkEnd w:id="50"/>
      <w:bookmarkStart w:id="51" w:name="_Toc184313295"/>
      <w:bookmarkEnd w:id="51"/>
      <w:bookmarkStart w:id="52" w:name="_Toc184314425"/>
      <w:bookmarkEnd w:id="52"/>
      <w:bookmarkStart w:id="53" w:name="_Toc184314438"/>
      <w:bookmarkEnd w:id="53"/>
      <w:bookmarkStart w:id="54" w:name="_Toc184310314"/>
      <w:bookmarkEnd w:id="54"/>
      <w:bookmarkStart w:id="55" w:name="_Toc184314432"/>
      <w:bookmarkEnd w:id="55"/>
      <w:bookmarkStart w:id="56" w:name="_Toc184308065"/>
      <w:bookmarkEnd w:id="56"/>
      <w:bookmarkStart w:id="57" w:name="_Toc184314462"/>
      <w:bookmarkEnd w:id="57"/>
      <w:bookmarkStart w:id="58" w:name="_Toc184312096"/>
      <w:bookmarkEnd w:id="58"/>
      <w:bookmarkStart w:id="59" w:name="_Toc184308063"/>
      <w:bookmarkEnd w:id="59"/>
      <w:bookmarkStart w:id="60" w:name="_Toc184313267"/>
      <w:bookmarkEnd w:id="60"/>
      <w:bookmarkStart w:id="61" w:name="_Toc184312103"/>
      <w:bookmarkEnd w:id="61"/>
      <w:bookmarkStart w:id="62" w:name="_Toc184314442"/>
      <w:bookmarkEnd w:id="62"/>
      <w:bookmarkStart w:id="63" w:name="_Toc184313249"/>
      <w:bookmarkEnd w:id="63"/>
      <w:bookmarkStart w:id="64" w:name="_Toc184308097"/>
      <w:bookmarkEnd w:id="64"/>
      <w:bookmarkStart w:id="65" w:name="_Toc184314451"/>
      <w:bookmarkEnd w:id="65"/>
      <w:bookmarkStart w:id="66" w:name="_Toc184312092"/>
      <w:bookmarkEnd w:id="66"/>
      <w:bookmarkStart w:id="67" w:name="_Toc184314441"/>
      <w:bookmarkEnd w:id="67"/>
      <w:bookmarkStart w:id="68" w:name="_Toc184310313"/>
      <w:bookmarkEnd w:id="68"/>
      <w:bookmarkStart w:id="69" w:name="_Toc184313263"/>
      <w:bookmarkEnd w:id="69"/>
      <w:bookmarkStart w:id="70" w:name="_Toc184314468"/>
      <w:bookmarkEnd w:id="70"/>
      <w:bookmarkStart w:id="71" w:name="_Toc184308084"/>
      <w:bookmarkEnd w:id="71"/>
      <w:bookmarkStart w:id="72" w:name="_Toc184312089"/>
      <w:bookmarkEnd w:id="72"/>
      <w:bookmarkStart w:id="73" w:name="_Toc184308094"/>
      <w:bookmarkEnd w:id="73"/>
      <w:bookmarkStart w:id="74" w:name="_Toc184313289"/>
      <w:bookmarkEnd w:id="74"/>
      <w:bookmarkStart w:id="75" w:name="_Toc184313271"/>
      <w:bookmarkEnd w:id="75"/>
      <w:bookmarkStart w:id="76" w:name="_Toc184313306"/>
      <w:bookmarkEnd w:id="76"/>
      <w:bookmarkStart w:id="77" w:name="_Toc184308081"/>
      <w:bookmarkEnd w:id="77"/>
      <w:bookmarkStart w:id="78" w:name="_Toc184310331"/>
      <w:bookmarkEnd w:id="78"/>
      <w:bookmarkStart w:id="79" w:name="_Toc184310280"/>
      <w:bookmarkEnd w:id="79"/>
      <w:bookmarkStart w:id="80" w:name="_Toc184312124"/>
      <w:bookmarkEnd w:id="80"/>
      <w:bookmarkStart w:id="81" w:name="_Toc184308103"/>
      <w:bookmarkEnd w:id="81"/>
      <w:bookmarkStart w:id="82" w:name="_Toc184312081"/>
      <w:bookmarkEnd w:id="82"/>
      <w:bookmarkStart w:id="83" w:name="_Toc184313241"/>
      <w:bookmarkEnd w:id="83"/>
      <w:bookmarkStart w:id="84" w:name="_Toc184314415"/>
      <w:bookmarkEnd w:id="84"/>
      <w:bookmarkStart w:id="85" w:name="_Toc184314449"/>
      <w:bookmarkEnd w:id="85"/>
      <w:bookmarkStart w:id="86" w:name="_Toc184308053"/>
      <w:bookmarkEnd w:id="86"/>
      <w:bookmarkStart w:id="87" w:name="_Toc184312110"/>
      <w:bookmarkEnd w:id="87"/>
      <w:bookmarkStart w:id="88" w:name="_Toc184313264"/>
      <w:bookmarkEnd w:id="88"/>
      <w:bookmarkStart w:id="89" w:name="_Toc184314424"/>
      <w:bookmarkEnd w:id="89"/>
      <w:bookmarkStart w:id="90" w:name="_Toc184308090"/>
      <w:bookmarkEnd w:id="90"/>
      <w:bookmarkStart w:id="91" w:name="_Toc184312069"/>
      <w:bookmarkEnd w:id="91"/>
      <w:bookmarkStart w:id="92" w:name="_Toc184313285"/>
      <w:bookmarkEnd w:id="92"/>
      <w:bookmarkStart w:id="93" w:name="_Toc184313252"/>
      <w:bookmarkEnd w:id="93"/>
      <w:bookmarkStart w:id="94" w:name="_Toc184308056"/>
      <w:bookmarkEnd w:id="94"/>
      <w:bookmarkStart w:id="95" w:name="_Toc184310339"/>
      <w:bookmarkEnd w:id="95"/>
      <w:bookmarkStart w:id="96" w:name="_Toc184308043"/>
      <w:bookmarkEnd w:id="96"/>
      <w:bookmarkStart w:id="97" w:name="_Toc184314431"/>
      <w:bookmarkEnd w:id="97"/>
      <w:bookmarkStart w:id="98" w:name="_Toc184308089"/>
      <w:bookmarkEnd w:id="98"/>
      <w:bookmarkStart w:id="99" w:name="_Toc184312114"/>
      <w:bookmarkEnd w:id="99"/>
      <w:bookmarkStart w:id="100" w:name="_Toc184310327"/>
      <w:bookmarkEnd w:id="100"/>
      <w:bookmarkStart w:id="101" w:name="_Toc184312137"/>
      <w:bookmarkEnd w:id="101"/>
      <w:bookmarkStart w:id="102" w:name="_Toc184308102"/>
      <w:bookmarkEnd w:id="102"/>
      <w:bookmarkStart w:id="103" w:name="_Toc184310330"/>
      <w:bookmarkEnd w:id="103"/>
      <w:bookmarkStart w:id="104" w:name="_Toc184310329"/>
      <w:bookmarkEnd w:id="104"/>
      <w:bookmarkStart w:id="105" w:name="_Toc184310311"/>
      <w:bookmarkEnd w:id="105"/>
      <w:bookmarkStart w:id="106" w:name="_Toc184308070"/>
      <w:bookmarkEnd w:id="106"/>
      <w:bookmarkStart w:id="107" w:name="_Toc184314459"/>
      <w:bookmarkEnd w:id="107"/>
      <w:bookmarkStart w:id="108" w:name="_Toc184310298"/>
      <w:bookmarkEnd w:id="108"/>
      <w:bookmarkStart w:id="109" w:name="_Toc184310273"/>
      <w:bookmarkEnd w:id="109"/>
      <w:bookmarkStart w:id="110" w:name="_Toc184313266"/>
      <w:bookmarkEnd w:id="110"/>
      <w:bookmarkStart w:id="111" w:name="_Toc184308085"/>
      <w:bookmarkEnd w:id="111"/>
      <w:bookmarkStart w:id="112" w:name="_Toc184312118"/>
      <w:bookmarkEnd w:id="112"/>
      <w:bookmarkStart w:id="113" w:name="_Toc184308041"/>
      <w:bookmarkEnd w:id="113"/>
      <w:bookmarkStart w:id="114" w:name="_Toc184313250"/>
      <w:bookmarkEnd w:id="114"/>
      <w:bookmarkStart w:id="115" w:name="_Toc184314447"/>
      <w:bookmarkEnd w:id="115"/>
      <w:bookmarkStart w:id="116" w:name="_Toc184308071"/>
      <w:bookmarkEnd w:id="116"/>
      <w:bookmarkStart w:id="117" w:name="_Toc184313259"/>
      <w:bookmarkEnd w:id="117"/>
      <w:bookmarkStart w:id="118" w:name="_Toc184310321"/>
      <w:bookmarkEnd w:id="118"/>
      <w:bookmarkStart w:id="119" w:name="_Toc184310288"/>
      <w:bookmarkEnd w:id="119"/>
      <w:bookmarkStart w:id="120" w:name="_Toc184308095"/>
      <w:bookmarkEnd w:id="120"/>
      <w:bookmarkStart w:id="121" w:name="_Toc184308082"/>
      <w:bookmarkEnd w:id="121"/>
      <w:bookmarkStart w:id="122" w:name="_Toc184312104"/>
      <w:bookmarkEnd w:id="122"/>
      <w:bookmarkStart w:id="123" w:name="_Toc184312082"/>
      <w:bookmarkEnd w:id="123"/>
      <w:bookmarkStart w:id="124" w:name="_Toc184310315"/>
      <w:bookmarkEnd w:id="124"/>
      <w:bookmarkStart w:id="125" w:name="_Toc184314482"/>
      <w:bookmarkEnd w:id="125"/>
      <w:bookmarkStart w:id="126" w:name="_Toc184308076"/>
      <w:bookmarkEnd w:id="126"/>
      <w:bookmarkStart w:id="127" w:name="_Toc184313303"/>
      <w:bookmarkEnd w:id="127"/>
      <w:bookmarkStart w:id="128" w:name="_Toc184314464"/>
      <w:bookmarkEnd w:id="128"/>
      <w:bookmarkStart w:id="129" w:name="_Toc184308047"/>
      <w:bookmarkEnd w:id="129"/>
      <w:bookmarkStart w:id="130" w:name="_Toc184313246"/>
      <w:bookmarkEnd w:id="130"/>
      <w:bookmarkStart w:id="131" w:name="_Toc184314455"/>
      <w:bookmarkEnd w:id="131"/>
      <w:bookmarkStart w:id="132" w:name="_Toc184308039"/>
      <w:bookmarkEnd w:id="132"/>
      <w:bookmarkStart w:id="133" w:name="_Toc184313251"/>
      <w:bookmarkEnd w:id="133"/>
      <w:bookmarkStart w:id="134" w:name="_Toc184310306"/>
      <w:bookmarkEnd w:id="134"/>
      <w:bookmarkStart w:id="135" w:name="_Toc184314413"/>
      <w:bookmarkEnd w:id="135"/>
      <w:bookmarkStart w:id="136" w:name="_Toc184314420"/>
      <w:bookmarkEnd w:id="136"/>
      <w:bookmarkStart w:id="137" w:name="_Toc184310275"/>
      <w:bookmarkEnd w:id="137"/>
      <w:bookmarkStart w:id="138" w:name="_Toc184312101"/>
      <w:bookmarkEnd w:id="138"/>
      <w:bookmarkStart w:id="139" w:name="_Toc184310312"/>
      <w:bookmarkEnd w:id="139"/>
      <w:bookmarkStart w:id="140" w:name="_Toc184308087"/>
      <w:bookmarkEnd w:id="140"/>
      <w:bookmarkStart w:id="141" w:name="_Toc184314426"/>
      <w:bookmarkEnd w:id="141"/>
      <w:bookmarkStart w:id="142" w:name="_Toc184314471"/>
      <w:bookmarkEnd w:id="142"/>
      <w:bookmarkStart w:id="143" w:name="_Toc184310285"/>
      <w:bookmarkEnd w:id="143"/>
      <w:bookmarkStart w:id="144" w:name="_Toc184312083"/>
      <w:bookmarkEnd w:id="144"/>
      <w:bookmarkStart w:id="145" w:name="_Toc184308075"/>
      <w:bookmarkEnd w:id="145"/>
      <w:bookmarkStart w:id="146" w:name="_Toc184312132"/>
      <w:bookmarkEnd w:id="146"/>
      <w:bookmarkStart w:id="147" w:name="_Toc184310332"/>
      <w:bookmarkEnd w:id="147"/>
      <w:bookmarkStart w:id="148" w:name="_Toc184314418"/>
      <w:bookmarkEnd w:id="148"/>
      <w:bookmarkStart w:id="149" w:name="_Toc184310301"/>
      <w:bookmarkEnd w:id="149"/>
      <w:bookmarkStart w:id="150" w:name="_Toc184314414"/>
      <w:bookmarkEnd w:id="150"/>
      <w:bookmarkStart w:id="151" w:name="_Toc184308042"/>
      <w:bookmarkEnd w:id="151"/>
      <w:bookmarkStart w:id="152" w:name="_Toc184314434"/>
      <w:bookmarkEnd w:id="152"/>
      <w:bookmarkStart w:id="153" w:name="_Toc184310299"/>
      <w:bookmarkEnd w:id="153"/>
      <w:bookmarkStart w:id="154" w:name="_Toc184313300"/>
      <w:bookmarkEnd w:id="154"/>
      <w:bookmarkStart w:id="155" w:name="_Toc184313279"/>
      <w:bookmarkEnd w:id="155"/>
      <w:bookmarkStart w:id="156" w:name="_Toc184314430"/>
      <w:bookmarkEnd w:id="156"/>
      <w:bookmarkStart w:id="157" w:name="_Toc184312077"/>
      <w:bookmarkEnd w:id="157"/>
      <w:bookmarkStart w:id="158" w:name="_Toc184313283"/>
      <w:bookmarkEnd w:id="158"/>
      <w:bookmarkStart w:id="159" w:name="_Toc184308069"/>
      <w:bookmarkEnd w:id="159"/>
      <w:bookmarkStart w:id="160" w:name="_Toc184310282"/>
      <w:bookmarkEnd w:id="160"/>
      <w:bookmarkStart w:id="161" w:name="_Toc184314472"/>
      <w:bookmarkEnd w:id="161"/>
      <w:bookmarkStart w:id="162" w:name="_Toc184314448"/>
      <w:bookmarkEnd w:id="162"/>
      <w:bookmarkStart w:id="163" w:name="_Toc184310287"/>
      <w:bookmarkEnd w:id="163"/>
      <w:bookmarkStart w:id="164" w:name="_Toc184310340"/>
      <w:bookmarkEnd w:id="164"/>
      <w:bookmarkStart w:id="165" w:name="_Toc184314439"/>
      <w:bookmarkEnd w:id="165"/>
      <w:bookmarkStart w:id="166" w:name="_Toc184312085"/>
      <w:bookmarkEnd w:id="166"/>
      <w:bookmarkStart w:id="167" w:name="_Toc184313281"/>
      <w:bookmarkEnd w:id="167"/>
      <w:bookmarkStart w:id="168" w:name="_Toc184314477"/>
      <w:bookmarkEnd w:id="168"/>
      <w:bookmarkStart w:id="169" w:name="_Toc184312128"/>
      <w:bookmarkEnd w:id="169"/>
      <w:bookmarkStart w:id="170" w:name="_Toc184312072"/>
      <w:bookmarkEnd w:id="170"/>
      <w:bookmarkStart w:id="171" w:name="_Toc184310284"/>
      <w:bookmarkEnd w:id="171"/>
      <w:bookmarkStart w:id="172" w:name="_Toc184313273"/>
      <w:bookmarkEnd w:id="172"/>
      <w:bookmarkStart w:id="173" w:name="_Toc184314411"/>
      <w:bookmarkEnd w:id="173"/>
      <w:bookmarkStart w:id="174" w:name="_Toc184312105"/>
      <w:bookmarkEnd w:id="174"/>
      <w:bookmarkStart w:id="175" w:name="_Toc184312098"/>
      <w:bookmarkEnd w:id="175"/>
      <w:bookmarkStart w:id="176" w:name="_Toc184310297"/>
      <w:bookmarkEnd w:id="176"/>
      <w:bookmarkStart w:id="177" w:name="_Toc184310276"/>
      <w:bookmarkEnd w:id="177"/>
      <w:bookmarkStart w:id="178" w:name="_Toc184312107"/>
      <w:bookmarkEnd w:id="178"/>
      <w:bookmarkStart w:id="179" w:name="_Toc184314444"/>
      <w:bookmarkEnd w:id="179"/>
      <w:bookmarkStart w:id="180" w:name="_Toc184308079"/>
      <w:bookmarkEnd w:id="180"/>
      <w:bookmarkStart w:id="181" w:name="_Toc184310310"/>
      <w:bookmarkEnd w:id="181"/>
      <w:bookmarkStart w:id="182" w:name="_Toc184312067"/>
      <w:bookmarkEnd w:id="182"/>
      <w:bookmarkStart w:id="183" w:name="_Toc184312075"/>
      <w:bookmarkEnd w:id="183"/>
      <w:bookmarkStart w:id="184" w:name="_Toc184310281"/>
      <w:bookmarkEnd w:id="184"/>
      <w:bookmarkStart w:id="185" w:name="_Toc184314460"/>
      <w:bookmarkEnd w:id="185"/>
      <w:bookmarkStart w:id="186" w:name="_Toc184314433"/>
      <w:bookmarkEnd w:id="186"/>
      <w:bookmarkStart w:id="187" w:name="_Toc184312073"/>
      <w:bookmarkEnd w:id="187"/>
      <w:bookmarkStart w:id="188" w:name="_Toc184313248"/>
      <w:bookmarkEnd w:id="188"/>
      <w:bookmarkStart w:id="189" w:name="_Toc184310303"/>
      <w:bookmarkEnd w:id="189"/>
      <w:bookmarkStart w:id="190" w:name="_Toc184310291"/>
      <w:bookmarkEnd w:id="190"/>
      <w:bookmarkStart w:id="191" w:name="_Toc184312099"/>
      <w:bookmarkEnd w:id="191"/>
      <w:bookmarkStart w:id="192" w:name="_Toc184314445"/>
      <w:bookmarkEnd w:id="192"/>
      <w:bookmarkStart w:id="193" w:name="_Toc184310290"/>
      <w:bookmarkEnd w:id="193"/>
      <w:bookmarkStart w:id="194" w:name="_Toc184312108"/>
      <w:bookmarkEnd w:id="194"/>
      <w:bookmarkStart w:id="195" w:name="_Toc184314423"/>
      <w:bookmarkEnd w:id="195"/>
      <w:bookmarkStart w:id="196" w:name="_Toc184313270"/>
      <w:bookmarkEnd w:id="196"/>
      <w:bookmarkStart w:id="197" w:name="_Toc184313282"/>
      <w:bookmarkEnd w:id="197"/>
      <w:bookmarkStart w:id="198" w:name="_Toc184313240"/>
      <w:bookmarkEnd w:id="198"/>
      <w:bookmarkStart w:id="199" w:name="_Toc184314475"/>
      <w:bookmarkEnd w:id="199"/>
      <w:bookmarkStart w:id="200" w:name="_Toc184314452"/>
      <w:bookmarkEnd w:id="200"/>
      <w:bookmarkStart w:id="201" w:name="_Toc184313284"/>
      <w:bookmarkEnd w:id="201"/>
      <w:bookmarkStart w:id="202" w:name="_Toc184313291"/>
      <w:bookmarkEnd w:id="202"/>
      <w:bookmarkStart w:id="203" w:name="_Toc184313265"/>
      <w:bookmarkEnd w:id="203"/>
      <w:bookmarkStart w:id="204" w:name="_Toc184312119"/>
      <w:bookmarkEnd w:id="204"/>
      <w:bookmarkStart w:id="205" w:name="_Toc184313276"/>
      <w:bookmarkEnd w:id="205"/>
      <w:bookmarkStart w:id="206" w:name="_Toc184313269"/>
      <w:bookmarkEnd w:id="206"/>
      <w:bookmarkStart w:id="207" w:name="_Toc184308049"/>
      <w:bookmarkEnd w:id="207"/>
      <w:bookmarkStart w:id="208" w:name="_Toc184313302"/>
      <w:bookmarkEnd w:id="208"/>
      <w:bookmarkStart w:id="209" w:name="_Toc184308038"/>
      <w:bookmarkEnd w:id="209"/>
      <w:bookmarkStart w:id="210" w:name="_Toc184313268"/>
      <w:bookmarkEnd w:id="210"/>
      <w:bookmarkStart w:id="211" w:name="_Toc184310283"/>
      <w:bookmarkEnd w:id="211"/>
      <w:bookmarkStart w:id="212" w:name="_Toc184310307"/>
      <w:bookmarkEnd w:id="212"/>
      <w:bookmarkStart w:id="213" w:name="_Toc184313280"/>
      <w:bookmarkEnd w:id="213"/>
      <w:bookmarkStart w:id="214" w:name="_Toc184314469"/>
      <w:bookmarkEnd w:id="214"/>
      <w:bookmarkStart w:id="215" w:name="_Toc184313308"/>
      <w:bookmarkEnd w:id="215"/>
      <w:bookmarkStart w:id="216" w:name="_Toc184313288"/>
      <w:bookmarkEnd w:id="216"/>
      <w:bookmarkStart w:id="217" w:name="_Toc184313260"/>
      <w:bookmarkEnd w:id="217"/>
      <w:bookmarkStart w:id="218" w:name="_Toc184312088"/>
      <w:bookmarkEnd w:id="218"/>
      <w:bookmarkStart w:id="219" w:name="_Toc184310335"/>
      <w:bookmarkEnd w:id="219"/>
      <w:bookmarkStart w:id="220" w:name="_Toc184314419"/>
      <w:bookmarkEnd w:id="220"/>
      <w:bookmarkStart w:id="221" w:name="_Toc184312076"/>
      <w:bookmarkEnd w:id="221"/>
      <w:bookmarkStart w:id="222" w:name="_Toc184313301"/>
      <w:bookmarkEnd w:id="222"/>
      <w:bookmarkStart w:id="223" w:name="_Toc184313297"/>
      <w:bookmarkEnd w:id="223"/>
      <w:bookmarkStart w:id="224" w:name="_Toc184312102"/>
      <w:bookmarkEnd w:id="224"/>
      <w:bookmarkStart w:id="225" w:name="_Toc184308072"/>
      <w:bookmarkEnd w:id="225"/>
      <w:bookmarkStart w:id="226" w:name="_Toc184310305"/>
      <w:bookmarkEnd w:id="226"/>
      <w:bookmarkStart w:id="227" w:name="_Toc184310344"/>
      <w:bookmarkEnd w:id="227"/>
      <w:bookmarkStart w:id="228" w:name="_Toc184313243"/>
      <w:bookmarkEnd w:id="228"/>
      <w:bookmarkStart w:id="229" w:name="_Toc184308092"/>
      <w:bookmarkEnd w:id="229"/>
      <w:bookmarkStart w:id="230" w:name="_Toc184313305"/>
      <w:bookmarkEnd w:id="230"/>
      <w:bookmarkStart w:id="231" w:name="_Toc184312127"/>
      <w:bookmarkEnd w:id="231"/>
      <w:bookmarkStart w:id="232" w:name="_Toc184310334"/>
      <w:bookmarkEnd w:id="232"/>
      <w:bookmarkStart w:id="233" w:name="_Toc184308064"/>
      <w:bookmarkEnd w:id="233"/>
      <w:bookmarkStart w:id="234" w:name="_Toc184310324"/>
      <w:bookmarkEnd w:id="234"/>
      <w:bookmarkStart w:id="235" w:name="_Toc184308045"/>
      <w:bookmarkEnd w:id="235"/>
      <w:bookmarkStart w:id="236" w:name="_Toc184310272"/>
      <w:bookmarkEnd w:id="236"/>
      <w:bookmarkStart w:id="237" w:name="_Toc184313257"/>
      <w:bookmarkEnd w:id="237"/>
      <w:bookmarkStart w:id="238" w:name="_Toc184310277"/>
      <w:bookmarkEnd w:id="238"/>
      <w:bookmarkStart w:id="239" w:name="_Toc184314478"/>
      <w:bookmarkEnd w:id="239"/>
      <w:bookmarkStart w:id="240" w:name="_Toc184314476"/>
      <w:bookmarkEnd w:id="240"/>
      <w:bookmarkStart w:id="241" w:name="_Toc184308062"/>
      <w:bookmarkEnd w:id="241"/>
      <w:bookmarkStart w:id="242" w:name="_Toc184312095"/>
      <w:bookmarkEnd w:id="242"/>
      <w:bookmarkStart w:id="243" w:name="_Toc184312111"/>
      <w:bookmarkEnd w:id="243"/>
      <w:bookmarkStart w:id="244" w:name="_Toc184314435"/>
      <w:bookmarkEnd w:id="244"/>
      <w:bookmarkStart w:id="245" w:name="_Toc184308067"/>
      <w:bookmarkEnd w:id="245"/>
      <w:bookmarkStart w:id="246" w:name="_Toc184312097"/>
      <w:bookmarkEnd w:id="246"/>
      <w:bookmarkStart w:id="247" w:name="_Toc184310308"/>
      <w:bookmarkEnd w:id="247"/>
      <w:bookmarkStart w:id="248" w:name="_Toc184312071"/>
      <w:bookmarkEnd w:id="248"/>
      <w:bookmarkStart w:id="249" w:name="_Toc184314456"/>
      <w:bookmarkEnd w:id="249"/>
      <w:bookmarkStart w:id="250" w:name="_Toc184313293"/>
      <w:bookmarkEnd w:id="250"/>
      <w:bookmarkStart w:id="251" w:name="_Toc184308055"/>
      <w:bookmarkEnd w:id="251"/>
      <w:bookmarkStart w:id="252" w:name="_Toc184310341"/>
      <w:bookmarkEnd w:id="252"/>
      <w:bookmarkStart w:id="253" w:name="_Toc184308106"/>
      <w:bookmarkEnd w:id="253"/>
      <w:bookmarkStart w:id="254" w:name="_Toc184312080"/>
      <w:bookmarkEnd w:id="254"/>
      <w:bookmarkStart w:id="255" w:name="_Toc184308037"/>
      <w:bookmarkEnd w:id="255"/>
      <w:bookmarkStart w:id="256" w:name="_Toc184310316"/>
      <w:bookmarkEnd w:id="256"/>
      <w:bookmarkStart w:id="257" w:name="_Toc184310279"/>
      <w:bookmarkEnd w:id="257"/>
      <w:bookmarkStart w:id="258" w:name="_Toc184314436"/>
      <w:bookmarkEnd w:id="258"/>
      <w:bookmarkStart w:id="259" w:name="_Toc184310317"/>
      <w:bookmarkEnd w:id="259"/>
      <w:bookmarkStart w:id="260" w:name="_Toc184308066"/>
      <w:bookmarkEnd w:id="260"/>
      <w:bookmarkStart w:id="261" w:name="_Toc184314428"/>
      <w:bookmarkEnd w:id="261"/>
      <w:bookmarkStart w:id="262" w:name="_Toc184310286"/>
      <w:bookmarkEnd w:id="262"/>
      <w:bookmarkStart w:id="263" w:name="_Toc184312068"/>
      <w:bookmarkEnd w:id="263"/>
      <w:bookmarkStart w:id="264" w:name="_Toc184310309"/>
      <w:bookmarkEnd w:id="264"/>
      <w:bookmarkStart w:id="265" w:name="_Toc184312135"/>
      <w:bookmarkEnd w:id="265"/>
      <w:bookmarkStart w:id="266" w:name="_Toc184313296"/>
      <w:bookmarkEnd w:id="266"/>
      <w:bookmarkStart w:id="267" w:name="_Toc184312130"/>
      <w:bookmarkEnd w:id="267"/>
      <w:bookmarkStart w:id="268" w:name="_Toc184313275"/>
      <w:bookmarkEnd w:id="268"/>
      <w:bookmarkStart w:id="269" w:name="_Toc184310342"/>
      <w:bookmarkEnd w:id="269"/>
      <w:bookmarkStart w:id="270" w:name="_Toc184310289"/>
      <w:bookmarkEnd w:id="270"/>
      <w:bookmarkStart w:id="271" w:name="_Toc184312120"/>
      <w:bookmarkEnd w:id="271"/>
      <w:bookmarkStart w:id="272" w:name="_Toc184308061"/>
      <w:bookmarkEnd w:id="272"/>
      <w:bookmarkStart w:id="273" w:name="_Toc184310337"/>
      <w:bookmarkEnd w:id="273"/>
      <w:bookmarkStart w:id="274" w:name="_Toc184312113"/>
      <w:bookmarkEnd w:id="274"/>
      <w:bookmarkStart w:id="275" w:name="_Toc184310336"/>
      <w:bookmarkEnd w:id="275"/>
      <w:bookmarkStart w:id="276" w:name="_Toc184314446"/>
      <w:bookmarkEnd w:id="276"/>
      <w:bookmarkStart w:id="277" w:name="_Toc184314417"/>
      <w:bookmarkEnd w:id="277"/>
      <w:bookmarkStart w:id="278" w:name="_Toc184310338"/>
      <w:bookmarkEnd w:id="278"/>
      <w:bookmarkStart w:id="279" w:name="_Toc184314440"/>
      <w:bookmarkEnd w:id="279"/>
      <w:bookmarkStart w:id="280" w:name="_Toc184312126"/>
      <w:bookmarkEnd w:id="280"/>
      <w:bookmarkStart w:id="281" w:name="_Toc184308044"/>
      <w:bookmarkEnd w:id="281"/>
      <w:bookmarkStart w:id="282" w:name="_Toc184312123"/>
      <w:bookmarkEnd w:id="282"/>
      <w:bookmarkStart w:id="283" w:name="_Toc184310304"/>
      <w:bookmarkEnd w:id="283"/>
      <w:bookmarkStart w:id="284" w:name="_Toc184308096"/>
      <w:bookmarkEnd w:id="284"/>
      <w:bookmarkStart w:id="285" w:name="_Toc184314466"/>
      <w:bookmarkEnd w:id="285"/>
      <w:bookmarkStart w:id="286" w:name="_Toc184308080"/>
      <w:bookmarkEnd w:id="286"/>
      <w:bookmarkStart w:id="287" w:name="_Toc184313272"/>
      <w:bookmarkEnd w:id="287"/>
      <w:bookmarkStart w:id="288" w:name="_Toc184312112"/>
      <w:bookmarkEnd w:id="288"/>
      <w:bookmarkStart w:id="289" w:name="_Toc184313238"/>
      <w:bookmarkEnd w:id="289"/>
      <w:bookmarkStart w:id="290" w:name="_Toc184312116"/>
      <w:bookmarkEnd w:id="290"/>
      <w:bookmarkStart w:id="291" w:name="_Toc184310319"/>
      <w:bookmarkEnd w:id="291"/>
      <w:bookmarkStart w:id="292" w:name="_Toc184313256"/>
      <w:bookmarkEnd w:id="292"/>
      <w:bookmarkStart w:id="293" w:name="_Toc184313277"/>
      <w:bookmarkEnd w:id="293"/>
      <w:bookmarkStart w:id="294" w:name="_Toc184314454"/>
      <w:bookmarkEnd w:id="294"/>
      <w:bookmarkStart w:id="295" w:name="_Toc184312078"/>
      <w:bookmarkEnd w:id="295"/>
      <w:bookmarkStart w:id="296" w:name="_Toc184312133"/>
      <w:bookmarkEnd w:id="296"/>
      <w:bookmarkStart w:id="297" w:name="_Toc184308059"/>
      <w:bookmarkEnd w:id="297"/>
      <w:bookmarkStart w:id="298" w:name="_Toc184308099"/>
      <w:bookmarkEnd w:id="298"/>
      <w:bookmarkStart w:id="299" w:name="_Toc184310328"/>
      <w:bookmarkEnd w:id="299"/>
      <w:bookmarkStart w:id="300" w:name="_Toc184310296"/>
      <w:bookmarkEnd w:id="300"/>
      <w:bookmarkStart w:id="301" w:name="_Toc184308091"/>
      <w:bookmarkEnd w:id="301"/>
      <w:bookmarkStart w:id="302" w:name="_Toc184310300"/>
      <w:bookmarkEnd w:id="302"/>
      <w:bookmarkStart w:id="303" w:name="_Toc184314481"/>
      <w:bookmarkEnd w:id="303"/>
      <w:bookmarkStart w:id="304" w:name="_Toc184312121"/>
      <w:bookmarkEnd w:id="304"/>
      <w:bookmarkStart w:id="305" w:name="_Toc184313262"/>
      <w:bookmarkEnd w:id="305"/>
      <w:bookmarkStart w:id="306" w:name="_Toc184308050"/>
      <w:bookmarkEnd w:id="306"/>
      <w:bookmarkStart w:id="307" w:name="_Toc184314412"/>
      <w:bookmarkEnd w:id="307"/>
      <w:bookmarkStart w:id="308" w:name="_Toc184313298"/>
      <w:bookmarkEnd w:id="308"/>
      <w:bookmarkStart w:id="309" w:name="_Toc184314479"/>
      <w:bookmarkEnd w:id="309"/>
      <w:bookmarkStart w:id="310" w:name="_Toc184314461"/>
      <w:bookmarkEnd w:id="310"/>
      <w:bookmarkStart w:id="311" w:name="_Toc184310293"/>
      <w:bookmarkEnd w:id="311"/>
      <w:bookmarkStart w:id="312" w:name="_Toc184312106"/>
      <w:bookmarkEnd w:id="312"/>
      <w:bookmarkStart w:id="313" w:name="_Toc184314458"/>
      <w:bookmarkEnd w:id="313"/>
      <w:bookmarkStart w:id="314" w:name="_Toc184314474"/>
      <w:bookmarkEnd w:id="314"/>
      <w:bookmarkStart w:id="315" w:name="_Toc184308104"/>
      <w:bookmarkEnd w:id="315"/>
      <w:bookmarkStart w:id="316" w:name="_Toc184310278"/>
      <w:bookmarkEnd w:id="316"/>
      <w:bookmarkStart w:id="317" w:name="_Toc184308101"/>
      <w:bookmarkEnd w:id="317"/>
      <w:bookmarkStart w:id="318" w:name="_Toc184312131"/>
      <w:bookmarkEnd w:id="318"/>
      <w:bookmarkStart w:id="319" w:name="_Toc184308105"/>
      <w:bookmarkEnd w:id="319"/>
      <w:bookmarkStart w:id="320" w:name="_Toc184310302"/>
      <w:bookmarkEnd w:id="320"/>
      <w:bookmarkStart w:id="321" w:name="_Toc184308074"/>
      <w:bookmarkEnd w:id="321"/>
      <w:bookmarkStart w:id="322" w:name="_Toc184308058"/>
      <w:bookmarkEnd w:id="322"/>
      <w:bookmarkStart w:id="323" w:name="_Toc184314437"/>
      <w:bookmarkEnd w:id="323"/>
      <w:bookmarkStart w:id="324" w:name="_Toc184312136"/>
      <w:bookmarkEnd w:id="324"/>
      <w:bookmarkStart w:id="325" w:name="_Toc184314429"/>
      <w:bookmarkEnd w:id="325"/>
      <w:bookmarkStart w:id="326" w:name="_Toc184313261"/>
      <w:bookmarkEnd w:id="326"/>
      <w:bookmarkStart w:id="327" w:name="_Toc184308060"/>
      <w:bookmarkEnd w:id="327"/>
      <w:bookmarkStart w:id="328" w:name="_Toc184308057"/>
      <w:bookmarkEnd w:id="328"/>
      <w:bookmarkStart w:id="329" w:name="_Toc184308078"/>
      <w:bookmarkEnd w:id="329"/>
      <w:bookmarkStart w:id="330" w:name="_Toc184312139"/>
      <w:bookmarkEnd w:id="330"/>
      <w:bookmarkStart w:id="331" w:name="_Toc184313286"/>
      <w:bookmarkEnd w:id="331"/>
      <w:bookmarkStart w:id="332" w:name="_Toc184312117"/>
      <w:bookmarkEnd w:id="332"/>
      <w:bookmarkStart w:id="333" w:name="_Toc184310318"/>
      <w:bookmarkEnd w:id="333"/>
      <w:bookmarkStart w:id="334" w:name="_Toc184314427"/>
      <w:bookmarkEnd w:id="334"/>
      <w:bookmarkStart w:id="335" w:name="_Toc184313287"/>
      <w:bookmarkEnd w:id="335"/>
      <w:bookmarkStart w:id="336" w:name="_Toc184308048"/>
      <w:bookmarkEnd w:id="336"/>
      <w:bookmarkStart w:id="337" w:name="_Toc184312125"/>
      <w:bookmarkEnd w:id="337"/>
      <w:bookmarkStart w:id="338" w:name="_Toc184313239"/>
      <w:bookmarkEnd w:id="338"/>
      <w:bookmarkStart w:id="339" w:name="_Toc184313242"/>
      <w:bookmarkEnd w:id="339"/>
      <w:bookmarkStart w:id="340" w:name="_Toc184312086"/>
      <w:bookmarkEnd w:id="340"/>
      <w:bookmarkStart w:id="341" w:name="_Toc184313292"/>
      <w:bookmarkEnd w:id="341"/>
      <w:bookmarkStart w:id="342" w:name="_Toc184308098"/>
      <w:bookmarkEnd w:id="342"/>
      <w:bookmarkStart w:id="343" w:name="_Toc184313258"/>
      <w:bookmarkEnd w:id="343"/>
      <w:bookmarkStart w:id="344" w:name="_Toc184314465"/>
      <w:bookmarkEnd w:id="344"/>
      <w:bookmarkStart w:id="345" w:name="_Toc184312091"/>
      <w:bookmarkEnd w:id="345"/>
      <w:bookmarkStart w:id="346" w:name="_Toc184310322"/>
      <w:bookmarkEnd w:id="346"/>
      <w:bookmarkStart w:id="347" w:name="_Toc184310274"/>
      <w:bookmarkEnd w:id="347"/>
      <w:bookmarkStart w:id="348" w:name="_Toc184312134"/>
      <w:bookmarkEnd w:id="348"/>
      <w:bookmarkStart w:id="349" w:name="_Toc184313294"/>
      <w:bookmarkEnd w:id="349"/>
      <w:bookmarkStart w:id="350" w:name="_Toc184313290"/>
      <w:bookmarkEnd w:id="350"/>
      <w:bookmarkStart w:id="351" w:name="_Toc184313244"/>
      <w:bookmarkEnd w:id="351"/>
      <w:bookmarkStart w:id="352" w:name="_Toc184308051"/>
      <w:bookmarkEnd w:id="352"/>
      <w:bookmarkStart w:id="353" w:name="_Toc184313309"/>
      <w:bookmarkEnd w:id="353"/>
      <w:bookmarkStart w:id="354" w:name="_Toc184308108"/>
      <w:bookmarkEnd w:id="354"/>
      <w:bookmarkStart w:id="355" w:name="_Toc184312090"/>
      <w:bookmarkEnd w:id="355"/>
      <w:bookmarkStart w:id="356" w:name="_Toc184308068"/>
      <w:bookmarkEnd w:id="356"/>
      <w:bookmarkStart w:id="357" w:name="_Toc184313307"/>
      <w:bookmarkEnd w:id="357"/>
      <w:bookmarkStart w:id="358" w:name="_Toc184310323"/>
      <w:bookmarkEnd w:id="358"/>
      <w:bookmarkStart w:id="359" w:name="_Toc184308040"/>
      <w:bookmarkEnd w:id="359"/>
      <w:bookmarkStart w:id="360" w:name="_Toc184314480"/>
      <w:bookmarkEnd w:id="360"/>
      <w:bookmarkStart w:id="361" w:name="_Toc184312079"/>
      <w:bookmarkEnd w:id="361"/>
      <w:bookmarkStart w:id="362" w:name="_Toc184313254"/>
      <w:bookmarkEnd w:id="362"/>
      <w:bookmarkStart w:id="363" w:name="_Toc184313255"/>
      <w:bookmarkEnd w:id="363"/>
      <w:bookmarkStart w:id="364" w:name="_Toc184313299"/>
      <w:bookmarkEnd w:id="364"/>
      <w:bookmarkStart w:id="365" w:name="_Toc184312087"/>
      <w:bookmarkEnd w:id="365"/>
      <w:bookmarkStart w:id="366" w:name="_Toc184312122"/>
      <w:bookmarkEnd w:id="366"/>
      <w:bookmarkStart w:id="367" w:name="_Toc184308052"/>
      <w:bookmarkEnd w:id="367"/>
      <w:bookmarkStart w:id="368" w:name="_Toc184313310"/>
      <w:bookmarkEnd w:id="368"/>
      <w:bookmarkStart w:id="369" w:name="_Toc184310294"/>
      <w:bookmarkEnd w:id="369"/>
      <w:bookmarkStart w:id="370" w:name="_Toc184312115"/>
      <w:bookmarkEnd w:id="370"/>
      <w:bookmarkStart w:id="371" w:name="_Toc184312109"/>
      <w:bookmarkEnd w:id="371"/>
      <w:bookmarkStart w:id="372" w:name="_Toc184308073"/>
      <w:bookmarkEnd w:id="372"/>
      <w:bookmarkStart w:id="373" w:name="_Toc184308046"/>
      <w:bookmarkEnd w:id="373"/>
      <w:bookmarkStart w:id="374" w:name="_Toc184314457"/>
      <w:bookmarkEnd w:id="374"/>
      <w:bookmarkStart w:id="375" w:name="_Toc184312138"/>
      <w:bookmarkEnd w:id="375"/>
      <w:bookmarkStart w:id="376" w:name="_Toc184308036"/>
      <w:bookmarkEnd w:id="376"/>
      <w:bookmarkStart w:id="377" w:name="_Toc184310295"/>
      <w:bookmarkEnd w:id="377"/>
      <w:bookmarkStart w:id="378" w:name="_Toc184310292"/>
      <w:bookmarkEnd w:id="378"/>
      <w:bookmarkStart w:id="379" w:name="_Toc184313245"/>
      <w:bookmarkEnd w:id="379"/>
      <w:bookmarkStart w:id="380" w:name="_Toc184312084"/>
      <w:bookmarkEnd w:id="380"/>
      <w:bookmarkStart w:id="381" w:name="_Toc184310343"/>
      <w:bookmarkEnd w:id="381"/>
      <w:bookmarkStart w:id="382" w:name="_Toc184314416"/>
      <w:bookmarkEnd w:id="382"/>
      <w:bookmarkStart w:id="383" w:name="_Toc184312074"/>
      <w:bookmarkEnd w:id="383"/>
      <w:bookmarkStart w:id="384" w:name="_Toc184308100"/>
      <w:bookmarkEnd w:id="384"/>
      <w:bookmarkStart w:id="385" w:name="_Toc184314422"/>
      <w:bookmarkEnd w:id="385"/>
      <w:bookmarkStart w:id="386" w:name="_Toc184308086"/>
      <w:bookmarkEnd w:id="386"/>
      <w:bookmarkStart w:id="387" w:name="_Toc184314443"/>
      <w:bookmarkEnd w:id="387"/>
      <w:bookmarkStart w:id="388" w:name="_Toc184314473"/>
      <w:bookmarkEnd w:id="388"/>
      <w:bookmarkStart w:id="389" w:name="_Toc184310325"/>
      <w:bookmarkEnd w:id="389"/>
      <w:bookmarkStart w:id="390" w:name="_Toc184314450"/>
      <w:bookmarkEnd w:id="390"/>
      <w:r>
        <w:rPr>
          <w:rFonts w:hint="eastAsia" w:ascii="仿宋" w:hAnsi="仿宋" w:eastAsia="仿宋" w:cs="仿宋"/>
          <w:b/>
          <w:color w:val="auto"/>
          <w:sz w:val="36"/>
          <w:szCs w:val="36"/>
        </w:rPr>
        <w:t>评标办法</w:t>
      </w:r>
    </w:p>
    <w:p w14:paraId="57C2A804">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bookmarkEnd w:id="25"/>
    <w:p w14:paraId="7CD0A0FE">
      <w:pPr>
        <w:pStyle w:val="2"/>
        <w:spacing w:line="480" w:lineRule="auto"/>
        <w:ind w:left="0" w:firstLine="0"/>
        <w:jc w:val="center"/>
        <w:rPr>
          <w:rFonts w:hint="eastAsia" w:ascii="仿宋" w:hAnsi="仿宋" w:eastAsia="仿宋" w:cs="仿宋"/>
          <w:color w:val="auto"/>
          <w:sz w:val="28"/>
          <w:szCs w:val="28"/>
        </w:rPr>
      </w:pPr>
      <w:bookmarkStart w:id="391" w:name="第五部分"/>
      <w:bookmarkStart w:id="392" w:name="_Toc86217003"/>
      <w:r>
        <w:rPr>
          <w:rFonts w:hint="eastAsia" w:ascii="仿宋" w:hAnsi="仿宋" w:eastAsia="仿宋" w:cs="仿宋"/>
          <w:color w:val="auto"/>
          <w:sz w:val="28"/>
          <w:szCs w:val="28"/>
        </w:rPr>
        <w:t>评标办法前附表</w:t>
      </w:r>
    </w:p>
    <w:p w14:paraId="34A7D2CA">
      <w:pPr>
        <w:numPr>
          <w:ilvl w:val="0"/>
          <w:numId w:val="10"/>
        </w:num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商务资信（</w:t>
      </w:r>
      <w:r>
        <w:rPr>
          <w:rFonts w:hint="eastAsia" w:ascii="仿宋" w:hAnsi="仿宋" w:eastAsia="仿宋" w:cs="仿宋"/>
          <w:color w:val="auto"/>
          <w:sz w:val="22"/>
          <w:szCs w:val="22"/>
          <w:lang w:val="en-US" w:eastAsia="zh-CN"/>
        </w:rPr>
        <w:t>80</w:t>
      </w:r>
      <w:r>
        <w:rPr>
          <w:rFonts w:hint="eastAsia" w:ascii="仿宋" w:hAnsi="仿宋" w:eastAsia="仿宋" w:cs="仿宋"/>
          <w:color w:val="auto"/>
          <w:sz w:val="22"/>
          <w:szCs w:val="22"/>
        </w:rPr>
        <w:t>分）</w:t>
      </w:r>
    </w:p>
    <w:tbl>
      <w:tblPr>
        <w:tblStyle w:val="62"/>
        <w:tblW w:w="5052" w:type="pct"/>
        <w:jc w:val="center"/>
        <w:tblLayout w:type="fixed"/>
        <w:tblCellMar>
          <w:top w:w="0" w:type="dxa"/>
          <w:left w:w="108" w:type="dxa"/>
          <w:bottom w:w="0" w:type="dxa"/>
          <w:right w:w="108" w:type="dxa"/>
        </w:tblCellMar>
      </w:tblPr>
      <w:tblGrid>
        <w:gridCol w:w="940"/>
        <w:gridCol w:w="10"/>
        <w:gridCol w:w="1122"/>
        <w:gridCol w:w="5690"/>
        <w:gridCol w:w="810"/>
        <w:gridCol w:w="15"/>
        <w:gridCol w:w="796"/>
      </w:tblGrid>
      <w:tr w14:paraId="2D346233">
        <w:tblPrEx>
          <w:tblCellMar>
            <w:top w:w="0" w:type="dxa"/>
            <w:left w:w="108" w:type="dxa"/>
            <w:bottom w:w="0" w:type="dxa"/>
            <w:right w:w="108" w:type="dxa"/>
          </w:tblCellMar>
        </w:tblPrEx>
        <w:trPr>
          <w:trHeight w:val="924" w:hRule="atLeast"/>
          <w:jc w:val="center"/>
        </w:trPr>
        <w:tc>
          <w:tcPr>
            <w:tcW w:w="500" w:type="pct"/>
            <w:tcBorders>
              <w:top w:val="single" w:color="auto" w:sz="8" w:space="0"/>
              <w:left w:val="single" w:color="auto" w:sz="8" w:space="0"/>
              <w:bottom w:val="single" w:color="auto" w:sz="4" w:space="0"/>
              <w:right w:val="single" w:color="auto" w:sz="4" w:space="0"/>
            </w:tcBorders>
            <w:vAlign w:val="center"/>
          </w:tcPr>
          <w:p w14:paraId="3F436655">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635" w:type="pct"/>
            <w:gridSpan w:val="3"/>
            <w:tcBorders>
              <w:top w:val="single" w:color="auto" w:sz="8" w:space="0"/>
              <w:left w:val="nil"/>
              <w:bottom w:val="single" w:color="auto" w:sz="4" w:space="0"/>
              <w:right w:val="single" w:color="auto" w:sz="4" w:space="0"/>
            </w:tcBorders>
            <w:vAlign w:val="center"/>
          </w:tcPr>
          <w:p w14:paraId="17B9AA44">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评分内容和标准</w:t>
            </w:r>
          </w:p>
        </w:tc>
        <w:tc>
          <w:tcPr>
            <w:tcW w:w="431" w:type="pct"/>
            <w:tcBorders>
              <w:top w:val="single" w:color="auto" w:sz="8" w:space="0"/>
              <w:left w:val="nil"/>
              <w:bottom w:val="single" w:color="auto" w:sz="4" w:space="0"/>
              <w:right w:val="single" w:color="auto" w:sz="4" w:space="0"/>
            </w:tcBorders>
            <w:vAlign w:val="center"/>
          </w:tcPr>
          <w:p w14:paraId="48C5AEF2">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权重</w:t>
            </w:r>
          </w:p>
        </w:tc>
        <w:tc>
          <w:tcPr>
            <w:tcW w:w="432" w:type="pct"/>
            <w:gridSpan w:val="2"/>
            <w:tcBorders>
              <w:top w:val="single" w:color="auto" w:sz="8" w:space="0"/>
              <w:left w:val="nil"/>
              <w:bottom w:val="single" w:color="auto" w:sz="4" w:space="0"/>
              <w:right w:val="single" w:color="auto" w:sz="4" w:space="0"/>
            </w:tcBorders>
            <w:vAlign w:val="center"/>
          </w:tcPr>
          <w:p w14:paraId="62D55540">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主客观分</w:t>
            </w:r>
          </w:p>
        </w:tc>
      </w:tr>
      <w:tr w14:paraId="5724ABAD">
        <w:tblPrEx>
          <w:tblCellMar>
            <w:top w:w="0" w:type="dxa"/>
            <w:left w:w="108" w:type="dxa"/>
            <w:bottom w:w="0" w:type="dxa"/>
            <w:right w:w="108" w:type="dxa"/>
          </w:tblCellMar>
        </w:tblPrEx>
        <w:trPr>
          <w:trHeight w:val="588" w:hRule="atLeast"/>
          <w:jc w:val="center"/>
        </w:trPr>
        <w:tc>
          <w:tcPr>
            <w:tcW w:w="500" w:type="pct"/>
            <w:vMerge w:val="restart"/>
            <w:tcBorders>
              <w:left w:val="single" w:color="auto" w:sz="4" w:space="0"/>
              <w:right w:val="single" w:color="auto" w:sz="4" w:space="0"/>
            </w:tcBorders>
            <w:vAlign w:val="center"/>
          </w:tcPr>
          <w:p w14:paraId="1A15D55B">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商务资信分（</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603" w:type="pct"/>
            <w:gridSpan w:val="2"/>
            <w:tcBorders>
              <w:top w:val="single" w:color="auto" w:sz="4" w:space="0"/>
              <w:left w:val="single" w:color="auto" w:sz="8" w:space="0"/>
              <w:bottom w:val="single" w:color="auto" w:sz="4" w:space="0"/>
              <w:right w:val="single" w:color="auto" w:sz="4" w:space="0"/>
            </w:tcBorders>
            <w:vAlign w:val="center"/>
          </w:tcPr>
          <w:p w14:paraId="61600E7E">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outlineLvl w:val="0"/>
              <w:rPr>
                <w:rFonts w:hint="eastAsia" w:ascii="仿宋" w:hAnsi="仿宋" w:eastAsia="仿宋" w:cs="仿宋"/>
                <w:color w:val="auto"/>
                <w:sz w:val="21"/>
                <w:szCs w:val="21"/>
              </w:rPr>
            </w:pPr>
            <w:r>
              <w:rPr>
                <w:rFonts w:hint="eastAsia" w:ascii="仿宋" w:hAnsi="仿宋" w:eastAsia="仿宋" w:cs="仿宋"/>
                <w:color w:val="auto"/>
                <w:sz w:val="21"/>
                <w:szCs w:val="21"/>
              </w:rPr>
              <w:t>企业认证</w:t>
            </w:r>
          </w:p>
        </w:tc>
        <w:tc>
          <w:tcPr>
            <w:tcW w:w="3032" w:type="pct"/>
            <w:tcBorders>
              <w:top w:val="single" w:color="auto" w:sz="4" w:space="0"/>
              <w:left w:val="nil"/>
              <w:bottom w:val="single" w:color="auto" w:sz="4" w:space="0"/>
              <w:right w:val="single" w:color="auto" w:sz="4" w:space="0"/>
            </w:tcBorders>
            <w:vAlign w:val="center"/>
          </w:tcPr>
          <w:p w14:paraId="7C73429A">
            <w:pPr>
              <w:keepNext w:val="0"/>
              <w:keepLines w:val="0"/>
              <w:pageBreakBefore w:val="0"/>
              <w:widowControl w:val="0"/>
              <w:kinsoku/>
              <w:wordWrap/>
              <w:overflowPunct/>
              <w:topLinePunct w:val="0"/>
              <w:autoSpaceDE/>
              <w:autoSpaceDN/>
              <w:bidi w:val="0"/>
              <w:adjustRightInd w:val="0"/>
              <w:snapToGrid/>
              <w:spacing w:line="288" w:lineRule="auto"/>
              <w:ind w:left="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投标人具有环境管理体系认证、职业健康安全管理体系认证、质量管理体系认证、信息安全管理体系认证、信息技术服务管理体系认证的每个得1分，最高得5分。</w:t>
            </w:r>
            <w:r>
              <w:rPr>
                <w:rFonts w:hint="eastAsia" w:ascii="仿宋" w:hAnsi="仿宋" w:eastAsia="仿宋" w:cs="仿宋"/>
                <w:b/>
                <w:bCs/>
                <w:color w:val="auto"/>
                <w:sz w:val="21"/>
                <w:szCs w:val="21"/>
              </w:rPr>
              <w:t>（注：以上证书认证范围需包含信息系统集成相关，</w:t>
            </w:r>
            <w:r>
              <w:rPr>
                <w:rFonts w:hint="eastAsia" w:ascii="仿宋" w:hAnsi="仿宋" w:eastAsia="仿宋" w:cs="仿宋"/>
                <w:b/>
                <w:bCs/>
                <w:color w:val="auto"/>
                <w:sz w:val="21"/>
                <w:szCs w:val="21"/>
                <w:lang w:val="en-US" w:eastAsia="zh-CN"/>
              </w:rPr>
              <w:t>须在有效期内，</w:t>
            </w:r>
            <w:r>
              <w:rPr>
                <w:rFonts w:hint="eastAsia" w:ascii="仿宋" w:hAnsi="仿宋" w:eastAsia="仿宋" w:cs="仿宋"/>
                <w:b/>
                <w:bCs/>
                <w:color w:val="auto"/>
                <w:sz w:val="21"/>
                <w:szCs w:val="21"/>
              </w:rPr>
              <w:t>认证范围包含电子与智能化，</w:t>
            </w:r>
            <w:r>
              <w:rPr>
                <w:rFonts w:hint="eastAsia" w:ascii="仿宋" w:hAnsi="仿宋" w:eastAsia="仿宋" w:cs="仿宋"/>
                <w:b/>
                <w:bCs/>
                <w:color w:val="auto"/>
                <w:sz w:val="21"/>
                <w:szCs w:val="21"/>
                <w:lang w:val="en-US" w:eastAsia="zh-CN"/>
              </w:rPr>
              <w:t>投标文件中提供证书材料</w:t>
            </w:r>
            <w:r>
              <w:rPr>
                <w:rFonts w:hint="eastAsia" w:ascii="仿宋" w:hAnsi="仿宋" w:eastAsia="仿宋" w:cs="仿宋"/>
                <w:b/>
                <w:bCs/>
                <w:color w:val="auto"/>
                <w:sz w:val="21"/>
                <w:szCs w:val="21"/>
              </w:rPr>
              <w:t>及证书在国家认监委网站（https://www.cnca.gov.cn/）查询</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有效</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截图</w:t>
            </w:r>
            <w:r>
              <w:rPr>
                <w:rFonts w:hint="eastAsia" w:ascii="仿宋" w:hAnsi="仿宋" w:eastAsia="仿宋" w:cs="仿宋"/>
                <w:b/>
                <w:bCs/>
                <w:color w:val="auto"/>
                <w:sz w:val="21"/>
                <w:szCs w:val="21"/>
                <w:lang w:val="en-US" w:eastAsia="zh-CN"/>
              </w:rPr>
              <w:t>并加盖投标人公章。不提供或</w:t>
            </w:r>
            <w:r>
              <w:rPr>
                <w:rFonts w:hint="eastAsia" w:ascii="仿宋" w:hAnsi="仿宋" w:eastAsia="仿宋" w:cs="仿宋"/>
                <w:b/>
                <w:bCs/>
                <w:color w:val="auto"/>
                <w:sz w:val="21"/>
                <w:szCs w:val="21"/>
              </w:rPr>
              <w:t>未按要求提供证明材料的不得分。）</w:t>
            </w:r>
          </w:p>
        </w:tc>
        <w:tc>
          <w:tcPr>
            <w:tcW w:w="431" w:type="pct"/>
            <w:tcBorders>
              <w:top w:val="single" w:color="auto" w:sz="4" w:space="0"/>
              <w:left w:val="nil"/>
              <w:bottom w:val="single" w:color="auto" w:sz="4" w:space="0"/>
              <w:right w:val="single" w:color="auto" w:sz="4" w:space="0"/>
            </w:tcBorders>
            <w:vAlign w:val="center"/>
          </w:tcPr>
          <w:p w14:paraId="6CCEF784">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432" w:type="pct"/>
            <w:gridSpan w:val="2"/>
            <w:tcBorders>
              <w:top w:val="single" w:color="auto" w:sz="4" w:space="0"/>
              <w:left w:val="nil"/>
              <w:bottom w:val="single" w:color="auto" w:sz="4" w:space="0"/>
              <w:right w:val="single" w:color="auto" w:sz="4" w:space="0"/>
            </w:tcBorders>
            <w:vAlign w:val="center"/>
          </w:tcPr>
          <w:p w14:paraId="5AFA809B">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客观分</w:t>
            </w:r>
          </w:p>
        </w:tc>
      </w:tr>
      <w:tr w14:paraId="1E704303">
        <w:tblPrEx>
          <w:tblCellMar>
            <w:top w:w="0" w:type="dxa"/>
            <w:left w:w="108" w:type="dxa"/>
            <w:bottom w:w="0" w:type="dxa"/>
            <w:right w:w="108" w:type="dxa"/>
          </w:tblCellMar>
        </w:tblPrEx>
        <w:trPr>
          <w:trHeight w:val="673" w:hRule="atLeast"/>
          <w:jc w:val="center"/>
        </w:trPr>
        <w:tc>
          <w:tcPr>
            <w:tcW w:w="500" w:type="pct"/>
            <w:vMerge w:val="continue"/>
            <w:tcBorders>
              <w:left w:val="single" w:color="auto" w:sz="4" w:space="0"/>
              <w:bottom w:val="single" w:color="000000" w:sz="8" w:space="0"/>
              <w:right w:val="single" w:color="auto" w:sz="4" w:space="0"/>
            </w:tcBorders>
            <w:vAlign w:val="center"/>
          </w:tcPr>
          <w:p w14:paraId="4CBB802B">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p>
        </w:tc>
        <w:tc>
          <w:tcPr>
            <w:tcW w:w="603" w:type="pct"/>
            <w:gridSpan w:val="2"/>
            <w:tcBorders>
              <w:top w:val="single" w:color="auto" w:sz="4" w:space="0"/>
              <w:left w:val="single" w:color="auto" w:sz="4" w:space="0"/>
              <w:bottom w:val="single" w:color="auto" w:sz="4" w:space="0"/>
              <w:right w:val="single" w:color="auto" w:sz="4" w:space="0"/>
            </w:tcBorders>
            <w:vAlign w:val="center"/>
          </w:tcPr>
          <w:p w14:paraId="7AFA3F89">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企业资质</w:t>
            </w:r>
          </w:p>
        </w:tc>
        <w:tc>
          <w:tcPr>
            <w:tcW w:w="3032" w:type="pct"/>
            <w:tcBorders>
              <w:top w:val="single" w:color="auto" w:sz="4" w:space="0"/>
              <w:left w:val="nil"/>
              <w:bottom w:val="single" w:color="auto" w:sz="4" w:space="0"/>
              <w:right w:val="single" w:color="auto" w:sz="4" w:space="0"/>
            </w:tcBorders>
            <w:vAlign w:val="center"/>
          </w:tcPr>
          <w:p w14:paraId="6D646A85">
            <w:pPr>
              <w:keepNext w:val="0"/>
              <w:keepLines w:val="0"/>
              <w:pageBreakBefore w:val="0"/>
              <w:widowControl w:val="0"/>
              <w:kinsoku/>
              <w:wordWrap/>
              <w:overflowPunct/>
              <w:topLinePunct w:val="0"/>
              <w:autoSpaceDE/>
              <w:autoSpaceDN/>
              <w:bidi w:val="0"/>
              <w:adjustRightInd w:val="0"/>
              <w:snapToGrid/>
              <w:spacing w:line="288" w:lineRule="auto"/>
              <w:ind w:left="0"/>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投标人具有电子与智能化工程专业承包资质、安全生产许可证的每个得1分，最高得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注：提供相应的资质证书</w:t>
            </w:r>
          </w:p>
        </w:tc>
        <w:tc>
          <w:tcPr>
            <w:tcW w:w="431" w:type="pct"/>
            <w:tcBorders>
              <w:top w:val="nil"/>
              <w:left w:val="nil"/>
              <w:bottom w:val="single" w:color="auto" w:sz="8" w:space="0"/>
              <w:right w:val="single" w:color="auto" w:sz="4" w:space="0"/>
            </w:tcBorders>
            <w:vAlign w:val="center"/>
          </w:tcPr>
          <w:p w14:paraId="405764FB">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2</w:t>
            </w:r>
          </w:p>
        </w:tc>
        <w:tc>
          <w:tcPr>
            <w:tcW w:w="432" w:type="pct"/>
            <w:gridSpan w:val="2"/>
            <w:tcBorders>
              <w:top w:val="nil"/>
              <w:left w:val="nil"/>
              <w:bottom w:val="single" w:color="auto" w:sz="8" w:space="0"/>
              <w:right w:val="single" w:color="auto" w:sz="4" w:space="0"/>
            </w:tcBorders>
            <w:vAlign w:val="center"/>
          </w:tcPr>
          <w:p w14:paraId="73C9C3FA">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客观分</w:t>
            </w:r>
          </w:p>
        </w:tc>
      </w:tr>
      <w:tr w14:paraId="1633DCD8">
        <w:tblPrEx>
          <w:tblCellMar>
            <w:top w:w="0" w:type="dxa"/>
            <w:left w:w="108" w:type="dxa"/>
            <w:bottom w:w="0" w:type="dxa"/>
            <w:right w:w="108" w:type="dxa"/>
          </w:tblCellMar>
        </w:tblPrEx>
        <w:trPr>
          <w:trHeight w:val="688" w:hRule="atLeast"/>
          <w:jc w:val="center"/>
        </w:trPr>
        <w:tc>
          <w:tcPr>
            <w:tcW w:w="500" w:type="pct"/>
            <w:vMerge w:val="continue"/>
            <w:tcBorders>
              <w:left w:val="single" w:color="auto" w:sz="4" w:space="0"/>
              <w:bottom w:val="single" w:color="000000" w:sz="8" w:space="0"/>
              <w:right w:val="single" w:color="auto" w:sz="4" w:space="0"/>
            </w:tcBorders>
            <w:vAlign w:val="center"/>
          </w:tcPr>
          <w:p w14:paraId="34DADEDF">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p>
        </w:tc>
        <w:tc>
          <w:tcPr>
            <w:tcW w:w="603" w:type="pct"/>
            <w:gridSpan w:val="2"/>
            <w:tcBorders>
              <w:top w:val="single" w:color="auto" w:sz="4" w:space="0"/>
              <w:left w:val="single" w:color="auto" w:sz="4" w:space="0"/>
              <w:bottom w:val="single" w:color="auto" w:sz="4" w:space="0"/>
              <w:right w:val="single" w:color="auto" w:sz="4" w:space="0"/>
            </w:tcBorders>
            <w:vAlign w:val="center"/>
          </w:tcPr>
          <w:p w14:paraId="0C8E3004">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类似业绩</w:t>
            </w:r>
          </w:p>
        </w:tc>
        <w:tc>
          <w:tcPr>
            <w:tcW w:w="3032" w:type="pct"/>
            <w:tcBorders>
              <w:top w:val="single" w:color="auto" w:sz="4" w:space="0"/>
              <w:left w:val="nil"/>
              <w:bottom w:val="single" w:color="auto" w:sz="4" w:space="0"/>
              <w:right w:val="single" w:color="auto" w:sz="4" w:space="0"/>
            </w:tcBorders>
            <w:vAlign w:val="center"/>
          </w:tcPr>
          <w:p w14:paraId="0C4714CF">
            <w:pPr>
              <w:keepNext w:val="0"/>
              <w:keepLines w:val="0"/>
              <w:pageBreakBefore w:val="0"/>
              <w:widowControl w:val="0"/>
              <w:kinsoku/>
              <w:wordWrap/>
              <w:overflowPunct/>
              <w:topLinePunct w:val="0"/>
              <w:autoSpaceDE/>
              <w:autoSpaceDN/>
              <w:bidi w:val="0"/>
              <w:adjustRightInd w:val="0"/>
              <w:snapToGrid/>
              <w:spacing w:line="288" w:lineRule="auto"/>
              <w:ind w:left="0"/>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投标人自</w:t>
            </w:r>
            <w:r>
              <w:rPr>
                <w:rFonts w:hint="eastAsia" w:ascii="仿宋" w:hAnsi="仿宋" w:eastAsia="仿宋" w:cs="仿宋"/>
                <w:color w:val="auto"/>
                <w:sz w:val="21"/>
                <w:szCs w:val="21"/>
                <w:lang w:val="en-US" w:eastAsia="zh-CN"/>
              </w:rPr>
              <w:t>2021</w:t>
            </w:r>
            <w:r>
              <w:rPr>
                <w:rFonts w:hint="eastAsia" w:ascii="仿宋" w:hAnsi="仿宋" w:eastAsia="仿宋" w:cs="仿宋"/>
                <w:color w:val="auto"/>
                <w:sz w:val="21"/>
                <w:szCs w:val="21"/>
              </w:rPr>
              <w:t>年1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月1日以来具有类似项目的业绩,每提供一份得1分，最多得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注：提供类似项目的合同。</w:t>
            </w:r>
          </w:p>
        </w:tc>
        <w:tc>
          <w:tcPr>
            <w:tcW w:w="431" w:type="pct"/>
            <w:tcBorders>
              <w:top w:val="nil"/>
              <w:left w:val="nil"/>
              <w:bottom w:val="single" w:color="auto" w:sz="8" w:space="0"/>
              <w:right w:val="single" w:color="auto" w:sz="4" w:space="0"/>
            </w:tcBorders>
            <w:vAlign w:val="center"/>
          </w:tcPr>
          <w:p w14:paraId="1DF61075">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2</w:t>
            </w:r>
          </w:p>
        </w:tc>
        <w:tc>
          <w:tcPr>
            <w:tcW w:w="432" w:type="pct"/>
            <w:gridSpan w:val="2"/>
            <w:tcBorders>
              <w:top w:val="nil"/>
              <w:left w:val="nil"/>
              <w:bottom w:val="single" w:color="auto" w:sz="8" w:space="0"/>
              <w:right w:val="single" w:color="auto" w:sz="4" w:space="0"/>
            </w:tcBorders>
            <w:vAlign w:val="center"/>
          </w:tcPr>
          <w:p w14:paraId="03E22862">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客观分</w:t>
            </w:r>
          </w:p>
        </w:tc>
      </w:tr>
      <w:tr w14:paraId="64B7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506" w:type="pct"/>
            <w:gridSpan w:val="2"/>
            <w:vMerge w:val="restart"/>
            <w:vAlign w:val="center"/>
          </w:tcPr>
          <w:p w14:paraId="64B8F5D9">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技术分（</w:t>
            </w:r>
            <w:r>
              <w:rPr>
                <w:rFonts w:hint="eastAsia" w:ascii="仿宋" w:hAnsi="仿宋" w:eastAsia="仿宋" w:cs="仿宋"/>
                <w:color w:val="auto"/>
                <w:sz w:val="21"/>
                <w:szCs w:val="21"/>
                <w:lang w:val="en-US" w:eastAsia="zh-CN"/>
              </w:rPr>
              <w:t>71</w:t>
            </w:r>
            <w:r>
              <w:rPr>
                <w:rFonts w:hint="eastAsia" w:ascii="仿宋" w:hAnsi="仿宋" w:eastAsia="仿宋" w:cs="仿宋"/>
                <w:color w:val="auto"/>
                <w:sz w:val="21"/>
                <w:szCs w:val="21"/>
              </w:rPr>
              <w:t>分）</w:t>
            </w:r>
          </w:p>
        </w:tc>
        <w:tc>
          <w:tcPr>
            <w:tcW w:w="597" w:type="pct"/>
            <w:shd w:val="clear" w:color="auto" w:fill="auto"/>
            <w:vAlign w:val="center"/>
          </w:tcPr>
          <w:p w14:paraId="36E33A89">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所投产品技术吻合程度</w:t>
            </w:r>
          </w:p>
        </w:tc>
        <w:tc>
          <w:tcPr>
            <w:tcW w:w="3032" w:type="pct"/>
            <w:shd w:val="clear" w:color="auto" w:fill="auto"/>
            <w:vAlign w:val="center"/>
          </w:tcPr>
          <w:p w14:paraId="1B78C51D">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投标人</w:t>
            </w:r>
            <w:r>
              <w:rPr>
                <w:rFonts w:hint="eastAsia" w:ascii="仿宋" w:hAnsi="仿宋" w:eastAsia="仿宋" w:cs="仿宋"/>
                <w:color w:val="auto"/>
                <w:sz w:val="21"/>
                <w:szCs w:val="21"/>
                <w:lang w:val="en-US" w:eastAsia="zh-CN"/>
              </w:rPr>
              <w:t>对</w:t>
            </w:r>
            <w:r>
              <w:rPr>
                <w:rFonts w:hint="eastAsia" w:ascii="仿宋" w:hAnsi="仿宋" w:eastAsia="仿宋" w:cs="仿宋"/>
                <w:color w:val="auto"/>
                <w:sz w:val="21"/>
                <w:szCs w:val="21"/>
              </w:rPr>
              <w:t>本项目</w:t>
            </w:r>
            <w:r>
              <w:rPr>
                <w:rFonts w:hint="eastAsia" w:ascii="仿宋" w:hAnsi="仿宋" w:eastAsia="仿宋" w:cs="仿宋"/>
                <w:color w:val="auto"/>
                <w:sz w:val="21"/>
                <w:szCs w:val="21"/>
                <w:lang w:val="en-US" w:eastAsia="zh-CN"/>
              </w:rPr>
              <w:t>第三部份采购需求.运行维护要求中</w:t>
            </w:r>
            <w:r>
              <w:rPr>
                <w:rFonts w:hint="eastAsia" w:ascii="仿宋" w:hAnsi="仿宋" w:eastAsia="仿宋" w:cs="仿宋"/>
                <w:color w:val="auto"/>
                <w:sz w:val="21"/>
                <w:szCs w:val="21"/>
              </w:rPr>
              <w:t>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”的重要</w:t>
            </w:r>
            <w:r>
              <w:rPr>
                <w:rFonts w:hint="eastAsia" w:ascii="仿宋" w:hAnsi="仿宋" w:eastAsia="仿宋" w:cs="仿宋"/>
                <w:color w:val="auto"/>
                <w:sz w:val="21"/>
                <w:szCs w:val="21"/>
                <w:lang w:val="en-US" w:eastAsia="zh-CN"/>
              </w:rPr>
              <w:t>指标及规范</w:t>
            </w:r>
            <w:r>
              <w:rPr>
                <w:rFonts w:hint="eastAsia" w:ascii="仿宋" w:hAnsi="仿宋" w:eastAsia="仿宋" w:cs="仿宋"/>
                <w:color w:val="auto"/>
                <w:sz w:val="21"/>
                <w:szCs w:val="21"/>
              </w:rPr>
              <w:t>要求</w:t>
            </w:r>
            <w:r>
              <w:rPr>
                <w:rFonts w:hint="eastAsia" w:ascii="仿宋" w:hAnsi="仿宋" w:eastAsia="仿宋" w:cs="仿宋"/>
                <w:color w:val="auto"/>
                <w:sz w:val="21"/>
                <w:szCs w:val="21"/>
                <w:lang w:val="en-US" w:eastAsia="zh-CN"/>
              </w:rPr>
              <w:t>的</w:t>
            </w:r>
            <w:r>
              <w:rPr>
                <w:rFonts w:hint="eastAsia" w:ascii="仿宋" w:hAnsi="仿宋" w:eastAsia="仿宋" w:cs="仿宋"/>
                <w:color w:val="auto"/>
                <w:sz w:val="21"/>
                <w:szCs w:val="21"/>
              </w:rPr>
              <w:t>全部符合的得</w:t>
            </w:r>
            <w:r>
              <w:rPr>
                <w:rFonts w:hint="eastAsia" w:ascii="仿宋" w:hAnsi="仿宋" w:eastAsia="仿宋" w:cs="仿宋"/>
                <w:color w:val="auto"/>
                <w:sz w:val="21"/>
                <w:szCs w:val="21"/>
                <w:lang w:val="en-US" w:eastAsia="zh-CN"/>
              </w:rPr>
              <w:t>32</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如有</w:t>
            </w:r>
            <w:r>
              <w:rPr>
                <w:rFonts w:hint="eastAsia" w:ascii="仿宋" w:hAnsi="仿宋" w:eastAsia="仿宋" w:cs="仿宋"/>
                <w:color w:val="auto"/>
                <w:sz w:val="21"/>
                <w:szCs w:val="21"/>
              </w:rPr>
              <w:t>负偏离或不符合的每条扣1分，扣完为止。（采购需求中带“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”的重要</w:t>
            </w:r>
            <w:r>
              <w:rPr>
                <w:rFonts w:hint="eastAsia" w:ascii="仿宋" w:hAnsi="仿宋" w:eastAsia="仿宋" w:cs="仿宋"/>
                <w:color w:val="auto"/>
                <w:sz w:val="21"/>
                <w:szCs w:val="21"/>
                <w:lang w:val="en-US" w:eastAsia="zh-CN"/>
              </w:rPr>
              <w:t>指标及规范</w:t>
            </w:r>
            <w:r>
              <w:rPr>
                <w:rFonts w:hint="eastAsia" w:ascii="仿宋" w:hAnsi="仿宋" w:eastAsia="仿宋" w:cs="仿宋"/>
                <w:color w:val="auto"/>
                <w:sz w:val="21"/>
                <w:szCs w:val="21"/>
              </w:rPr>
              <w:t>需提供证明资料并加盖本项目名称相对应的水印及公章，不提供不得分）</w:t>
            </w:r>
          </w:p>
        </w:tc>
        <w:tc>
          <w:tcPr>
            <w:tcW w:w="439" w:type="pct"/>
            <w:gridSpan w:val="2"/>
            <w:shd w:val="clear" w:color="auto" w:fill="auto"/>
            <w:vAlign w:val="center"/>
          </w:tcPr>
          <w:p w14:paraId="314CCA80">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32</w:t>
            </w:r>
          </w:p>
        </w:tc>
        <w:tc>
          <w:tcPr>
            <w:tcW w:w="424" w:type="pct"/>
            <w:shd w:val="clear" w:color="auto" w:fill="auto"/>
            <w:vAlign w:val="center"/>
          </w:tcPr>
          <w:p w14:paraId="25C9076A">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客观分</w:t>
            </w:r>
          </w:p>
        </w:tc>
      </w:tr>
      <w:tr w14:paraId="4CE4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06" w:type="pct"/>
            <w:gridSpan w:val="2"/>
            <w:vMerge w:val="continue"/>
            <w:vAlign w:val="center"/>
          </w:tcPr>
          <w:p w14:paraId="6FDCA975">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p>
        </w:tc>
        <w:tc>
          <w:tcPr>
            <w:tcW w:w="597" w:type="pct"/>
            <w:shd w:val="clear" w:color="auto" w:fill="auto"/>
            <w:vAlign w:val="center"/>
          </w:tcPr>
          <w:p w14:paraId="115A8ED4">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服务力量</w:t>
            </w:r>
          </w:p>
        </w:tc>
        <w:tc>
          <w:tcPr>
            <w:tcW w:w="3032" w:type="pct"/>
            <w:shd w:val="clear" w:color="auto" w:fill="auto"/>
            <w:vAlign w:val="center"/>
          </w:tcPr>
          <w:p w14:paraId="77E47A8E">
            <w:pPr>
              <w:pStyle w:val="257"/>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投标人运维团队中具有售后服务管理师证书的得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分；投标人运维团队中具有电气设备安装调试中级工</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rPr>
              <w:t>以上的每个得1分，最高得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14:paraId="2863C1A8">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rPr>
              <w:t>（注：投标文件中提供以上人员相关证书复印件以及上述人员近3个月内任意一个月社会保险证明，不提供不得分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p>
        </w:tc>
        <w:tc>
          <w:tcPr>
            <w:tcW w:w="439" w:type="pct"/>
            <w:gridSpan w:val="2"/>
            <w:shd w:val="clear" w:color="auto" w:fill="auto"/>
            <w:vAlign w:val="center"/>
          </w:tcPr>
          <w:p w14:paraId="49641CFE">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6</w:t>
            </w:r>
          </w:p>
        </w:tc>
        <w:tc>
          <w:tcPr>
            <w:tcW w:w="424" w:type="pct"/>
            <w:shd w:val="clear" w:color="auto" w:fill="auto"/>
            <w:vAlign w:val="center"/>
          </w:tcPr>
          <w:p w14:paraId="09D70FC3">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客观分</w:t>
            </w:r>
          </w:p>
        </w:tc>
      </w:tr>
      <w:tr w14:paraId="476E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06" w:type="pct"/>
            <w:gridSpan w:val="2"/>
            <w:vMerge w:val="continue"/>
            <w:vAlign w:val="center"/>
          </w:tcPr>
          <w:p w14:paraId="3F0519CB">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p>
        </w:tc>
        <w:tc>
          <w:tcPr>
            <w:tcW w:w="597" w:type="pct"/>
            <w:shd w:val="clear" w:color="auto" w:fill="auto"/>
            <w:vAlign w:val="center"/>
          </w:tcPr>
          <w:p w14:paraId="05487415">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项目团队（项目负责人）</w:t>
            </w:r>
          </w:p>
        </w:tc>
        <w:tc>
          <w:tcPr>
            <w:tcW w:w="3032" w:type="pct"/>
            <w:shd w:val="clear" w:color="auto" w:fill="auto"/>
            <w:vAlign w:val="center"/>
          </w:tcPr>
          <w:p w14:paraId="0A048D7C">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rPr>
              <w:t>拟派项目负责人具有机电工程专业建造师、项目负责人安全生间考核合格证书（B证）、建筑电气（建筑智能化）工程师、网络工程师的每个得1分，最高得4分。 （注：投标文件中提供以上人员相关证书复印件以及上述人员近3个月内任意一个月社会保险证明，不提供不得分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p>
        </w:tc>
        <w:tc>
          <w:tcPr>
            <w:tcW w:w="439" w:type="pct"/>
            <w:gridSpan w:val="2"/>
            <w:shd w:val="clear" w:color="auto" w:fill="auto"/>
            <w:vAlign w:val="center"/>
          </w:tcPr>
          <w:p w14:paraId="7A792981">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0-4</w:t>
            </w:r>
          </w:p>
        </w:tc>
        <w:tc>
          <w:tcPr>
            <w:tcW w:w="424" w:type="pct"/>
            <w:shd w:val="clear" w:color="auto" w:fill="auto"/>
            <w:vAlign w:val="center"/>
          </w:tcPr>
          <w:p w14:paraId="53CD47A3">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客观分</w:t>
            </w:r>
          </w:p>
        </w:tc>
      </w:tr>
      <w:tr w14:paraId="3A1B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06" w:type="pct"/>
            <w:gridSpan w:val="2"/>
            <w:vMerge w:val="continue"/>
            <w:vAlign w:val="center"/>
          </w:tcPr>
          <w:p w14:paraId="49C18454">
            <w:pPr>
              <w:keepNext w:val="0"/>
              <w:keepLines w:val="0"/>
              <w:pageBreakBefore w:val="0"/>
              <w:widowControl w:val="0"/>
              <w:kinsoku/>
              <w:wordWrap/>
              <w:overflowPunct/>
              <w:topLinePunct w:val="0"/>
              <w:autoSpaceDE/>
              <w:autoSpaceDN/>
              <w:bidi w:val="0"/>
              <w:adjustRightInd w:val="0"/>
              <w:snapToGrid/>
              <w:spacing w:line="288" w:lineRule="auto"/>
              <w:ind w:left="0"/>
              <w:jc w:val="center"/>
              <w:textAlignment w:val="auto"/>
              <w:rPr>
                <w:rFonts w:hint="eastAsia" w:ascii="仿宋" w:hAnsi="仿宋" w:eastAsia="仿宋" w:cs="仿宋"/>
                <w:color w:val="auto"/>
                <w:sz w:val="21"/>
                <w:szCs w:val="21"/>
              </w:rPr>
            </w:pPr>
          </w:p>
        </w:tc>
        <w:tc>
          <w:tcPr>
            <w:tcW w:w="597" w:type="pct"/>
            <w:shd w:val="clear" w:color="auto" w:fill="auto"/>
            <w:vAlign w:val="center"/>
          </w:tcPr>
          <w:p w14:paraId="13B0EC78">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培训方案</w:t>
            </w:r>
          </w:p>
        </w:tc>
        <w:tc>
          <w:tcPr>
            <w:tcW w:w="3032" w:type="pct"/>
            <w:shd w:val="clear" w:color="auto" w:fill="auto"/>
            <w:vAlign w:val="center"/>
          </w:tcPr>
          <w:p w14:paraId="0807203E">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培训方案的合理性评价，包括培训方式、培训标准与目标承诺。</w:t>
            </w:r>
            <w:r>
              <w:rPr>
                <w:rFonts w:hint="eastAsia" w:ascii="仿宋" w:hAnsi="仿宋" w:eastAsia="仿宋" w:cs="仿宋"/>
                <w:color w:val="auto"/>
                <w:sz w:val="21"/>
                <w:szCs w:val="21"/>
                <w:highlight w:val="none"/>
                <w:lang w:val="en-US" w:eastAsia="zh-CN"/>
              </w:rPr>
              <w:t>根据</w:t>
            </w:r>
            <w:r>
              <w:rPr>
                <w:rFonts w:hint="eastAsia" w:ascii="仿宋" w:hAnsi="仿宋" w:eastAsia="仿宋" w:cs="仿宋"/>
                <w:color w:val="auto"/>
                <w:sz w:val="21"/>
                <w:szCs w:val="21"/>
                <w:highlight w:val="none"/>
              </w:rPr>
              <w:t>投标人制定的培训方案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合理</w:t>
            </w:r>
            <w:r>
              <w:rPr>
                <w:rFonts w:hint="eastAsia" w:ascii="仿宋" w:hAnsi="仿宋" w:eastAsia="仿宋" w:cs="仿宋"/>
                <w:color w:val="auto"/>
                <w:sz w:val="21"/>
                <w:szCs w:val="21"/>
                <w:highlight w:val="none"/>
                <w:lang w:val="en-US" w:eastAsia="zh-CN"/>
              </w:rPr>
              <w:t>综合评定。</w:t>
            </w:r>
          </w:p>
          <w:p w14:paraId="056C6DEC">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（评分范围：4,3,2,1,0）</w:t>
            </w:r>
          </w:p>
        </w:tc>
        <w:tc>
          <w:tcPr>
            <w:tcW w:w="439" w:type="pct"/>
            <w:gridSpan w:val="2"/>
            <w:shd w:val="clear" w:color="auto" w:fill="auto"/>
            <w:vAlign w:val="center"/>
          </w:tcPr>
          <w:p w14:paraId="2BC19E4C">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4</w:t>
            </w:r>
          </w:p>
        </w:tc>
        <w:tc>
          <w:tcPr>
            <w:tcW w:w="424" w:type="pct"/>
            <w:shd w:val="clear" w:color="auto" w:fill="auto"/>
            <w:vAlign w:val="center"/>
          </w:tcPr>
          <w:p w14:paraId="3DE29FDA">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065F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06" w:type="pct"/>
            <w:gridSpan w:val="2"/>
            <w:vMerge w:val="continue"/>
            <w:vAlign w:val="center"/>
          </w:tcPr>
          <w:p w14:paraId="38EB151A">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p>
        </w:tc>
        <w:tc>
          <w:tcPr>
            <w:tcW w:w="597" w:type="pct"/>
            <w:shd w:val="clear" w:color="auto" w:fill="auto"/>
            <w:vAlign w:val="center"/>
          </w:tcPr>
          <w:p w14:paraId="569E8210">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服务方案</w:t>
            </w:r>
          </w:p>
        </w:tc>
        <w:tc>
          <w:tcPr>
            <w:tcW w:w="3032" w:type="pct"/>
            <w:shd w:val="clear" w:color="auto" w:fill="auto"/>
            <w:vAlign w:val="center"/>
          </w:tcPr>
          <w:p w14:paraId="7737B0E2">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运维</w:t>
            </w:r>
            <w:r>
              <w:rPr>
                <w:rFonts w:hint="eastAsia" w:ascii="仿宋" w:hAnsi="仿宋" w:eastAsia="仿宋" w:cs="仿宋"/>
                <w:color w:val="auto"/>
                <w:sz w:val="21"/>
                <w:szCs w:val="21"/>
                <w:highlight w:val="none"/>
              </w:rPr>
              <w:t>服务方案完整，机构设置合理，响应速度快</w:t>
            </w:r>
            <w:r>
              <w:rPr>
                <w:rFonts w:hint="eastAsia" w:ascii="仿宋" w:hAnsi="仿宋" w:eastAsia="仿宋" w:cs="仿宋"/>
                <w:color w:val="auto"/>
                <w:sz w:val="21"/>
                <w:szCs w:val="21"/>
                <w:highlight w:val="none"/>
                <w:lang w:val="en-US" w:eastAsia="zh-CN"/>
              </w:rPr>
              <w:t>进行综合评定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根据</w:t>
            </w:r>
            <w:r>
              <w:rPr>
                <w:rFonts w:hint="eastAsia" w:ascii="仿宋" w:hAnsi="仿宋" w:eastAsia="仿宋" w:cs="仿宋"/>
                <w:color w:val="auto"/>
                <w:sz w:val="21"/>
                <w:szCs w:val="21"/>
                <w:highlight w:val="none"/>
              </w:rPr>
              <w:t>方案内容</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完整且与项目匹配度好</w:t>
            </w:r>
            <w:r>
              <w:rPr>
                <w:rFonts w:hint="eastAsia" w:ascii="仿宋" w:hAnsi="仿宋" w:eastAsia="仿宋" w:cs="仿宋"/>
                <w:color w:val="auto"/>
                <w:sz w:val="21"/>
                <w:szCs w:val="21"/>
                <w:highlight w:val="none"/>
                <w:lang w:val="en-US" w:eastAsia="zh-CN"/>
              </w:rPr>
              <w:t>综合评定。</w:t>
            </w:r>
          </w:p>
          <w:p w14:paraId="1F2CAFB6">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（评分范围：5,4,3,2,1,0）</w:t>
            </w:r>
          </w:p>
        </w:tc>
        <w:tc>
          <w:tcPr>
            <w:tcW w:w="439" w:type="pct"/>
            <w:gridSpan w:val="2"/>
            <w:shd w:val="clear" w:color="auto" w:fill="auto"/>
            <w:vAlign w:val="center"/>
          </w:tcPr>
          <w:p w14:paraId="3C3B18CB">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5</w:t>
            </w:r>
          </w:p>
        </w:tc>
        <w:tc>
          <w:tcPr>
            <w:tcW w:w="424" w:type="pct"/>
            <w:shd w:val="clear" w:color="auto" w:fill="auto"/>
            <w:vAlign w:val="center"/>
          </w:tcPr>
          <w:p w14:paraId="7D4620A9">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6A5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gridSpan w:val="2"/>
            <w:vMerge w:val="continue"/>
            <w:vAlign w:val="center"/>
          </w:tcPr>
          <w:p w14:paraId="4D277929">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p>
        </w:tc>
        <w:tc>
          <w:tcPr>
            <w:tcW w:w="597" w:type="pct"/>
            <w:shd w:val="clear" w:color="auto" w:fill="auto"/>
            <w:vAlign w:val="center"/>
          </w:tcPr>
          <w:p w14:paraId="40027CE5">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应急方案</w:t>
            </w:r>
          </w:p>
        </w:tc>
        <w:tc>
          <w:tcPr>
            <w:tcW w:w="3032" w:type="pct"/>
            <w:shd w:val="clear" w:color="auto" w:fill="auto"/>
            <w:vAlign w:val="center"/>
          </w:tcPr>
          <w:p w14:paraId="46A46AF7">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应急方案的合理性、</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度进行综合评定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根据</w:t>
            </w:r>
            <w:r>
              <w:rPr>
                <w:rFonts w:hint="eastAsia" w:ascii="仿宋" w:hAnsi="仿宋" w:eastAsia="仿宋" w:cs="仿宋"/>
                <w:color w:val="auto"/>
                <w:sz w:val="21"/>
                <w:szCs w:val="21"/>
                <w:highlight w:val="none"/>
              </w:rPr>
              <w:t>方案内容</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及合理综合评定。</w:t>
            </w:r>
          </w:p>
          <w:p w14:paraId="2C7CF393">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（评分范围：5,4,3,2,1,0）</w:t>
            </w:r>
          </w:p>
        </w:tc>
        <w:tc>
          <w:tcPr>
            <w:tcW w:w="439" w:type="pct"/>
            <w:gridSpan w:val="2"/>
            <w:shd w:val="clear" w:color="auto" w:fill="auto"/>
            <w:vAlign w:val="center"/>
          </w:tcPr>
          <w:p w14:paraId="1648C8A2">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0-5</w:t>
            </w:r>
          </w:p>
        </w:tc>
        <w:tc>
          <w:tcPr>
            <w:tcW w:w="424" w:type="pct"/>
            <w:shd w:val="clear" w:color="auto" w:fill="auto"/>
            <w:vAlign w:val="center"/>
          </w:tcPr>
          <w:p w14:paraId="0145B5D0">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46CC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gridSpan w:val="2"/>
            <w:vMerge w:val="continue"/>
            <w:vAlign w:val="center"/>
          </w:tcPr>
          <w:p w14:paraId="5182506F">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p>
        </w:tc>
        <w:tc>
          <w:tcPr>
            <w:tcW w:w="597" w:type="pct"/>
            <w:vAlign w:val="center"/>
          </w:tcPr>
          <w:p w14:paraId="3C1E7B93">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系统</w:t>
            </w:r>
            <w:r>
              <w:rPr>
                <w:rFonts w:hint="eastAsia" w:ascii="仿宋" w:hAnsi="仿宋" w:eastAsia="仿宋" w:cs="仿宋"/>
                <w:color w:val="auto"/>
                <w:sz w:val="21"/>
                <w:szCs w:val="21"/>
              </w:rPr>
              <w:t>方案</w:t>
            </w:r>
          </w:p>
        </w:tc>
        <w:tc>
          <w:tcPr>
            <w:tcW w:w="3032" w:type="pct"/>
            <w:vAlign w:val="center"/>
          </w:tcPr>
          <w:p w14:paraId="4FEEFAB8">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智慧小区相关技术</w:t>
            </w:r>
            <w:r>
              <w:rPr>
                <w:rFonts w:hint="eastAsia" w:ascii="仿宋" w:hAnsi="仿宋" w:eastAsia="仿宋" w:cs="仿宋"/>
                <w:color w:val="auto"/>
                <w:sz w:val="21"/>
                <w:szCs w:val="21"/>
              </w:rPr>
              <w:t>方案总体设计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详细阐述各子系统的架构、功能模块等综合评定。</w:t>
            </w:r>
            <w:r>
              <w:rPr>
                <w:rFonts w:hint="eastAsia" w:ascii="仿宋" w:hAnsi="仿宋" w:eastAsia="仿宋" w:cs="仿宋"/>
                <w:color w:val="auto"/>
                <w:sz w:val="21"/>
                <w:szCs w:val="21"/>
                <w:lang w:val="en-US" w:eastAsia="zh-CN"/>
              </w:rPr>
              <w:t>根据</w:t>
            </w:r>
            <w:r>
              <w:rPr>
                <w:rFonts w:hint="eastAsia" w:ascii="仿宋" w:hAnsi="仿宋" w:eastAsia="仿宋" w:cs="仿宋"/>
                <w:color w:val="auto"/>
                <w:sz w:val="21"/>
                <w:szCs w:val="21"/>
              </w:rPr>
              <w:t>方案内容</w:t>
            </w:r>
            <w:r>
              <w:rPr>
                <w:rFonts w:hint="eastAsia" w:ascii="仿宋" w:hAnsi="仿宋" w:eastAsia="仿宋" w:cs="仿宋"/>
                <w:color w:val="auto"/>
                <w:sz w:val="21"/>
                <w:szCs w:val="21"/>
                <w:lang w:val="en-US" w:eastAsia="zh-CN"/>
              </w:rPr>
              <w:t>是否</w:t>
            </w:r>
            <w:r>
              <w:rPr>
                <w:rFonts w:hint="eastAsia" w:ascii="仿宋" w:hAnsi="仿宋" w:eastAsia="仿宋" w:cs="仿宋"/>
                <w:color w:val="auto"/>
                <w:sz w:val="21"/>
                <w:szCs w:val="21"/>
              </w:rPr>
              <w:t>完整且与项目匹配度好</w:t>
            </w:r>
            <w:r>
              <w:rPr>
                <w:rFonts w:hint="eastAsia" w:ascii="仿宋" w:hAnsi="仿宋" w:eastAsia="仿宋" w:cs="仿宋"/>
                <w:color w:val="auto"/>
                <w:sz w:val="21"/>
                <w:szCs w:val="21"/>
                <w:highlight w:val="none"/>
                <w:lang w:val="en-US" w:eastAsia="zh-CN"/>
              </w:rPr>
              <w:t>综合评定。</w:t>
            </w:r>
          </w:p>
          <w:p w14:paraId="66EC7E35">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（评分范围：5,4,3,2,1,0）</w:t>
            </w:r>
          </w:p>
        </w:tc>
        <w:tc>
          <w:tcPr>
            <w:tcW w:w="439" w:type="pct"/>
            <w:gridSpan w:val="2"/>
            <w:vAlign w:val="center"/>
          </w:tcPr>
          <w:p w14:paraId="1B9DE673">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 xml:space="preserve">0-5 </w:t>
            </w:r>
          </w:p>
        </w:tc>
        <w:tc>
          <w:tcPr>
            <w:tcW w:w="424" w:type="pct"/>
            <w:vAlign w:val="center"/>
          </w:tcPr>
          <w:p w14:paraId="139E9BD4">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主观分</w:t>
            </w:r>
          </w:p>
        </w:tc>
      </w:tr>
      <w:tr w14:paraId="49E0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gridSpan w:val="2"/>
            <w:vMerge w:val="continue"/>
            <w:vAlign w:val="center"/>
          </w:tcPr>
          <w:p w14:paraId="55253DD6">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p>
        </w:tc>
        <w:tc>
          <w:tcPr>
            <w:tcW w:w="597" w:type="pct"/>
            <w:vAlign w:val="center"/>
          </w:tcPr>
          <w:p w14:paraId="5897E978">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需求调研</w:t>
            </w:r>
          </w:p>
        </w:tc>
        <w:tc>
          <w:tcPr>
            <w:tcW w:w="3032" w:type="pct"/>
            <w:vAlign w:val="center"/>
          </w:tcPr>
          <w:p w14:paraId="0C76FBA2">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投标人对项目的总体调研理解情况</w:t>
            </w:r>
            <w:r>
              <w:rPr>
                <w:rFonts w:hint="eastAsia" w:ascii="仿宋" w:hAnsi="仿宋" w:eastAsia="仿宋" w:cs="仿宋"/>
                <w:color w:val="auto"/>
                <w:sz w:val="21"/>
                <w:szCs w:val="21"/>
                <w:lang w:val="en-US" w:eastAsia="zh-CN"/>
              </w:rPr>
              <w:t>以及对</w:t>
            </w:r>
            <w:r>
              <w:rPr>
                <w:rFonts w:hint="eastAsia" w:ascii="仿宋" w:hAnsi="仿宋" w:eastAsia="仿宋" w:cs="仿宋"/>
                <w:color w:val="auto"/>
                <w:sz w:val="21"/>
                <w:szCs w:val="21"/>
              </w:rPr>
              <w:t>现有系统勘察情况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根据投标人提供</w:t>
            </w:r>
            <w:r>
              <w:rPr>
                <w:rFonts w:hint="eastAsia" w:ascii="仿宋" w:hAnsi="仿宋" w:eastAsia="仿宋" w:cs="仿宋"/>
                <w:color w:val="auto"/>
                <w:sz w:val="21"/>
                <w:szCs w:val="21"/>
                <w:lang w:val="en-US" w:eastAsia="zh-CN"/>
              </w:rPr>
              <w:t>调研是否充分完善</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进行综合评定。</w:t>
            </w:r>
          </w:p>
          <w:p w14:paraId="27EBE991">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（评分范围：5,4,3,2,1,0）</w:t>
            </w:r>
          </w:p>
        </w:tc>
        <w:tc>
          <w:tcPr>
            <w:tcW w:w="439" w:type="pct"/>
            <w:gridSpan w:val="2"/>
            <w:vAlign w:val="center"/>
          </w:tcPr>
          <w:p w14:paraId="64C88AC0">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5</w:t>
            </w:r>
          </w:p>
        </w:tc>
        <w:tc>
          <w:tcPr>
            <w:tcW w:w="424" w:type="pct"/>
            <w:vAlign w:val="center"/>
          </w:tcPr>
          <w:p w14:paraId="10F1F337">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主观分</w:t>
            </w:r>
          </w:p>
        </w:tc>
      </w:tr>
      <w:tr w14:paraId="4261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gridSpan w:val="2"/>
            <w:vMerge w:val="continue"/>
            <w:vAlign w:val="center"/>
          </w:tcPr>
          <w:p w14:paraId="2639A8CA">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center"/>
              <w:textAlignment w:val="auto"/>
              <w:rPr>
                <w:rFonts w:hint="eastAsia" w:ascii="仿宋" w:hAnsi="仿宋" w:eastAsia="仿宋" w:cs="仿宋"/>
                <w:color w:val="auto"/>
                <w:sz w:val="21"/>
                <w:szCs w:val="21"/>
              </w:rPr>
            </w:pPr>
          </w:p>
        </w:tc>
        <w:tc>
          <w:tcPr>
            <w:tcW w:w="597" w:type="pct"/>
            <w:vAlign w:val="center"/>
          </w:tcPr>
          <w:p w14:paraId="4B97B2EB">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安全保障</w:t>
            </w:r>
          </w:p>
        </w:tc>
        <w:tc>
          <w:tcPr>
            <w:tcW w:w="3032" w:type="pct"/>
            <w:vAlign w:val="center"/>
          </w:tcPr>
          <w:p w14:paraId="3953A3DD">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投标人</w:t>
            </w:r>
            <w:r>
              <w:rPr>
                <w:rFonts w:hint="eastAsia" w:ascii="仿宋" w:hAnsi="仿宋" w:eastAsia="仿宋" w:cs="仿宋"/>
                <w:color w:val="auto"/>
                <w:sz w:val="21"/>
                <w:szCs w:val="21"/>
                <w:lang w:val="en-US" w:eastAsia="zh-CN"/>
              </w:rPr>
              <w:t>在日常维护中设计的数据安全及保障措施方案，对系统安全维护和数据安全保障工作措施是否详细完整且与项目匹配度好综合评定。</w:t>
            </w:r>
          </w:p>
          <w:p w14:paraId="702FB1DF">
            <w:pPr>
              <w:keepNext w:val="0"/>
              <w:keepLines w:val="0"/>
              <w:pageBreakBefore w:val="0"/>
              <w:widowControl w:val="0"/>
              <w:kinsoku/>
              <w:wordWrap/>
              <w:overflowPunct/>
              <w:topLinePunct w:val="0"/>
              <w:autoSpaceDE/>
              <w:autoSpaceDN/>
              <w:bidi w:val="0"/>
              <w:adjustRightInd w:val="0"/>
              <w:snapToGrid/>
              <w:spacing w:line="288" w:lineRule="auto"/>
              <w:ind w:left="0" w:left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（评分范围：5,4,3,2,1,0）</w:t>
            </w:r>
            <w:bookmarkStart w:id="504" w:name="_GoBack"/>
            <w:bookmarkEnd w:id="504"/>
          </w:p>
        </w:tc>
        <w:tc>
          <w:tcPr>
            <w:tcW w:w="439" w:type="pct"/>
            <w:gridSpan w:val="2"/>
            <w:vAlign w:val="center"/>
          </w:tcPr>
          <w:p w14:paraId="5659615A">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p>
        </w:tc>
        <w:tc>
          <w:tcPr>
            <w:tcW w:w="424" w:type="pct"/>
            <w:vAlign w:val="center"/>
          </w:tcPr>
          <w:p w14:paraId="0997E0A6">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bl>
    <w:p w14:paraId="52406A06">
      <w:pPr>
        <w:rPr>
          <w:rFonts w:hint="eastAsia" w:ascii="仿宋" w:hAnsi="仿宋" w:eastAsia="仿宋" w:cs="仿宋"/>
          <w:color w:val="auto"/>
          <w:sz w:val="24"/>
        </w:rPr>
      </w:pPr>
    </w:p>
    <w:p w14:paraId="6966CAF3">
      <w:pPr>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、价格分（</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0分）</w:t>
      </w:r>
    </w:p>
    <w:tbl>
      <w:tblPr>
        <w:tblStyle w:val="6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889"/>
      </w:tblGrid>
      <w:tr w14:paraId="1C76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10" w:type="dxa"/>
            <w:tcBorders>
              <w:top w:val="single" w:color="auto" w:sz="4" w:space="0"/>
              <w:left w:val="single" w:color="auto" w:sz="4" w:space="0"/>
              <w:bottom w:val="single" w:color="auto" w:sz="4" w:space="0"/>
              <w:right w:val="single" w:color="auto" w:sz="4" w:space="0"/>
            </w:tcBorders>
            <w:noWrap/>
            <w:vAlign w:val="center"/>
          </w:tcPr>
          <w:p w14:paraId="136AE421">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价格权值</w:t>
            </w:r>
          </w:p>
        </w:tc>
        <w:tc>
          <w:tcPr>
            <w:tcW w:w="7889" w:type="dxa"/>
            <w:tcBorders>
              <w:top w:val="single" w:color="auto" w:sz="4" w:space="0"/>
              <w:left w:val="single" w:color="auto" w:sz="4" w:space="0"/>
              <w:bottom w:val="single" w:color="auto" w:sz="4" w:space="0"/>
              <w:right w:val="single" w:color="auto" w:sz="4" w:space="0"/>
            </w:tcBorders>
            <w:noWrap/>
            <w:vAlign w:val="center"/>
          </w:tcPr>
          <w:p w14:paraId="7FBC0BF7">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计算方法</w:t>
            </w:r>
          </w:p>
        </w:tc>
      </w:tr>
      <w:tr w14:paraId="1284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610" w:type="dxa"/>
            <w:tcBorders>
              <w:top w:val="single" w:color="auto" w:sz="4" w:space="0"/>
              <w:left w:val="single" w:color="auto" w:sz="4" w:space="0"/>
              <w:bottom w:val="single" w:color="auto" w:sz="4" w:space="0"/>
              <w:right w:val="single" w:color="auto" w:sz="4" w:space="0"/>
            </w:tcBorders>
            <w:noWrap/>
            <w:vAlign w:val="center"/>
          </w:tcPr>
          <w:p w14:paraId="43CB07E9">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价格权值=0.2</w:t>
            </w:r>
          </w:p>
        </w:tc>
        <w:tc>
          <w:tcPr>
            <w:tcW w:w="7889" w:type="dxa"/>
            <w:tcBorders>
              <w:top w:val="single" w:color="auto" w:sz="4" w:space="0"/>
              <w:left w:val="single" w:color="auto" w:sz="4" w:space="0"/>
              <w:bottom w:val="single" w:color="auto" w:sz="4" w:space="0"/>
              <w:right w:val="single" w:color="auto" w:sz="4" w:space="0"/>
            </w:tcBorders>
            <w:noWrap/>
            <w:vAlign w:val="center"/>
          </w:tcPr>
          <w:p w14:paraId="173E9381">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最低有效投标价格为评标基准价</w:t>
            </w:r>
          </w:p>
          <w:p w14:paraId="5D1370CD">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投标报价得分=(评标基准价／投标报价)×价格权值×100 </w:t>
            </w:r>
          </w:p>
          <w:p w14:paraId="7719B4B7">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（计算得分保留小数点后2位）</w:t>
            </w:r>
          </w:p>
          <w:p w14:paraId="0A76D402">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评标过程中，不得去掉报价中的最高报价和最低报价。</w:t>
            </w:r>
          </w:p>
          <w:p w14:paraId="0E68C992">
            <w:pPr>
              <w:keepNext w:val="0"/>
              <w:keepLines w:val="0"/>
              <w:pageBreakBefore w:val="0"/>
              <w:widowControl w:val="0"/>
              <w:kinsoku/>
              <w:wordWrap/>
              <w:overflowPunct/>
              <w:topLinePunct w:val="0"/>
              <w:autoSpaceDE/>
              <w:autoSpaceDN/>
              <w:bidi w:val="0"/>
              <w:adjustRightInd w:val="0"/>
              <w:snapToGrid/>
              <w:spacing w:line="288" w:lineRule="auto"/>
              <w:ind w:left="0" w:lef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r>
    </w:tbl>
    <w:p w14:paraId="3CD93790">
      <w:pPr>
        <w:spacing w:line="360" w:lineRule="auto"/>
        <w:ind w:firstLine="480" w:firstLineChars="200"/>
        <w:rPr>
          <w:rFonts w:hint="eastAsia" w:ascii="仿宋" w:hAnsi="仿宋" w:eastAsia="仿宋" w:cs="仿宋"/>
          <w:color w:val="auto"/>
          <w:sz w:val="24"/>
        </w:rPr>
      </w:pPr>
    </w:p>
    <w:p w14:paraId="0099B4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备注：</w:t>
      </w:r>
    </w:p>
    <w:p w14:paraId="013C790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1、投标人编制投标文件（商务技术文件部分）时，建议按此目录（序号和内容）提供评标标准相应的商务技术资料。 </w:t>
      </w:r>
    </w:p>
    <w:p w14:paraId="3AD11AD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5E7DCC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0A6F4B8C">
      <w:pPr>
        <w:snapToGrid w:val="0"/>
        <w:spacing w:line="360" w:lineRule="auto"/>
        <w:rPr>
          <w:rFonts w:hint="eastAsia" w:ascii="仿宋" w:hAnsi="仿宋" w:eastAsia="仿宋" w:cs="仿宋"/>
          <w:b/>
          <w:color w:val="auto"/>
          <w:sz w:val="32"/>
        </w:rPr>
      </w:pPr>
    </w:p>
    <w:p w14:paraId="33686B2B">
      <w:pPr>
        <w:snapToGrid w:val="0"/>
        <w:spacing w:line="360" w:lineRule="auto"/>
        <w:rPr>
          <w:rFonts w:hint="eastAsia" w:ascii="仿宋" w:hAnsi="仿宋" w:eastAsia="仿宋" w:cs="仿宋"/>
          <w:b/>
          <w:color w:val="auto"/>
          <w:sz w:val="32"/>
        </w:rPr>
      </w:pPr>
    </w:p>
    <w:p w14:paraId="464B70CE">
      <w:pPr>
        <w:rPr>
          <w:rFonts w:hint="eastAsia" w:ascii="仿宋" w:hAnsi="仿宋" w:eastAsia="仿宋" w:cs="仿宋"/>
          <w:b/>
          <w:color w:val="auto"/>
          <w:sz w:val="32"/>
        </w:rPr>
      </w:pPr>
      <w:r>
        <w:rPr>
          <w:rFonts w:hint="eastAsia" w:ascii="仿宋" w:hAnsi="仿宋" w:eastAsia="仿宋" w:cs="仿宋"/>
          <w:b/>
          <w:color w:val="auto"/>
          <w:sz w:val="32"/>
        </w:rPr>
        <w:br w:type="page"/>
      </w:r>
    </w:p>
    <w:p w14:paraId="55B81012">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17CE2B6B">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0401AF9E">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7FC71486">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24E68F85">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38CCCB2B">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73EE970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6D26C16D">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2F01D9E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04322B39">
      <w:pPr>
        <w:pStyle w:val="12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62C4E2EB">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34E04821">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60B76478">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5CFCD73F">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2A33E5F3">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DD793A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35FED36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4F1C1D4A">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08C7DE">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8BFCC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A5F645">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94E79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07F85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3AC926BE">
      <w:pPr>
        <w:pStyle w:val="12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564DB8">
      <w:pPr>
        <w:pStyle w:val="1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359D801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6B9B5BD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29D501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F28B63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E7E5BC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56D6DFCB">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7BBABB5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50FB35E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FF4F5D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7B03F5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7DD634DE">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304950F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14:paraId="67F96F4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4.2.13投标人未提供样品或提供的样品不满足采购需求实质性条件的，投标无效；</w:t>
      </w:r>
    </w:p>
    <w:p w14:paraId="27C1663F">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rPr>
        <w:t>4.2.14 投标文件不满足招标文件的实质性要求的；</w:t>
      </w:r>
    </w:p>
    <w:p w14:paraId="141B247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4.2.15法律、法规、规章（适用本市的）及省级以上规范性文件（适用本市的）规定的其他无效情形。</w:t>
      </w:r>
    </w:p>
    <w:p w14:paraId="4347AD76">
      <w:pPr>
        <w:pStyle w:val="1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4485E9C3">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467C33B3">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4D8D2FB6">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4DB570EB">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4DDB153A">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34349DF5">
      <w:pPr>
        <w:pStyle w:val="1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2799E5F">
      <w:pPr>
        <w:pStyle w:val="16"/>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5755184F">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2BCB39DD">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2D119CDF">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65C1A2E6">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6B16D81F">
      <w:pPr>
        <w:spacing w:line="360" w:lineRule="auto"/>
        <w:ind w:firstLine="420"/>
        <w:outlineLvl w:val="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3CC7860A">
      <w:pPr>
        <w:rPr>
          <w:rFonts w:hint="eastAsia" w:ascii="仿宋" w:hAnsi="仿宋" w:eastAsia="仿宋" w:cs="仿宋"/>
          <w:color w:val="auto"/>
        </w:rPr>
      </w:pPr>
      <w:r>
        <w:rPr>
          <w:rFonts w:hint="eastAsia" w:ascii="仿宋" w:hAnsi="仿宋" w:eastAsia="仿宋" w:cs="仿宋"/>
          <w:color w:val="auto"/>
        </w:rPr>
        <w:br w:type="page"/>
      </w:r>
    </w:p>
    <w:p w14:paraId="4EA5A773">
      <w:pPr>
        <w:numPr>
          <w:ilvl w:val="0"/>
          <w:numId w:val="11"/>
        </w:num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2778C531">
      <w:pPr>
        <w:rPr>
          <w:rFonts w:hint="eastAsia" w:ascii="仿宋" w:hAnsi="仿宋" w:eastAsia="仿宋" w:cs="仿宋"/>
          <w:color w:val="auto"/>
          <w:sz w:val="24"/>
        </w:rPr>
      </w:pPr>
    </w:p>
    <w:p w14:paraId="03AA6BCB">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491982C4">
      <w:pPr>
        <w:pStyle w:val="2"/>
        <w:ind w:left="0" w:firstLine="0"/>
        <w:rPr>
          <w:rFonts w:hint="eastAsia" w:ascii="仿宋" w:hAnsi="仿宋" w:eastAsia="仿宋" w:cs="仿宋"/>
          <w:color w:val="auto"/>
        </w:rPr>
      </w:pPr>
    </w:p>
    <w:p w14:paraId="1E6CACA4">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021BA33">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07F6F383">
      <w:pPr>
        <w:pStyle w:val="700"/>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20A3FD95">
      <w:pPr>
        <w:spacing w:before="120" w:line="22" w:lineRule="atLeast"/>
        <w:rPr>
          <w:rFonts w:hint="eastAsia" w:ascii="仿宋" w:hAnsi="仿宋" w:eastAsia="仿宋" w:cs="仿宋"/>
          <w:color w:val="auto"/>
          <w:sz w:val="24"/>
        </w:rPr>
      </w:pPr>
    </w:p>
    <w:p w14:paraId="24EB4BD2">
      <w:pPr>
        <w:pStyle w:val="2"/>
        <w:rPr>
          <w:rFonts w:hint="eastAsia" w:ascii="仿宋" w:hAnsi="仿宋" w:eastAsia="仿宋" w:cs="仿宋"/>
          <w:color w:val="auto"/>
        </w:rPr>
      </w:pPr>
    </w:p>
    <w:p w14:paraId="164BBF04">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64AD4EB8">
      <w:pPr>
        <w:pStyle w:val="598"/>
        <w:spacing w:before="120" w:line="22" w:lineRule="atLeast"/>
        <w:rPr>
          <w:rFonts w:hint="eastAsia" w:ascii="仿宋" w:hAnsi="仿宋" w:eastAsia="仿宋" w:cs="仿宋"/>
          <w:color w:val="auto"/>
          <w:szCs w:val="24"/>
        </w:rPr>
      </w:pPr>
    </w:p>
    <w:p w14:paraId="20EBF38C">
      <w:pPr>
        <w:pStyle w:val="598"/>
        <w:spacing w:before="120" w:line="22" w:lineRule="atLeast"/>
        <w:rPr>
          <w:rFonts w:hint="eastAsia" w:ascii="仿宋" w:hAnsi="仿宋" w:eastAsia="仿宋" w:cs="仿宋"/>
          <w:color w:val="auto"/>
          <w:szCs w:val="24"/>
        </w:rPr>
      </w:pPr>
    </w:p>
    <w:p w14:paraId="1F4F6087">
      <w:pPr>
        <w:rPr>
          <w:rFonts w:hint="eastAsia" w:ascii="仿宋" w:hAnsi="仿宋" w:eastAsia="仿宋" w:cs="仿宋"/>
          <w:color w:val="auto"/>
          <w:sz w:val="24"/>
        </w:rPr>
      </w:pPr>
    </w:p>
    <w:p w14:paraId="734E2EC0">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5FA01419">
      <w:pPr>
        <w:spacing w:before="120" w:line="22" w:lineRule="atLeast"/>
        <w:rPr>
          <w:rFonts w:hint="eastAsia" w:ascii="仿宋" w:hAnsi="仿宋" w:eastAsia="仿宋" w:cs="仿宋"/>
          <w:color w:val="auto"/>
          <w:sz w:val="24"/>
        </w:rPr>
      </w:pPr>
    </w:p>
    <w:p w14:paraId="5863CECB">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6C85F627">
      <w:pPr>
        <w:spacing w:before="120" w:line="22" w:lineRule="atLeast"/>
        <w:rPr>
          <w:rFonts w:hint="eastAsia" w:ascii="仿宋" w:hAnsi="仿宋" w:eastAsia="仿宋" w:cs="仿宋"/>
          <w:color w:val="auto"/>
          <w:sz w:val="24"/>
        </w:rPr>
      </w:pPr>
    </w:p>
    <w:p w14:paraId="0A2721FA">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69F26571">
      <w:pPr>
        <w:spacing w:before="120" w:line="22" w:lineRule="atLeast"/>
        <w:rPr>
          <w:rFonts w:hint="eastAsia" w:ascii="仿宋" w:hAnsi="仿宋" w:eastAsia="仿宋" w:cs="仿宋"/>
          <w:color w:val="auto"/>
          <w:sz w:val="24"/>
        </w:rPr>
      </w:pPr>
    </w:p>
    <w:p w14:paraId="3A0827C5">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499B0A8">
      <w:pPr>
        <w:rPr>
          <w:rFonts w:hint="eastAsia" w:ascii="仿宋" w:hAnsi="仿宋" w:eastAsia="仿宋" w:cs="仿宋"/>
          <w:b/>
          <w:color w:val="auto"/>
          <w:sz w:val="24"/>
        </w:rPr>
      </w:pPr>
      <w:r>
        <w:rPr>
          <w:rFonts w:hint="eastAsia" w:ascii="仿宋" w:hAnsi="仿宋" w:eastAsia="仿宋" w:cs="仿宋"/>
          <w:b/>
          <w:color w:val="auto"/>
          <w:sz w:val="24"/>
        </w:rPr>
        <w:br w:type="page"/>
      </w:r>
    </w:p>
    <w:p w14:paraId="3F7C5B9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3B55B5F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4DDE5FB0">
      <w:pPr>
        <w:spacing w:line="560" w:lineRule="exact"/>
        <w:ind w:firstLine="482" w:firstLineChars="200"/>
        <w:outlineLvl w:val="0"/>
        <w:rPr>
          <w:rFonts w:hint="eastAsia" w:ascii="仿宋" w:hAnsi="仿宋" w:eastAsia="仿宋" w:cs="仿宋"/>
          <w:color w:val="auto"/>
          <w:sz w:val="24"/>
        </w:rPr>
      </w:pPr>
      <w:bookmarkStart w:id="393" w:name="_Toc20421"/>
      <w:bookmarkStart w:id="394" w:name="_Toc28855"/>
      <w:bookmarkStart w:id="395" w:name="_Toc19273"/>
      <w:bookmarkStart w:id="396" w:name="_Toc22967"/>
      <w:bookmarkStart w:id="397" w:name="_Toc15367"/>
      <w:r>
        <w:rPr>
          <w:rFonts w:hint="eastAsia" w:ascii="仿宋" w:hAnsi="仿宋" w:eastAsia="仿宋" w:cs="仿宋"/>
          <w:b/>
          <w:color w:val="auto"/>
          <w:sz w:val="24"/>
        </w:rPr>
        <w:t>1.1 合同组成部分</w:t>
      </w:r>
      <w:bookmarkEnd w:id="393"/>
      <w:bookmarkEnd w:id="394"/>
      <w:bookmarkEnd w:id="395"/>
      <w:bookmarkEnd w:id="396"/>
      <w:bookmarkEnd w:id="397"/>
    </w:p>
    <w:p w14:paraId="4438F69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ECA54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6527D4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29F41E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6851E49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3A99E2A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4C287AA1">
      <w:pPr>
        <w:spacing w:line="560" w:lineRule="exact"/>
        <w:ind w:firstLine="482" w:firstLineChars="200"/>
        <w:outlineLvl w:val="0"/>
        <w:rPr>
          <w:rFonts w:hint="eastAsia" w:ascii="仿宋" w:hAnsi="仿宋" w:eastAsia="仿宋" w:cs="仿宋"/>
          <w:b/>
          <w:color w:val="auto"/>
          <w:sz w:val="24"/>
        </w:rPr>
      </w:pPr>
      <w:bookmarkStart w:id="398" w:name="_Toc6773"/>
      <w:bookmarkStart w:id="399" w:name="_Toc2918"/>
      <w:bookmarkStart w:id="400" w:name="_Toc6311"/>
      <w:bookmarkStart w:id="401" w:name="_Toc18585"/>
      <w:bookmarkStart w:id="402" w:name="_Toc22185"/>
      <w:r>
        <w:rPr>
          <w:rFonts w:hint="eastAsia" w:ascii="仿宋" w:hAnsi="仿宋" w:eastAsia="仿宋" w:cs="仿宋"/>
          <w:b/>
          <w:color w:val="auto"/>
          <w:sz w:val="24"/>
        </w:rPr>
        <w:t>1.2 标的</w:t>
      </w:r>
      <w:bookmarkEnd w:id="398"/>
      <w:bookmarkEnd w:id="399"/>
      <w:bookmarkEnd w:id="400"/>
      <w:bookmarkEnd w:id="401"/>
      <w:bookmarkEnd w:id="402"/>
    </w:p>
    <w:p w14:paraId="58E8B21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6AC961E">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89E72A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79678F8A">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08AF3D1">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4BE1422F">
      <w:pPr>
        <w:spacing w:line="560" w:lineRule="exact"/>
        <w:ind w:firstLine="480" w:firstLineChars="200"/>
        <w:rPr>
          <w:rFonts w:hint="eastAsia" w:ascii="仿宋" w:hAnsi="仿宋" w:eastAsia="仿宋" w:cs="仿宋"/>
          <w:color w:val="auto"/>
          <w:sz w:val="24"/>
          <w:u w:val="single"/>
        </w:rPr>
      </w:pPr>
      <w:bookmarkStart w:id="403" w:name="_Toc21124"/>
      <w:bookmarkStart w:id="404" w:name="_Toc1386"/>
      <w:bookmarkStart w:id="405" w:name="_Toc4929"/>
      <w:bookmarkStart w:id="406" w:name="_Toc5635"/>
      <w:bookmarkStart w:id="407" w:name="_Toc13918"/>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D299299">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2E60189">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82C1817">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3"/>
      <w:bookmarkEnd w:id="404"/>
      <w:bookmarkEnd w:id="405"/>
      <w:bookmarkEnd w:id="406"/>
      <w:bookmarkEnd w:id="407"/>
    </w:p>
    <w:p w14:paraId="0E3E09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62E8F8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37322355">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76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8AE266">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20928E03">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221C6A7A">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7FAC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F06516">
            <w:pPr>
              <w:pStyle w:val="319"/>
              <w:spacing w:line="560" w:lineRule="exact"/>
              <w:ind w:firstLine="200"/>
              <w:jc w:val="center"/>
              <w:rPr>
                <w:rFonts w:hint="eastAsia" w:ascii="仿宋" w:hAnsi="仿宋" w:eastAsia="仿宋" w:cs="仿宋"/>
                <w:color w:val="auto"/>
                <w:sz w:val="24"/>
                <w:szCs w:val="24"/>
              </w:rPr>
            </w:pPr>
          </w:p>
        </w:tc>
        <w:tc>
          <w:tcPr>
            <w:tcW w:w="3402" w:type="dxa"/>
            <w:vAlign w:val="center"/>
          </w:tcPr>
          <w:p w14:paraId="6225C2A0">
            <w:pPr>
              <w:pStyle w:val="319"/>
              <w:spacing w:line="560" w:lineRule="exact"/>
              <w:ind w:firstLine="200"/>
              <w:jc w:val="center"/>
              <w:rPr>
                <w:rFonts w:hint="eastAsia" w:ascii="仿宋" w:hAnsi="仿宋" w:eastAsia="仿宋" w:cs="仿宋"/>
                <w:color w:val="auto"/>
                <w:sz w:val="24"/>
                <w:szCs w:val="24"/>
              </w:rPr>
            </w:pPr>
          </w:p>
        </w:tc>
        <w:tc>
          <w:tcPr>
            <w:tcW w:w="2552" w:type="dxa"/>
            <w:vAlign w:val="center"/>
          </w:tcPr>
          <w:p w14:paraId="58DC0485">
            <w:pPr>
              <w:pStyle w:val="319"/>
              <w:spacing w:line="560" w:lineRule="exact"/>
              <w:ind w:firstLine="200"/>
              <w:jc w:val="center"/>
              <w:rPr>
                <w:rFonts w:hint="eastAsia" w:ascii="仿宋" w:hAnsi="仿宋" w:eastAsia="仿宋" w:cs="仿宋"/>
                <w:color w:val="auto"/>
                <w:sz w:val="24"/>
                <w:szCs w:val="24"/>
              </w:rPr>
            </w:pPr>
          </w:p>
        </w:tc>
      </w:tr>
      <w:tr w14:paraId="25D6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AC335E">
            <w:pPr>
              <w:pStyle w:val="319"/>
              <w:spacing w:line="560" w:lineRule="exact"/>
              <w:ind w:firstLine="200"/>
              <w:jc w:val="center"/>
              <w:rPr>
                <w:rFonts w:hint="eastAsia" w:ascii="仿宋" w:hAnsi="仿宋" w:eastAsia="仿宋" w:cs="仿宋"/>
                <w:color w:val="auto"/>
                <w:sz w:val="24"/>
                <w:szCs w:val="24"/>
              </w:rPr>
            </w:pPr>
          </w:p>
        </w:tc>
        <w:tc>
          <w:tcPr>
            <w:tcW w:w="3402" w:type="dxa"/>
            <w:vAlign w:val="center"/>
          </w:tcPr>
          <w:p w14:paraId="5698CA17">
            <w:pPr>
              <w:pStyle w:val="319"/>
              <w:spacing w:line="560" w:lineRule="exact"/>
              <w:ind w:firstLine="200"/>
              <w:jc w:val="center"/>
              <w:rPr>
                <w:rFonts w:hint="eastAsia" w:ascii="仿宋" w:hAnsi="仿宋" w:eastAsia="仿宋" w:cs="仿宋"/>
                <w:color w:val="auto"/>
                <w:sz w:val="24"/>
                <w:szCs w:val="24"/>
              </w:rPr>
            </w:pPr>
          </w:p>
        </w:tc>
        <w:tc>
          <w:tcPr>
            <w:tcW w:w="2552" w:type="dxa"/>
            <w:vAlign w:val="center"/>
          </w:tcPr>
          <w:p w14:paraId="02EAF3CC">
            <w:pPr>
              <w:pStyle w:val="319"/>
              <w:spacing w:line="560" w:lineRule="exact"/>
              <w:ind w:firstLine="200"/>
              <w:jc w:val="center"/>
              <w:rPr>
                <w:rFonts w:hint="eastAsia" w:ascii="仿宋" w:hAnsi="仿宋" w:eastAsia="仿宋" w:cs="仿宋"/>
                <w:color w:val="auto"/>
                <w:sz w:val="24"/>
                <w:szCs w:val="24"/>
              </w:rPr>
            </w:pPr>
          </w:p>
        </w:tc>
      </w:tr>
      <w:tr w14:paraId="26C2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48470F">
            <w:pPr>
              <w:pStyle w:val="319"/>
              <w:spacing w:line="560" w:lineRule="exact"/>
              <w:ind w:firstLine="200"/>
              <w:jc w:val="center"/>
              <w:rPr>
                <w:rFonts w:hint="eastAsia" w:ascii="仿宋" w:hAnsi="仿宋" w:eastAsia="仿宋" w:cs="仿宋"/>
                <w:color w:val="auto"/>
                <w:sz w:val="24"/>
                <w:szCs w:val="24"/>
              </w:rPr>
            </w:pPr>
          </w:p>
        </w:tc>
        <w:tc>
          <w:tcPr>
            <w:tcW w:w="3402" w:type="dxa"/>
            <w:vAlign w:val="center"/>
          </w:tcPr>
          <w:p w14:paraId="3CFB9F82">
            <w:pPr>
              <w:pStyle w:val="319"/>
              <w:spacing w:line="560" w:lineRule="exact"/>
              <w:ind w:firstLine="200"/>
              <w:jc w:val="center"/>
              <w:rPr>
                <w:rFonts w:hint="eastAsia" w:ascii="仿宋" w:hAnsi="仿宋" w:eastAsia="仿宋" w:cs="仿宋"/>
                <w:color w:val="auto"/>
                <w:sz w:val="24"/>
                <w:szCs w:val="24"/>
              </w:rPr>
            </w:pPr>
          </w:p>
        </w:tc>
        <w:tc>
          <w:tcPr>
            <w:tcW w:w="2552" w:type="dxa"/>
            <w:vAlign w:val="center"/>
          </w:tcPr>
          <w:p w14:paraId="0BBD87E6">
            <w:pPr>
              <w:pStyle w:val="319"/>
              <w:spacing w:line="560" w:lineRule="exact"/>
              <w:ind w:firstLine="200"/>
              <w:jc w:val="center"/>
              <w:rPr>
                <w:rFonts w:hint="eastAsia" w:ascii="仿宋" w:hAnsi="仿宋" w:eastAsia="仿宋" w:cs="仿宋"/>
                <w:color w:val="auto"/>
                <w:sz w:val="24"/>
                <w:szCs w:val="24"/>
              </w:rPr>
            </w:pPr>
          </w:p>
        </w:tc>
      </w:tr>
      <w:tr w14:paraId="5D43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DAE5ED">
            <w:pPr>
              <w:pStyle w:val="319"/>
              <w:spacing w:line="560" w:lineRule="exact"/>
              <w:ind w:firstLine="200"/>
              <w:jc w:val="center"/>
              <w:rPr>
                <w:rFonts w:hint="eastAsia" w:ascii="仿宋" w:hAnsi="仿宋" w:eastAsia="仿宋" w:cs="仿宋"/>
                <w:color w:val="auto"/>
                <w:sz w:val="24"/>
                <w:szCs w:val="24"/>
              </w:rPr>
            </w:pPr>
          </w:p>
        </w:tc>
        <w:tc>
          <w:tcPr>
            <w:tcW w:w="3402" w:type="dxa"/>
            <w:vAlign w:val="center"/>
          </w:tcPr>
          <w:p w14:paraId="4B7F20CC">
            <w:pPr>
              <w:pStyle w:val="319"/>
              <w:spacing w:line="560" w:lineRule="exact"/>
              <w:ind w:firstLine="200"/>
              <w:jc w:val="center"/>
              <w:rPr>
                <w:rFonts w:hint="eastAsia" w:ascii="仿宋" w:hAnsi="仿宋" w:eastAsia="仿宋" w:cs="仿宋"/>
                <w:color w:val="auto"/>
                <w:sz w:val="24"/>
                <w:szCs w:val="24"/>
              </w:rPr>
            </w:pPr>
          </w:p>
        </w:tc>
        <w:tc>
          <w:tcPr>
            <w:tcW w:w="2552" w:type="dxa"/>
            <w:vAlign w:val="center"/>
          </w:tcPr>
          <w:p w14:paraId="4B868207">
            <w:pPr>
              <w:pStyle w:val="319"/>
              <w:spacing w:line="560" w:lineRule="exact"/>
              <w:ind w:firstLine="200"/>
              <w:jc w:val="center"/>
              <w:rPr>
                <w:rFonts w:hint="eastAsia" w:ascii="仿宋" w:hAnsi="仿宋" w:eastAsia="仿宋" w:cs="仿宋"/>
                <w:color w:val="auto"/>
                <w:sz w:val="24"/>
                <w:szCs w:val="24"/>
              </w:rPr>
            </w:pPr>
          </w:p>
        </w:tc>
      </w:tr>
      <w:tr w14:paraId="18AF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5EF1F1">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243F5341">
            <w:pPr>
              <w:pStyle w:val="319"/>
              <w:spacing w:line="560" w:lineRule="exact"/>
              <w:ind w:firstLine="200"/>
              <w:jc w:val="center"/>
              <w:rPr>
                <w:rFonts w:hint="eastAsia" w:ascii="仿宋" w:hAnsi="仿宋" w:eastAsia="仿宋" w:cs="仿宋"/>
                <w:color w:val="auto"/>
                <w:sz w:val="24"/>
                <w:szCs w:val="24"/>
              </w:rPr>
            </w:pPr>
          </w:p>
        </w:tc>
      </w:tr>
    </w:tbl>
    <w:p w14:paraId="6165A44D">
      <w:pPr>
        <w:spacing w:line="560" w:lineRule="exact"/>
        <w:ind w:firstLine="480" w:firstLineChars="200"/>
        <w:rPr>
          <w:rFonts w:hint="eastAsia" w:ascii="仿宋" w:hAnsi="仿宋" w:eastAsia="仿宋" w:cs="仿宋"/>
          <w:color w:val="auto"/>
          <w:sz w:val="24"/>
        </w:rPr>
      </w:pPr>
      <w:bookmarkStart w:id="408" w:name="_Toc26916"/>
      <w:bookmarkStart w:id="409" w:name="_Toc3654"/>
      <w:bookmarkStart w:id="410" w:name="_Toc14993"/>
      <w:bookmarkStart w:id="411" w:name="_Toc30506"/>
      <w:bookmarkStart w:id="412" w:name="_Toc30158"/>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01744B1C">
      <w:pPr>
        <w:pStyle w:val="2"/>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08"/>
    <w:bookmarkEnd w:id="409"/>
    <w:bookmarkEnd w:id="410"/>
    <w:bookmarkEnd w:id="411"/>
    <w:bookmarkEnd w:id="412"/>
    <w:p w14:paraId="30CC397A">
      <w:pPr>
        <w:pStyle w:val="958"/>
        <w:spacing w:before="0" w:beforeAutospacing="0" w:after="0" w:afterAutospacing="0" w:line="360" w:lineRule="auto"/>
        <w:ind w:firstLine="480"/>
        <w:rPr>
          <w:rFonts w:hint="eastAsia" w:ascii="仿宋" w:hAnsi="仿宋" w:eastAsia="仿宋" w:cs="仿宋"/>
          <w:b/>
          <w:color w:val="auto"/>
        </w:rPr>
      </w:pPr>
      <w:bookmarkStart w:id="413" w:name="_Toc3625"/>
      <w:bookmarkStart w:id="414" w:name="_Toc31421"/>
      <w:bookmarkStart w:id="415" w:name="_Toc11108"/>
      <w:bookmarkStart w:id="416" w:name="_Toc4760"/>
      <w:bookmarkStart w:id="417" w:name="_Toc8772"/>
      <w:r>
        <w:rPr>
          <w:rFonts w:hint="eastAsia" w:ascii="仿宋" w:hAnsi="仿宋" w:eastAsia="仿宋" w:cs="仿宋"/>
          <w:b/>
          <w:color w:val="auto"/>
        </w:rPr>
        <w:t>1.4履约保证金</w:t>
      </w:r>
    </w:p>
    <w:p w14:paraId="43683E6B">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3498EC39">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1CE1398">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C3176F0">
      <w:pPr>
        <w:pStyle w:val="2"/>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A4D709">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35B8DD7F">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1.5预付款</w:t>
      </w:r>
    </w:p>
    <w:p w14:paraId="212CBFD2">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7604A6A8">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B6D533">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105E251E">
      <w:pPr>
        <w:pStyle w:val="958"/>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5B742A84">
      <w:pPr>
        <w:pStyle w:val="958"/>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0570B1AF">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00A45E">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4D34A14">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3"/>
      <w:bookmarkEnd w:id="414"/>
      <w:bookmarkEnd w:id="415"/>
      <w:bookmarkEnd w:id="416"/>
      <w:bookmarkEnd w:id="417"/>
    </w:p>
    <w:p w14:paraId="4D13228E">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63FF11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C79615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F0868AF">
      <w:pPr>
        <w:spacing w:line="560" w:lineRule="exact"/>
        <w:ind w:firstLine="480" w:firstLineChars="200"/>
        <w:outlineLvl w:val="0"/>
        <w:rPr>
          <w:rFonts w:hint="eastAsia" w:ascii="仿宋" w:hAnsi="仿宋" w:eastAsia="仿宋" w:cs="仿宋"/>
          <w:bCs/>
          <w:color w:val="auto"/>
          <w:sz w:val="24"/>
        </w:rPr>
      </w:pPr>
      <w:bookmarkStart w:id="418" w:name="_Toc5698"/>
      <w:bookmarkStart w:id="419" w:name="_Toc8586"/>
      <w:bookmarkStart w:id="420" w:name="_Toc2375"/>
      <w:bookmarkStart w:id="421" w:name="_Toc3079"/>
      <w:bookmarkStart w:id="422" w:name="_Toc24662"/>
      <w:r>
        <w:rPr>
          <w:rFonts w:hint="eastAsia" w:ascii="仿宋" w:hAnsi="仿宋" w:eastAsia="仿宋" w:cs="仿宋"/>
          <w:bCs/>
          <w:color w:val="auto"/>
          <w:sz w:val="24"/>
        </w:rPr>
        <w:t>1.7.4若服务涉及货物的，则货物的：</w:t>
      </w:r>
    </w:p>
    <w:p w14:paraId="0B7E380B">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95B72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E6735D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F009BA5">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18"/>
      <w:bookmarkEnd w:id="419"/>
      <w:bookmarkEnd w:id="420"/>
      <w:bookmarkEnd w:id="421"/>
      <w:bookmarkEnd w:id="422"/>
    </w:p>
    <w:p w14:paraId="3844500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3FE27698">
      <w:pPr>
        <w:pStyle w:val="2"/>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27A5150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37DE8C8D">
      <w:pPr>
        <w:spacing w:line="560" w:lineRule="exact"/>
        <w:ind w:firstLine="480" w:firstLineChars="200"/>
        <w:rPr>
          <w:rFonts w:hint="eastAsia" w:ascii="仿宋" w:hAnsi="仿宋" w:eastAsia="仿宋" w:cs="仿宋"/>
          <w:color w:val="auto"/>
          <w:sz w:val="24"/>
        </w:rPr>
      </w:pPr>
      <w:bookmarkStart w:id="423" w:name="_Toc9497"/>
      <w:bookmarkStart w:id="424" w:name="_Toc30329"/>
      <w:bookmarkStart w:id="425" w:name="_Toc18683"/>
      <w:bookmarkStart w:id="426" w:name="_Toc26807"/>
      <w:bookmarkStart w:id="427" w:name="_Toc32454"/>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CFCF3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A62FF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07159F0">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3"/>
    <w:bookmarkEnd w:id="424"/>
    <w:bookmarkEnd w:id="425"/>
    <w:bookmarkEnd w:id="426"/>
    <w:bookmarkEnd w:id="427"/>
    <w:p w14:paraId="7BE9AFD9">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1.9合同争议的解决</w:t>
      </w:r>
    </w:p>
    <w:p w14:paraId="178DFDEC">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1EADAC2E">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7720FB32">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5D697673">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2.0 合同生效</w:t>
      </w:r>
    </w:p>
    <w:p w14:paraId="1CADC80C">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本合同自双方当事人盖章签字时生效。</w:t>
      </w:r>
    </w:p>
    <w:p w14:paraId="0E8B686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191605B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5959EC0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23AFA9F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6308D2E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3A3E506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71FF73A9">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6EE7C3B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68DC4A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6C7D7F7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32539621">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757611CF">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1BB386FF">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3405922A">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3135B1DE">
      <w:pPr>
        <w:pStyle w:val="700"/>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6E50A84F">
      <w:pPr>
        <w:spacing w:line="560" w:lineRule="exact"/>
        <w:ind w:firstLine="482" w:firstLineChars="200"/>
        <w:outlineLvl w:val="0"/>
        <w:rPr>
          <w:rFonts w:hint="eastAsia" w:ascii="仿宋" w:hAnsi="仿宋" w:eastAsia="仿宋" w:cs="仿宋"/>
          <w:b/>
          <w:color w:val="auto"/>
          <w:sz w:val="24"/>
        </w:rPr>
      </w:pPr>
      <w:bookmarkStart w:id="428" w:name="_Toc31297"/>
      <w:bookmarkStart w:id="429" w:name="_Toc19680"/>
      <w:bookmarkStart w:id="430" w:name="_Toc14021"/>
      <w:bookmarkStart w:id="431" w:name="_Toc5228"/>
      <w:bookmarkStart w:id="432" w:name="_Toc25079"/>
      <w:r>
        <w:rPr>
          <w:rFonts w:hint="eastAsia" w:ascii="仿宋" w:hAnsi="仿宋" w:eastAsia="仿宋" w:cs="仿宋"/>
          <w:b/>
          <w:color w:val="auto"/>
          <w:sz w:val="24"/>
        </w:rPr>
        <w:t>2.1 定义</w:t>
      </w:r>
      <w:bookmarkEnd w:id="428"/>
      <w:bookmarkEnd w:id="429"/>
      <w:bookmarkEnd w:id="430"/>
      <w:bookmarkEnd w:id="431"/>
      <w:bookmarkEnd w:id="432"/>
    </w:p>
    <w:p w14:paraId="5CB813A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3D2B8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17D7C32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7D9F29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100697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1612722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76573A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2EC1DFB4">
      <w:pPr>
        <w:spacing w:line="560" w:lineRule="exact"/>
        <w:ind w:firstLine="482" w:firstLineChars="200"/>
        <w:outlineLvl w:val="0"/>
        <w:rPr>
          <w:rFonts w:hint="eastAsia" w:ascii="仿宋" w:hAnsi="仿宋" w:eastAsia="仿宋" w:cs="仿宋"/>
          <w:b/>
          <w:color w:val="auto"/>
          <w:sz w:val="24"/>
        </w:rPr>
      </w:pPr>
      <w:bookmarkStart w:id="433" w:name="_Toc23289"/>
      <w:bookmarkStart w:id="434" w:name="_Toc31402"/>
      <w:bookmarkStart w:id="435" w:name="_Toc19539"/>
      <w:bookmarkStart w:id="436" w:name="_Toc3769"/>
      <w:bookmarkStart w:id="437" w:name="_Toc16752"/>
      <w:r>
        <w:rPr>
          <w:rFonts w:hint="eastAsia" w:ascii="仿宋" w:hAnsi="仿宋" w:eastAsia="仿宋" w:cs="仿宋"/>
          <w:b/>
          <w:color w:val="auto"/>
          <w:sz w:val="24"/>
        </w:rPr>
        <w:t>2.2 技术规范</w:t>
      </w:r>
      <w:bookmarkEnd w:id="433"/>
      <w:bookmarkEnd w:id="434"/>
      <w:bookmarkEnd w:id="435"/>
      <w:bookmarkEnd w:id="436"/>
      <w:bookmarkEnd w:id="437"/>
    </w:p>
    <w:p w14:paraId="1F6B7A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6455DD">
      <w:pPr>
        <w:spacing w:line="560" w:lineRule="exact"/>
        <w:ind w:firstLine="482" w:firstLineChars="200"/>
        <w:outlineLvl w:val="0"/>
        <w:rPr>
          <w:rFonts w:hint="eastAsia" w:ascii="仿宋" w:hAnsi="仿宋" w:eastAsia="仿宋" w:cs="仿宋"/>
          <w:b/>
          <w:color w:val="auto"/>
          <w:sz w:val="24"/>
        </w:rPr>
      </w:pPr>
      <w:bookmarkStart w:id="438" w:name="_Toc4133"/>
      <w:bookmarkStart w:id="439" w:name="_Toc12412"/>
      <w:bookmarkStart w:id="440" w:name="_Toc9161"/>
      <w:bookmarkStart w:id="441" w:name="_Toc13673"/>
      <w:bookmarkStart w:id="442" w:name="_Toc27945"/>
      <w:r>
        <w:rPr>
          <w:rFonts w:hint="eastAsia" w:ascii="仿宋" w:hAnsi="仿宋" w:eastAsia="仿宋" w:cs="仿宋"/>
          <w:b/>
          <w:color w:val="auto"/>
          <w:sz w:val="24"/>
        </w:rPr>
        <w:t>2.3 知识产权</w:t>
      </w:r>
      <w:bookmarkEnd w:id="438"/>
      <w:bookmarkEnd w:id="439"/>
      <w:bookmarkEnd w:id="440"/>
      <w:bookmarkEnd w:id="441"/>
      <w:bookmarkEnd w:id="442"/>
    </w:p>
    <w:p w14:paraId="3039004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77AF1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0C74E7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0AFBE6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44C0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110B0CB8">
      <w:pPr>
        <w:spacing w:line="560" w:lineRule="exact"/>
        <w:ind w:firstLine="482" w:firstLineChars="200"/>
        <w:outlineLvl w:val="0"/>
        <w:rPr>
          <w:rFonts w:hint="eastAsia" w:ascii="仿宋" w:hAnsi="仿宋" w:eastAsia="仿宋" w:cs="仿宋"/>
          <w:b/>
          <w:color w:val="auto"/>
          <w:sz w:val="24"/>
        </w:rPr>
      </w:pPr>
      <w:bookmarkStart w:id="443" w:name="_Toc22011"/>
      <w:bookmarkStart w:id="444" w:name="_Toc32670"/>
      <w:bookmarkStart w:id="445" w:name="_Toc31233"/>
      <w:bookmarkStart w:id="446" w:name="_Toc26555"/>
      <w:bookmarkStart w:id="447" w:name="_Toc15447"/>
      <w:r>
        <w:rPr>
          <w:rFonts w:hint="eastAsia" w:ascii="仿宋" w:hAnsi="仿宋" w:eastAsia="仿宋" w:cs="仿宋"/>
          <w:b/>
          <w:color w:val="auto"/>
          <w:sz w:val="24"/>
        </w:rPr>
        <w:t>2.5 结算方式和付款条件</w:t>
      </w:r>
      <w:bookmarkEnd w:id="443"/>
      <w:bookmarkEnd w:id="444"/>
      <w:bookmarkEnd w:id="445"/>
      <w:bookmarkEnd w:id="446"/>
      <w:bookmarkEnd w:id="447"/>
    </w:p>
    <w:p w14:paraId="58D0765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E812663">
      <w:pPr>
        <w:spacing w:line="560" w:lineRule="exact"/>
        <w:ind w:firstLine="482" w:firstLineChars="200"/>
        <w:outlineLvl w:val="0"/>
        <w:rPr>
          <w:rFonts w:hint="eastAsia" w:ascii="仿宋" w:hAnsi="仿宋" w:eastAsia="仿宋" w:cs="仿宋"/>
          <w:b/>
          <w:color w:val="auto"/>
          <w:sz w:val="24"/>
        </w:rPr>
      </w:pPr>
      <w:bookmarkStart w:id="448" w:name="_Toc13154"/>
      <w:bookmarkStart w:id="449" w:name="_Toc13467"/>
      <w:bookmarkStart w:id="450" w:name="_Toc16163"/>
      <w:bookmarkStart w:id="451" w:name="_Toc18990"/>
      <w:bookmarkStart w:id="452" w:name="_Toc30507"/>
      <w:r>
        <w:rPr>
          <w:rFonts w:hint="eastAsia" w:ascii="仿宋" w:hAnsi="仿宋" w:eastAsia="仿宋" w:cs="仿宋"/>
          <w:b/>
          <w:color w:val="auto"/>
          <w:sz w:val="24"/>
        </w:rPr>
        <w:t>2.6 技术资料和保密义务</w:t>
      </w:r>
      <w:bookmarkEnd w:id="448"/>
      <w:bookmarkEnd w:id="449"/>
      <w:bookmarkEnd w:id="450"/>
      <w:bookmarkEnd w:id="451"/>
      <w:bookmarkEnd w:id="452"/>
    </w:p>
    <w:p w14:paraId="1FDC813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64B254C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1921569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9423B5">
      <w:pPr>
        <w:spacing w:line="560" w:lineRule="exact"/>
        <w:ind w:firstLine="482" w:firstLineChars="200"/>
        <w:outlineLvl w:val="0"/>
        <w:rPr>
          <w:rFonts w:hint="eastAsia" w:ascii="仿宋" w:hAnsi="仿宋" w:eastAsia="仿宋" w:cs="仿宋"/>
          <w:b/>
          <w:color w:val="auto"/>
          <w:sz w:val="24"/>
        </w:rPr>
      </w:pPr>
      <w:bookmarkStart w:id="453" w:name="_Toc19069"/>
      <w:r>
        <w:rPr>
          <w:rFonts w:hint="eastAsia" w:ascii="仿宋" w:hAnsi="仿宋" w:eastAsia="仿宋" w:cs="仿宋"/>
          <w:b/>
          <w:color w:val="auto"/>
          <w:sz w:val="24"/>
        </w:rPr>
        <w:t>2.7 质量保证</w:t>
      </w:r>
      <w:bookmarkEnd w:id="453"/>
    </w:p>
    <w:p w14:paraId="1CA883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31AD67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260F64F1">
      <w:pPr>
        <w:spacing w:line="560" w:lineRule="exact"/>
        <w:ind w:firstLine="482" w:firstLineChars="200"/>
        <w:outlineLvl w:val="0"/>
        <w:rPr>
          <w:rFonts w:hint="eastAsia" w:ascii="仿宋" w:hAnsi="仿宋" w:eastAsia="仿宋" w:cs="仿宋"/>
          <w:b/>
          <w:color w:val="auto"/>
          <w:sz w:val="24"/>
        </w:rPr>
      </w:pPr>
      <w:bookmarkStart w:id="454" w:name="_Toc22267"/>
      <w:r>
        <w:rPr>
          <w:rFonts w:hint="eastAsia" w:ascii="仿宋" w:hAnsi="仿宋" w:eastAsia="仿宋" w:cs="仿宋"/>
          <w:b/>
          <w:color w:val="auto"/>
          <w:sz w:val="24"/>
        </w:rPr>
        <w:t>2.8 延迟履行</w:t>
      </w:r>
      <w:bookmarkEnd w:id="454"/>
    </w:p>
    <w:p w14:paraId="407BE4C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437455B">
      <w:pPr>
        <w:spacing w:line="560" w:lineRule="exact"/>
        <w:ind w:firstLine="482" w:firstLineChars="200"/>
        <w:outlineLvl w:val="0"/>
        <w:rPr>
          <w:rFonts w:hint="eastAsia" w:ascii="仿宋" w:hAnsi="仿宋" w:eastAsia="仿宋" w:cs="仿宋"/>
          <w:b/>
          <w:color w:val="auto"/>
          <w:sz w:val="24"/>
        </w:rPr>
      </w:pPr>
      <w:bookmarkStart w:id="455" w:name="_Toc10611"/>
      <w:r>
        <w:rPr>
          <w:rFonts w:hint="eastAsia" w:ascii="仿宋" w:hAnsi="仿宋" w:eastAsia="仿宋" w:cs="仿宋"/>
          <w:b/>
          <w:color w:val="auto"/>
          <w:sz w:val="24"/>
        </w:rPr>
        <w:t>2.9 合同变更</w:t>
      </w:r>
      <w:bookmarkEnd w:id="455"/>
    </w:p>
    <w:p w14:paraId="14BD7F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F1CEA4D">
      <w:pPr>
        <w:spacing w:line="560" w:lineRule="exact"/>
        <w:ind w:firstLine="482" w:firstLineChars="200"/>
        <w:outlineLvl w:val="0"/>
        <w:rPr>
          <w:rFonts w:hint="eastAsia" w:ascii="仿宋" w:hAnsi="仿宋" w:eastAsia="仿宋" w:cs="仿宋"/>
          <w:b/>
          <w:color w:val="auto"/>
          <w:sz w:val="24"/>
        </w:rPr>
      </w:pPr>
      <w:bookmarkStart w:id="456" w:name="_Toc42"/>
      <w:bookmarkStart w:id="457" w:name="_Toc21830"/>
      <w:bookmarkStart w:id="458" w:name="_Toc10663"/>
      <w:bookmarkStart w:id="459" w:name="_Toc26689"/>
      <w:bookmarkStart w:id="460" w:name="_Toc23368"/>
      <w:r>
        <w:rPr>
          <w:rFonts w:hint="eastAsia" w:ascii="仿宋" w:hAnsi="仿宋" w:eastAsia="仿宋" w:cs="仿宋"/>
          <w:b/>
          <w:color w:val="auto"/>
          <w:sz w:val="24"/>
        </w:rPr>
        <w:t>2.10 合同转让和分包</w:t>
      </w:r>
      <w:bookmarkEnd w:id="456"/>
      <w:bookmarkEnd w:id="457"/>
      <w:bookmarkEnd w:id="458"/>
      <w:bookmarkEnd w:id="459"/>
      <w:bookmarkEnd w:id="460"/>
    </w:p>
    <w:p w14:paraId="0131D9E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33E508">
      <w:pPr>
        <w:spacing w:line="560" w:lineRule="exact"/>
        <w:ind w:firstLine="482" w:firstLineChars="200"/>
        <w:outlineLvl w:val="0"/>
        <w:rPr>
          <w:rFonts w:hint="eastAsia" w:ascii="仿宋" w:hAnsi="仿宋" w:eastAsia="仿宋" w:cs="仿宋"/>
          <w:b/>
          <w:color w:val="auto"/>
          <w:sz w:val="24"/>
        </w:rPr>
      </w:pPr>
      <w:bookmarkStart w:id="461" w:name="_Toc32494"/>
      <w:bookmarkStart w:id="462" w:name="_Toc4720"/>
      <w:bookmarkStart w:id="463" w:name="_Toc25571"/>
      <w:bookmarkStart w:id="464" w:name="_Toc14371"/>
      <w:bookmarkStart w:id="465" w:name="_Toc26633"/>
      <w:r>
        <w:rPr>
          <w:rFonts w:hint="eastAsia" w:ascii="仿宋" w:hAnsi="仿宋" w:eastAsia="仿宋" w:cs="仿宋"/>
          <w:b/>
          <w:color w:val="auto"/>
          <w:sz w:val="24"/>
        </w:rPr>
        <w:t>2.11 不可抗力</w:t>
      </w:r>
      <w:bookmarkEnd w:id="461"/>
      <w:bookmarkEnd w:id="462"/>
      <w:bookmarkEnd w:id="463"/>
      <w:bookmarkEnd w:id="464"/>
      <w:bookmarkEnd w:id="465"/>
    </w:p>
    <w:p w14:paraId="5EEE1CE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6188DFC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1D40D6D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1295B76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3797CA85">
      <w:pPr>
        <w:spacing w:line="560" w:lineRule="exact"/>
        <w:ind w:firstLine="482" w:firstLineChars="200"/>
        <w:outlineLvl w:val="0"/>
        <w:rPr>
          <w:rFonts w:hint="eastAsia" w:ascii="仿宋" w:hAnsi="仿宋" w:eastAsia="仿宋" w:cs="仿宋"/>
          <w:b/>
          <w:color w:val="auto"/>
          <w:sz w:val="24"/>
        </w:rPr>
      </w:pPr>
      <w:bookmarkStart w:id="466" w:name="_Toc24465"/>
      <w:bookmarkStart w:id="467" w:name="_Toc14115"/>
      <w:bookmarkStart w:id="468" w:name="_Toc23854"/>
      <w:bookmarkStart w:id="469" w:name="_Toc3638"/>
      <w:bookmarkStart w:id="470" w:name="_Toc25783"/>
      <w:r>
        <w:rPr>
          <w:rFonts w:hint="eastAsia" w:ascii="仿宋" w:hAnsi="仿宋" w:eastAsia="仿宋" w:cs="仿宋"/>
          <w:b/>
          <w:color w:val="auto"/>
          <w:sz w:val="24"/>
        </w:rPr>
        <w:t>2.12 税费</w:t>
      </w:r>
      <w:bookmarkEnd w:id="466"/>
      <w:bookmarkEnd w:id="467"/>
      <w:bookmarkEnd w:id="468"/>
      <w:bookmarkEnd w:id="469"/>
      <w:bookmarkEnd w:id="470"/>
    </w:p>
    <w:p w14:paraId="67DF3D8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5A436460">
      <w:pPr>
        <w:spacing w:line="560" w:lineRule="exact"/>
        <w:ind w:firstLine="482" w:firstLineChars="200"/>
        <w:outlineLvl w:val="0"/>
        <w:rPr>
          <w:rFonts w:hint="eastAsia" w:ascii="仿宋" w:hAnsi="仿宋" w:eastAsia="仿宋" w:cs="仿宋"/>
          <w:b/>
          <w:color w:val="auto"/>
          <w:sz w:val="24"/>
        </w:rPr>
      </w:pPr>
      <w:bookmarkStart w:id="471" w:name="_Toc25525"/>
      <w:bookmarkStart w:id="472" w:name="_Toc26883"/>
      <w:bookmarkStart w:id="473" w:name="_Toc7315"/>
      <w:bookmarkStart w:id="474" w:name="_Toc14814"/>
      <w:bookmarkStart w:id="475" w:name="_Toc30105"/>
      <w:r>
        <w:rPr>
          <w:rFonts w:hint="eastAsia" w:ascii="仿宋" w:hAnsi="仿宋" w:eastAsia="仿宋" w:cs="仿宋"/>
          <w:b/>
          <w:color w:val="auto"/>
          <w:sz w:val="24"/>
        </w:rPr>
        <w:t>2.13 乙方破产</w:t>
      </w:r>
      <w:bookmarkEnd w:id="471"/>
      <w:bookmarkEnd w:id="472"/>
      <w:bookmarkEnd w:id="473"/>
      <w:bookmarkEnd w:id="474"/>
      <w:bookmarkEnd w:id="475"/>
    </w:p>
    <w:p w14:paraId="05FA707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BE9B1B">
      <w:pPr>
        <w:spacing w:line="560" w:lineRule="exact"/>
        <w:ind w:firstLine="482" w:firstLineChars="200"/>
        <w:outlineLvl w:val="0"/>
        <w:rPr>
          <w:rFonts w:hint="eastAsia" w:ascii="仿宋" w:hAnsi="仿宋" w:eastAsia="仿宋" w:cs="仿宋"/>
          <w:b/>
          <w:color w:val="auto"/>
          <w:sz w:val="24"/>
        </w:rPr>
      </w:pPr>
      <w:bookmarkStart w:id="476" w:name="_Toc2016"/>
      <w:bookmarkStart w:id="477" w:name="_Toc1123"/>
      <w:bookmarkStart w:id="478" w:name="_Toc23323"/>
      <w:r>
        <w:rPr>
          <w:rFonts w:hint="eastAsia" w:ascii="仿宋" w:hAnsi="仿宋" w:eastAsia="仿宋" w:cs="仿宋"/>
          <w:b/>
          <w:color w:val="auto"/>
          <w:sz w:val="24"/>
        </w:rPr>
        <w:t>2.14 合同中止、终止</w:t>
      </w:r>
      <w:bookmarkEnd w:id="476"/>
      <w:bookmarkEnd w:id="477"/>
      <w:bookmarkEnd w:id="478"/>
    </w:p>
    <w:p w14:paraId="1A31BA7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7DC0B15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6CD64FA9">
      <w:pPr>
        <w:spacing w:line="560" w:lineRule="exact"/>
        <w:ind w:firstLine="482" w:firstLineChars="200"/>
        <w:outlineLvl w:val="0"/>
        <w:rPr>
          <w:rFonts w:hint="eastAsia" w:ascii="仿宋" w:hAnsi="仿宋" w:eastAsia="仿宋" w:cs="仿宋"/>
          <w:b/>
          <w:color w:val="auto"/>
          <w:sz w:val="24"/>
        </w:rPr>
      </w:pPr>
      <w:bookmarkStart w:id="479" w:name="_Toc17363"/>
      <w:bookmarkStart w:id="480" w:name="_Toc14525"/>
      <w:bookmarkStart w:id="481" w:name="_Toc1969"/>
      <w:r>
        <w:rPr>
          <w:rFonts w:hint="eastAsia" w:ascii="仿宋" w:hAnsi="仿宋" w:eastAsia="仿宋" w:cs="仿宋"/>
          <w:b/>
          <w:color w:val="auto"/>
          <w:sz w:val="24"/>
        </w:rPr>
        <w:t>2.15 检验和验收</w:t>
      </w:r>
      <w:bookmarkEnd w:id="479"/>
      <w:bookmarkEnd w:id="480"/>
      <w:bookmarkEnd w:id="481"/>
    </w:p>
    <w:p w14:paraId="3A28A4F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51466785">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F989D6">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3D554F41">
      <w:pPr>
        <w:spacing w:line="560" w:lineRule="exact"/>
        <w:ind w:firstLine="482" w:firstLineChars="200"/>
        <w:outlineLvl w:val="0"/>
        <w:rPr>
          <w:rFonts w:hint="eastAsia" w:ascii="仿宋" w:hAnsi="仿宋" w:eastAsia="仿宋" w:cs="仿宋"/>
          <w:b/>
          <w:color w:val="auto"/>
          <w:sz w:val="24"/>
        </w:rPr>
      </w:pPr>
      <w:bookmarkStart w:id="482" w:name="_Toc9808"/>
      <w:bookmarkStart w:id="483" w:name="_Toc2308"/>
      <w:bookmarkStart w:id="484" w:name="_Toc25198"/>
      <w:bookmarkStart w:id="485" w:name="_Toc31892"/>
      <w:bookmarkStart w:id="486" w:name="_Toc12666"/>
      <w:r>
        <w:rPr>
          <w:rFonts w:hint="eastAsia" w:ascii="仿宋" w:hAnsi="仿宋" w:eastAsia="仿宋" w:cs="仿宋"/>
          <w:b/>
          <w:color w:val="auto"/>
          <w:sz w:val="24"/>
        </w:rPr>
        <w:t>2.16 通知和送达</w:t>
      </w:r>
      <w:bookmarkEnd w:id="482"/>
      <w:bookmarkEnd w:id="483"/>
      <w:bookmarkEnd w:id="484"/>
      <w:bookmarkEnd w:id="485"/>
      <w:bookmarkEnd w:id="486"/>
    </w:p>
    <w:p w14:paraId="33A85EBA">
      <w:pPr>
        <w:spacing w:line="560" w:lineRule="exact"/>
        <w:ind w:firstLine="480" w:firstLineChars="200"/>
        <w:rPr>
          <w:rFonts w:hint="eastAsia" w:ascii="仿宋" w:hAnsi="仿宋" w:eastAsia="仿宋" w:cs="仿宋"/>
          <w:color w:val="auto"/>
          <w:sz w:val="24"/>
        </w:rPr>
      </w:pPr>
      <w:bookmarkStart w:id="487" w:name="_Toc18401"/>
      <w:bookmarkStart w:id="488"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7ED1B48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72D25E27">
      <w:pPr>
        <w:spacing w:line="560" w:lineRule="exact"/>
        <w:ind w:firstLine="482" w:firstLineChars="200"/>
        <w:outlineLvl w:val="0"/>
        <w:rPr>
          <w:rFonts w:hint="eastAsia" w:ascii="仿宋" w:hAnsi="仿宋" w:eastAsia="仿宋" w:cs="仿宋"/>
          <w:b/>
          <w:color w:val="auto"/>
          <w:sz w:val="24"/>
        </w:rPr>
      </w:pPr>
      <w:bookmarkStart w:id="489" w:name="_Toc27644"/>
      <w:bookmarkStart w:id="490" w:name="_Toc20808"/>
      <w:bookmarkStart w:id="491" w:name="_Toc28906"/>
      <w:bookmarkStart w:id="492" w:name="_Toc5063"/>
      <w:bookmarkStart w:id="493" w:name="_Toc12254"/>
      <w:r>
        <w:rPr>
          <w:rFonts w:hint="eastAsia" w:ascii="仿宋" w:hAnsi="仿宋" w:eastAsia="仿宋" w:cs="仿宋"/>
          <w:b/>
          <w:color w:val="auto"/>
          <w:sz w:val="24"/>
        </w:rPr>
        <w:t>2.17 合同使用的文字和适用的法律</w:t>
      </w:r>
      <w:bookmarkEnd w:id="489"/>
      <w:bookmarkEnd w:id="490"/>
      <w:bookmarkEnd w:id="491"/>
      <w:bookmarkEnd w:id="492"/>
      <w:bookmarkEnd w:id="493"/>
    </w:p>
    <w:p w14:paraId="4DD835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7058F3F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4D554A5F">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24F0B3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68194A3D">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41A3A3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138DC013">
      <w:pPr>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7F709217">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686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B89B54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221BBF3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44386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AFAC12">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573019D4">
            <w:pPr>
              <w:spacing w:line="360" w:lineRule="auto"/>
              <w:rPr>
                <w:rFonts w:hint="eastAsia" w:ascii="仿宋" w:hAnsi="仿宋" w:eastAsia="仿宋" w:cs="仿宋"/>
                <w:color w:val="auto"/>
                <w:sz w:val="24"/>
              </w:rPr>
            </w:pPr>
          </w:p>
        </w:tc>
      </w:tr>
      <w:tr w14:paraId="1C04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40531C">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36F0436D">
            <w:pPr>
              <w:spacing w:line="360" w:lineRule="auto"/>
              <w:rPr>
                <w:rFonts w:hint="eastAsia" w:ascii="仿宋" w:hAnsi="仿宋" w:eastAsia="仿宋" w:cs="仿宋"/>
                <w:color w:val="auto"/>
                <w:sz w:val="24"/>
              </w:rPr>
            </w:pPr>
          </w:p>
        </w:tc>
      </w:tr>
      <w:tr w14:paraId="261F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583A1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522776AD">
            <w:pPr>
              <w:spacing w:line="360" w:lineRule="auto"/>
              <w:rPr>
                <w:rFonts w:hint="eastAsia" w:ascii="仿宋" w:hAnsi="仿宋" w:eastAsia="仿宋" w:cs="仿宋"/>
                <w:color w:val="auto"/>
                <w:sz w:val="24"/>
              </w:rPr>
            </w:pPr>
          </w:p>
        </w:tc>
      </w:tr>
      <w:tr w14:paraId="3E136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4C2910">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7541B41A">
            <w:pPr>
              <w:spacing w:line="360" w:lineRule="auto"/>
              <w:rPr>
                <w:rFonts w:hint="eastAsia" w:ascii="仿宋" w:hAnsi="仿宋" w:eastAsia="仿宋" w:cs="仿宋"/>
                <w:color w:val="auto"/>
                <w:sz w:val="24"/>
              </w:rPr>
            </w:pPr>
          </w:p>
        </w:tc>
      </w:tr>
      <w:tr w14:paraId="2B28A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D0092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193F866C">
            <w:pPr>
              <w:spacing w:line="360" w:lineRule="auto"/>
              <w:rPr>
                <w:rFonts w:hint="eastAsia" w:ascii="仿宋" w:hAnsi="仿宋" w:eastAsia="仿宋" w:cs="仿宋"/>
                <w:color w:val="auto"/>
                <w:sz w:val="24"/>
              </w:rPr>
            </w:pPr>
          </w:p>
        </w:tc>
      </w:tr>
      <w:tr w14:paraId="2272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E4243C">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45F97DA5">
            <w:pPr>
              <w:spacing w:line="360" w:lineRule="auto"/>
              <w:rPr>
                <w:rFonts w:hint="eastAsia" w:ascii="仿宋" w:hAnsi="仿宋" w:eastAsia="仿宋" w:cs="仿宋"/>
                <w:color w:val="auto"/>
                <w:sz w:val="24"/>
              </w:rPr>
            </w:pPr>
          </w:p>
        </w:tc>
      </w:tr>
      <w:tr w14:paraId="1539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D1FEDB">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72BDB330">
            <w:pPr>
              <w:spacing w:line="360" w:lineRule="auto"/>
              <w:rPr>
                <w:rFonts w:hint="eastAsia" w:ascii="仿宋" w:hAnsi="仿宋" w:eastAsia="仿宋" w:cs="仿宋"/>
                <w:color w:val="auto"/>
                <w:sz w:val="24"/>
              </w:rPr>
            </w:pPr>
          </w:p>
        </w:tc>
      </w:tr>
      <w:tr w14:paraId="3F7E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F9AE42">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6B22473E">
            <w:pPr>
              <w:spacing w:line="360" w:lineRule="auto"/>
              <w:rPr>
                <w:rFonts w:hint="eastAsia" w:ascii="仿宋" w:hAnsi="仿宋" w:eastAsia="仿宋" w:cs="仿宋"/>
                <w:color w:val="auto"/>
                <w:sz w:val="24"/>
              </w:rPr>
            </w:pPr>
          </w:p>
        </w:tc>
      </w:tr>
      <w:tr w14:paraId="15FB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17E60E">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7BBC4C11">
            <w:pPr>
              <w:spacing w:line="360" w:lineRule="auto"/>
              <w:rPr>
                <w:rFonts w:hint="eastAsia" w:ascii="仿宋" w:hAnsi="仿宋" w:eastAsia="仿宋" w:cs="仿宋"/>
                <w:color w:val="auto"/>
                <w:sz w:val="24"/>
              </w:rPr>
            </w:pPr>
          </w:p>
        </w:tc>
      </w:tr>
      <w:tr w14:paraId="0CAA6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8B2C97">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79C9B1A3">
            <w:pPr>
              <w:spacing w:line="360" w:lineRule="auto"/>
              <w:rPr>
                <w:rFonts w:hint="eastAsia" w:ascii="仿宋" w:hAnsi="仿宋" w:eastAsia="仿宋" w:cs="仿宋"/>
                <w:color w:val="auto"/>
                <w:sz w:val="24"/>
              </w:rPr>
            </w:pPr>
          </w:p>
        </w:tc>
      </w:tr>
      <w:tr w14:paraId="1A18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827BD0">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4F6FCB56">
            <w:pPr>
              <w:spacing w:line="360" w:lineRule="auto"/>
              <w:rPr>
                <w:rFonts w:hint="eastAsia" w:ascii="仿宋" w:hAnsi="仿宋" w:eastAsia="仿宋" w:cs="仿宋"/>
                <w:color w:val="auto"/>
                <w:sz w:val="24"/>
              </w:rPr>
            </w:pPr>
          </w:p>
        </w:tc>
      </w:tr>
      <w:tr w14:paraId="6DC0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58AC8E">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3616C1EB">
            <w:pPr>
              <w:spacing w:line="360" w:lineRule="auto"/>
              <w:rPr>
                <w:rFonts w:hint="eastAsia" w:ascii="仿宋" w:hAnsi="仿宋" w:eastAsia="仿宋" w:cs="仿宋"/>
                <w:color w:val="auto"/>
                <w:sz w:val="24"/>
              </w:rPr>
            </w:pPr>
          </w:p>
        </w:tc>
      </w:tr>
      <w:tr w14:paraId="33C3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CFB341">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37D70BAC">
            <w:pPr>
              <w:spacing w:line="360" w:lineRule="auto"/>
              <w:rPr>
                <w:rFonts w:hint="eastAsia" w:ascii="仿宋" w:hAnsi="仿宋" w:eastAsia="仿宋" w:cs="仿宋"/>
                <w:color w:val="auto"/>
                <w:sz w:val="24"/>
              </w:rPr>
            </w:pPr>
          </w:p>
        </w:tc>
      </w:tr>
      <w:tr w14:paraId="3C834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BB1E47">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5E6F9F75">
            <w:pPr>
              <w:spacing w:line="360" w:lineRule="auto"/>
              <w:rPr>
                <w:rFonts w:hint="eastAsia" w:ascii="仿宋" w:hAnsi="仿宋" w:eastAsia="仿宋" w:cs="仿宋"/>
                <w:color w:val="auto"/>
                <w:sz w:val="24"/>
              </w:rPr>
            </w:pPr>
          </w:p>
        </w:tc>
      </w:tr>
      <w:tr w14:paraId="53340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5DE3FE">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5CEB1611">
            <w:pPr>
              <w:spacing w:line="360" w:lineRule="auto"/>
              <w:rPr>
                <w:rFonts w:hint="eastAsia" w:ascii="仿宋" w:hAnsi="仿宋" w:eastAsia="仿宋" w:cs="仿宋"/>
                <w:color w:val="auto"/>
                <w:sz w:val="24"/>
              </w:rPr>
            </w:pPr>
          </w:p>
        </w:tc>
      </w:tr>
      <w:tr w14:paraId="2BF2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D78A7A">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00144993">
            <w:pPr>
              <w:spacing w:line="360" w:lineRule="auto"/>
              <w:ind w:left="-420" w:leftChars="-200" w:right="-420" w:rightChars="-200" w:firstLine="480" w:firstLineChars="200"/>
              <w:rPr>
                <w:rFonts w:hint="eastAsia" w:ascii="仿宋" w:hAnsi="仿宋" w:eastAsia="仿宋" w:cs="仿宋"/>
                <w:color w:val="auto"/>
                <w:sz w:val="24"/>
              </w:rPr>
            </w:pPr>
          </w:p>
        </w:tc>
      </w:tr>
      <w:tr w14:paraId="584C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54750B">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3580F06A">
            <w:pPr>
              <w:spacing w:line="360" w:lineRule="auto"/>
              <w:ind w:left="-420" w:leftChars="-200" w:right="-420" w:rightChars="-200" w:firstLine="480" w:firstLineChars="200"/>
              <w:rPr>
                <w:rFonts w:hint="eastAsia" w:ascii="仿宋" w:hAnsi="仿宋" w:eastAsia="仿宋" w:cs="仿宋"/>
                <w:color w:val="auto"/>
                <w:sz w:val="24"/>
              </w:rPr>
            </w:pPr>
          </w:p>
        </w:tc>
      </w:tr>
      <w:tr w14:paraId="7FBBE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115BBA">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0C44A57B">
            <w:pPr>
              <w:spacing w:line="360" w:lineRule="auto"/>
              <w:rPr>
                <w:rFonts w:hint="eastAsia" w:ascii="仿宋" w:hAnsi="仿宋" w:eastAsia="仿宋" w:cs="仿宋"/>
                <w:color w:val="auto"/>
                <w:sz w:val="24"/>
              </w:rPr>
            </w:pPr>
          </w:p>
        </w:tc>
      </w:tr>
      <w:tr w14:paraId="2B59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6B14B7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14:paraId="6E6E947B">
            <w:pPr>
              <w:spacing w:line="360" w:lineRule="auto"/>
              <w:rPr>
                <w:rFonts w:hint="eastAsia" w:ascii="仿宋" w:hAnsi="仿宋" w:eastAsia="仿宋" w:cs="仿宋"/>
                <w:color w:val="auto"/>
                <w:sz w:val="24"/>
              </w:rPr>
            </w:pPr>
          </w:p>
        </w:tc>
      </w:tr>
      <w:tr w14:paraId="442E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9696A8">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71DCE763">
            <w:pPr>
              <w:spacing w:line="360" w:lineRule="auto"/>
              <w:rPr>
                <w:rFonts w:hint="eastAsia" w:ascii="仿宋" w:hAnsi="仿宋" w:eastAsia="仿宋" w:cs="仿宋"/>
                <w:color w:val="auto"/>
                <w:sz w:val="24"/>
              </w:rPr>
            </w:pPr>
          </w:p>
        </w:tc>
      </w:tr>
      <w:tr w14:paraId="533A7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1A2A48">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6DBB6670">
            <w:pPr>
              <w:spacing w:line="360" w:lineRule="auto"/>
              <w:rPr>
                <w:rFonts w:hint="eastAsia" w:ascii="仿宋" w:hAnsi="仿宋" w:eastAsia="仿宋" w:cs="仿宋"/>
                <w:color w:val="auto"/>
                <w:sz w:val="24"/>
              </w:rPr>
            </w:pPr>
          </w:p>
        </w:tc>
      </w:tr>
      <w:tr w14:paraId="3898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2BB9470">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14:paraId="04B5261A">
            <w:pPr>
              <w:spacing w:line="360" w:lineRule="auto"/>
              <w:rPr>
                <w:rFonts w:hint="eastAsia" w:ascii="仿宋" w:hAnsi="仿宋" w:eastAsia="仿宋" w:cs="仿宋"/>
                <w:color w:val="auto"/>
                <w:sz w:val="24"/>
              </w:rPr>
            </w:pPr>
          </w:p>
        </w:tc>
      </w:tr>
    </w:tbl>
    <w:p w14:paraId="3D08D6AD">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7754E4C3">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1"/>
      <w:r>
        <w:rPr>
          <w:rFonts w:hint="eastAsia" w:ascii="仿宋" w:hAnsi="仿宋" w:eastAsia="仿宋" w:cs="仿宋"/>
          <w:b/>
          <w:color w:val="auto"/>
          <w:sz w:val="36"/>
          <w:szCs w:val="20"/>
        </w:rPr>
        <w:t xml:space="preserve"> </w:t>
      </w:r>
      <w:bookmarkEnd w:id="392"/>
      <w:r>
        <w:rPr>
          <w:rFonts w:hint="eastAsia" w:ascii="仿宋" w:hAnsi="仿宋" w:eastAsia="仿宋" w:cs="仿宋"/>
          <w:b/>
          <w:color w:val="auto"/>
          <w:sz w:val="36"/>
          <w:szCs w:val="20"/>
        </w:rPr>
        <w:t>应提交的有关格式范例</w:t>
      </w:r>
    </w:p>
    <w:p w14:paraId="4731DEAA">
      <w:pPr>
        <w:spacing w:line="360" w:lineRule="auto"/>
        <w:jc w:val="center"/>
        <w:outlineLvl w:val="0"/>
        <w:rPr>
          <w:rFonts w:hint="eastAsia" w:ascii="仿宋" w:hAnsi="仿宋" w:eastAsia="仿宋" w:cs="仿宋"/>
          <w:b/>
          <w:color w:val="auto"/>
          <w:kern w:val="0"/>
          <w:sz w:val="36"/>
          <w:szCs w:val="36"/>
        </w:rPr>
      </w:pPr>
    </w:p>
    <w:p w14:paraId="3589C9FF">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6B00B5F3">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8AF582D">
      <w:pPr>
        <w:spacing w:line="360" w:lineRule="auto"/>
        <w:jc w:val="center"/>
        <w:outlineLvl w:val="0"/>
        <w:rPr>
          <w:rFonts w:hint="eastAsia" w:ascii="仿宋" w:hAnsi="仿宋" w:eastAsia="仿宋" w:cs="仿宋"/>
          <w:b/>
          <w:color w:val="auto"/>
          <w:kern w:val="0"/>
          <w:sz w:val="36"/>
          <w:szCs w:val="36"/>
        </w:rPr>
      </w:pPr>
    </w:p>
    <w:p w14:paraId="3FEBBD6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42271288">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194F3EF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46F06BA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148A147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0A5686B">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375EC1F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04DD66C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54E809AB">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3E98BE5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71CC26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032E58E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531F264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5364EBB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4956E56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298B08F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5A78456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34AD817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53D9F91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B0DDDE3">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65190D3D">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24BF9CB">
      <w:pPr>
        <w:snapToGrid w:val="0"/>
        <w:spacing w:line="360" w:lineRule="auto"/>
        <w:ind w:right="480" w:firstLine="559" w:firstLineChars="233"/>
        <w:jc w:val="left"/>
        <w:rPr>
          <w:rFonts w:hint="eastAsia" w:ascii="仿宋" w:hAnsi="仿宋" w:eastAsia="仿宋" w:cs="仿宋"/>
          <w:color w:val="auto"/>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259A899">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17EA4290">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61C5DF62">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08F7B9F4">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5BCBDD4B">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1DC6561E">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38BA840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350F07B4">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5A166CF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37E442B0">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76AA7E2">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54F4BC98">
      <w:pPr>
        <w:spacing w:line="360" w:lineRule="auto"/>
        <w:jc w:val="center"/>
        <w:outlineLvl w:val="0"/>
        <w:rPr>
          <w:rFonts w:hint="eastAsia" w:ascii="仿宋" w:hAnsi="仿宋" w:eastAsia="仿宋" w:cs="仿宋"/>
          <w:b/>
          <w:color w:val="auto"/>
          <w:kern w:val="0"/>
          <w:sz w:val="24"/>
        </w:rPr>
      </w:pPr>
    </w:p>
    <w:p w14:paraId="6573A5FC">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91ACEB9">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7E4E14AA">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31E71CC3">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18D12D61">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43A2D1F6">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725AFDC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F9E0B4C">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3B93068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473272F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1709A77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4B7403F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74B412CA">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321CC5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5D08861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494" w:name="_Hlk101257010"/>
      <w:r>
        <w:rPr>
          <w:rFonts w:hint="eastAsia" w:ascii="仿宋" w:hAnsi="仿宋" w:eastAsia="仿宋" w:cs="仿宋"/>
          <w:color w:val="auto"/>
          <w:sz w:val="24"/>
        </w:rPr>
        <w:t>（如果有)</w:t>
      </w:r>
      <w:bookmarkEnd w:id="494"/>
      <w:r>
        <w:rPr>
          <w:rFonts w:hint="eastAsia" w:ascii="仿宋" w:hAnsi="仿宋" w:eastAsia="仿宋" w:cs="仿宋"/>
          <w:snapToGrid w:val="0"/>
          <w:color w:val="auto"/>
          <w:kern w:val="28"/>
          <w:sz w:val="24"/>
          <w:szCs w:val="20"/>
        </w:rPr>
        <w:t>；</w:t>
      </w:r>
    </w:p>
    <w:p w14:paraId="3ACDEC5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2FED36A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37E1ACD9">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833B40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57303AB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3F4111D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1E10FD5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5CE171E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48DC811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7646BAA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36D91391">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70C70A9">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224A30D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388B1C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677F039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14:paraId="319322B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0D0B514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0B1DEEB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35AF037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31A5B30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1485105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7FA5F99">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3BA7C46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1E53E4B4">
      <w:pPr>
        <w:snapToGrid w:val="0"/>
        <w:spacing w:line="360" w:lineRule="auto"/>
        <w:ind w:left="420" w:leftChars="200" w:firstLine="4200" w:firstLineChars="1750"/>
        <w:rPr>
          <w:rFonts w:hint="eastAsia" w:ascii="仿宋" w:hAnsi="仿宋" w:eastAsia="仿宋" w:cs="仿宋"/>
          <w:color w:val="auto"/>
          <w:kern w:val="0"/>
          <w:sz w:val="24"/>
          <w:u w:val="single"/>
        </w:rPr>
      </w:pPr>
    </w:p>
    <w:p w14:paraId="40E7C84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5198A74">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67F812C">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60AF8E7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711503F6">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565C5EF4">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4E32AD0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7BCFC5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131D6B3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5CCB9BA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03FDE63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09F74F5E">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649BACF4">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197F1E4">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2364971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13D94D82">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7CF679C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647D4A88">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783358BF">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F5642DC">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6D80477">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69A3A7D9">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542676EB">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17BFC41A">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69C6AE88">
      <w:pPr>
        <w:pStyle w:val="14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D2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911C02">
            <w:pPr>
              <w:pStyle w:val="14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21790BB1">
            <w:pPr>
              <w:pStyle w:val="147"/>
              <w:adjustRightInd w:val="0"/>
              <w:spacing w:line="360" w:lineRule="auto"/>
              <w:rPr>
                <w:rFonts w:hint="eastAsia" w:ascii="仿宋" w:hAnsi="仿宋" w:eastAsia="仿宋" w:cs="仿宋"/>
                <w:bCs/>
                <w:color w:val="auto"/>
                <w:sz w:val="24"/>
              </w:rPr>
            </w:pPr>
          </w:p>
        </w:tc>
      </w:tr>
    </w:tbl>
    <w:p w14:paraId="7DD6765B">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55AD33D4">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519D8C85">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5C9C455C">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166048A">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656AE4E3">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1DC09189">
      <w:pPr>
        <w:snapToGrid w:val="0"/>
        <w:spacing w:line="360" w:lineRule="auto"/>
        <w:rPr>
          <w:rFonts w:hint="eastAsia" w:ascii="仿宋" w:hAnsi="仿宋" w:eastAsia="仿宋" w:cs="仿宋"/>
          <w:color w:val="auto"/>
          <w:kern w:val="0"/>
          <w:sz w:val="24"/>
        </w:rPr>
      </w:pPr>
    </w:p>
    <w:p w14:paraId="5B948BF4">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0BFA5822">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D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2A04E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6EF2EBE6">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54C08443">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7268288B">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62A35E4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23C3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CA3BCF">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14:paraId="2A3CC738">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2AFF5028">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14:paraId="1DB9ECB2">
            <w:pPr>
              <w:rPr>
                <w:rFonts w:hint="eastAsia" w:ascii="仿宋" w:hAnsi="仿宋" w:eastAsia="仿宋" w:cs="仿宋"/>
                <w:color w:val="auto"/>
                <w:sz w:val="24"/>
              </w:rPr>
            </w:pPr>
          </w:p>
          <w:p w14:paraId="515B922B">
            <w:pPr>
              <w:rPr>
                <w:rFonts w:hint="eastAsia" w:ascii="仿宋" w:hAnsi="仿宋" w:eastAsia="仿宋" w:cs="仿宋"/>
                <w:color w:val="auto"/>
                <w:sz w:val="24"/>
              </w:rPr>
            </w:pPr>
            <w:r>
              <w:rPr>
                <w:rFonts w:hint="eastAsia" w:ascii="仿宋" w:hAnsi="仿宋" w:eastAsia="仿宋" w:cs="仿宋"/>
                <w:color w:val="auto"/>
                <w:sz w:val="24"/>
              </w:rPr>
              <w:t>见投标文件</w:t>
            </w:r>
          </w:p>
          <w:p w14:paraId="4CA98CC3">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C25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D5931">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14:paraId="177F9247">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5145090C">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14:paraId="775C946B">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20A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3D52D">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14:paraId="504F12EF">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4E00C261">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14:paraId="53657DCB">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D9C6116">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6C15F4D">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19DDD5F4">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4032FCC9">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A039D00">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7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C709F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B9327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12E9CA4">
            <w:pPr>
              <w:spacing w:line="360" w:lineRule="auto"/>
              <w:jc w:val="center"/>
              <w:rPr>
                <w:rFonts w:hint="eastAsia" w:ascii="仿宋" w:hAnsi="仿宋" w:eastAsia="仿宋" w:cs="仿宋"/>
                <w:b/>
                <w:color w:val="auto"/>
                <w:sz w:val="24"/>
              </w:rPr>
            </w:pPr>
          </w:p>
          <w:p w14:paraId="1FFF9CB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284DB0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3C3DE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E298E2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38494D0">
            <w:pPr>
              <w:spacing w:line="360" w:lineRule="auto"/>
              <w:jc w:val="center"/>
              <w:rPr>
                <w:rFonts w:hint="eastAsia" w:ascii="仿宋" w:hAnsi="仿宋" w:eastAsia="仿宋" w:cs="仿宋"/>
                <w:b/>
                <w:color w:val="auto"/>
                <w:sz w:val="24"/>
              </w:rPr>
            </w:pPr>
          </w:p>
          <w:p w14:paraId="1484D62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3B7AD3B7">
            <w:pPr>
              <w:spacing w:line="360" w:lineRule="auto"/>
              <w:jc w:val="center"/>
              <w:rPr>
                <w:rFonts w:hint="eastAsia" w:ascii="仿宋" w:hAnsi="仿宋" w:eastAsia="仿宋" w:cs="仿宋"/>
                <w:b/>
                <w:color w:val="auto"/>
                <w:sz w:val="24"/>
              </w:rPr>
            </w:pPr>
          </w:p>
        </w:tc>
      </w:tr>
      <w:tr w14:paraId="3C35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26844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5F1153">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3DED37">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26EF07">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CC3601">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3D175BF">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6065B5">
            <w:pPr>
              <w:spacing w:line="360" w:lineRule="auto"/>
              <w:jc w:val="center"/>
              <w:rPr>
                <w:rFonts w:hint="eastAsia" w:ascii="仿宋" w:hAnsi="仿宋" w:eastAsia="仿宋" w:cs="仿宋"/>
                <w:color w:val="auto"/>
                <w:sz w:val="24"/>
              </w:rPr>
            </w:pPr>
          </w:p>
        </w:tc>
      </w:tr>
      <w:tr w14:paraId="52C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BBF29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7CC92A">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5C36FF">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3CD4D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6C319A">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5646CDD">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E543E58">
            <w:pPr>
              <w:spacing w:line="360" w:lineRule="auto"/>
              <w:jc w:val="center"/>
              <w:rPr>
                <w:rFonts w:hint="eastAsia" w:ascii="仿宋" w:hAnsi="仿宋" w:eastAsia="仿宋" w:cs="仿宋"/>
                <w:color w:val="auto"/>
                <w:sz w:val="24"/>
              </w:rPr>
            </w:pPr>
          </w:p>
        </w:tc>
      </w:tr>
      <w:tr w14:paraId="70FB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BB081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541BF5A">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F81577">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55E0CB">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7A1C7C">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5A9F35C">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5297CE3">
            <w:pPr>
              <w:spacing w:line="360" w:lineRule="auto"/>
              <w:jc w:val="center"/>
              <w:rPr>
                <w:rFonts w:hint="eastAsia" w:ascii="仿宋" w:hAnsi="仿宋" w:eastAsia="仿宋" w:cs="仿宋"/>
                <w:color w:val="auto"/>
                <w:sz w:val="24"/>
              </w:rPr>
            </w:pPr>
          </w:p>
        </w:tc>
      </w:tr>
    </w:tbl>
    <w:p w14:paraId="5838BA08">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A38E8E4">
      <w:pPr>
        <w:jc w:val="center"/>
        <w:rPr>
          <w:rFonts w:hint="eastAsia" w:ascii="仿宋" w:hAnsi="仿宋" w:eastAsia="仿宋" w:cs="仿宋"/>
          <w:b/>
          <w:color w:val="auto"/>
          <w:kern w:val="0"/>
          <w:sz w:val="32"/>
          <w:szCs w:val="32"/>
        </w:rPr>
      </w:pPr>
    </w:p>
    <w:p w14:paraId="07D575D8">
      <w:pPr>
        <w:jc w:val="center"/>
        <w:rPr>
          <w:rFonts w:hint="eastAsia" w:ascii="仿宋" w:hAnsi="仿宋" w:eastAsia="仿宋" w:cs="仿宋"/>
          <w:b/>
          <w:color w:val="auto"/>
          <w:kern w:val="0"/>
          <w:sz w:val="32"/>
          <w:szCs w:val="32"/>
        </w:rPr>
      </w:pPr>
    </w:p>
    <w:p w14:paraId="3ECBFBD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26F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22D6C">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1B3D3EDB">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6D48A2CE">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178BEA9C">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04FD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9CCBA8">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4935B2C2">
            <w:pPr>
              <w:jc w:val="center"/>
              <w:rPr>
                <w:rFonts w:hint="eastAsia" w:ascii="仿宋" w:hAnsi="仿宋" w:eastAsia="仿宋" w:cs="仿宋"/>
                <w:b/>
                <w:color w:val="auto"/>
                <w:kern w:val="0"/>
                <w:sz w:val="32"/>
                <w:szCs w:val="32"/>
              </w:rPr>
            </w:pPr>
          </w:p>
        </w:tc>
        <w:tc>
          <w:tcPr>
            <w:tcW w:w="3546" w:type="dxa"/>
          </w:tcPr>
          <w:p w14:paraId="489B7752">
            <w:pPr>
              <w:jc w:val="center"/>
              <w:rPr>
                <w:rFonts w:hint="eastAsia" w:ascii="仿宋" w:hAnsi="仿宋" w:eastAsia="仿宋" w:cs="仿宋"/>
                <w:b/>
                <w:color w:val="auto"/>
                <w:kern w:val="0"/>
                <w:sz w:val="32"/>
                <w:szCs w:val="32"/>
              </w:rPr>
            </w:pPr>
          </w:p>
        </w:tc>
        <w:tc>
          <w:tcPr>
            <w:tcW w:w="1276" w:type="dxa"/>
          </w:tcPr>
          <w:p w14:paraId="19885AFF">
            <w:pPr>
              <w:jc w:val="center"/>
              <w:rPr>
                <w:rFonts w:hint="eastAsia" w:ascii="仿宋" w:hAnsi="仿宋" w:eastAsia="仿宋" w:cs="仿宋"/>
                <w:b/>
                <w:color w:val="auto"/>
                <w:kern w:val="0"/>
                <w:sz w:val="32"/>
                <w:szCs w:val="32"/>
              </w:rPr>
            </w:pPr>
          </w:p>
        </w:tc>
      </w:tr>
      <w:tr w14:paraId="0914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A7990E">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5C2FE0BE">
            <w:pPr>
              <w:jc w:val="center"/>
              <w:rPr>
                <w:rFonts w:hint="eastAsia" w:ascii="仿宋" w:hAnsi="仿宋" w:eastAsia="仿宋" w:cs="仿宋"/>
                <w:b/>
                <w:color w:val="auto"/>
                <w:kern w:val="0"/>
                <w:sz w:val="32"/>
                <w:szCs w:val="32"/>
              </w:rPr>
            </w:pPr>
          </w:p>
        </w:tc>
        <w:tc>
          <w:tcPr>
            <w:tcW w:w="3546" w:type="dxa"/>
          </w:tcPr>
          <w:p w14:paraId="5CC17A05">
            <w:pPr>
              <w:jc w:val="center"/>
              <w:rPr>
                <w:rFonts w:hint="eastAsia" w:ascii="仿宋" w:hAnsi="仿宋" w:eastAsia="仿宋" w:cs="仿宋"/>
                <w:b/>
                <w:color w:val="auto"/>
                <w:kern w:val="0"/>
                <w:sz w:val="32"/>
                <w:szCs w:val="32"/>
              </w:rPr>
            </w:pPr>
          </w:p>
        </w:tc>
        <w:tc>
          <w:tcPr>
            <w:tcW w:w="1276" w:type="dxa"/>
          </w:tcPr>
          <w:p w14:paraId="6DC15316">
            <w:pPr>
              <w:jc w:val="center"/>
              <w:rPr>
                <w:rFonts w:hint="eastAsia" w:ascii="仿宋" w:hAnsi="仿宋" w:eastAsia="仿宋" w:cs="仿宋"/>
                <w:b/>
                <w:color w:val="auto"/>
                <w:kern w:val="0"/>
                <w:sz w:val="32"/>
                <w:szCs w:val="32"/>
              </w:rPr>
            </w:pPr>
          </w:p>
        </w:tc>
      </w:tr>
      <w:tr w14:paraId="72D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C048E">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1FD3D6BB">
            <w:pPr>
              <w:jc w:val="center"/>
              <w:rPr>
                <w:rFonts w:hint="eastAsia" w:ascii="仿宋" w:hAnsi="仿宋" w:eastAsia="仿宋" w:cs="仿宋"/>
                <w:b/>
                <w:color w:val="auto"/>
                <w:kern w:val="0"/>
                <w:sz w:val="32"/>
                <w:szCs w:val="32"/>
              </w:rPr>
            </w:pPr>
          </w:p>
        </w:tc>
        <w:tc>
          <w:tcPr>
            <w:tcW w:w="3546" w:type="dxa"/>
          </w:tcPr>
          <w:p w14:paraId="4C72057E">
            <w:pPr>
              <w:jc w:val="center"/>
              <w:rPr>
                <w:rFonts w:hint="eastAsia" w:ascii="仿宋" w:hAnsi="仿宋" w:eastAsia="仿宋" w:cs="仿宋"/>
                <w:b/>
                <w:color w:val="auto"/>
                <w:kern w:val="0"/>
                <w:sz w:val="32"/>
                <w:szCs w:val="32"/>
              </w:rPr>
            </w:pPr>
          </w:p>
        </w:tc>
        <w:tc>
          <w:tcPr>
            <w:tcW w:w="1276" w:type="dxa"/>
          </w:tcPr>
          <w:p w14:paraId="70853025">
            <w:pPr>
              <w:jc w:val="center"/>
              <w:rPr>
                <w:rFonts w:hint="eastAsia" w:ascii="仿宋" w:hAnsi="仿宋" w:eastAsia="仿宋" w:cs="仿宋"/>
                <w:b/>
                <w:color w:val="auto"/>
                <w:kern w:val="0"/>
                <w:sz w:val="32"/>
                <w:szCs w:val="32"/>
              </w:rPr>
            </w:pPr>
          </w:p>
        </w:tc>
      </w:tr>
    </w:tbl>
    <w:p w14:paraId="541C205E">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29DA15BA">
      <w:pPr>
        <w:jc w:val="center"/>
        <w:rPr>
          <w:rFonts w:hint="eastAsia" w:ascii="仿宋" w:hAnsi="仿宋" w:eastAsia="仿宋" w:cs="仿宋"/>
          <w:b/>
          <w:color w:val="auto"/>
          <w:kern w:val="0"/>
          <w:sz w:val="32"/>
          <w:szCs w:val="32"/>
        </w:rPr>
      </w:pPr>
    </w:p>
    <w:p w14:paraId="613F668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B43922E">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285ABC20">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C37ADF">
      <w:pPr>
        <w:snapToGrid w:val="0"/>
        <w:spacing w:line="360" w:lineRule="auto"/>
        <w:rPr>
          <w:rFonts w:hint="eastAsia" w:ascii="仿宋" w:hAnsi="仿宋" w:eastAsia="仿宋" w:cs="仿宋"/>
          <w:color w:val="auto"/>
          <w:sz w:val="24"/>
        </w:rPr>
      </w:pPr>
    </w:p>
    <w:p w14:paraId="62EA85B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286A3C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50785B7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3719874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130E7D4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F210A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2C6BD3E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20C2268B">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14ADBCE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5EEA48A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56E6597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9F35E9E">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D6C0E98">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363B96B7">
      <w:pPr>
        <w:spacing w:line="360" w:lineRule="auto"/>
        <w:jc w:val="center"/>
        <w:rPr>
          <w:rFonts w:hint="eastAsia" w:ascii="仿宋" w:hAnsi="仿宋" w:eastAsia="仿宋" w:cs="仿宋"/>
          <w:b/>
          <w:bCs/>
          <w:color w:val="auto"/>
          <w:sz w:val="24"/>
        </w:rPr>
      </w:pPr>
    </w:p>
    <w:p w14:paraId="48A4A1FF">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5399773">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2B9B0723">
      <w:pPr>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49461EC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9210C8F">
      <w:pPr>
        <w:spacing w:line="360" w:lineRule="auto"/>
        <w:jc w:val="center"/>
        <w:outlineLvl w:val="0"/>
        <w:rPr>
          <w:rFonts w:hint="eastAsia" w:ascii="仿宋" w:hAnsi="仿宋" w:eastAsia="仿宋" w:cs="仿宋"/>
          <w:b/>
          <w:color w:val="auto"/>
          <w:kern w:val="0"/>
          <w:sz w:val="36"/>
          <w:szCs w:val="36"/>
        </w:rPr>
      </w:pPr>
    </w:p>
    <w:p w14:paraId="6A220E0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7A52EFA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14:paraId="22F077CB">
      <w:pPr>
        <w:rPr>
          <w:rFonts w:hint="eastAsia" w:ascii="仿宋" w:hAnsi="仿宋" w:eastAsia="仿宋" w:cs="仿宋"/>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43447242">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67C7EB4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D5A05B4">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14:paraId="5308C8DB">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3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541"/>
        <w:gridCol w:w="2115"/>
        <w:gridCol w:w="3336"/>
        <w:gridCol w:w="2528"/>
      </w:tblGrid>
      <w:tr w14:paraId="7C59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6" w:type="dxa"/>
            <w:vAlign w:val="center"/>
          </w:tcPr>
          <w:p w14:paraId="3BF73573">
            <w:pPr>
              <w:spacing w:after="0" w:line="240" w:lineRule="auto"/>
              <w:jc w:val="center"/>
              <w:rPr>
                <w:rFonts w:hint="eastAsia" w:ascii="仿宋" w:hAnsi="仿宋" w:eastAsia="仿宋" w:cs="仿宋"/>
                <w:b/>
                <w:color w:val="auto"/>
              </w:rPr>
            </w:pPr>
            <w:r>
              <w:rPr>
                <w:rFonts w:hint="eastAsia" w:ascii="仿宋" w:hAnsi="仿宋" w:eastAsia="仿宋" w:cs="仿宋"/>
                <w:b/>
                <w:color w:val="auto"/>
              </w:rPr>
              <w:t>序号</w:t>
            </w:r>
          </w:p>
        </w:tc>
        <w:tc>
          <w:tcPr>
            <w:tcW w:w="4541" w:type="dxa"/>
            <w:vAlign w:val="center"/>
          </w:tcPr>
          <w:p w14:paraId="15CA4D2E">
            <w:pPr>
              <w:spacing w:after="0" w:line="240" w:lineRule="auto"/>
              <w:jc w:val="center"/>
              <w:rPr>
                <w:rFonts w:hint="eastAsia" w:ascii="仿宋" w:hAnsi="仿宋" w:eastAsia="仿宋" w:cs="仿宋"/>
                <w:b/>
                <w:color w:val="auto"/>
              </w:rPr>
            </w:pPr>
            <w:r>
              <w:rPr>
                <w:rFonts w:hint="eastAsia" w:ascii="仿宋" w:hAnsi="仿宋" w:eastAsia="仿宋" w:cs="仿宋"/>
                <w:b/>
                <w:color w:val="auto"/>
                <w:lang w:val="en-US" w:eastAsia="zh-CN"/>
              </w:rPr>
              <w:t>小区</w:t>
            </w:r>
            <w:r>
              <w:rPr>
                <w:rFonts w:hint="eastAsia" w:ascii="仿宋" w:hAnsi="仿宋" w:eastAsia="仿宋" w:cs="仿宋"/>
                <w:b/>
                <w:color w:val="auto"/>
              </w:rPr>
              <w:t>名称</w:t>
            </w:r>
          </w:p>
        </w:tc>
        <w:tc>
          <w:tcPr>
            <w:tcW w:w="2115" w:type="dxa"/>
            <w:vAlign w:val="center"/>
          </w:tcPr>
          <w:p w14:paraId="0CFF8D5E">
            <w:pPr>
              <w:spacing w:after="0" w:line="240" w:lineRule="auto"/>
              <w:jc w:val="center"/>
              <w:rPr>
                <w:rFonts w:hint="eastAsia" w:ascii="仿宋" w:hAnsi="仿宋" w:eastAsia="仿宋" w:cs="仿宋"/>
                <w:b/>
                <w:color w:val="auto"/>
                <w:lang w:val="en-US" w:eastAsia="zh-CN"/>
              </w:rPr>
            </w:pPr>
            <w:r>
              <w:rPr>
                <w:rFonts w:hint="eastAsia" w:ascii="仿宋" w:hAnsi="仿宋" w:eastAsia="仿宋" w:cs="仿宋"/>
                <w:b/>
                <w:color w:val="auto"/>
                <w:lang w:val="en-US" w:eastAsia="zh-CN"/>
              </w:rPr>
              <w:t>内容</w:t>
            </w:r>
          </w:p>
        </w:tc>
        <w:tc>
          <w:tcPr>
            <w:tcW w:w="3336" w:type="dxa"/>
            <w:vAlign w:val="center"/>
          </w:tcPr>
          <w:p w14:paraId="0376E324">
            <w:pPr>
              <w:spacing w:after="0" w:line="240" w:lineRule="auto"/>
              <w:jc w:val="center"/>
              <w:rPr>
                <w:rFonts w:hint="eastAsia" w:ascii="仿宋" w:hAnsi="仿宋" w:eastAsia="仿宋" w:cs="仿宋"/>
                <w:b/>
                <w:color w:val="auto"/>
              </w:rPr>
            </w:pPr>
            <w:r>
              <w:rPr>
                <w:rFonts w:hint="eastAsia" w:ascii="仿宋" w:hAnsi="仿宋" w:eastAsia="仿宋" w:cs="仿宋"/>
                <w:b/>
                <w:color w:val="auto"/>
                <w:lang w:val="en-US" w:eastAsia="zh-CN"/>
              </w:rPr>
              <w:t>综合报价(整体服务)</w:t>
            </w:r>
          </w:p>
        </w:tc>
        <w:tc>
          <w:tcPr>
            <w:tcW w:w="2528" w:type="dxa"/>
            <w:vAlign w:val="center"/>
          </w:tcPr>
          <w:p w14:paraId="02F49733">
            <w:pPr>
              <w:spacing w:after="0" w:line="240" w:lineRule="auto"/>
              <w:jc w:val="center"/>
              <w:rPr>
                <w:rFonts w:hint="eastAsia" w:ascii="仿宋" w:hAnsi="仿宋" w:eastAsia="仿宋" w:cs="仿宋"/>
                <w:b/>
                <w:color w:val="auto"/>
              </w:rPr>
            </w:pPr>
            <w:r>
              <w:rPr>
                <w:rFonts w:hint="eastAsia" w:ascii="仿宋" w:hAnsi="仿宋" w:eastAsia="仿宋" w:cs="仿宋"/>
                <w:b/>
                <w:color w:val="auto"/>
              </w:rPr>
              <w:t>备注（如果有）</w:t>
            </w:r>
          </w:p>
        </w:tc>
      </w:tr>
      <w:tr w14:paraId="4502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06D54A38">
            <w:pPr>
              <w:spacing w:after="0"/>
              <w:jc w:val="center"/>
              <w:rPr>
                <w:rFonts w:hint="eastAsia" w:ascii="仿宋" w:hAnsi="仿宋" w:eastAsia="仿宋" w:cs="仿宋"/>
                <w:color w:val="auto"/>
              </w:rPr>
            </w:pPr>
            <w:r>
              <w:rPr>
                <w:rFonts w:hint="eastAsia" w:ascii="仿宋" w:hAnsi="仿宋" w:eastAsia="仿宋" w:cs="仿宋"/>
                <w:color w:val="auto"/>
              </w:rPr>
              <w:t>1</w:t>
            </w:r>
          </w:p>
        </w:tc>
        <w:tc>
          <w:tcPr>
            <w:tcW w:w="4541" w:type="dxa"/>
            <w:vAlign w:val="center"/>
          </w:tcPr>
          <w:p w14:paraId="3F8D050F">
            <w:pPr>
              <w:snapToGrid w:val="0"/>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北干街道城中花园</w:t>
            </w:r>
          </w:p>
        </w:tc>
        <w:tc>
          <w:tcPr>
            <w:tcW w:w="2115" w:type="dxa"/>
            <w:vMerge w:val="restart"/>
            <w:vAlign w:val="center"/>
          </w:tcPr>
          <w:p w14:paraId="7C33DDDE">
            <w:pPr>
              <w:snapToGrid w:val="0"/>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设备供应、安装调试、集成、运维等</w:t>
            </w:r>
          </w:p>
        </w:tc>
        <w:tc>
          <w:tcPr>
            <w:tcW w:w="3336" w:type="dxa"/>
            <w:vAlign w:val="center"/>
          </w:tcPr>
          <w:p w14:paraId="65E72B1D">
            <w:pPr>
              <w:spacing w:after="0"/>
              <w:jc w:val="center"/>
              <w:rPr>
                <w:rFonts w:hint="eastAsia" w:ascii="仿宋" w:hAnsi="仿宋" w:eastAsia="仿宋" w:cs="仿宋"/>
                <w:color w:val="auto"/>
              </w:rPr>
            </w:pPr>
          </w:p>
        </w:tc>
        <w:tc>
          <w:tcPr>
            <w:tcW w:w="2528" w:type="dxa"/>
            <w:vAlign w:val="center"/>
          </w:tcPr>
          <w:p w14:paraId="706DF2A4">
            <w:pPr>
              <w:spacing w:after="0"/>
              <w:jc w:val="center"/>
              <w:rPr>
                <w:rFonts w:hint="eastAsia" w:ascii="仿宋" w:hAnsi="仿宋" w:eastAsia="仿宋" w:cs="仿宋"/>
                <w:color w:val="auto"/>
              </w:rPr>
            </w:pPr>
          </w:p>
        </w:tc>
      </w:tr>
      <w:tr w14:paraId="316B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4D0BA7F7">
            <w:pPr>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4541" w:type="dxa"/>
            <w:vAlign w:val="center"/>
          </w:tcPr>
          <w:p w14:paraId="105E1236">
            <w:pPr>
              <w:snapToGrid w:val="0"/>
              <w:spacing w:after="0"/>
              <w:jc w:val="center"/>
              <w:rPr>
                <w:rFonts w:hint="eastAsia" w:ascii="仿宋" w:hAnsi="仿宋" w:eastAsia="仿宋" w:cs="仿宋"/>
                <w:color w:val="auto"/>
                <w:highlight w:val="yellow"/>
              </w:rPr>
            </w:pPr>
            <w:r>
              <w:rPr>
                <w:rFonts w:hint="eastAsia" w:ascii="仿宋" w:hAnsi="仿宋" w:eastAsia="仿宋" w:cs="仿宋"/>
                <w:color w:val="auto"/>
                <w:lang w:val="en-US" w:eastAsia="zh-CN"/>
              </w:rPr>
              <w:t>北干街道G合里</w:t>
            </w:r>
          </w:p>
        </w:tc>
        <w:tc>
          <w:tcPr>
            <w:tcW w:w="2115" w:type="dxa"/>
            <w:vMerge w:val="continue"/>
            <w:vAlign w:val="center"/>
          </w:tcPr>
          <w:p w14:paraId="5C4CB86D">
            <w:pPr>
              <w:snapToGrid w:val="0"/>
              <w:spacing w:after="0"/>
              <w:jc w:val="center"/>
              <w:rPr>
                <w:rFonts w:hint="eastAsia" w:ascii="仿宋" w:hAnsi="仿宋" w:eastAsia="仿宋" w:cs="仿宋"/>
                <w:color w:val="auto"/>
                <w:lang w:val="en-US" w:eastAsia="zh-CN"/>
              </w:rPr>
            </w:pPr>
          </w:p>
        </w:tc>
        <w:tc>
          <w:tcPr>
            <w:tcW w:w="3336" w:type="dxa"/>
            <w:vAlign w:val="center"/>
          </w:tcPr>
          <w:p w14:paraId="017A6797">
            <w:pPr>
              <w:spacing w:after="0"/>
              <w:jc w:val="center"/>
              <w:rPr>
                <w:rFonts w:hint="eastAsia" w:ascii="仿宋" w:hAnsi="仿宋" w:eastAsia="仿宋" w:cs="仿宋"/>
                <w:color w:val="auto"/>
              </w:rPr>
            </w:pPr>
          </w:p>
        </w:tc>
        <w:tc>
          <w:tcPr>
            <w:tcW w:w="2528" w:type="dxa"/>
            <w:vAlign w:val="center"/>
          </w:tcPr>
          <w:p w14:paraId="65BCBF88">
            <w:pPr>
              <w:spacing w:after="0"/>
              <w:jc w:val="center"/>
              <w:rPr>
                <w:rFonts w:hint="eastAsia" w:ascii="仿宋" w:hAnsi="仿宋" w:eastAsia="仿宋" w:cs="仿宋"/>
                <w:color w:val="auto"/>
                <w:lang w:val="en-US" w:eastAsia="zh-CN"/>
              </w:rPr>
            </w:pPr>
          </w:p>
        </w:tc>
      </w:tr>
      <w:tr w14:paraId="012F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57777608">
            <w:pPr>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4541" w:type="dxa"/>
            <w:vAlign w:val="center"/>
          </w:tcPr>
          <w:p w14:paraId="2DB4F7C3">
            <w:pPr>
              <w:snapToGrid w:val="0"/>
              <w:spacing w:after="0"/>
              <w:jc w:val="center"/>
              <w:rPr>
                <w:rFonts w:hint="eastAsia" w:ascii="仿宋" w:hAnsi="仿宋" w:eastAsia="仿宋" w:cs="仿宋"/>
                <w:color w:val="auto"/>
                <w:highlight w:val="yellow"/>
                <w:lang w:val="en-US" w:eastAsia="zh-CN"/>
              </w:rPr>
            </w:pPr>
            <w:r>
              <w:rPr>
                <w:rFonts w:hint="eastAsia" w:ascii="仿宋" w:hAnsi="仿宋" w:eastAsia="仿宋" w:cs="仿宋"/>
                <w:color w:val="auto"/>
                <w:lang w:val="en-US" w:eastAsia="zh-CN"/>
              </w:rPr>
              <w:t>北干街道城北新村</w:t>
            </w:r>
          </w:p>
        </w:tc>
        <w:tc>
          <w:tcPr>
            <w:tcW w:w="2115" w:type="dxa"/>
            <w:vMerge w:val="continue"/>
            <w:vAlign w:val="center"/>
          </w:tcPr>
          <w:p w14:paraId="58AAA55C">
            <w:pPr>
              <w:snapToGrid w:val="0"/>
              <w:spacing w:after="0"/>
              <w:jc w:val="center"/>
              <w:rPr>
                <w:rFonts w:hint="eastAsia" w:ascii="仿宋" w:hAnsi="仿宋" w:eastAsia="仿宋" w:cs="仿宋"/>
                <w:color w:val="auto"/>
                <w:lang w:val="en-US" w:eastAsia="zh-CN"/>
              </w:rPr>
            </w:pPr>
          </w:p>
        </w:tc>
        <w:tc>
          <w:tcPr>
            <w:tcW w:w="3336" w:type="dxa"/>
            <w:vAlign w:val="center"/>
          </w:tcPr>
          <w:p w14:paraId="5E00AF53">
            <w:pPr>
              <w:spacing w:after="0"/>
              <w:jc w:val="center"/>
              <w:rPr>
                <w:rFonts w:hint="eastAsia" w:ascii="仿宋" w:hAnsi="仿宋" w:eastAsia="仿宋" w:cs="仿宋"/>
                <w:color w:val="auto"/>
              </w:rPr>
            </w:pPr>
          </w:p>
        </w:tc>
        <w:tc>
          <w:tcPr>
            <w:tcW w:w="2528" w:type="dxa"/>
            <w:vAlign w:val="center"/>
          </w:tcPr>
          <w:p w14:paraId="3BC70530">
            <w:pPr>
              <w:spacing w:after="0"/>
              <w:jc w:val="center"/>
              <w:rPr>
                <w:rFonts w:hint="eastAsia" w:ascii="仿宋" w:hAnsi="仿宋" w:eastAsia="仿宋" w:cs="仿宋"/>
                <w:color w:val="auto"/>
                <w:lang w:val="en-US" w:eastAsia="zh-CN"/>
              </w:rPr>
            </w:pPr>
          </w:p>
        </w:tc>
      </w:tr>
      <w:tr w14:paraId="0AF2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506633AC">
            <w:pPr>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4541" w:type="dxa"/>
            <w:vAlign w:val="center"/>
          </w:tcPr>
          <w:p w14:paraId="0223B5B5">
            <w:pPr>
              <w:snapToGrid w:val="0"/>
              <w:spacing w:after="0"/>
              <w:jc w:val="center"/>
              <w:rPr>
                <w:rFonts w:hint="eastAsia" w:ascii="仿宋" w:hAnsi="仿宋" w:eastAsia="仿宋" w:cs="仿宋"/>
                <w:color w:val="auto"/>
                <w:highlight w:val="yellow"/>
                <w:lang w:val="en-US" w:eastAsia="zh-CN"/>
              </w:rPr>
            </w:pPr>
            <w:r>
              <w:rPr>
                <w:rFonts w:hint="eastAsia" w:ascii="仿宋" w:hAnsi="仿宋" w:eastAsia="仿宋" w:cs="仿宋"/>
                <w:color w:val="auto"/>
                <w:lang w:val="en-US" w:eastAsia="zh-CN"/>
              </w:rPr>
              <w:t>北干街道银河小区</w:t>
            </w:r>
          </w:p>
        </w:tc>
        <w:tc>
          <w:tcPr>
            <w:tcW w:w="2115" w:type="dxa"/>
            <w:vMerge w:val="continue"/>
            <w:vAlign w:val="center"/>
          </w:tcPr>
          <w:p w14:paraId="2A765680">
            <w:pPr>
              <w:snapToGrid w:val="0"/>
              <w:spacing w:after="0"/>
              <w:jc w:val="center"/>
              <w:rPr>
                <w:rFonts w:hint="eastAsia" w:ascii="仿宋" w:hAnsi="仿宋" w:eastAsia="仿宋" w:cs="仿宋"/>
                <w:color w:val="auto"/>
                <w:lang w:val="en-US" w:eastAsia="zh-CN"/>
              </w:rPr>
            </w:pPr>
          </w:p>
        </w:tc>
        <w:tc>
          <w:tcPr>
            <w:tcW w:w="3336" w:type="dxa"/>
            <w:vAlign w:val="center"/>
          </w:tcPr>
          <w:p w14:paraId="147A31DA">
            <w:pPr>
              <w:spacing w:after="0"/>
              <w:jc w:val="center"/>
              <w:rPr>
                <w:rFonts w:hint="eastAsia" w:ascii="仿宋" w:hAnsi="仿宋" w:eastAsia="仿宋" w:cs="仿宋"/>
                <w:color w:val="auto"/>
              </w:rPr>
            </w:pPr>
          </w:p>
        </w:tc>
        <w:tc>
          <w:tcPr>
            <w:tcW w:w="2528" w:type="dxa"/>
            <w:vAlign w:val="center"/>
          </w:tcPr>
          <w:p w14:paraId="6302DA29">
            <w:pPr>
              <w:spacing w:after="0"/>
              <w:jc w:val="center"/>
              <w:rPr>
                <w:rFonts w:hint="eastAsia" w:ascii="仿宋" w:hAnsi="仿宋" w:eastAsia="仿宋" w:cs="仿宋"/>
                <w:color w:val="auto"/>
                <w:lang w:val="en-US" w:eastAsia="zh-CN"/>
              </w:rPr>
            </w:pPr>
          </w:p>
        </w:tc>
      </w:tr>
      <w:tr w14:paraId="7956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73A28ED4">
            <w:pPr>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4541" w:type="dxa"/>
            <w:vAlign w:val="center"/>
          </w:tcPr>
          <w:p w14:paraId="779824C9">
            <w:pPr>
              <w:snapToGrid w:val="0"/>
              <w:spacing w:after="0"/>
              <w:jc w:val="center"/>
              <w:rPr>
                <w:rFonts w:hint="eastAsia" w:ascii="仿宋" w:hAnsi="仿宋" w:eastAsia="仿宋" w:cs="仿宋"/>
                <w:color w:val="auto"/>
                <w:highlight w:val="yellow"/>
                <w:lang w:val="en-US" w:eastAsia="zh-CN"/>
              </w:rPr>
            </w:pPr>
            <w:r>
              <w:rPr>
                <w:rFonts w:hint="eastAsia" w:ascii="仿宋" w:hAnsi="仿宋" w:eastAsia="仿宋" w:cs="仿宋"/>
                <w:color w:val="auto"/>
                <w:lang w:val="en-US" w:eastAsia="zh-CN"/>
              </w:rPr>
              <w:t>北干街道锦宁里</w:t>
            </w:r>
          </w:p>
        </w:tc>
        <w:tc>
          <w:tcPr>
            <w:tcW w:w="2115" w:type="dxa"/>
            <w:vMerge w:val="continue"/>
            <w:vAlign w:val="center"/>
          </w:tcPr>
          <w:p w14:paraId="637EC7D9">
            <w:pPr>
              <w:snapToGrid w:val="0"/>
              <w:spacing w:after="0"/>
              <w:jc w:val="center"/>
              <w:rPr>
                <w:rFonts w:hint="eastAsia" w:ascii="仿宋" w:hAnsi="仿宋" w:eastAsia="仿宋" w:cs="仿宋"/>
                <w:color w:val="auto"/>
                <w:lang w:val="en-US" w:eastAsia="zh-CN"/>
              </w:rPr>
            </w:pPr>
          </w:p>
        </w:tc>
        <w:tc>
          <w:tcPr>
            <w:tcW w:w="3336" w:type="dxa"/>
            <w:vAlign w:val="center"/>
          </w:tcPr>
          <w:p w14:paraId="3CC8CCBF">
            <w:pPr>
              <w:spacing w:after="0"/>
              <w:jc w:val="center"/>
              <w:rPr>
                <w:rFonts w:hint="eastAsia" w:ascii="仿宋" w:hAnsi="仿宋" w:eastAsia="仿宋" w:cs="仿宋"/>
                <w:color w:val="auto"/>
              </w:rPr>
            </w:pPr>
          </w:p>
        </w:tc>
        <w:tc>
          <w:tcPr>
            <w:tcW w:w="2528" w:type="dxa"/>
            <w:vAlign w:val="center"/>
          </w:tcPr>
          <w:p w14:paraId="52E69783">
            <w:pPr>
              <w:spacing w:after="0"/>
              <w:jc w:val="center"/>
              <w:rPr>
                <w:rFonts w:hint="eastAsia" w:ascii="仿宋" w:hAnsi="仿宋" w:eastAsia="仿宋" w:cs="仿宋"/>
                <w:color w:val="auto"/>
                <w:lang w:val="en-US" w:eastAsia="zh-CN"/>
              </w:rPr>
            </w:pPr>
          </w:p>
        </w:tc>
      </w:tr>
      <w:tr w14:paraId="0FFB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543682D8">
            <w:pPr>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4541" w:type="dxa"/>
            <w:vAlign w:val="center"/>
          </w:tcPr>
          <w:p w14:paraId="36B7EC13">
            <w:pPr>
              <w:snapToGrid w:val="0"/>
              <w:spacing w:after="0"/>
              <w:jc w:val="center"/>
              <w:rPr>
                <w:rFonts w:hint="eastAsia" w:ascii="仿宋" w:hAnsi="仿宋" w:eastAsia="仿宋" w:cs="仿宋"/>
                <w:color w:val="auto"/>
                <w:highlight w:val="yellow"/>
                <w:lang w:val="en-US" w:eastAsia="zh-CN"/>
              </w:rPr>
            </w:pPr>
            <w:r>
              <w:rPr>
                <w:rFonts w:hint="eastAsia" w:ascii="仿宋" w:hAnsi="仿宋" w:eastAsia="仿宋" w:cs="仿宋"/>
                <w:color w:val="auto"/>
                <w:lang w:val="en-US" w:eastAsia="zh-CN"/>
              </w:rPr>
              <w:t>北干街道城建公寓</w:t>
            </w:r>
          </w:p>
        </w:tc>
        <w:tc>
          <w:tcPr>
            <w:tcW w:w="2115" w:type="dxa"/>
            <w:vMerge w:val="continue"/>
            <w:vAlign w:val="center"/>
          </w:tcPr>
          <w:p w14:paraId="208995DB">
            <w:pPr>
              <w:snapToGrid w:val="0"/>
              <w:spacing w:after="0"/>
              <w:jc w:val="center"/>
              <w:rPr>
                <w:rFonts w:hint="eastAsia" w:ascii="仿宋" w:hAnsi="仿宋" w:eastAsia="仿宋" w:cs="仿宋"/>
                <w:color w:val="auto"/>
                <w:lang w:val="en-US" w:eastAsia="zh-CN"/>
              </w:rPr>
            </w:pPr>
          </w:p>
        </w:tc>
        <w:tc>
          <w:tcPr>
            <w:tcW w:w="3336" w:type="dxa"/>
            <w:vAlign w:val="center"/>
          </w:tcPr>
          <w:p w14:paraId="3270A7D2">
            <w:pPr>
              <w:spacing w:after="0"/>
              <w:jc w:val="center"/>
              <w:rPr>
                <w:rFonts w:hint="eastAsia" w:ascii="仿宋" w:hAnsi="仿宋" w:eastAsia="仿宋" w:cs="仿宋"/>
                <w:color w:val="auto"/>
              </w:rPr>
            </w:pPr>
          </w:p>
        </w:tc>
        <w:tc>
          <w:tcPr>
            <w:tcW w:w="2528" w:type="dxa"/>
            <w:vAlign w:val="center"/>
          </w:tcPr>
          <w:p w14:paraId="4073E8A4">
            <w:pPr>
              <w:spacing w:after="0"/>
              <w:jc w:val="center"/>
              <w:rPr>
                <w:rFonts w:hint="eastAsia" w:ascii="仿宋" w:hAnsi="仿宋" w:eastAsia="仿宋" w:cs="仿宋"/>
                <w:color w:val="auto"/>
                <w:lang w:val="en-US" w:eastAsia="zh-CN"/>
              </w:rPr>
            </w:pPr>
          </w:p>
        </w:tc>
      </w:tr>
      <w:tr w14:paraId="0DC9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400E4961">
            <w:pPr>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4541" w:type="dxa"/>
            <w:vAlign w:val="center"/>
          </w:tcPr>
          <w:p w14:paraId="635BE080">
            <w:pPr>
              <w:snapToGrid w:val="0"/>
              <w:spacing w:after="0"/>
              <w:jc w:val="center"/>
              <w:rPr>
                <w:rFonts w:hint="eastAsia" w:ascii="仿宋" w:hAnsi="仿宋" w:eastAsia="仿宋" w:cs="仿宋"/>
                <w:color w:val="auto"/>
                <w:highlight w:val="yellow"/>
                <w:lang w:val="en-US" w:eastAsia="zh-CN"/>
              </w:rPr>
            </w:pPr>
            <w:r>
              <w:rPr>
                <w:rFonts w:hint="eastAsia" w:ascii="仿宋" w:hAnsi="仿宋" w:eastAsia="仿宋" w:cs="仿宋"/>
                <w:color w:val="auto"/>
                <w:lang w:val="en-US" w:eastAsia="zh-CN"/>
              </w:rPr>
              <w:t>北干街道家乐公寓</w:t>
            </w:r>
          </w:p>
        </w:tc>
        <w:tc>
          <w:tcPr>
            <w:tcW w:w="2115" w:type="dxa"/>
            <w:vMerge w:val="continue"/>
            <w:vAlign w:val="center"/>
          </w:tcPr>
          <w:p w14:paraId="19870D28">
            <w:pPr>
              <w:snapToGrid w:val="0"/>
              <w:spacing w:after="0"/>
              <w:jc w:val="center"/>
              <w:rPr>
                <w:rFonts w:hint="eastAsia" w:ascii="仿宋" w:hAnsi="仿宋" w:eastAsia="仿宋" w:cs="仿宋"/>
                <w:color w:val="auto"/>
                <w:lang w:val="en-US" w:eastAsia="zh-CN"/>
              </w:rPr>
            </w:pPr>
          </w:p>
        </w:tc>
        <w:tc>
          <w:tcPr>
            <w:tcW w:w="3336" w:type="dxa"/>
            <w:vAlign w:val="center"/>
          </w:tcPr>
          <w:p w14:paraId="2109D53B">
            <w:pPr>
              <w:spacing w:after="0"/>
              <w:jc w:val="center"/>
              <w:rPr>
                <w:rFonts w:hint="eastAsia" w:ascii="仿宋" w:hAnsi="仿宋" w:eastAsia="仿宋" w:cs="仿宋"/>
                <w:color w:val="auto"/>
              </w:rPr>
            </w:pPr>
          </w:p>
        </w:tc>
        <w:tc>
          <w:tcPr>
            <w:tcW w:w="2528" w:type="dxa"/>
            <w:vAlign w:val="center"/>
          </w:tcPr>
          <w:p w14:paraId="062823E8">
            <w:pPr>
              <w:spacing w:after="0"/>
              <w:jc w:val="center"/>
              <w:rPr>
                <w:rFonts w:hint="eastAsia" w:ascii="仿宋" w:hAnsi="仿宋" w:eastAsia="仿宋" w:cs="仿宋"/>
                <w:color w:val="auto"/>
                <w:lang w:val="en-US" w:eastAsia="zh-CN"/>
              </w:rPr>
            </w:pPr>
          </w:p>
        </w:tc>
      </w:tr>
      <w:tr w14:paraId="0A3C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6" w:type="dxa"/>
            <w:vAlign w:val="center"/>
          </w:tcPr>
          <w:p w14:paraId="50750361">
            <w:pPr>
              <w:spacing w:after="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4541" w:type="dxa"/>
            <w:vAlign w:val="center"/>
          </w:tcPr>
          <w:p w14:paraId="15B1FB5A">
            <w:pPr>
              <w:snapToGrid w:val="0"/>
              <w:spacing w:after="0"/>
              <w:jc w:val="center"/>
              <w:rPr>
                <w:rFonts w:hint="eastAsia" w:ascii="仿宋" w:hAnsi="仿宋" w:eastAsia="仿宋" w:cs="仿宋"/>
                <w:color w:val="auto"/>
                <w:highlight w:val="yellow"/>
                <w:lang w:val="en-US" w:eastAsia="zh-CN"/>
              </w:rPr>
            </w:pPr>
            <w:r>
              <w:rPr>
                <w:rFonts w:hint="eastAsia" w:ascii="仿宋" w:hAnsi="仿宋" w:eastAsia="仿宋" w:cs="仿宋"/>
                <w:color w:val="auto"/>
                <w:highlight w:val="none"/>
                <w:lang w:val="en-US" w:eastAsia="zh-CN"/>
              </w:rPr>
              <w:t>总计</w:t>
            </w:r>
          </w:p>
        </w:tc>
        <w:tc>
          <w:tcPr>
            <w:tcW w:w="7979" w:type="dxa"/>
            <w:gridSpan w:val="3"/>
            <w:vAlign w:val="center"/>
          </w:tcPr>
          <w:p w14:paraId="6A43771D">
            <w:pPr>
              <w:spacing w:after="0"/>
              <w:jc w:val="center"/>
              <w:rPr>
                <w:rFonts w:hint="eastAsia" w:ascii="仿宋" w:hAnsi="仿宋" w:eastAsia="仿宋" w:cs="仿宋"/>
                <w:color w:val="auto"/>
              </w:rPr>
            </w:pPr>
            <w:r>
              <w:rPr>
                <w:rFonts w:hint="eastAsia" w:ascii="仿宋" w:hAnsi="仿宋" w:eastAsia="仿宋" w:cs="仿宋"/>
                <w:color w:val="auto"/>
                <w:lang w:val="en-US" w:eastAsia="zh-CN"/>
              </w:rPr>
              <w:t>金额               元（大写：                         ）</w:t>
            </w:r>
          </w:p>
        </w:tc>
      </w:tr>
    </w:tbl>
    <w:p w14:paraId="699A085F">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529BF7C5">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56E48E81">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14:paraId="05DEE8DC">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14:paraId="363F602A">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A588A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5、特别说明：▲供应商报价低于项目预算50%的，应当在报价文件中详细阐述不影响产品质量或者诚信履约的具体原因，未做阐述说明的，投标无效。</w:t>
      </w:r>
    </w:p>
    <w:p w14:paraId="59C57457">
      <w:pPr>
        <w:rPr>
          <w:rFonts w:hint="eastAsia" w:ascii="仿宋" w:hAnsi="仿宋" w:eastAsia="仿宋" w:cs="仿宋"/>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2DC8360A">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5FCD1AB9">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93FA7EC">
      <w:pPr>
        <w:rPr>
          <w:rFonts w:hint="eastAsia" w:ascii="仿宋" w:hAnsi="仿宋" w:eastAsia="仿宋" w:cs="仿宋"/>
          <w:color w:val="auto"/>
        </w:rPr>
      </w:pPr>
      <w:r>
        <w:rPr>
          <w:rFonts w:hint="eastAsia" w:ascii="仿宋" w:hAnsi="仿宋" w:eastAsia="仿宋" w:cs="仿宋"/>
          <w:b/>
          <w:color w:val="auto"/>
          <w:sz w:val="24"/>
        </w:rPr>
        <w:br w:type="page"/>
      </w:r>
    </w:p>
    <w:p w14:paraId="4F338599">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附件</w:t>
      </w:r>
    </w:p>
    <w:p w14:paraId="62E10603">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338F1091">
      <w:pPr>
        <w:spacing w:line="360" w:lineRule="auto"/>
        <w:jc w:val="center"/>
        <w:rPr>
          <w:rFonts w:hint="eastAsia" w:ascii="仿宋" w:hAnsi="仿宋" w:eastAsia="仿宋" w:cs="仿宋"/>
          <w:b/>
          <w:color w:val="auto"/>
          <w:spacing w:val="6"/>
          <w:sz w:val="32"/>
          <w:szCs w:val="32"/>
        </w:rPr>
      </w:pPr>
      <w:bookmarkStart w:id="495" w:name="OLE_LINK13"/>
      <w:bookmarkStart w:id="496" w:name="OLE_LINK14"/>
      <w:r>
        <w:rPr>
          <w:rFonts w:hint="eastAsia" w:ascii="仿宋" w:hAnsi="仿宋" w:eastAsia="仿宋" w:cs="仿宋"/>
          <w:b/>
          <w:color w:val="auto"/>
          <w:spacing w:val="6"/>
          <w:sz w:val="32"/>
          <w:szCs w:val="32"/>
        </w:rPr>
        <w:t>残疾人福利性单位声明函</w:t>
      </w:r>
    </w:p>
    <w:bookmarkEnd w:id="495"/>
    <w:bookmarkEnd w:id="496"/>
    <w:p w14:paraId="62C4111C">
      <w:pPr>
        <w:spacing w:line="360" w:lineRule="auto"/>
        <w:rPr>
          <w:rFonts w:hint="eastAsia" w:ascii="仿宋" w:hAnsi="仿宋" w:eastAsia="仿宋" w:cs="仿宋"/>
          <w:b/>
          <w:color w:val="auto"/>
          <w:spacing w:val="6"/>
          <w:sz w:val="30"/>
          <w:szCs w:val="30"/>
        </w:rPr>
      </w:pPr>
    </w:p>
    <w:p w14:paraId="018D32B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65ADD3B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ACFCB36">
      <w:pPr>
        <w:spacing w:line="360" w:lineRule="auto"/>
        <w:ind w:firstLine="480" w:firstLineChars="200"/>
        <w:rPr>
          <w:rFonts w:hint="eastAsia" w:ascii="仿宋" w:hAnsi="仿宋" w:eastAsia="仿宋" w:cs="仿宋"/>
          <w:color w:val="auto"/>
          <w:sz w:val="24"/>
        </w:rPr>
      </w:pPr>
    </w:p>
    <w:p w14:paraId="1105C9B2">
      <w:pPr>
        <w:spacing w:line="360" w:lineRule="auto"/>
        <w:ind w:firstLine="480" w:firstLineChars="200"/>
        <w:rPr>
          <w:rFonts w:hint="eastAsia" w:ascii="仿宋" w:hAnsi="仿宋" w:eastAsia="仿宋" w:cs="仿宋"/>
          <w:color w:val="auto"/>
          <w:sz w:val="24"/>
        </w:rPr>
      </w:pPr>
    </w:p>
    <w:p w14:paraId="3C2AA4EA">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3EB926B0">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0BDE291D">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22C8A878">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19372A9">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2A6E6D79">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05F0D7C4">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20EF225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63D56C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4677880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6745E7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F76471C">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324C663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15FB7CC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1ADCD71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718C22A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4AC226DE">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3935D01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1770479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117DBD8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441DD34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5D45CDC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70AB740">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6C7E71D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677D1F7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7F25027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3394B41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1E6281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03814234">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2F67F18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6AFADAA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3FDA3E7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6C8A681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0ED9FAE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5B6AD7D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4AB02218">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305AE507">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3E80B31E">
      <w:pPr>
        <w:spacing w:line="360" w:lineRule="auto"/>
        <w:jc w:val="center"/>
        <w:rPr>
          <w:rFonts w:hint="eastAsia" w:ascii="仿宋" w:hAnsi="仿宋" w:eastAsia="仿宋" w:cs="仿宋"/>
          <w:b/>
          <w:color w:val="auto"/>
          <w:sz w:val="24"/>
        </w:rPr>
      </w:pPr>
    </w:p>
    <w:p w14:paraId="7286000F">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339322F2">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56EE190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3E841F5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2882294">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52A75EA">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6A5E939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834D720">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01BA429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A8C634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104042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C7180C9">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2E30785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0B1F017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AE06E2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765672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0218979">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1B07FBF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1B26108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3719577D">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47A651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7F22832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670D13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2B16A84F">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1711F8F1">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71FE8B1E">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63C8C140">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39883EF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548D56FF">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4C419957">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057A9A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FBA7F99">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4478619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投诉事项2</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303CA53B">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1A488234">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155873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54C3417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53B60584">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日期：    </w:t>
      </w:r>
    </w:p>
    <w:p w14:paraId="3F1CB1A7">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59E9E2A3">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06F6409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F3E45A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4D17A73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00CF7F9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0044A5F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056D30C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63258B28">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6214B057">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28BE0282">
      <w:pPr>
        <w:spacing w:line="360" w:lineRule="auto"/>
        <w:rPr>
          <w:rFonts w:hint="eastAsia" w:ascii="仿宋" w:hAnsi="仿宋" w:eastAsia="仿宋" w:cs="仿宋"/>
          <w:color w:val="auto"/>
          <w:sz w:val="24"/>
          <w:u w:val="single"/>
        </w:rPr>
      </w:pPr>
    </w:p>
    <w:p w14:paraId="774C5D27">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63F7FEB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4EFEE4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057432B9">
      <w:pPr>
        <w:spacing w:line="360" w:lineRule="auto"/>
        <w:ind w:firstLine="494"/>
        <w:rPr>
          <w:rFonts w:hint="eastAsia" w:ascii="仿宋" w:hAnsi="仿宋" w:eastAsia="仿宋" w:cs="仿宋"/>
          <w:color w:val="auto"/>
          <w:sz w:val="24"/>
        </w:rPr>
      </w:pPr>
    </w:p>
    <w:p w14:paraId="3D9CBE56">
      <w:pPr>
        <w:spacing w:line="360" w:lineRule="auto"/>
        <w:ind w:firstLine="494"/>
        <w:rPr>
          <w:rFonts w:hint="eastAsia" w:ascii="仿宋" w:hAnsi="仿宋" w:eastAsia="仿宋" w:cs="仿宋"/>
          <w:color w:val="auto"/>
          <w:sz w:val="24"/>
        </w:rPr>
      </w:pPr>
    </w:p>
    <w:p w14:paraId="2983D01E">
      <w:pPr>
        <w:spacing w:line="360" w:lineRule="auto"/>
        <w:rPr>
          <w:rFonts w:hint="eastAsia" w:ascii="仿宋" w:hAnsi="仿宋" w:eastAsia="仿宋" w:cs="仿宋"/>
          <w:color w:val="auto"/>
          <w:sz w:val="24"/>
        </w:rPr>
      </w:pPr>
    </w:p>
    <w:p w14:paraId="54CCFC42">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5A85C3B9">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5E2F2E35">
      <w:pPr>
        <w:rPr>
          <w:rFonts w:hint="eastAsia" w:ascii="仿宋" w:hAnsi="仿宋" w:eastAsia="仿宋" w:cs="仿宋"/>
          <w:color w:val="auto"/>
          <w:sz w:val="24"/>
        </w:rPr>
      </w:pPr>
      <w:r>
        <w:rPr>
          <w:rFonts w:hint="eastAsia" w:ascii="仿宋" w:hAnsi="仿宋" w:eastAsia="仿宋" w:cs="仿宋"/>
          <w:b/>
          <w:bCs/>
          <w:color w:val="auto"/>
          <w:sz w:val="24"/>
        </w:rPr>
        <w:t>附：</w:t>
      </w:r>
    </w:p>
    <w:p w14:paraId="2631F90B">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5FA13BFD">
      <w:pPr>
        <w:autoSpaceDE w:val="0"/>
        <w:autoSpaceDN w:val="0"/>
        <w:jc w:val="center"/>
        <w:rPr>
          <w:rFonts w:hint="eastAsia" w:ascii="仿宋" w:hAnsi="仿宋" w:eastAsia="仿宋" w:cs="仿宋"/>
          <w:b/>
          <w:color w:val="auto"/>
          <w:spacing w:val="6"/>
          <w:sz w:val="32"/>
          <w:szCs w:val="32"/>
        </w:rPr>
      </w:pPr>
    </w:p>
    <w:p w14:paraId="483AF3FF">
      <w:pPr>
        <w:autoSpaceDE w:val="0"/>
        <w:autoSpaceDN w:val="0"/>
        <w:jc w:val="center"/>
        <w:rPr>
          <w:rFonts w:hint="eastAsia" w:ascii="仿宋" w:hAnsi="仿宋" w:eastAsia="仿宋" w:cs="仿宋"/>
          <w:b/>
          <w:color w:val="auto"/>
          <w:spacing w:val="6"/>
          <w:sz w:val="32"/>
          <w:szCs w:val="32"/>
        </w:rPr>
      </w:pPr>
    </w:p>
    <w:p w14:paraId="4F038498">
      <w:pPr>
        <w:autoSpaceDE w:val="0"/>
        <w:autoSpaceDN w:val="0"/>
        <w:jc w:val="center"/>
        <w:rPr>
          <w:rFonts w:hint="eastAsia" w:ascii="仿宋" w:hAnsi="仿宋" w:eastAsia="仿宋" w:cs="仿宋"/>
          <w:b/>
          <w:color w:val="auto"/>
          <w:spacing w:val="6"/>
          <w:sz w:val="32"/>
          <w:szCs w:val="32"/>
        </w:rPr>
      </w:pPr>
    </w:p>
    <w:p w14:paraId="211EB5B7">
      <w:pPr>
        <w:autoSpaceDE w:val="0"/>
        <w:autoSpaceDN w:val="0"/>
        <w:jc w:val="center"/>
        <w:rPr>
          <w:rFonts w:hint="eastAsia" w:ascii="仿宋" w:hAnsi="仿宋" w:eastAsia="仿宋" w:cs="仿宋"/>
          <w:b/>
          <w:color w:val="auto"/>
          <w:spacing w:val="6"/>
          <w:sz w:val="32"/>
          <w:szCs w:val="32"/>
        </w:rPr>
      </w:pPr>
    </w:p>
    <w:p w14:paraId="0BCE644E">
      <w:pPr>
        <w:autoSpaceDE w:val="0"/>
        <w:autoSpaceDN w:val="0"/>
        <w:jc w:val="center"/>
        <w:rPr>
          <w:rFonts w:hint="eastAsia" w:ascii="仿宋" w:hAnsi="仿宋" w:eastAsia="仿宋" w:cs="仿宋"/>
          <w:b/>
          <w:color w:val="auto"/>
          <w:spacing w:val="6"/>
          <w:sz w:val="32"/>
          <w:szCs w:val="32"/>
        </w:rPr>
      </w:pPr>
    </w:p>
    <w:p w14:paraId="64CBB269">
      <w:pPr>
        <w:autoSpaceDE w:val="0"/>
        <w:autoSpaceDN w:val="0"/>
        <w:jc w:val="center"/>
        <w:rPr>
          <w:rFonts w:hint="eastAsia" w:ascii="仿宋" w:hAnsi="仿宋" w:eastAsia="仿宋" w:cs="仿宋"/>
          <w:b/>
          <w:color w:val="auto"/>
          <w:spacing w:val="6"/>
          <w:sz w:val="32"/>
          <w:szCs w:val="32"/>
        </w:rPr>
      </w:pPr>
    </w:p>
    <w:p w14:paraId="6B3D8D55">
      <w:pPr>
        <w:autoSpaceDE w:val="0"/>
        <w:autoSpaceDN w:val="0"/>
        <w:jc w:val="center"/>
        <w:rPr>
          <w:rFonts w:hint="eastAsia" w:ascii="仿宋" w:hAnsi="仿宋" w:eastAsia="仿宋" w:cs="仿宋"/>
          <w:b/>
          <w:color w:val="auto"/>
          <w:spacing w:val="6"/>
          <w:sz w:val="32"/>
          <w:szCs w:val="32"/>
        </w:rPr>
      </w:pPr>
    </w:p>
    <w:p w14:paraId="7CFA2491">
      <w:pPr>
        <w:autoSpaceDE w:val="0"/>
        <w:autoSpaceDN w:val="0"/>
        <w:jc w:val="center"/>
        <w:rPr>
          <w:rFonts w:hint="eastAsia" w:ascii="仿宋" w:hAnsi="仿宋" w:eastAsia="仿宋" w:cs="仿宋"/>
          <w:b/>
          <w:color w:val="auto"/>
          <w:spacing w:val="6"/>
          <w:sz w:val="32"/>
          <w:szCs w:val="32"/>
        </w:rPr>
      </w:pPr>
    </w:p>
    <w:p w14:paraId="5ABB432A">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7EA3C2D5">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2D7FD387">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0700185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0B58F73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7B4453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6E8A4C3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4D2C83E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122D6D8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1CBEAEB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4AE186F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1F5AA871">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497" w:name="_Hlk101131882"/>
      <w:r>
        <w:rPr>
          <w:rFonts w:hint="eastAsia" w:ascii="仿宋" w:hAnsi="仿宋" w:eastAsia="仿宋" w:cs="仿宋"/>
          <w:color w:val="auto"/>
          <w:kern w:val="0"/>
          <w:sz w:val="24"/>
          <w:u w:val="single"/>
        </w:rPr>
        <w:t>联合体成员X,……</w:t>
      </w:r>
      <w:bookmarkEnd w:id="497"/>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498"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498"/>
      <w:r>
        <w:rPr>
          <w:rFonts w:hint="eastAsia" w:ascii="仿宋" w:hAnsi="仿宋" w:eastAsia="仿宋" w:cs="仿宋"/>
          <w:b/>
          <w:color w:val="auto"/>
          <w:kern w:val="0"/>
          <w:sz w:val="24"/>
          <w:lang w:val="zh-CN"/>
        </w:rPr>
        <w:t>）</w:t>
      </w:r>
    </w:p>
    <w:p w14:paraId="4280EEAA">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499"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499"/>
    </w:p>
    <w:p w14:paraId="219B71C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72B1BA2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2397F37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08CCB0C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4EC9ABC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33FE953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90CE3EA">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6196276">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1F192979">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1A02AAE9">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D096A8A">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6CA0339D">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4DD7819A">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47350D1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4FC8B27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10F156F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2C27D5F5">
      <w:pPr>
        <w:pStyle w:val="2"/>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2EAF2D37">
      <w:pPr>
        <w:rPr>
          <w:rFonts w:hint="eastAsia" w:ascii="仿宋" w:hAnsi="仿宋" w:eastAsia="仿宋" w:cs="仿宋"/>
          <w:color w:val="auto"/>
        </w:rPr>
      </w:pPr>
      <w:r>
        <w:rPr>
          <w:rFonts w:hint="eastAsia" w:ascii="仿宋" w:hAnsi="仿宋" w:eastAsia="仿宋" w:cs="仿宋"/>
          <w:color w:val="auto"/>
          <w:lang w:val="zh-CN"/>
        </w:rPr>
        <w:t xml:space="preserve"> </w:t>
      </w:r>
    </w:p>
    <w:p w14:paraId="6E25A99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641AB3DE">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3264733A">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529AEBE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3281DC6B">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1F62B1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6DE528B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60BBC4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4CEC5A95">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46574D5">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5F95D25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CDD647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4346B8C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A9FCD9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003EE5EA">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14:paraId="170C6CD1">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333E838C">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46B70EFA">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713495C">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4E7E122">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29A84D39">
      <w:pPr>
        <w:spacing w:line="360" w:lineRule="auto"/>
        <w:jc w:val="left"/>
        <w:outlineLvl w:val="0"/>
        <w:rPr>
          <w:rFonts w:hint="eastAsia" w:ascii="仿宋" w:hAnsi="仿宋" w:eastAsia="仿宋" w:cs="仿宋"/>
          <w:b/>
          <w:color w:val="auto"/>
          <w:sz w:val="32"/>
          <w:szCs w:val="18"/>
        </w:rPr>
      </w:pPr>
      <w:r>
        <w:rPr>
          <w:rFonts w:hint="eastAsia" w:ascii="仿宋" w:hAnsi="仿宋" w:eastAsia="仿宋" w:cs="仿宋"/>
          <w:b/>
          <w:color w:val="auto"/>
          <w:sz w:val="32"/>
          <w:szCs w:val="18"/>
        </w:rPr>
        <w:t>附件7：中小企业声明函</w:t>
      </w:r>
    </w:p>
    <w:p w14:paraId="5903F3CB">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6B378C49">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E24B06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D3898B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2E1C726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145DFC1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6426D73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69A16684">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5D946079">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2EAFF74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从业人员、营业收入、资产总额填报上一年度数据</w:t>
      </w:r>
      <w:r>
        <w:rPr>
          <w:rFonts w:hint="eastAsia" w:ascii="仿宋" w:hAnsi="仿宋" w:eastAsia="仿宋" w:cs="仿宋"/>
          <w:color w:val="auto"/>
          <w:sz w:val="20"/>
          <w:szCs w:val="20"/>
          <w:lang w:eastAsia="zh-CN"/>
        </w:rPr>
        <w:t>。</w:t>
      </w:r>
    </w:p>
    <w:p w14:paraId="3BBFE128">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473AAA53">
      <w:pPr>
        <w:keepNext w:val="0"/>
        <w:keepLines w:val="0"/>
        <w:pageBreakBefore w:val="0"/>
        <w:widowControl w:val="0"/>
        <w:numPr>
          <w:ilvl w:val="0"/>
          <w:numId w:val="12"/>
        </w:numPr>
        <w:kinsoku/>
        <w:wordWrap/>
        <w:overflowPunct/>
        <w:topLinePunct w:val="0"/>
        <w:autoSpaceDE/>
        <w:autoSpaceDN/>
        <w:bidi w:val="0"/>
        <w:adjustRightInd w:val="0"/>
        <w:snapToGrid/>
        <w:spacing w:line="288" w:lineRule="auto"/>
        <w:ind w:right="420"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lang w:eastAsia="zh-CN"/>
        </w:rPr>
        <w:t>。</w:t>
      </w:r>
    </w:p>
    <w:p w14:paraId="54169B6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rPr>
        <w:br w:type="page"/>
      </w:r>
    </w:p>
    <w:p w14:paraId="3279FFBD">
      <w:pPr>
        <w:pStyle w:val="2"/>
        <w:rPr>
          <w:rFonts w:hint="eastAsia" w:ascii="仿宋" w:hAnsi="仿宋" w:eastAsia="仿宋" w:cs="仿宋"/>
          <w:color w:val="auto"/>
          <w:sz w:val="24"/>
        </w:rPr>
      </w:pPr>
      <w:r>
        <w:rPr>
          <w:rFonts w:hint="eastAsia" w:ascii="仿宋" w:hAnsi="仿宋" w:eastAsia="仿宋" w:cs="仿宋"/>
          <w:color w:val="auto"/>
        </w:rPr>
        <w:t>附件</w:t>
      </w:r>
      <w:r>
        <w:rPr>
          <w:rFonts w:hint="eastAsia" w:ascii="仿宋" w:hAnsi="仿宋" w:eastAsia="仿宋" w:cs="仿宋"/>
          <w:color w:val="auto"/>
          <w:lang w:val="en-US"/>
        </w:rPr>
        <w:t>8</w:t>
      </w:r>
      <w:r>
        <w:rPr>
          <w:rFonts w:hint="eastAsia" w:ascii="仿宋" w:hAnsi="仿宋" w:eastAsia="仿宋" w:cs="仿宋"/>
          <w:color w:val="auto"/>
          <w:lang w:val="en-US" w:eastAsia="zh-CN"/>
        </w:rPr>
        <w:t>：</w:t>
      </w:r>
      <w:r>
        <w:rPr>
          <w:rFonts w:hint="eastAsia" w:ascii="仿宋" w:hAnsi="仿宋" w:eastAsia="仿宋" w:cs="仿宋"/>
          <w:color w:val="auto"/>
        </w:rPr>
        <w:t>样品（演示）授权委托书</w:t>
      </w:r>
    </w:p>
    <w:p w14:paraId="57AE50E0">
      <w:pPr>
        <w:jc w:val="center"/>
        <w:rPr>
          <w:rFonts w:hint="eastAsia" w:ascii="仿宋" w:hAnsi="仿宋" w:eastAsia="仿宋" w:cs="仿宋"/>
          <w:color w:val="auto"/>
          <w:sz w:val="40"/>
        </w:rPr>
      </w:pPr>
    </w:p>
    <w:p w14:paraId="4F799FA1">
      <w:pPr>
        <w:jc w:val="center"/>
        <w:rPr>
          <w:rFonts w:hint="eastAsia" w:ascii="仿宋" w:hAnsi="仿宋" w:eastAsia="仿宋" w:cs="仿宋"/>
          <w:color w:val="auto"/>
          <w:sz w:val="40"/>
        </w:rPr>
      </w:pPr>
      <w:r>
        <w:rPr>
          <w:rFonts w:hint="eastAsia" w:ascii="仿宋" w:hAnsi="仿宋" w:eastAsia="仿宋" w:cs="仿宋"/>
          <w:color w:val="auto"/>
          <w:sz w:val="40"/>
        </w:rPr>
        <w:t>样品（演示）授权委托书</w:t>
      </w:r>
    </w:p>
    <w:p w14:paraId="681F1FE6">
      <w:pPr>
        <w:jc w:val="center"/>
        <w:rPr>
          <w:rFonts w:hint="eastAsia" w:ascii="仿宋" w:hAnsi="仿宋" w:eastAsia="仿宋" w:cs="仿宋"/>
          <w:color w:val="auto"/>
          <w:sz w:val="40"/>
        </w:rPr>
      </w:pPr>
    </w:p>
    <w:p w14:paraId="6437B55D">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14:paraId="627D75FD">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14:paraId="3E1CB217">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14:paraId="3858E32D">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14:paraId="0FCF0271">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14:paraId="13459612">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14:paraId="6CB357C5">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14:paraId="2B7425A5">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14:paraId="0A77F6D1">
      <w:pPr>
        <w:snapToGrid w:val="0"/>
        <w:spacing w:line="360" w:lineRule="auto"/>
        <w:ind w:right="240"/>
        <w:jc w:val="right"/>
        <w:rPr>
          <w:rFonts w:hint="eastAsia" w:ascii="仿宋" w:hAnsi="仿宋" w:eastAsia="仿宋" w:cs="仿宋"/>
          <w:color w:val="auto"/>
          <w:lang w:val="zh-CN"/>
        </w:rPr>
      </w:pPr>
    </w:p>
    <w:p w14:paraId="19127440">
      <w:pPr>
        <w:snapToGrid w:val="0"/>
        <w:spacing w:line="360" w:lineRule="auto"/>
        <w:ind w:right="1920"/>
        <w:rPr>
          <w:rFonts w:hint="eastAsia" w:ascii="仿宋" w:hAnsi="仿宋" w:eastAsia="仿宋" w:cs="仿宋"/>
          <w:color w:val="auto"/>
          <w:lang w:val="zh-CN"/>
        </w:rPr>
      </w:pPr>
    </w:p>
    <w:p w14:paraId="7325C75D">
      <w:pPr>
        <w:snapToGrid w:val="0"/>
        <w:spacing w:line="360" w:lineRule="auto"/>
        <w:ind w:right="240"/>
        <w:jc w:val="right"/>
        <w:rPr>
          <w:rFonts w:hint="eastAsia" w:ascii="仿宋" w:hAnsi="仿宋" w:eastAsia="仿宋" w:cs="仿宋"/>
          <w:color w:val="auto"/>
          <w:lang w:val="zh-CN"/>
        </w:rPr>
      </w:pPr>
    </w:p>
    <w:p w14:paraId="56211C0E">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14:paraId="407A3FCB">
      <w:pPr>
        <w:snapToGrid w:val="0"/>
        <w:spacing w:line="360" w:lineRule="auto"/>
        <w:ind w:right="240"/>
        <w:rPr>
          <w:rFonts w:hint="eastAsia" w:ascii="仿宋" w:hAnsi="仿宋" w:eastAsia="仿宋" w:cs="仿宋"/>
          <w:color w:val="auto"/>
          <w:lang w:val="zh-CN"/>
        </w:rPr>
      </w:pPr>
    </w:p>
    <w:p w14:paraId="6FB0B37D">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14:paraId="6043B4C5">
      <w:pPr>
        <w:spacing w:line="360" w:lineRule="auto"/>
        <w:rPr>
          <w:rFonts w:hint="eastAsia" w:ascii="仿宋" w:hAnsi="仿宋" w:eastAsia="仿宋" w:cs="仿宋"/>
          <w:bCs/>
          <w:color w:val="auto"/>
          <w:sz w:val="24"/>
        </w:rPr>
      </w:pPr>
      <w:r>
        <w:rPr>
          <w:rFonts w:hint="eastAsia" w:ascii="仿宋" w:hAnsi="仿宋" w:eastAsia="仿宋" w:cs="仿宋"/>
          <w:b/>
          <w:color w:val="auto"/>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073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8C68">
    <w:pPr>
      <w:pStyle w:val="40"/>
      <w:framePr w:wrap="around" w:vAnchor="text" w:hAnchor="margin" w:xAlign="right" w:y="1"/>
      <w:rPr>
        <w:rStyle w:val="72"/>
      </w:rPr>
    </w:pPr>
    <w:r>
      <w:fldChar w:fldCharType="begin"/>
    </w:r>
    <w:r>
      <w:rPr>
        <w:rStyle w:val="72"/>
      </w:rPr>
      <w:instrText xml:space="preserve">PAGE  </w:instrText>
    </w:r>
    <w:r>
      <w:fldChar w:fldCharType="end"/>
    </w:r>
  </w:p>
  <w:p w14:paraId="069CB14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CDD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131845147"/>
    <w:bookmarkStart w:id="502" w:name="_Toc91899912"/>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3615">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C2F2">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AE4845"/>
    <w:multiLevelType w:val="singleLevel"/>
    <w:tmpl w:val="36AE4845"/>
    <w:lvl w:ilvl="0" w:tentative="0">
      <w:start w:val="1"/>
      <w:numFmt w:val="decimal"/>
      <w:suff w:val="nothing"/>
      <w:lvlText w:val="%1、"/>
      <w:lvlJc w:val="left"/>
    </w:lvl>
  </w:abstractNum>
  <w:abstractNum w:abstractNumId="9">
    <w:nsid w:val="36D994C9"/>
    <w:multiLevelType w:val="singleLevel"/>
    <w:tmpl w:val="36D994C9"/>
    <w:lvl w:ilvl="0" w:tentative="0">
      <w:start w:val="2"/>
      <w:numFmt w:val="chineseCounting"/>
      <w:suff w:val="nothing"/>
      <w:lvlText w:val="%1、"/>
      <w:lvlJc w:val="left"/>
      <w:rPr>
        <w:rFonts w:hint="eastAsia"/>
      </w:rPr>
    </w:lvl>
  </w:abstractNum>
  <w:abstractNum w:abstractNumId="10">
    <w:nsid w:val="57FF7EC6"/>
    <w:multiLevelType w:val="singleLevel"/>
    <w:tmpl w:val="57FF7EC6"/>
    <w:lvl w:ilvl="0" w:tentative="0">
      <w:start w:val="15"/>
      <w:numFmt w:val="decimal"/>
      <w:suff w:val="space"/>
      <w:lvlText w:val="%1."/>
      <w:lvlJc w:val="left"/>
    </w:lvl>
  </w:abstractNum>
  <w:abstractNum w:abstractNumId="11">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10"/>
  </w:num>
  <w:num w:numId="5">
    <w:abstractNumId w:val="4"/>
  </w:num>
  <w:num w:numId="6">
    <w:abstractNumId w:val="1"/>
  </w:num>
  <w:num w:numId="7">
    <w:abstractNumId w:val="0"/>
  </w:num>
  <w:num w:numId="8">
    <w:abstractNumId w:val="7"/>
  </w:num>
  <w:num w:numId="9">
    <w:abstractNumId w:val="9"/>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3EF"/>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F15243"/>
    <w:rsid w:val="060134EF"/>
    <w:rsid w:val="060E5941"/>
    <w:rsid w:val="06110FAF"/>
    <w:rsid w:val="06493CA7"/>
    <w:rsid w:val="065A6178"/>
    <w:rsid w:val="066F1CF3"/>
    <w:rsid w:val="06930BB8"/>
    <w:rsid w:val="06BE43A4"/>
    <w:rsid w:val="07245D42"/>
    <w:rsid w:val="07264C62"/>
    <w:rsid w:val="075453C9"/>
    <w:rsid w:val="0764344E"/>
    <w:rsid w:val="0779354C"/>
    <w:rsid w:val="07FC0BA5"/>
    <w:rsid w:val="08061376"/>
    <w:rsid w:val="08452D77"/>
    <w:rsid w:val="086329D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86BB7"/>
    <w:rsid w:val="0CFE707A"/>
    <w:rsid w:val="0D063BDA"/>
    <w:rsid w:val="0D08375F"/>
    <w:rsid w:val="0D184CFB"/>
    <w:rsid w:val="0D4A7419"/>
    <w:rsid w:val="0D827401"/>
    <w:rsid w:val="0D84094E"/>
    <w:rsid w:val="0D8A00E9"/>
    <w:rsid w:val="0D8D589E"/>
    <w:rsid w:val="0D974726"/>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D69BB"/>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50343"/>
    <w:rsid w:val="13BF3CE4"/>
    <w:rsid w:val="141008D8"/>
    <w:rsid w:val="14125FE6"/>
    <w:rsid w:val="146D271E"/>
    <w:rsid w:val="14982588"/>
    <w:rsid w:val="149A5AD9"/>
    <w:rsid w:val="14A7619D"/>
    <w:rsid w:val="14E6276C"/>
    <w:rsid w:val="150536C3"/>
    <w:rsid w:val="150C1963"/>
    <w:rsid w:val="151447A0"/>
    <w:rsid w:val="154A6454"/>
    <w:rsid w:val="15762120"/>
    <w:rsid w:val="15C10692"/>
    <w:rsid w:val="15D4711A"/>
    <w:rsid w:val="1632430B"/>
    <w:rsid w:val="16A8729C"/>
    <w:rsid w:val="16B33777"/>
    <w:rsid w:val="16BC70A7"/>
    <w:rsid w:val="16C6339E"/>
    <w:rsid w:val="172F2D79"/>
    <w:rsid w:val="17557BEF"/>
    <w:rsid w:val="179E7806"/>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3E1334"/>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EA0B6C"/>
    <w:rsid w:val="211116EB"/>
    <w:rsid w:val="216133FC"/>
    <w:rsid w:val="2185666F"/>
    <w:rsid w:val="21BA76AF"/>
    <w:rsid w:val="21D56769"/>
    <w:rsid w:val="21E52EF3"/>
    <w:rsid w:val="21FB5D7B"/>
    <w:rsid w:val="22015E94"/>
    <w:rsid w:val="220B1C3D"/>
    <w:rsid w:val="221D1D20"/>
    <w:rsid w:val="22334A87"/>
    <w:rsid w:val="22AE0FC2"/>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81FA9"/>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D02F5"/>
    <w:rsid w:val="28333E1D"/>
    <w:rsid w:val="28454BD6"/>
    <w:rsid w:val="28455253"/>
    <w:rsid w:val="28551971"/>
    <w:rsid w:val="285B1C53"/>
    <w:rsid w:val="289F7086"/>
    <w:rsid w:val="28C32028"/>
    <w:rsid w:val="28CC490F"/>
    <w:rsid w:val="28DE40AA"/>
    <w:rsid w:val="290F37BD"/>
    <w:rsid w:val="29345E77"/>
    <w:rsid w:val="294C65AD"/>
    <w:rsid w:val="29806583"/>
    <w:rsid w:val="29814E7A"/>
    <w:rsid w:val="298B3C4C"/>
    <w:rsid w:val="29F26D24"/>
    <w:rsid w:val="2A15033F"/>
    <w:rsid w:val="2A1662C1"/>
    <w:rsid w:val="2A1C7367"/>
    <w:rsid w:val="2A2815FA"/>
    <w:rsid w:val="2A6D6092"/>
    <w:rsid w:val="2A7D76B4"/>
    <w:rsid w:val="2A9A5BEC"/>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DD13EC"/>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DF4330"/>
    <w:rsid w:val="31E3679B"/>
    <w:rsid w:val="31E732FD"/>
    <w:rsid w:val="31ED3189"/>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35A21"/>
    <w:rsid w:val="36A74ADA"/>
    <w:rsid w:val="36AD60D5"/>
    <w:rsid w:val="36B224F9"/>
    <w:rsid w:val="36D60F8C"/>
    <w:rsid w:val="36EC0CC9"/>
    <w:rsid w:val="373F410B"/>
    <w:rsid w:val="37635CC4"/>
    <w:rsid w:val="379A790F"/>
    <w:rsid w:val="37EE7094"/>
    <w:rsid w:val="380F1962"/>
    <w:rsid w:val="38296C89"/>
    <w:rsid w:val="383002EB"/>
    <w:rsid w:val="38586797"/>
    <w:rsid w:val="38BC0149"/>
    <w:rsid w:val="38D87D1C"/>
    <w:rsid w:val="39416E46"/>
    <w:rsid w:val="39636459"/>
    <w:rsid w:val="396B7F6C"/>
    <w:rsid w:val="39A959E1"/>
    <w:rsid w:val="39B417A9"/>
    <w:rsid w:val="39FC5695"/>
    <w:rsid w:val="3A006D8E"/>
    <w:rsid w:val="3A217E73"/>
    <w:rsid w:val="3A3651E5"/>
    <w:rsid w:val="3A744481"/>
    <w:rsid w:val="3A8C7BEF"/>
    <w:rsid w:val="3A906246"/>
    <w:rsid w:val="3B2349B7"/>
    <w:rsid w:val="3B334312"/>
    <w:rsid w:val="3B5D312D"/>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BF1997"/>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28BF"/>
    <w:rsid w:val="3F77BA1B"/>
    <w:rsid w:val="3F95482B"/>
    <w:rsid w:val="4019356B"/>
    <w:rsid w:val="40592157"/>
    <w:rsid w:val="406E1CAE"/>
    <w:rsid w:val="40A0133A"/>
    <w:rsid w:val="40C31A53"/>
    <w:rsid w:val="40FF545D"/>
    <w:rsid w:val="410067C8"/>
    <w:rsid w:val="414B4C5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53867"/>
    <w:rsid w:val="45C63B94"/>
    <w:rsid w:val="460E7DA5"/>
    <w:rsid w:val="46422483"/>
    <w:rsid w:val="4659254A"/>
    <w:rsid w:val="465B0637"/>
    <w:rsid w:val="465E3F0D"/>
    <w:rsid w:val="466A16E6"/>
    <w:rsid w:val="46813616"/>
    <w:rsid w:val="46893F2B"/>
    <w:rsid w:val="46C4686E"/>
    <w:rsid w:val="46FF32EA"/>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0365B5"/>
    <w:rsid w:val="4C245A30"/>
    <w:rsid w:val="4CB6685F"/>
    <w:rsid w:val="4CC367FE"/>
    <w:rsid w:val="4D077F3C"/>
    <w:rsid w:val="4D123355"/>
    <w:rsid w:val="4D2A3B31"/>
    <w:rsid w:val="4D312C52"/>
    <w:rsid w:val="4D734EFE"/>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F30C0"/>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D49A0"/>
    <w:rsid w:val="54CA0D16"/>
    <w:rsid w:val="54DD4057"/>
    <w:rsid w:val="54E7490F"/>
    <w:rsid w:val="550764A4"/>
    <w:rsid w:val="550B2BF6"/>
    <w:rsid w:val="55214EB5"/>
    <w:rsid w:val="5525496F"/>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00704"/>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A3A6F"/>
    <w:rsid w:val="5C02690E"/>
    <w:rsid w:val="5C196DA7"/>
    <w:rsid w:val="5C2735B4"/>
    <w:rsid w:val="5C2A048C"/>
    <w:rsid w:val="5C80234E"/>
    <w:rsid w:val="5C8A680C"/>
    <w:rsid w:val="5CC5085F"/>
    <w:rsid w:val="5D0C4701"/>
    <w:rsid w:val="5D0F0395"/>
    <w:rsid w:val="5D221076"/>
    <w:rsid w:val="5D397964"/>
    <w:rsid w:val="5D5A391C"/>
    <w:rsid w:val="5D5F10C0"/>
    <w:rsid w:val="5D891B7B"/>
    <w:rsid w:val="5DAD38EE"/>
    <w:rsid w:val="5DF70858"/>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05CFF"/>
    <w:rsid w:val="619F7F92"/>
    <w:rsid w:val="61A63211"/>
    <w:rsid w:val="61F94C26"/>
    <w:rsid w:val="62000E56"/>
    <w:rsid w:val="624F3E49"/>
    <w:rsid w:val="62632286"/>
    <w:rsid w:val="62885958"/>
    <w:rsid w:val="62D30E84"/>
    <w:rsid w:val="62F40B65"/>
    <w:rsid w:val="62FC2CFE"/>
    <w:rsid w:val="63024505"/>
    <w:rsid w:val="634D51A7"/>
    <w:rsid w:val="635600A5"/>
    <w:rsid w:val="635B1DB5"/>
    <w:rsid w:val="63711FED"/>
    <w:rsid w:val="63880DDC"/>
    <w:rsid w:val="638D750D"/>
    <w:rsid w:val="63AC6CC0"/>
    <w:rsid w:val="63DE6C7F"/>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417024"/>
    <w:rsid w:val="668B6A45"/>
    <w:rsid w:val="66984111"/>
    <w:rsid w:val="67011F07"/>
    <w:rsid w:val="672F3F24"/>
    <w:rsid w:val="67304C7A"/>
    <w:rsid w:val="673E055F"/>
    <w:rsid w:val="67551CE3"/>
    <w:rsid w:val="67A22552"/>
    <w:rsid w:val="67B22DCC"/>
    <w:rsid w:val="67BE71AA"/>
    <w:rsid w:val="67D90273"/>
    <w:rsid w:val="67DE5875"/>
    <w:rsid w:val="67E55852"/>
    <w:rsid w:val="67EB1AB4"/>
    <w:rsid w:val="67FA1285"/>
    <w:rsid w:val="67FD39FD"/>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242EE4"/>
    <w:rsid w:val="6ADE0BD1"/>
    <w:rsid w:val="6AE96859"/>
    <w:rsid w:val="6B147746"/>
    <w:rsid w:val="6B24787C"/>
    <w:rsid w:val="6B573233"/>
    <w:rsid w:val="6B5B6274"/>
    <w:rsid w:val="6B935D53"/>
    <w:rsid w:val="6BDBAC02"/>
    <w:rsid w:val="6BDD159D"/>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974AD1"/>
    <w:rsid w:val="70F5661B"/>
    <w:rsid w:val="71360107"/>
    <w:rsid w:val="713B688E"/>
    <w:rsid w:val="717C3DA5"/>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A26C0"/>
    <w:rsid w:val="747F3682"/>
    <w:rsid w:val="749C4185"/>
    <w:rsid w:val="75067759"/>
    <w:rsid w:val="752E6DCD"/>
    <w:rsid w:val="7551380D"/>
    <w:rsid w:val="75600BE5"/>
    <w:rsid w:val="7564475C"/>
    <w:rsid w:val="7583797F"/>
    <w:rsid w:val="75D20F1D"/>
    <w:rsid w:val="75DA2C18"/>
    <w:rsid w:val="75F54412"/>
    <w:rsid w:val="760F1D33"/>
    <w:rsid w:val="761D08E0"/>
    <w:rsid w:val="76202710"/>
    <w:rsid w:val="765D347C"/>
    <w:rsid w:val="76826699"/>
    <w:rsid w:val="76C87133"/>
    <w:rsid w:val="76CD08D5"/>
    <w:rsid w:val="76DB4B92"/>
    <w:rsid w:val="77052AA4"/>
    <w:rsid w:val="770FEEE6"/>
    <w:rsid w:val="77136511"/>
    <w:rsid w:val="772E01E5"/>
    <w:rsid w:val="77340A39"/>
    <w:rsid w:val="77351FD0"/>
    <w:rsid w:val="77472422"/>
    <w:rsid w:val="777F31F2"/>
    <w:rsid w:val="77D1700D"/>
    <w:rsid w:val="77EC04CC"/>
    <w:rsid w:val="784D7AAA"/>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35A7A"/>
    <w:rsid w:val="7B7468F8"/>
    <w:rsid w:val="7BEE0103"/>
    <w:rsid w:val="7C0A0FE4"/>
    <w:rsid w:val="7C254906"/>
    <w:rsid w:val="7C590818"/>
    <w:rsid w:val="7C7C10F6"/>
    <w:rsid w:val="7C853BEA"/>
    <w:rsid w:val="7C881368"/>
    <w:rsid w:val="7CCA4DBD"/>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2"/>
    <w:next w:val="1"/>
    <w:qFormat/>
    <w:uiPriority w:val="0"/>
    <w:pPr>
      <w:keepNext/>
      <w:keepLines/>
      <w:tabs>
        <w:tab w:val="left" w:pos="900"/>
        <w:tab w:val="clear" w:pos="432"/>
      </w:tabs>
      <w:spacing w:before="260" w:after="260" w:line="416" w:lineRule="auto"/>
      <w:ind w:left="900" w:hanging="720"/>
      <w:outlineLvl w:val="2"/>
    </w:pPr>
    <w:rPr>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4"/>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qFormat/>
    <w:uiPriority w:val="0"/>
    <w:rPr>
      <w:rFonts w:ascii="宋体" w:hAnsi="Courier New" w:cs="Arial"/>
      <w:snapToGrid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link w:val="320"/>
    <w:qFormat/>
    <w:uiPriority w:val="0"/>
    <w:pPr>
      <w:ind w:firstLine="420"/>
    </w:pPr>
    <w:rPr>
      <w:rFonts w:hAnsi="Calibri" w:cs="Times New Roman"/>
      <w:snapToGrid/>
      <w:szCs w:val="20"/>
    </w:rPr>
  </w:style>
  <w:style w:type="paragraph" w:styleId="61">
    <w:name w:val="Body Text First Indent 2"/>
    <w:basedOn w:val="1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PlainText"/>
    <w:basedOn w:val="1"/>
    <w:qFormat/>
    <w:uiPriority w:val="0"/>
    <w:pPr>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12892</Words>
  <Characters>13998</Characters>
  <Lines>295</Lines>
  <Paragraphs>83</Paragraphs>
  <TotalTime>12</TotalTime>
  <ScaleCrop>false</ScaleCrop>
  <LinksUpToDate>false</LinksUpToDate>
  <CharactersWithSpaces>14373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胡松华</cp:lastModifiedBy>
  <cp:lastPrinted>2024-10-21T09:29:00Z</cp:lastPrinted>
  <dcterms:modified xsi:type="dcterms:W3CDTF">2024-12-20T02:20:31Z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ies>
</file>